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147"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26"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0" w:lineRule="exact"/>
        <w:rPr>
          <w:rFonts w:ascii="MS PGothic" w:cs="MS PGothic" w:eastAsia="MS PGothic" w:hAnsi="MS PGothic"/>
          <w:sz w:val="18"/>
          <w:szCs w:val="18"/>
          <w:color w:val="auto"/>
        </w:rPr>
      </w:pPr>
    </w:p>
    <w:p>
      <w:pPr>
        <w:ind w:left="20" w:right="3259" w:firstLine="6"/>
        <w:spacing w:after="0" w:line="230" w:lineRule="exact"/>
        <w:tabs>
          <w:tab w:leader="none" w:pos="50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100"/>
        <w:spacing w:after="0"/>
        <w:rPr>
          <w:sz w:val="20"/>
          <w:szCs w:val="20"/>
          <w:color w:val="auto"/>
        </w:rPr>
      </w:pPr>
      <w:r>
        <w:rPr>
          <w:rFonts w:ascii="Arial" w:cs="Arial" w:eastAsia="Arial" w:hAnsi="Arial"/>
          <w:sz w:val="40"/>
          <w:szCs w:val="40"/>
          <w:b w:val="1"/>
          <w:bCs w:val="1"/>
          <w:color w:val="auto"/>
        </w:rPr>
        <w:t>Alignment Healthcare, Inc.</w:t>
      </w:r>
    </w:p>
    <w:p>
      <w:pPr>
        <w:spacing w:after="0" w:line="3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09"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17"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6" w:lineRule="exact"/>
        <w:rPr>
          <w:sz w:val="24"/>
          <w:szCs w:val="24"/>
          <w:color w:val="auto"/>
        </w:rPr>
      </w:pPr>
    </w:p>
    <w:p>
      <w:pPr>
        <w:ind w:left="520" w:hanging="494"/>
        <w:spacing w:after="0"/>
        <w:tabs>
          <w:tab w:leader="none" w:pos="5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6" w:lineRule="exact"/>
        <w:rPr>
          <w:rFonts w:ascii="MS PGothic" w:cs="MS PGothic" w:eastAsia="MS PGothic" w:hAnsi="MS PGothic"/>
          <w:sz w:val="18"/>
          <w:szCs w:val="18"/>
          <w:color w:val="auto"/>
        </w:rPr>
      </w:pPr>
    </w:p>
    <w:p>
      <w:pPr>
        <w:ind w:left="520" w:hanging="494"/>
        <w:spacing w:after="0"/>
        <w:tabs>
          <w:tab w:leader="none" w:pos="5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1673860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517525</wp:posOffset>
            </wp:positionV>
            <wp:extent cx="7157720" cy="8773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8773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2540000</wp:posOffset>
            </wp:positionH>
            <wp:positionV relativeFrom="page">
              <wp:posOffset>911860</wp:posOffset>
            </wp:positionV>
            <wp:extent cx="2468880" cy="38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46888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April 25,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23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On behalf of the Alignment Healthcare (“Alignment”) Board of Directors, we cordially invite you to attend our Annual Meeting of Stockholders on Thursday, June 5, 2025, at 9:00 a.m. PDT. The Annual Meeting will be held virtually via audio-only webcast at www.proxydocs.com/ALHC. You can listen to the meeting live, submit questions and vote online during the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We appreciate your ongoing support of and belief in Alignment as Medicare Advantage ("MA") done right. By approaching MA as a care</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management business and focusing on serving our seniors, we are proving that we can win by delivering more care – not less. By building a strong foundation of quality and value, we have been able to grow confidently and profitably through a dynamic MA environment.</w:t>
      </w:r>
    </w:p>
    <w:p>
      <w:pPr>
        <w:spacing w:after="0" w:line="194"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Your investment is critical to the growth and success of Alignment and will continue to play a significant role as we elevate our profile and expand our impact.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There is no doubt that 2024 was a milestone year, highlighted by:</w:t>
      </w:r>
    </w:p>
    <w:p>
      <w:pPr>
        <w:spacing w:after="0" w:line="225" w:lineRule="exact"/>
        <w:rPr>
          <w:sz w:val="20"/>
          <w:szCs w:val="20"/>
          <w:color w:val="auto"/>
        </w:rPr>
      </w:pPr>
    </w:p>
    <w:p>
      <w:pPr>
        <w:ind w:left="660" w:right="14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Adjusted EBITDA profitability</w:t>
      </w:r>
      <w:r>
        <w:rPr>
          <w:rFonts w:ascii="Arial" w:cs="Arial" w:eastAsia="Arial" w:hAnsi="Arial"/>
          <w:sz w:val="18"/>
          <w:szCs w:val="18"/>
          <w:color w:val="auto"/>
        </w:rPr>
        <w:t>: We achieved adjusted EBITDA of $1 million, marking our first full year of positive adjusted EBITDA</w:t>
      </w:r>
      <w:r>
        <w:rPr>
          <w:rFonts w:ascii="Arial" w:cs="Arial" w:eastAsia="Arial" w:hAnsi="Arial"/>
          <w:sz w:val="18"/>
          <w:szCs w:val="18"/>
          <w:b w:val="1"/>
          <w:bCs w:val="1"/>
          <w:color w:val="auto"/>
        </w:rPr>
        <w:t xml:space="preserve"> </w:t>
      </w:r>
      <w:r>
        <w:rPr>
          <w:rFonts w:ascii="Arial" w:cs="Arial" w:eastAsia="Arial" w:hAnsi="Arial"/>
          <w:sz w:val="18"/>
          <w:szCs w:val="18"/>
          <w:color w:val="auto"/>
        </w:rPr>
        <w:t>as a public company.</w:t>
      </w:r>
    </w:p>
    <w:p>
      <w:pPr>
        <w:spacing w:after="0" w:line="111" w:lineRule="exact"/>
        <w:rPr>
          <w:rFonts w:ascii="Arial" w:cs="Arial" w:eastAsia="Arial" w:hAnsi="Arial"/>
          <w:sz w:val="18"/>
          <w:szCs w:val="18"/>
          <w:color w:val="auto"/>
        </w:rPr>
      </w:pPr>
    </w:p>
    <w:p>
      <w:pPr>
        <w:ind w:left="660" w:right="4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Industry-leading membership growth: </w:t>
      </w:r>
      <w:r>
        <w:rPr>
          <w:rFonts w:ascii="Arial" w:cs="Arial" w:eastAsia="Arial" w:hAnsi="Arial"/>
          <w:sz w:val="18"/>
          <w:szCs w:val="18"/>
          <w:color w:val="auto"/>
        </w:rPr>
        <w:t>With 59% year-over-year membership growth to 189,100 members as of Dec. 31. 2024, we</w:t>
      </w:r>
      <w:r>
        <w:rPr>
          <w:rFonts w:ascii="Arial" w:cs="Arial" w:eastAsia="Arial" w:hAnsi="Arial"/>
          <w:sz w:val="18"/>
          <w:szCs w:val="18"/>
          <w:b w:val="1"/>
          <w:bCs w:val="1"/>
          <w:color w:val="auto"/>
        </w:rPr>
        <w:t xml:space="preserve"> </w:t>
      </w:r>
      <w:r>
        <w:rPr>
          <w:rFonts w:ascii="Arial" w:cs="Arial" w:eastAsia="Arial" w:hAnsi="Arial"/>
          <w:sz w:val="18"/>
          <w:szCs w:val="18"/>
          <w:color w:val="auto"/>
        </w:rPr>
        <w:t>onboarded more net new members in 2024 than in the prior four years combined.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Strong revenue growth: </w:t>
      </w:r>
      <w:r>
        <w:rPr>
          <w:rFonts w:ascii="Arial" w:cs="Arial" w:eastAsia="Arial" w:hAnsi="Arial"/>
          <w:sz w:val="18"/>
          <w:szCs w:val="18"/>
          <w:color w:val="auto"/>
        </w:rPr>
        <w:t>$2.7 billion, representing 48% growth year-over-year, as of Dec. 31, 2024.</w:t>
      </w:r>
    </w:p>
    <w:p>
      <w:pPr>
        <w:spacing w:after="0" w:line="144" w:lineRule="exact"/>
        <w:rPr>
          <w:rFonts w:ascii="Arial" w:cs="Arial" w:eastAsia="Arial" w:hAnsi="Arial"/>
          <w:sz w:val="18"/>
          <w:szCs w:val="18"/>
          <w:color w:val="auto"/>
        </w:rPr>
      </w:pPr>
    </w:p>
    <w:p>
      <w:pPr>
        <w:ind w:left="660" w:hanging="328"/>
        <w:spacing w:after="0" w:line="24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Exceptional quality: </w:t>
      </w:r>
      <w:r>
        <w:rPr>
          <w:rFonts w:ascii="Arial" w:cs="Arial" w:eastAsia="Arial" w:hAnsi="Arial"/>
          <w:sz w:val="18"/>
          <w:szCs w:val="18"/>
          <w:color w:val="auto"/>
        </w:rPr>
        <w:t>98% of members are in plans that earned 4 Stars or better under the Centers for Medicare &amp; Medicaid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(“CMS”) 5-Star Quality Rating System versus the industry average of just 64%. With our HMO contract in Nevada and North Carolina, Alignment is proud to be one of only nine MA plans in the entire country in 2025 to earn a coveted 5 Stars.</w:t>
      </w:r>
    </w:p>
    <w:p>
      <w:pPr>
        <w:spacing w:after="0" w:line="108"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Outstanding member service: </w:t>
      </w:r>
      <w:r>
        <w:rPr>
          <w:rFonts w:ascii="Arial" w:cs="Arial" w:eastAsia="Arial" w:hAnsi="Arial"/>
          <w:sz w:val="18"/>
          <w:szCs w:val="18"/>
          <w:color w:val="auto"/>
        </w:rPr>
        <w:t>Achieved an overall Net Promoter Score (“NPS”) of 61, which includes an NPS of greater than 78 for</w:t>
      </w:r>
      <w:r>
        <w:rPr>
          <w:rFonts w:ascii="Arial" w:cs="Arial" w:eastAsia="Arial" w:hAnsi="Arial"/>
          <w:sz w:val="18"/>
          <w:szCs w:val="18"/>
          <w:b w:val="1"/>
          <w:bCs w:val="1"/>
          <w:color w:val="auto"/>
        </w:rPr>
        <w:t xml:space="preserve"> </w:t>
      </w:r>
      <w:r>
        <w:rPr>
          <w:rFonts w:ascii="Arial" w:cs="Arial" w:eastAsia="Arial" w:hAnsi="Arial"/>
          <w:sz w:val="18"/>
          <w:szCs w:val="18"/>
          <w:color w:val="auto"/>
        </w:rPr>
        <w:t>our Care Anywhere program, and a 4.9 out of 5-star Google rating, based on more than 9,000 reviews.</w:t>
      </w:r>
    </w:p>
    <w:p>
      <w:pPr>
        <w:spacing w:after="0" w:line="11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Strong medical cost management: </w:t>
      </w:r>
      <w:r>
        <w:rPr>
          <w:rFonts w:ascii="Arial" w:cs="Arial" w:eastAsia="Arial" w:hAnsi="Arial"/>
          <w:sz w:val="18"/>
          <w:szCs w:val="18"/>
          <w:color w:val="auto"/>
        </w:rPr>
        <w:t>88.8% medical benefits ratio (“MBR”) in 2024 based on adjusted gross profit.</w:t>
      </w:r>
    </w:p>
    <w:p>
      <w:pPr>
        <w:spacing w:after="0" w:line="225" w:lineRule="exact"/>
        <w:rPr>
          <w:sz w:val="20"/>
          <w:szCs w:val="20"/>
          <w:color w:val="auto"/>
        </w:rPr>
      </w:pPr>
    </w:p>
    <w:p>
      <w:pPr>
        <w:jc w:val="both"/>
        <w:ind w:right="100"/>
        <w:spacing w:after="0" w:line="285" w:lineRule="auto"/>
        <w:rPr>
          <w:sz w:val="20"/>
          <w:szCs w:val="20"/>
          <w:color w:val="auto"/>
        </w:rPr>
      </w:pPr>
      <w:r>
        <w:rPr>
          <w:rFonts w:ascii="Arial" w:cs="Arial" w:eastAsia="Arial" w:hAnsi="Arial"/>
          <w:sz w:val="17"/>
          <w:szCs w:val="17"/>
          <w:color w:val="auto"/>
        </w:rPr>
        <w:t>We started 2025 with the exciting news that Dawn Maroney was promoted to President of Alignment, expanding her role and responsibilities as we drive for even greater success. We are continuing to strengthen our leadership team and train our employees on how we do MA right.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2025, our focus is on:</w:t>
      </w:r>
    </w:p>
    <w:p>
      <w:pPr>
        <w:spacing w:after="0" w:line="225" w:lineRule="exact"/>
        <w:rPr>
          <w:sz w:val="20"/>
          <w:szCs w:val="20"/>
          <w:color w:val="auto"/>
        </w:rPr>
      </w:pPr>
    </w:p>
    <w:p>
      <w:pPr>
        <w:ind w:left="660" w:right="180" w:hanging="328"/>
        <w:spacing w:after="0" w:line="23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Sustained Growth: </w:t>
      </w:r>
      <w:r>
        <w:rPr>
          <w:rFonts w:ascii="Arial" w:cs="Arial" w:eastAsia="Arial" w:hAnsi="Arial"/>
          <w:sz w:val="18"/>
          <w:szCs w:val="18"/>
          <w:color w:val="auto"/>
        </w:rPr>
        <w:t>Last year was a breakout year for consolidated growth, and this year, we expect a breakout year for growth</w:t>
      </w:r>
      <w:r>
        <w:rPr>
          <w:rFonts w:ascii="Arial" w:cs="Arial" w:eastAsia="Arial" w:hAnsi="Arial"/>
          <w:sz w:val="18"/>
          <w:szCs w:val="18"/>
          <w:b w:val="1"/>
          <w:bCs w:val="1"/>
          <w:color w:val="auto"/>
        </w:rPr>
        <w:t xml:space="preserve"> </w:t>
      </w:r>
      <w:r>
        <w:rPr>
          <w:rFonts w:ascii="Arial" w:cs="Arial" w:eastAsia="Arial" w:hAnsi="Arial"/>
          <w:sz w:val="18"/>
          <w:szCs w:val="18"/>
          <w:color w:val="auto"/>
        </w:rPr>
        <w:t>outside of California even as California continues to deliver sustained growth. Our continued ability to capture market share reflects our reputation for consistent delivery of quality care, innovative products and enhanced benefits.</w:t>
      </w:r>
    </w:p>
    <w:p>
      <w:pPr>
        <w:spacing w:after="0" w:line="207" w:lineRule="exact"/>
        <w:rPr>
          <w:rFonts w:ascii="Arial" w:cs="Arial" w:eastAsia="Arial" w:hAnsi="Arial"/>
          <w:sz w:val="18"/>
          <w:szCs w:val="18"/>
          <w:color w:val="auto"/>
        </w:rPr>
      </w:pPr>
    </w:p>
    <w:p>
      <w:pPr>
        <w:ind w:left="660" w:right="68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Improving Profitability: </w:t>
      </w:r>
      <w:r>
        <w:rPr>
          <w:rFonts w:ascii="Arial" w:cs="Arial" w:eastAsia="Arial" w:hAnsi="Arial"/>
          <w:sz w:val="18"/>
          <w:szCs w:val="18"/>
          <w:color w:val="auto"/>
        </w:rPr>
        <w:t>Our goal is to always ensure we provide the best care at the lowest cost. We aim to further improve</w:t>
      </w:r>
      <w:r>
        <w:rPr>
          <w:rFonts w:ascii="Arial" w:cs="Arial" w:eastAsia="Arial" w:hAnsi="Arial"/>
          <w:sz w:val="18"/>
          <w:szCs w:val="18"/>
          <w:b w:val="1"/>
          <w:bCs w:val="1"/>
          <w:color w:val="auto"/>
        </w:rPr>
        <w:t xml:space="preserve"> </w:t>
      </w:r>
      <w:r>
        <w:rPr>
          <w:rFonts w:ascii="Arial" w:cs="Arial" w:eastAsia="Arial" w:hAnsi="Arial"/>
          <w:sz w:val="18"/>
          <w:szCs w:val="18"/>
          <w:color w:val="auto"/>
        </w:rPr>
        <w:t>profitability of the enterprise by retaining the members we grew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ind w:left="660" w:right="200"/>
        <w:spacing w:after="0" w:line="256" w:lineRule="auto"/>
        <w:rPr>
          <w:sz w:val="20"/>
          <w:szCs w:val="20"/>
          <w:color w:val="auto"/>
        </w:rPr>
      </w:pPr>
      <w:r>
        <w:rPr>
          <w:rFonts w:ascii="Arial" w:cs="Arial" w:eastAsia="Arial" w:hAnsi="Arial"/>
          <w:sz w:val="18"/>
          <w:szCs w:val="18"/>
          <w:color w:val="auto"/>
        </w:rPr>
        <w:t>2024 and engaging those most at risk with our clinical model. Furthermore, we plan to increase productivity and improve scalability by deploying tools that drive more automation.</w:t>
      </w:r>
    </w:p>
    <w:p>
      <w:pPr>
        <w:spacing w:after="0" w:line="193" w:lineRule="exact"/>
        <w:rPr>
          <w:sz w:val="20"/>
          <w:szCs w:val="20"/>
          <w:color w:val="auto"/>
        </w:rPr>
      </w:pPr>
    </w:p>
    <w:p>
      <w:pPr>
        <w:ind w:left="660" w:right="600" w:hanging="328"/>
        <w:spacing w:after="0" w:line="25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Greater Replicability: </w:t>
      </w:r>
      <w:r>
        <w:rPr>
          <w:rFonts w:ascii="Arial" w:cs="Arial" w:eastAsia="Arial" w:hAnsi="Arial"/>
          <w:sz w:val="18"/>
          <w:szCs w:val="18"/>
          <w:color w:val="auto"/>
        </w:rPr>
        <w:t>We will expand strategic partnerships with organizations that share our purpose of serving seniors and</w:t>
      </w:r>
      <w:r>
        <w:rPr>
          <w:rFonts w:ascii="Arial" w:cs="Arial" w:eastAsia="Arial" w:hAnsi="Arial"/>
          <w:sz w:val="18"/>
          <w:szCs w:val="18"/>
          <w:b w:val="1"/>
          <w:bCs w:val="1"/>
          <w:color w:val="auto"/>
        </w:rPr>
        <w:t xml:space="preserve"> </w:t>
      </w:r>
      <w:r>
        <w:rPr>
          <w:rFonts w:ascii="Arial" w:cs="Arial" w:eastAsia="Arial" w:hAnsi="Arial"/>
          <w:sz w:val="18"/>
          <w:szCs w:val="18"/>
          <w:color w:val="auto"/>
        </w:rPr>
        <w:t>elevating senior care. We aim to deliver consistently high-quality care across markets.</w:t>
      </w:r>
    </w:p>
    <w:p>
      <w:pPr>
        <w:spacing w:after="0" w:line="179" w:lineRule="exact"/>
        <w:rPr>
          <w:rFonts w:ascii="Arial" w:cs="Arial" w:eastAsia="Arial" w:hAnsi="Arial"/>
          <w:sz w:val="18"/>
          <w:szCs w:val="18"/>
          <w:color w:val="auto"/>
        </w:rPr>
      </w:pPr>
    </w:p>
    <w:p>
      <w:pPr>
        <w:ind w:left="660" w:right="100" w:hanging="328"/>
        <w:spacing w:after="0" w:line="24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Continuous Improvement: </w:t>
      </w:r>
      <w:r>
        <w:rPr>
          <w:rFonts w:ascii="Arial" w:cs="Arial" w:eastAsia="Arial" w:hAnsi="Arial"/>
          <w:sz w:val="18"/>
          <w:szCs w:val="18"/>
          <w:color w:val="auto"/>
        </w:rPr>
        <w:t>We are committed to operational excellence by improving every aspect of our organization – from</w:t>
      </w:r>
      <w:r>
        <w:rPr>
          <w:rFonts w:ascii="Arial" w:cs="Arial" w:eastAsia="Arial" w:hAnsi="Arial"/>
          <w:sz w:val="18"/>
          <w:szCs w:val="18"/>
          <w:b w:val="1"/>
          <w:bCs w:val="1"/>
          <w:color w:val="auto"/>
        </w:rPr>
        <w:t xml:space="preserve"> </w:t>
      </w:r>
      <w:r>
        <w:rPr>
          <w:rFonts w:ascii="Arial" w:cs="Arial" w:eastAsia="Arial" w:hAnsi="Arial"/>
          <w:sz w:val="18"/>
          <w:szCs w:val="18"/>
          <w:color w:val="auto"/>
        </w:rPr>
        <w:t>market leadership and clinical delivery to operations. As we scale, our management team remains focused on disciplined execution, data-driven decision making and an unwavering drive to serve our members better every day.</w:t>
      </w:r>
    </w:p>
    <w:p>
      <w:pPr>
        <w:spacing w:after="0" w:line="190"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Our Board of Directors and leadership team remain dedicated to long-term value creation for all our stakeholders. We look forward to the opportunity to engage with you during the Annual Meeting and to share updates on our progress throughout our upcoming quarterly earnings.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77470</wp:posOffset>
            </wp:positionV>
            <wp:extent cx="985520" cy="634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5520" cy="63436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120650</wp:posOffset>
            </wp:positionV>
            <wp:extent cx="4311650" cy="6343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1165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00" w:type="dxa"/>
            <w:vAlign w:val="bottom"/>
          </w:tcPr>
          <w:p>
            <w:pPr>
              <w:ind w:left="80"/>
              <w:spacing w:after="0"/>
              <w:rPr>
                <w:sz w:val="20"/>
                <w:szCs w:val="20"/>
                <w:color w:val="auto"/>
              </w:rPr>
            </w:pPr>
            <w:r>
              <w:rPr>
                <w:rFonts w:ascii="Arial" w:cs="Arial" w:eastAsia="Arial" w:hAnsi="Arial"/>
                <w:sz w:val="18"/>
                <w:szCs w:val="18"/>
                <w:b w:val="1"/>
                <w:bCs w:val="1"/>
                <w:color w:val="auto"/>
              </w:rPr>
              <w:t>John Kao</w:t>
            </w:r>
          </w:p>
        </w:tc>
        <w:tc>
          <w:tcPr>
            <w:tcW w:w="3720" w:type="dxa"/>
            <w:vAlign w:val="bottom"/>
          </w:tcPr>
          <w:p>
            <w:pPr>
              <w:ind w:left="780"/>
              <w:spacing w:after="0"/>
              <w:rPr>
                <w:sz w:val="20"/>
                <w:szCs w:val="20"/>
                <w:color w:val="auto"/>
              </w:rPr>
            </w:pPr>
            <w:r>
              <w:rPr>
                <w:rFonts w:ascii="Arial" w:cs="Arial" w:eastAsia="Arial" w:hAnsi="Arial"/>
                <w:sz w:val="18"/>
                <w:szCs w:val="18"/>
                <w:b w:val="1"/>
                <w:bCs w:val="1"/>
                <w:color w:val="auto"/>
              </w:rPr>
              <w:t>Joseph Konowiecki</w:t>
            </w:r>
          </w:p>
        </w:tc>
        <w:tc>
          <w:tcPr>
            <w:tcW w:w="4820" w:type="dxa"/>
            <w:vAlign w:val="bottom"/>
          </w:tcPr>
          <w:p>
            <w:pPr>
              <w:ind w:left="1140"/>
              <w:spacing w:after="0"/>
              <w:rPr>
                <w:sz w:val="20"/>
                <w:szCs w:val="20"/>
                <w:color w:val="auto"/>
              </w:rPr>
            </w:pPr>
            <w:r>
              <w:rPr>
                <w:rFonts w:ascii="Arial" w:cs="Arial" w:eastAsia="Arial" w:hAnsi="Arial"/>
                <w:sz w:val="18"/>
                <w:szCs w:val="18"/>
                <w:b w:val="1"/>
                <w:bCs w:val="1"/>
                <w:color w:val="auto"/>
              </w:rPr>
              <w:t>Margaret McCarthy</w:t>
            </w:r>
          </w:p>
        </w:tc>
      </w:tr>
      <w:tr>
        <w:trPr>
          <w:trHeight w:val="239"/>
        </w:trPr>
        <w:tc>
          <w:tcPr>
            <w:tcW w:w="2700" w:type="dxa"/>
            <w:vAlign w:val="bottom"/>
          </w:tcPr>
          <w:p>
            <w:pPr>
              <w:ind w:left="80"/>
              <w:spacing w:after="0"/>
              <w:rPr>
                <w:sz w:val="20"/>
                <w:szCs w:val="20"/>
                <w:color w:val="auto"/>
              </w:rPr>
            </w:pPr>
            <w:r>
              <w:rPr>
                <w:rFonts w:ascii="Arial" w:cs="Arial" w:eastAsia="Arial" w:hAnsi="Arial"/>
                <w:sz w:val="18"/>
                <w:szCs w:val="18"/>
                <w:color w:val="auto"/>
              </w:rPr>
              <w:t>Chief Executive Officer</w:t>
            </w:r>
          </w:p>
        </w:tc>
        <w:tc>
          <w:tcPr>
            <w:tcW w:w="3720" w:type="dxa"/>
            <w:vAlign w:val="bottom"/>
          </w:tcPr>
          <w:p>
            <w:pPr>
              <w:ind w:left="780"/>
              <w:spacing w:after="0"/>
              <w:rPr>
                <w:sz w:val="20"/>
                <w:szCs w:val="20"/>
                <w:color w:val="auto"/>
              </w:rPr>
            </w:pPr>
            <w:r>
              <w:rPr>
                <w:rFonts w:ascii="Arial" w:cs="Arial" w:eastAsia="Arial" w:hAnsi="Arial"/>
                <w:sz w:val="18"/>
                <w:szCs w:val="18"/>
                <w:color w:val="auto"/>
              </w:rPr>
              <w:t>Chairman of the Board</w:t>
            </w:r>
          </w:p>
        </w:tc>
        <w:tc>
          <w:tcPr>
            <w:tcW w:w="4820" w:type="dxa"/>
            <w:vAlign w:val="bottom"/>
          </w:tcPr>
          <w:p>
            <w:pPr>
              <w:ind w:left="1140"/>
              <w:spacing w:after="0"/>
              <w:rPr>
                <w:sz w:val="20"/>
                <w:szCs w:val="20"/>
                <w:color w:val="auto"/>
              </w:rPr>
            </w:pPr>
            <w:r>
              <w:rPr>
                <w:rFonts w:ascii="Arial" w:cs="Arial" w:eastAsia="Arial" w:hAnsi="Arial"/>
                <w:sz w:val="18"/>
                <w:szCs w:val="18"/>
                <w:color w:val="auto"/>
              </w:rPr>
              <w:t>Lead Independent Director</w:t>
            </w:r>
          </w:p>
        </w:tc>
      </w:tr>
      <w:tr>
        <w:trPr>
          <w:trHeight w:val="1974"/>
        </w:trPr>
        <w:tc>
          <w:tcPr>
            <w:tcW w:w="270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2540000</wp:posOffset>
            </wp:positionH>
            <wp:positionV relativeFrom="page">
              <wp:posOffset>911860</wp:posOffset>
            </wp:positionV>
            <wp:extent cx="2468880" cy="386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46888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NOTICE OF 2025 ANNUAL MEETING OF STOCKHOLDERS</w:t>
      </w:r>
    </w:p>
    <w:p>
      <w:pPr>
        <w:spacing w:after="0" w:line="220" w:lineRule="exact"/>
        <w:rPr>
          <w:sz w:val="20"/>
          <w:szCs w:val="20"/>
          <w:color w:val="auto"/>
        </w:rPr>
      </w:pPr>
    </w:p>
    <w:p>
      <w:pPr>
        <w:ind w:right="20" w:firstLine="405"/>
        <w:spacing w:after="0" w:line="287" w:lineRule="auto"/>
        <w:rPr>
          <w:sz w:val="20"/>
          <w:szCs w:val="20"/>
          <w:color w:val="auto"/>
        </w:rPr>
      </w:pPr>
      <w:r>
        <w:rPr>
          <w:rFonts w:ascii="Arial" w:cs="Arial" w:eastAsia="Arial" w:hAnsi="Arial"/>
          <w:sz w:val="18"/>
          <w:szCs w:val="18"/>
          <w:color w:val="auto"/>
        </w:rPr>
        <w:t>The 2025 Annual Meeting of Stockholders of Alignment Healthcare, Inc. (the “Annual Meeting”) will be held on Thursday, June 5, 2025, at 9:00 a.m. Pacific Time.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Items of Business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Matters to be voted on at the Annual Meeting are as follows:</w:t>
      </w:r>
    </w:p>
    <w:p>
      <w:pPr>
        <w:spacing w:after="0" w:line="225" w:lineRule="exact"/>
        <w:rPr>
          <w:sz w:val="20"/>
          <w:szCs w:val="20"/>
          <w:color w:val="auto"/>
        </w:rPr>
      </w:pPr>
    </w:p>
    <w:p>
      <w:pPr>
        <w:ind w:left="660" w:right="220" w:hanging="328"/>
        <w:spacing w:after="0" w:line="286" w:lineRule="auto"/>
        <w:tabs>
          <w:tab w:leader="none" w:pos="655"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Proposal 1</w:t>
      </w:r>
      <w:r>
        <w:rPr>
          <w:rFonts w:ascii="Arial" w:cs="Arial" w:eastAsia="Arial" w:hAnsi="Arial"/>
          <w:sz w:val="18"/>
          <w:szCs w:val="18"/>
          <w:color w:val="auto"/>
        </w:rPr>
        <w:t>: Election of three nominees identified in the accompanying proxy statement to serve as Class I directors to hold office</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2028 Annual Meeting of Stockholders;</w:t>
      </w:r>
    </w:p>
    <w:p>
      <w:pPr>
        <w:spacing w:after="0" w:line="126" w:lineRule="exact"/>
        <w:rPr>
          <w:rFonts w:ascii="Times New Roman" w:cs="Times New Roman" w:eastAsia="Times New Roman" w:hAnsi="Times New Roman"/>
          <w:sz w:val="18"/>
          <w:szCs w:val="18"/>
          <w:color w:val="auto"/>
        </w:rPr>
      </w:pPr>
    </w:p>
    <w:p>
      <w:pPr>
        <w:ind w:left="660" w:right="240" w:hanging="328"/>
        <w:spacing w:after="0" w:line="286" w:lineRule="auto"/>
        <w:tabs>
          <w:tab w:leader="none" w:pos="655"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Proposal 2</w:t>
      </w:r>
      <w:r>
        <w:rPr>
          <w:rFonts w:ascii="Arial" w:cs="Arial" w:eastAsia="Arial" w:hAnsi="Arial"/>
          <w:sz w:val="18"/>
          <w:szCs w:val="18"/>
          <w:color w:val="auto"/>
        </w:rPr>
        <w:t>: Ratification of the appointment of Deloitte &amp; Touche LLP as our independent registered public accounting firm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ending December 31, 2025; and</w:t>
      </w:r>
    </w:p>
    <w:p>
      <w:pPr>
        <w:spacing w:after="0" w:line="113" w:lineRule="exact"/>
        <w:rPr>
          <w:rFonts w:ascii="Times New Roman" w:cs="Times New Roman" w:eastAsia="Times New Roman" w:hAnsi="Times New Roman"/>
          <w:sz w:val="18"/>
          <w:szCs w:val="18"/>
          <w:color w:val="auto"/>
        </w:rPr>
      </w:pPr>
    </w:p>
    <w:p>
      <w:pPr>
        <w:ind w:left="660" w:right="260" w:hanging="328"/>
        <w:spacing w:after="0" w:line="286" w:lineRule="auto"/>
        <w:tabs>
          <w:tab w:leader="none" w:pos="655"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Proposal 3</w:t>
      </w:r>
      <w:r>
        <w:rPr>
          <w:rFonts w:ascii="Arial" w:cs="Arial" w:eastAsia="Arial" w:hAnsi="Arial"/>
          <w:sz w:val="18"/>
          <w:szCs w:val="18"/>
          <w:color w:val="auto"/>
        </w:rPr>
        <w:t>: Approval, on a non-binding, advisory basis, of the compensation of our named executive officers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or “NEOs”).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Items of business may also include transacting other business as may properly come before the meeting or any adjournment of the meeting.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Proxy Statement accompanying this notice describes each of the items of business in more detail.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Access to the Meeting</w:t>
      </w:r>
    </w:p>
    <w:p>
      <w:pPr>
        <w:spacing w:after="0" w:line="225" w:lineRule="exact"/>
        <w:rPr>
          <w:sz w:val="20"/>
          <w:szCs w:val="20"/>
          <w:color w:val="auto"/>
        </w:rPr>
      </w:pPr>
    </w:p>
    <w:p>
      <w:pPr>
        <w:jc w:val="both"/>
        <w:ind w:right="400" w:firstLine="405"/>
        <w:spacing w:after="0" w:line="268" w:lineRule="auto"/>
        <w:rPr>
          <w:sz w:val="20"/>
          <w:szCs w:val="20"/>
          <w:color w:val="auto"/>
        </w:rPr>
      </w:pPr>
      <w:r>
        <w:rPr>
          <w:rFonts w:ascii="Arial" w:cs="Arial" w:eastAsia="Arial" w:hAnsi="Arial"/>
          <w:sz w:val="18"/>
          <w:szCs w:val="18"/>
          <w:color w:val="auto"/>
        </w:rPr>
        <w:t>The Annual Meeting will be held via live audio webcast available at www.proxydocs.com/ALHC. Please see the “</w:t>
      </w:r>
      <w:r>
        <w:rPr>
          <w:rFonts w:ascii="Arial" w:cs="Arial" w:eastAsia="Arial" w:hAnsi="Arial"/>
          <w:sz w:val="18"/>
          <w:szCs w:val="18"/>
          <w:i w:val="1"/>
          <w:iCs w:val="1"/>
          <w:color w:val="auto"/>
        </w:rPr>
        <w:t>Commonly Asked</w:t>
      </w:r>
      <w:r>
        <w:rPr>
          <w:rFonts w:ascii="Arial" w:cs="Arial" w:eastAsia="Arial" w:hAnsi="Arial"/>
          <w:sz w:val="18"/>
          <w:szCs w:val="18"/>
          <w:color w:val="auto"/>
        </w:rPr>
        <w:t xml:space="preserve"> </w:t>
      </w:r>
      <w:r>
        <w:rPr>
          <w:rFonts w:ascii="Arial" w:cs="Arial" w:eastAsia="Arial" w:hAnsi="Arial"/>
          <w:sz w:val="18"/>
          <w:szCs w:val="18"/>
          <w:i w:val="1"/>
          <w:iCs w:val="1"/>
          <w:color w:val="auto"/>
        </w:rPr>
        <w:t>Questions and Answers About the Annual Meeting</w:t>
      </w:r>
      <w:r>
        <w:rPr>
          <w:rFonts w:ascii="Arial" w:cs="Arial" w:eastAsia="Arial" w:hAnsi="Arial"/>
          <w:sz w:val="18"/>
          <w:szCs w:val="18"/>
          <w:color w:val="auto"/>
        </w:rPr>
        <w:t>” section in the attached Proxy Statement for information on registration to attend the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Stockholders will be able to participate, vote and submit questions from any location.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Record Date &amp; List of Stockholders</w:t>
      </w:r>
    </w:p>
    <w:p>
      <w:pPr>
        <w:spacing w:after="0" w:line="225"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auto"/>
        </w:rPr>
        <w:t>Our Board has set the record date as of April 7, 2025 (the “Record Date”). Only stockholders that owned Alignment common stock at the close of business on that day are entitled to notice of and may vote at the Annual Meeting or any adjournment of the meeting. A list of Alignment’s stockholders of record will be available at our corporate headquarters and principal executive offices located at 1100 W. Town &amp; Country Rd., Suite 1600, Orange, CA 92868 at least ten days prior to June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1174115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 w:name="page6"/>
    <w:bookmarkEnd w:id="5"/>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How to Vote Your Shares</w:t>
      </w:r>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By Internet</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7"/>
          <w:szCs w:val="17"/>
          <w:color w:val="auto"/>
        </w:rPr>
        <w:t>Go to www.proxypush.com/ALHC and follow the instructions.</w:t>
      </w: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By Mail</w:t>
      </w:r>
    </w:p>
    <w:p>
      <w:pPr>
        <w:spacing w:after="0" w:line="225" w:lineRule="exact"/>
        <w:rPr>
          <w:sz w:val="20"/>
          <w:szCs w:val="20"/>
          <w:color w:val="auto"/>
        </w:rPr>
      </w:pPr>
    </w:p>
    <w:p>
      <w:pPr>
        <w:ind w:left="80" w:right="360"/>
        <w:spacing w:after="0" w:line="287" w:lineRule="auto"/>
        <w:rPr>
          <w:sz w:val="20"/>
          <w:szCs w:val="20"/>
          <w:color w:val="auto"/>
        </w:rPr>
      </w:pPr>
      <w:r>
        <w:rPr>
          <w:rFonts w:ascii="Arial" w:cs="Arial" w:eastAsia="Arial" w:hAnsi="Arial"/>
          <w:sz w:val="18"/>
          <w:szCs w:val="18"/>
          <w:color w:val="auto"/>
        </w:rPr>
        <w:t>Complete, sign, date and return your proxy card or voting instruction form in the envelope provided.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Telephone</w:t>
      </w:r>
    </w:p>
    <w:p>
      <w:pPr>
        <w:spacing w:after="0" w:line="22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Dial toll-free 866-314-3346 using any touch-tone telephone and follow the recorded instructions.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Person (Virtual)</w:t>
      </w:r>
    </w:p>
    <w:p>
      <w:pPr>
        <w:spacing w:after="0" w:line="225"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Attend our virtual Annual Meeting and cast your vote using the webcast voting options.</w:t>
      </w:r>
    </w:p>
    <w:p>
      <w:pPr>
        <w:spacing w:after="0" w:line="200" w:lineRule="exact"/>
        <w:rPr>
          <w:sz w:val="20"/>
          <w:szCs w:val="20"/>
          <w:color w:val="auto"/>
        </w:rPr>
      </w:pPr>
    </w:p>
    <w:p>
      <w:pPr>
        <w:sectPr>
          <w:pgSz w:w="11900" w:h="16838" w:orient="portrait"/>
          <w:cols w:equalWidth="0" w:num="2">
            <w:col w:w="4980" w:space="720"/>
            <w:col w:w="5540"/>
          </w:cols>
          <w:pgMar w:left="320" w:top="1440" w:right="339" w:bottom="1440" w:gutter="0" w:footer="0" w:header="0"/>
        </w:sectPr>
      </w:pPr>
    </w:p>
    <w:p>
      <w:pPr>
        <w:spacing w:after="0" w:line="74" w:lineRule="exact"/>
        <w:rPr>
          <w:sz w:val="20"/>
          <w:szCs w:val="20"/>
          <w:color w:val="auto"/>
        </w:rPr>
      </w:pPr>
    </w:p>
    <w:p>
      <w:pPr>
        <w:ind w:right="480" w:firstLine="405"/>
        <w:spacing w:after="0" w:line="287" w:lineRule="auto"/>
        <w:rPr>
          <w:sz w:val="20"/>
          <w:szCs w:val="20"/>
          <w:color w:val="auto"/>
        </w:rPr>
      </w:pPr>
      <w:r>
        <w:rPr>
          <w:rFonts w:ascii="Arial" w:cs="Arial" w:eastAsia="Arial" w:hAnsi="Arial"/>
          <w:sz w:val="18"/>
          <w:szCs w:val="18"/>
          <w:color w:val="auto"/>
        </w:rPr>
        <w:t>Whether or not you expect to attend the Annual Meeting, please make sure you vote so that your shares will be represented at the meeting.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148715" cy="694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871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J. Joyce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Legal &amp; Administrative Officer</w:t>
      </w:r>
    </w:p>
    <w:p>
      <w:pPr>
        <w:spacing w:after="0" w:line="207" w:lineRule="exact"/>
        <w:rPr>
          <w:sz w:val="20"/>
          <w:szCs w:val="20"/>
          <w:color w:val="auto"/>
        </w:rPr>
      </w:pPr>
    </w:p>
    <w:p>
      <w:pPr>
        <w:ind w:right="180"/>
        <w:spacing w:after="0" w:line="296" w:lineRule="auto"/>
        <w:rPr>
          <w:sz w:val="20"/>
          <w:szCs w:val="20"/>
          <w:color w:val="auto"/>
        </w:rPr>
      </w:pPr>
      <w:r>
        <w:rPr>
          <w:rFonts w:ascii="Arial" w:cs="Arial" w:eastAsia="Arial" w:hAnsi="Arial"/>
          <w:sz w:val="18"/>
          <w:szCs w:val="18"/>
          <w:b w:val="1"/>
          <w:bCs w:val="1"/>
          <w:color w:val="1F497D"/>
        </w:rPr>
        <w:t>IMPORTANT NOTICE REGARDING THE AVAILABILITY OF PROXY MATERIALS FOR THE ANNUAL MEETING OF STOCKHOLDERS TO BE HELD ON JUNE 5, 2025</w:t>
      </w:r>
    </w:p>
    <w:p>
      <w:pPr>
        <w:spacing w:after="0" w:line="137"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auto"/>
        </w:rPr>
        <w:t xml:space="preserve">This Notice of Annual Meeting, the Proxy Statement and our fiscal year 2024 Annual Report are available on the investor relations section of our website at https://ir.alignmenthealth.com/. Additionally, you may access our proxy materials at </w:t>
      </w:r>
      <w:r>
        <w:rPr>
          <w:rFonts w:ascii="Arial" w:cs="Arial" w:eastAsia="Arial" w:hAnsi="Arial"/>
          <w:sz w:val="18"/>
          <w:szCs w:val="18"/>
          <w:b w:val="1"/>
          <w:bCs w:val="1"/>
          <w:u w:val="single" w:color="auto"/>
          <w:color w:val="auto"/>
        </w:rPr>
        <w:t>www.proxydocs.com/ALHC</w:t>
      </w:r>
      <w:r>
        <w:rPr>
          <w:rFonts w:ascii="Arial" w:cs="Arial" w:eastAsia="Arial" w:hAnsi="Arial"/>
          <w:sz w:val="18"/>
          <w:szCs w:val="18"/>
          <w:b w:val="1"/>
          <w:bCs w:val="1"/>
          <w:color w:val="auto"/>
        </w:rPr>
        <w:t>. We are taking advantage of U.S. Securities and Exchange Commission rules that allow us to furnish proxy materials to our stockholders on the Internet. These materials will be available on the Internet on or about April 25, 2025. We are sending a “Notice of Internet Availability of Proxy Materials" (“Notice of Availability”) to our stockholders of record instead of a paper proxy statement and annual report containing financial statements, unless paper copies have previously been requested. We believe that Internet delivery of our proxy materials allows us to provide our stockholders with the information they need, while lowering the costs of delivery and reducing the environmental impact of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1891030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47"/>
        </w:trPr>
        <w:tc>
          <w:tcPr>
            <w:tcW w:w="906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180" w:type="dxa"/>
            <w:vAlign w:val="bottom"/>
          </w:tcPr>
          <w:p>
            <w:pPr>
              <w:spacing w:after="0"/>
              <w:rPr>
                <w:sz w:val="21"/>
                <w:szCs w:val="21"/>
                <w:color w:val="auto"/>
              </w:rPr>
            </w:pPr>
          </w:p>
        </w:tc>
      </w:tr>
      <w:tr>
        <w:trPr>
          <w:trHeight w:val="496"/>
        </w:trPr>
        <w:tc>
          <w:tcPr>
            <w:tcW w:w="9060" w:type="dxa"/>
            <w:vAlign w:val="bottom"/>
          </w:tcPr>
          <w:p>
            <w:pPr>
              <w:ind w:left="20"/>
              <w:spacing w:after="0"/>
              <w:rPr>
                <w:sz w:val="20"/>
                <w:szCs w:val="20"/>
                <w:color w:val="auto"/>
              </w:rPr>
            </w:pPr>
            <w:r>
              <w:rPr>
                <w:rFonts w:ascii="Arial" w:cs="Arial" w:eastAsia="Arial" w:hAnsi="Arial"/>
                <w:sz w:val="18"/>
                <w:szCs w:val="18"/>
                <w:color w:val="auto"/>
              </w:rPr>
              <w:t>COMMONLY ASKED QUESTIONS AND ANSWERS ABOUT THE ANNUAL MEETING</w:t>
            </w:r>
          </w:p>
        </w:tc>
        <w:tc>
          <w:tcPr>
            <w:tcW w:w="2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PROXY SUMMARY</w:t>
            </w:r>
          </w:p>
        </w:tc>
        <w:tc>
          <w:tcPr>
            <w:tcW w:w="21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PROPOSAL 1 – ELECTION OF DIRECTORS</w:t>
            </w:r>
          </w:p>
        </w:tc>
        <w:tc>
          <w:tcPr>
            <w:tcW w:w="2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9060" w:type="dxa"/>
            <w:vAlign w:val="bottom"/>
          </w:tcPr>
          <w:p>
            <w:pPr>
              <w:ind w:left="200"/>
              <w:spacing w:after="0"/>
              <w:rPr>
                <w:sz w:val="20"/>
                <w:szCs w:val="20"/>
                <w:color w:val="auto"/>
              </w:rPr>
            </w:pPr>
            <w:r>
              <w:rPr>
                <w:rFonts w:ascii="Arial" w:cs="Arial" w:eastAsia="Arial" w:hAnsi="Arial"/>
                <w:sz w:val="18"/>
                <w:szCs w:val="18"/>
                <w:color w:val="auto"/>
              </w:rPr>
              <w:t>Continuing Directors</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9060" w:type="dxa"/>
            <w:vAlign w:val="bottom"/>
          </w:tcPr>
          <w:p>
            <w:pPr>
              <w:ind w:left="200"/>
              <w:spacing w:after="0"/>
              <w:rPr>
                <w:sz w:val="20"/>
                <w:szCs w:val="20"/>
                <w:color w:val="auto"/>
              </w:rPr>
            </w:pPr>
            <w:r>
              <w:rPr>
                <w:rFonts w:ascii="Arial" w:cs="Arial" w:eastAsia="Arial" w:hAnsi="Arial"/>
                <w:sz w:val="18"/>
                <w:szCs w:val="18"/>
                <w:color w:val="auto"/>
              </w:rPr>
              <w:t>Nomination Criteria and Director Experience</w:t>
            </w:r>
          </w:p>
        </w:tc>
        <w:tc>
          <w:tcPr>
            <w:tcW w:w="2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CORPORATE GOVERNANCE</w:t>
            </w:r>
          </w:p>
        </w:tc>
        <w:tc>
          <w:tcPr>
            <w:tcW w:w="2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9060" w:type="dxa"/>
            <w:vAlign w:val="bottom"/>
          </w:tcPr>
          <w:p>
            <w:pPr>
              <w:ind w:left="200"/>
              <w:spacing w:after="0"/>
              <w:rPr>
                <w:sz w:val="20"/>
                <w:szCs w:val="20"/>
                <w:color w:val="auto"/>
              </w:rPr>
            </w:pPr>
            <w:r>
              <w:rPr>
                <w:rFonts w:ascii="Arial" w:cs="Arial" w:eastAsia="Arial" w:hAnsi="Arial"/>
                <w:sz w:val="18"/>
                <w:szCs w:val="18"/>
                <w:color w:val="auto"/>
              </w:rPr>
              <w:t>Board and Corporate Governance Highlights</w:t>
            </w:r>
          </w:p>
        </w:tc>
        <w:tc>
          <w:tcPr>
            <w:tcW w:w="2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9060" w:type="dxa"/>
            <w:vAlign w:val="bottom"/>
          </w:tcPr>
          <w:p>
            <w:pPr>
              <w:ind w:left="200"/>
              <w:spacing w:after="0"/>
              <w:rPr>
                <w:sz w:val="20"/>
                <w:szCs w:val="20"/>
                <w:color w:val="auto"/>
              </w:rPr>
            </w:pPr>
            <w:r>
              <w:rPr>
                <w:rFonts w:ascii="Arial" w:cs="Arial" w:eastAsia="Arial" w:hAnsi="Arial"/>
                <w:sz w:val="18"/>
                <w:szCs w:val="18"/>
                <w:color w:val="auto"/>
              </w:rPr>
              <w:t>Board Composition and Director Independence</w:t>
            </w:r>
          </w:p>
        </w:tc>
        <w:tc>
          <w:tcPr>
            <w:tcW w:w="2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9060" w:type="dxa"/>
            <w:vAlign w:val="bottom"/>
          </w:tcPr>
          <w:p>
            <w:pPr>
              <w:ind w:left="200"/>
              <w:spacing w:after="0"/>
              <w:rPr>
                <w:sz w:val="20"/>
                <w:szCs w:val="20"/>
                <w:color w:val="auto"/>
              </w:rPr>
            </w:pPr>
            <w:r>
              <w:rPr>
                <w:rFonts w:ascii="Arial" w:cs="Arial" w:eastAsia="Arial" w:hAnsi="Arial"/>
                <w:sz w:val="18"/>
                <w:szCs w:val="18"/>
                <w:color w:val="auto"/>
              </w:rPr>
              <w:t>Board Leadership Structure</w:t>
            </w:r>
          </w:p>
        </w:tc>
        <w:tc>
          <w:tcPr>
            <w:tcW w:w="2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9060" w:type="dxa"/>
            <w:vAlign w:val="bottom"/>
          </w:tcPr>
          <w:p>
            <w:pPr>
              <w:ind w:left="200"/>
              <w:spacing w:after="0"/>
              <w:rPr>
                <w:sz w:val="20"/>
                <w:szCs w:val="20"/>
                <w:color w:val="auto"/>
              </w:rPr>
            </w:pPr>
            <w:r>
              <w:rPr>
                <w:rFonts w:ascii="Arial" w:cs="Arial" w:eastAsia="Arial" w:hAnsi="Arial"/>
                <w:sz w:val="18"/>
                <w:szCs w:val="18"/>
                <w:color w:val="auto"/>
              </w:rPr>
              <w:t>The Board’s Role in Risk Oversight</w:t>
            </w:r>
          </w:p>
        </w:tc>
        <w:tc>
          <w:tcPr>
            <w:tcW w:w="2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9060" w:type="dxa"/>
            <w:vAlign w:val="bottom"/>
          </w:tcPr>
          <w:p>
            <w:pPr>
              <w:ind w:left="200"/>
              <w:spacing w:after="0"/>
              <w:rPr>
                <w:sz w:val="20"/>
                <w:szCs w:val="20"/>
                <w:color w:val="auto"/>
              </w:rPr>
            </w:pPr>
            <w:r>
              <w:rPr>
                <w:rFonts w:ascii="Arial" w:cs="Arial" w:eastAsia="Arial" w:hAnsi="Arial"/>
                <w:sz w:val="18"/>
                <w:szCs w:val="18"/>
                <w:color w:val="auto"/>
              </w:rPr>
              <w:t>Board Committees</w:t>
            </w:r>
          </w:p>
        </w:tc>
        <w:tc>
          <w:tcPr>
            <w:tcW w:w="2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9060" w:type="dxa"/>
            <w:vAlign w:val="bottom"/>
          </w:tcPr>
          <w:p>
            <w:pPr>
              <w:ind w:left="200"/>
              <w:spacing w:after="0"/>
              <w:rPr>
                <w:sz w:val="20"/>
                <w:szCs w:val="20"/>
                <w:color w:val="auto"/>
              </w:rPr>
            </w:pPr>
            <w:r>
              <w:rPr>
                <w:rFonts w:ascii="Arial" w:cs="Arial" w:eastAsia="Arial" w:hAnsi="Arial"/>
                <w:sz w:val="18"/>
                <w:szCs w:val="18"/>
                <w:color w:val="auto"/>
              </w:rPr>
              <w:t>Board Oversight of Corporate Responsibility and Sustainable Business Practices</w:t>
            </w:r>
          </w:p>
        </w:tc>
        <w:tc>
          <w:tcPr>
            <w:tcW w:w="2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9060" w:type="dxa"/>
            <w:vAlign w:val="bottom"/>
          </w:tcPr>
          <w:p>
            <w:pPr>
              <w:ind w:left="200"/>
              <w:spacing w:after="0"/>
              <w:rPr>
                <w:sz w:val="20"/>
                <w:szCs w:val="20"/>
                <w:color w:val="auto"/>
              </w:rPr>
            </w:pPr>
            <w:r>
              <w:rPr>
                <w:rFonts w:ascii="Arial" w:cs="Arial" w:eastAsia="Arial" w:hAnsi="Arial"/>
                <w:sz w:val="18"/>
                <w:szCs w:val="18"/>
                <w:color w:val="auto"/>
              </w:rPr>
              <w:t>Stockholder Engagement</w:t>
            </w:r>
          </w:p>
        </w:tc>
        <w:tc>
          <w:tcPr>
            <w:tcW w:w="2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9060" w:type="dxa"/>
            <w:vAlign w:val="bottom"/>
          </w:tcPr>
          <w:p>
            <w:pPr>
              <w:ind w:left="200"/>
              <w:spacing w:after="0"/>
              <w:rPr>
                <w:sz w:val="20"/>
                <w:szCs w:val="20"/>
                <w:color w:val="auto"/>
              </w:rPr>
            </w:pPr>
            <w:r>
              <w:rPr>
                <w:rFonts w:ascii="Arial" w:cs="Arial" w:eastAsia="Arial" w:hAnsi="Arial"/>
                <w:sz w:val="18"/>
                <w:szCs w:val="18"/>
                <w:color w:val="auto"/>
              </w:rPr>
              <w:t>Family Relationships</w:t>
            </w:r>
          </w:p>
        </w:tc>
        <w:tc>
          <w:tcPr>
            <w:tcW w:w="2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9060" w:type="dxa"/>
            <w:vAlign w:val="bottom"/>
          </w:tcPr>
          <w:p>
            <w:pPr>
              <w:ind w:left="200"/>
              <w:spacing w:after="0"/>
              <w:rPr>
                <w:sz w:val="20"/>
                <w:szCs w:val="20"/>
                <w:color w:val="auto"/>
              </w:rPr>
            </w:pPr>
            <w:r>
              <w:rPr>
                <w:rFonts w:ascii="Arial" w:cs="Arial" w:eastAsia="Arial" w:hAnsi="Arial"/>
                <w:sz w:val="18"/>
                <w:szCs w:val="18"/>
                <w:color w:val="auto"/>
              </w:rPr>
              <w:t>Compensation Committee Interlocks and Insider Participation</w:t>
            </w:r>
          </w:p>
        </w:tc>
        <w:tc>
          <w:tcPr>
            <w:tcW w:w="2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9060" w:type="dxa"/>
            <w:vAlign w:val="bottom"/>
          </w:tcPr>
          <w:p>
            <w:pPr>
              <w:ind w:left="200"/>
              <w:spacing w:after="0"/>
              <w:rPr>
                <w:sz w:val="20"/>
                <w:szCs w:val="20"/>
                <w:color w:val="auto"/>
              </w:rPr>
            </w:pPr>
            <w:r>
              <w:rPr>
                <w:rFonts w:ascii="Arial" w:cs="Arial" w:eastAsia="Arial" w:hAnsi="Arial"/>
                <w:sz w:val="18"/>
                <w:szCs w:val="18"/>
                <w:color w:val="auto"/>
              </w:rPr>
              <w:t>Code of Business Conduct and Ethics</w:t>
            </w:r>
          </w:p>
        </w:tc>
        <w:tc>
          <w:tcPr>
            <w:tcW w:w="2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9060" w:type="dxa"/>
            <w:vAlign w:val="bottom"/>
          </w:tcPr>
          <w:p>
            <w:pPr>
              <w:ind w:left="200"/>
              <w:spacing w:after="0"/>
              <w:rPr>
                <w:sz w:val="20"/>
                <w:szCs w:val="20"/>
                <w:color w:val="auto"/>
              </w:rPr>
            </w:pPr>
            <w:r>
              <w:rPr>
                <w:rFonts w:ascii="Arial" w:cs="Arial" w:eastAsia="Arial" w:hAnsi="Arial"/>
                <w:sz w:val="18"/>
                <w:szCs w:val="18"/>
                <w:color w:val="auto"/>
              </w:rPr>
              <w:t>Insider Trading Policy; Hedging and Other Transactions</w:t>
            </w:r>
          </w:p>
        </w:tc>
        <w:tc>
          <w:tcPr>
            <w:tcW w:w="2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9060" w:type="dxa"/>
            <w:vAlign w:val="bottom"/>
          </w:tcPr>
          <w:p>
            <w:pPr>
              <w:ind w:left="200"/>
              <w:spacing w:after="0"/>
              <w:rPr>
                <w:sz w:val="20"/>
                <w:szCs w:val="20"/>
                <w:color w:val="auto"/>
              </w:rPr>
            </w:pPr>
            <w:r>
              <w:rPr>
                <w:rFonts w:ascii="Arial" w:cs="Arial" w:eastAsia="Arial" w:hAnsi="Arial"/>
                <w:sz w:val="18"/>
                <w:szCs w:val="18"/>
                <w:color w:val="auto"/>
              </w:rPr>
              <w:t>Board Evaluation Practices</w:t>
            </w:r>
          </w:p>
        </w:tc>
        <w:tc>
          <w:tcPr>
            <w:tcW w:w="2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9060" w:type="dxa"/>
            <w:vAlign w:val="bottom"/>
          </w:tcPr>
          <w:p>
            <w:pPr>
              <w:ind w:left="200"/>
              <w:spacing w:after="0"/>
              <w:rPr>
                <w:sz w:val="20"/>
                <w:szCs w:val="20"/>
                <w:color w:val="auto"/>
              </w:rPr>
            </w:pPr>
            <w:r>
              <w:rPr>
                <w:rFonts w:ascii="Arial" w:cs="Arial" w:eastAsia="Arial" w:hAnsi="Arial"/>
                <w:sz w:val="18"/>
                <w:szCs w:val="18"/>
                <w:color w:val="auto"/>
              </w:rPr>
              <w:t>Board and Committee Meetings</w:t>
            </w:r>
          </w:p>
        </w:tc>
        <w:tc>
          <w:tcPr>
            <w:tcW w:w="2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9060" w:type="dxa"/>
            <w:vAlign w:val="bottom"/>
          </w:tcPr>
          <w:p>
            <w:pPr>
              <w:ind w:left="200"/>
              <w:spacing w:after="0"/>
              <w:rPr>
                <w:sz w:val="20"/>
                <w:szCs w:val="20"/>
                <w:color w:val="auto"/>
              </w:rPr>
            </w:pPr>
            <w:r>
              <w:rPr>
                <w:rFonts w:ascii="Arial" w:cs="Arial" w:eastAsia="Arial" w:hAnsi="Arial"/>
                <w:sz w:val="18"/>
                <w:szCs w:val="18"/>
                <w:color w:val="auto"/>
              </w:rPr>
              <w:t>Communications by Stockholders and Other Interested Parties with the Board</w:t>
            </w:r>
          </w:p>
        </w:tc>
        <w:tc>
          <w:tcPr>
            <w:tcW w:w="2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EXECUTIVE OFFICERS</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COMPENSATION DISCUSSION AND ANALYSIS</w:t>
            </w:r>
          </w:p>
        </w:tc>
        <w:tc>
          <w:tcPr>
            <w:tcW w:w="2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9060" w:type="dxa"/>
            <w:vAlign w:val="bottom"/>
          </w:tcPr>
          <w:p>
            <w:pPr>
              <w:ind w:left="200"/>
              <w:spacing w:after="0"/>
              <w:rPr>
                <w:sz w:val="20"/>
                <w:szCs w:val="20"/>
                <w:color w:val="auto"/>
              </w:rPr>
            </w:pPr>
            <w:r>
              <w:rPr>
                <w:rFonts w:ascii="Arial" w:cs="Arial" w:eastAsia="Arial" w:hAnsi="Arial"/>
                <w:sz w:val="18"/>
                <w:szCs w:val="18"/>
                <w:color w:val="auto"/>
              </w:rPr>
              <w:t>Executive Summary</w:t>
            </w:r>
          </w:p>
        </w:tc>
        <w:tc>
          <w:tcPr>
            <w:tcW w:w="2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9060" w:type="dxa"/>
            <w:vAlign w:val="bottom"/>
          </w:tcPr>
          <w:p>
            <w:pPr>
              <w:ind w:left="200"/>
              <w:spacing w:after="0"/>
              <w:rPr>
                <w:sz w:val="20"/>
                <w:szCs w:val="20"/>
                <w:color w:val="auto"/>
              </w:rPr>
            </w:pPr>
            <w:r>
              <w:rPr>
                <w:rFonts w:ascii="Arial" w:cs="Arial" w:eastAsia="Arial" w:hAnsi="Arial"/>
                <w:sz w:val="18"/>
                <w:szCs w:val="18"/>
                <w:color w:val="auto"/>
              </w:rPr>
              <w:t>Compensation Best Practices &amp; Policies</w:t>
            </w: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9060" w:type="dxa"/>
            <w:vAlign w:val="bottom"/>
          </w:tcPr>
          <w:p>
            <w:pPr>
              <w:ind w:left="200"/>
              <w:spacing w:after="0"/>
              <w:rPr>
                <w:sz w:val="20"/>
                <w:szCs w:val="20"/>
                <w:color w:val="auto"/>
              </w:rPr>
            </w:pPr>
            <w:r>
              <w:rPr>
                <w:rFonts w:ascii="Arial" w:cs="Arial" w:eastAsia="Arial" w:hAnsi="Arial"/>
                <w:sz w:val="18"/>
                <w:szCs w:val="18"/>
                <w:color w:val="auto"/>
              </w:rPr>
              <w:t>What Guides Our Program</w:t>
            </w:r>
          </w:p>
        </w:tc>
        <w:tc>
          <w:tcPr>
            <w:tcW w:w="2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9060" w:type="dxa"/>
            <w:vAlign w:val="bottom"/>
          </w:tcPr>
          <w:p>
            <w:pPr>
              <w:ind w:left="200"/>
              <w:spacing w:after="0"/>
              <w:rPr>
                <w:sz w:val="20"/>
                <w:szCs w:val="20"/>
                <w:color w:val="auto"/>
              </w:rPr>
            </w:pPr>
            <w:r>
              <w:rPr>
                <w:rFonts w:ascii="Arial" w:cs="Arial" w:eastAsia="Arial" w:hAnsi="Arial"/>
                <w:sz w:val="18"/>
                <w:szCs w:val="18"/>
                <w:color w:val="auto"/>
              </w:rPr>
              <w:t>Executive Compensation Decision-Making Process</w:t>
            </w:r>
          </w:p>
        </w:tc>
        <w:tc>
          <w:tcPr>
            <w:tcW w:w="2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9060" w:type="dxa"/>
            <w:vAlign w:val="bottom"/>
          </w:tcPr>
          <w:p>
            <w:pPr>
              <w:ind w:left="200"/>
              <w:spacing w:after="0"/>
              <w:rPr>
                <w:sz w:val="20"/>
                <w:szCs w:val="20"/>
                <w:color w:val="auto"/>
              </w:rPr>
            </w:pPr>
            <w:r>
              <w:rPr>
                <w:rFonts w:ascii="Arial" w:cs="Arial" w:eastAsia="Arial" w:hAnsi="Arial"/>
                <w:sz w:val="18"/>
                <w:szCs w:val="18"/>
                <w:color w:val="auto"/>
              </w:rPr>
              <w:t>2024 Executive Compensation Program in Detail</w:t>
            </w:r>
          </w:p>
        </w:tc>
        <w:tc>
          <w:tcPr>
            <w:tcW w:w="2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9060" w:type="dxa"/>
            <w:vAlign w:val="bottom"/>
          </w:tcPr>
          <w:p>
            <w:pPr>
              <w:ind w:left="200"/>
              <w:spacing w:after="0"/>
              <w:rPr>
                <w:sz w:val="20"/>
                <w:szCs w:val="20"/>
                <w:color w:val="auto"/>
              </w:rPr>
            </w:pPr>
            <w:r>
              <w:rPr>
                <w:rFonts w:ascii="Arial" w:cs="Arial" w:eastAsia="Arial" w:hAnsi="Arial"/>
                <w:sz w:val="18"/>
                <w:szCs w:val="18"/>
                <w:color w:val="auto"/>
              </w:rPr>
              <w:t>Other Compensation Matters</w:t>
            </w:r>
          </w:p>
        </w:tc>
        <w:tc>
          <w:tcPr>
            <w:tcW w:w="21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9060" w:type="dxa"/>
            <w:vAlign w:val="bottom"/>
          </w:tcPr>
          <w:p>
            <w:pPr>
              <w:ind w:left="200"/>
              <w:spacing w:after="0"/>
              <w:rPr>
                <w:sz w:val="20"/>
                <w:szCs w:val="20"/>
                <w:color w:val="auto"/>
              </w:rPr>
            </w:pPr>
            <w:r>
              <w:rPr>
                <w:rFonts w:ascii="Arial" w:cs="Arial" w:eastAsia="Arial" w:hAnsi="Arial"/>
                <w:sz w:val="18"/>
                <w:szCs w:val="18"/>
                <w:color w:val="auto"/>
              </w:rPr>
              <w:t>Compensation Committee Report</w:t>
            </w:r>
          </w:p>
        </w:tc>
        <w:tc>
          <w:tcPr>
            <w:tcW w:w="21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EXECUTIVE AND DIRECTOR COMPENSATION</w:t>
            </w:r>
          </w:p>
        </w:tc>
        <w:tc>
          <w:tcPr>
            <w:tcW w:w="21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9060" w:type="dxa"/>
            <w:vAlign w:val="bottom"/>
          </w:tcPr>
          <w:p>
            <w:pPr>
              <w:ind w:left="200"/>
              <w:spacing w:after="0"/>
              <w:rPr>
                <w:sz w:val="20"/>
                <w:szCs w:val="20"/>
                <w:color w:val="auto"/>
              </w:rPr>
            </w:pPr>
            <w:r>
              <w:rPr>
                <w:rFonts w:ascii="Arial" w:cs="Arial" w:eastAsia="Arial" w:hAnsi="Arial"/>
                <w:sz w:val="18"/>
                <w:szCs w:val="18"/>
                <w:color w:val="auto"/>
              </w:rPr>
              <w:t>Pay Versus Performance</w:t>
            </w:r>
          </w:p>
        </w:tc>
        <w:tc>
          <w:tcPr>
            <w:tcW w:w="21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9060" w:type="dxa"/>
            <w:vAlign w:val="bottom"/>
          </w:tcPr>
          <w:p>
            <w:pPr>
              <w:ind w:left="200"/>
              <w:spacing w:after="0"/>
              <w:rPr>
                <w:sz w:val="20"/>
                <w:szCs w:val="20"/>
                <w:color w:val="auto"/>
              </w:rPr>
            </w:pPr>
            <w:r>
              <w:rPr>
                <w:rFonts w:ascii="Arial" w:cs="Arial" w:eastAsia="Arial" w:hAnsi="Arial"/>
                <w:sz w:val="18"/>
                <w:szCs w:val="18"/>
                <w:color w:val="auto"/>
              </w:rPr>
              <w:t>CEO Pay Ratio</w:t>
            </w:r>
          </w:p>
        </w:tc>
        <w:tc>
          <w:tcPr>
            <w:tcW w:w="21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CERTAIN RELATIONSHIPS AND RELATED PARTY TRANSACTIONS</w:t>
            </w:r>
          </w:p>
        </w:tc>
        <w:tc>
          <w:tcPr>
            <w:tcW w:w="21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181"/>
        </w:trPr>
        <w:tc>
          <w:tcPr>
            <w:tcW w:w="9060" w:type="dxa"/>
            <w:vAlign w:val="bottom"/>
          </w:tcPr>
          <w:p>
            <w:pPr>
              <w:ind w:left="20"/>
              <w:spacing w:after="0" w:line="181" w:lineRule="exact"/>
              <w:rPr>
                <w:sz w:val="20"/>
                <w:szCs w:val="20"/>
                <w:color w:val="auto"/>
              </w:rPr>
            </w:pPr>
            <w:r>
              <w:rPr>
                <w:rFonts w:ascii="Arial" w:cs="Arial" w:eastAsia="Arial" w:hAnsi="Arial"/>
                <w:sz w:val="18"/>
                <w:szCs w:val="18"/>
                <w:color w:val="auto"/>
              </w:rPr>
              <w:t>SECURITY OWNERSHIP OF CERTAIN BENEFICIAL</w:t>
            </w:r>
          </w:p>
        </w:tc>
        <w:tc>
          <w:tcPr>
            <w:tcW w:w="2180" w:type="dxa"/>
            <w:vAlign w:val="bottom"/>
          </w:tcPr>
          <w:p>
            <w:pPr>
              <w:jc w:val="right"/>
              <w:spacing w:after="0" w:line="181" w:lineRule="exact"/>
              <w:rPr>
                <w:sz w:val="20"/>
                <w:szCs w:val="20"/>
                <w:color w:val="auto"/>
              </w:rPr>
            </w:pPr>
            <w:r>
              <w:rPr>
                <w:rFonts w:ascii="Arial" w:cs="Arial" w:eastAsia="Arial" w:hAnsi="Arial"/>
                <w:sz w:val="18"/>
                <w:szCs w:val="18"/>
                <w:color w:val="auto"/>
              </w:rPr>
              <w:t>77</w:t>
            </w:r>
          </w:p>
        </w:tc>
      </w:tr>
      <w:tr>
        <w:trPr>
          <w:trHeight w:val="238"/>
        </w:trPr>
        <w:tc>
          <w:tcPr>
            <w:tcW w:w="9060" w:type="dxa"/>
            <w:vAlign w:val="bottom"/>
          </w:tcPr>
          <w:p>
            <w:pPr>
              <w:ind w:left="20"/>
              <w:spacing w:after="0"/>
              <w:rPr>
                <w:sz w:val="20"/>
                <w:szCs w:val="20"/>
                <w:color w:val="auto"/>
              </w:rPr>
            </w:pPr>
            <w:r>
              <w:rPr>
                <w:rFonts w:ascii="Arial" w:cs="Arial" w:eastAsia="Arial" w:hAnsi="Arial"/>
                <w:sz w:val="18"/>
                <w:szCs w:val="18"/>
                <w:color w:val="auto"/>
              </w:rPr>
              <w:t>OWNERS AND MANAGEMENT</w:t>
            </w:r>
          </w:p>
        </w:tc>
        <w:tc>
          <w:tcPr>
            <w:tcW w:w="2180" w:type="dxa"/>
            <w:vAlign w:val="bottom"/>
          </w:tcPr>
          <w:p>
            <w:pPr>
              <w:spacing w:after="0"/>
              <w:rPr>
                <w:sz w:val="20"/>
                <w:szCs w:val="20"/>
                <w:color w:val="auto"/>
              </w:rPr>
            </w:pPr>
          </w:p>
        </w:tc>
      </w:tr>
      <w:tr>
        <w:trPr>
          <w:trHeight w:val="181"/>
        </w:trPr>
        <w:tc>
          <w:tcPr>
            <w:tcW w:w="9060" w:type="dxa"/>
            <w:vAlign w:val="bottom"/>
          </w:tcPr>
          <w:p>
            <w:pPr>
              <w:ind w:left="20"/>
              <w:spacing w:after="0" w:line="181" w:lineRule="exact"/>
              <w:rPr>
                <w:sz w:val="20"/>
                <w:szCs w:val="20"/>
                <w:color w:val="auto"/>
              </w:rPr>
            </w:pPr>
            <w:r>
              <w:rPr>
                <w:rFonts w:ascii="Arial" w:cs="Arial" w:eastAsia="Arial" w:hAnsi="Arial"/>
                <w:sz w:val="18"/>
                <w:szCs w:val="18"/>
                <w:color w:val="auto"/>
              </w:rPr>
              <w:t>PROPOSAL 2 – RATIFICATION OF APPOINTMENT OF INDEPENDENT</w:t>
            </w:r>
          </w:p>
        </w:tc>
        <w:tc>
          <w:tcPr>
            <w:tcW w:w="2180" w:type="dxa"/>
            <w:vAlign w:val="bottom"/>
          </w:tcPr>
          <w:p>
            <w:pPr>
              <w:jc w:val="right"/>
              <w:spacing w:after="0" w:line="181" w:lineRule="exact"/>
              <w:rPr>
                <w:sz w:val="20"/>
                <w:szCs w:val="20"/>
                <w:color w:val="auto"/>
              </w:rPr>
            </w:pPr>
            <w:r>
              <w:rPr>
                <w:rFonts w:ascii="Arial" w:cs="Arial" w:eastAsia="Arial" w:hAnsi="Arial"/>
                <w:sz w:val="18"/>
                <w:szCs w:val="18"/>
                <w:color w:val="auto"/>
              </w:rPr>
              <w:t>79</w:t>
            </w:r>
          </w:p>
        </w:tc>
      </w:tr>
      <w:tr>
        <w:trPr>
          <w:trHeight w:val="238"/>
        </w:trPr>
        <w:tc>
          <w:tcPr>
            <w:tcW w:w="9060" w:type="dxa"/>
            <w:vAlign w:val="bottom"/>
          </w:tcPr>
          <w:p>
            <w:pPr>
              <w:ind w:left="20"/>
              <w:spacing w:after="0"/>
              <w:rPr>
                <w:sz w:val="20"/>
                <w:szCs w:val="20"/>
                <w:color w:val="auto"/>
              </w:rPr>
            </w:pPr>
            <w:r>
              <w:rPr>
                <w:rFonts w:ascii="Arial" w:cs="Arial" w:eastAsia="Arial" w:hAnsi="Arial"/>
                <w:sz w:val="18"/>
                <w:szCs w:val="18"/>
                <w:color w:val="auto"/>
              </w:rPr>
              <w:t>REGISTERED PUBLIC ACCOUNTING FIRM</w:t>
            </w:r>
          </w:p>
        </w:tc>
        <w:tc>
          <w:tcPr>
            <w:tcW w:w="2180" w:type="dxa"/>
            <w:vAlign w:val="bottom"/>
          </w:tcPr>
          <w:p>
            <w:pPr>
              <w:spacing w:after="0"/>
              <w:rPr>
                <w:sz w:val="20"/>
                <w:szCs w:val="20"/>
                <w:color w:val="auto"/>
              </w:rPr>
            </w:pP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AUDIT COMMITTEE REPORT</w:t>
            </w:r>
          </w:p>
        </w:tc>
        <w:tc>
          <w:tcPr>
            <w:tcW w:w="21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PROPOSAL 3 – NON-BINDING ADVISORY VOTE ON EXECUTIVE COMPENSATION</w:t>
            </w:r>
          </w:p>
        </w:tc>
        <w:tc>
          <w:tcPr>
            <w:tcW w:w="21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OTHER MATTERS</w:t>
            </w:r>
          </w:p>
        </w:tc>
        <w:tc>
          <w:tcPr>
            <w:tcW w:w="21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AVAILABILITY OF SEC FILINGS, CODE OF CONDUCT AND COMMITTEE CHARTERS</w:t>
            </w:r>
          </w:p>
        </w:tc>
        <w:tc>
          <w:tcPr>
            <w:tcW w:w="21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WHERE TO FIND ADDITIONAL INFORMATION</w:t>
            </w:r>
          </w:p>
        </w:tc>
        <w:tc>
          <w:tcPr>
            <w:tcW w:w="21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COST OF PROXY SOLICITATION</w:t>
            </w:r>
          </w:p>
        </w:tc>
        <w:tc>
          <w:tcPr>
            <w:tcW w:w="21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9"/>
        </w:trPr>
        <w:tc>
          <w:tcPr>
            <w:tcW w:w="9060" w:type="dxa"/>
            <w:vAlign w:val="bottom"/>
          </w:tcPr>
          <w:p>
            <w:pPr>
              <w:ind w:left="20"/>
              <w:spacing w:after="0"/>
              <w:rPr>
                <w:sz w:val="20"/>
                <w:szCs w:val="20"/>
                <w:color w:val="auto"/>
              </w:rPr>
            </w:pPr>
            <w:r>
              <w:rPr>
                <w:rFonts w:ascii="Arial" w:cs="Arial" w:eastAsia="Arial" w:hAnsi="Arial"/>
                <w:sz w:val="18"/>
                <w:szCs w:val="18"/>
                <w:color w:val="auto"/>
              </w:rPr>
              <w:t>APPENDIX – NON-GAAP FINANCIAL MEASURES</w:t>
            </w:r>
          </w:p>
        </w:tc>
        <w:tc>
          <w:tcPr>
            <w:tcW w:w="21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1731"/>
        </w:trPr>
        <w:tc>
          <w:tcPr>
            <w:tcW w:w="90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1F497D"/>
        </w:rPr>
        <w:t>Cautionary Note Regarding Forward-Looking Statements</w:t>
      </w:r>
    </w:p>
    <w:p>
      <w:pPr>
        <w:spacing w:after="0" w:line="25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This proxy statement contains forward-looking statements within the meaning of Section 27A of the Securities Act of 1933, as amended (the “Securities Act”), and Section 21E of the Securities Exchange Act of 1934, as amended (the “Exchange Act”), and the Private Securities Litigation Reform Act of 1995, as amended. Forward-looking statements are subject to risks and uncertainties and are based on assumptions that may prove to be inaccurate, which could cause actual results to differ materially from those expected or implied by the forward-looking statements. Important risks and uncertainties that could cause our actual results and financial condition to differ materially from those indicated in the forward-looking statements include, among others, the following: our ability to attract new members and enter new markets, including the need for certain governmental approvals; our ability to maintain a high rating for our plans on the Centers for Medicare and Medicaid ("CMS") Five Star Quality Rating System ("CMS Star Ratings"); our ability to develop and maintain satisfactory relationships with care providers that service our members; risks associated with being a government contractor; changes in laws and regulations applicable to our business model; risk related to our indebtedness; changes in market or industry conditions and receptivity to our technology and services; results of litigation or a security incident; and the impact of shortages of qualified personnel and related increases in our labor costs. For a detailed discussion of the risk factors that could affect our actual results, please refer to the risk factors identified in our reports filed with the U.S. Securities and Exchange Commission ("SEC"), including our Annual Report on Form 10-K filed with the SEC on February 27, 2025. All information provided in this proxy statement is as of the date hereof, and we undertake no duty to update or revise this information unless required by law.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Website References</w:t>
      </w:r>
    </w:p>
    <w:p>
      <w:pPr>
        <w:spacing w:after="0" w:line="250" w:lineRule="exact"/>
        <w:rPr>
          <w:sz w:val="20"/>
          <w:szCs w:val="20"/>
          <w:color w:val="auto"/>
        </w:rPr>
      </w:pPr>
    </w:p>
    <w:p>
      <w:pPr>
        <w:ind w:right="400" w:firstLine="405"/>
        <w:spacing w:after="0" w:line="287" w:lineRule="auto"/>
        <w:rPr>
          <w:sz w:val="20"/>
          <w:szCs w:val="20"/>
          <w:color w:val="auto"/>
        </w:rPr>
      </w:pPr>
      <w:r>
        <w:rPr>
          <w:rFonts w:ascii="Arial" w:cs="Arial" w:eastAsia="Arial" w:hAnsi="Arial"/>
          <w:sz w:val="18"/>
          <w:szCs w:val="18"/>
          <w:color w:val="auto"/>
        </w:rPr>
        <w:t>References to our website throughout this proxy statement are intended to provide inactive, textual references and are provided for convenience only. The content on our website does not constitute a part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9" w:right="359" w:bottom="1440" w:gutter="0" w:footer="0" w:header="0"/>
        </w:sectPr>
      </w:pPr>
    </w:p>
    <w:bookmarkStart w:id="8" w:name="page9"/>
    <w:bookmarkEnd w:id="8"/>
    <w:p>
      <w:pPr>
        <w:ind w:left="2100"/>
        <w:spacing w:after="0"/>
        <w:rPr>
          <w:sz w:val="20"/>
          <w:szCs w:val="20"/>
          <w:color w:val="auto"/>
        </w:rPr>
      </w:pPr>
      <w:r>
        <w:rPr>
          <w:rFonts w:ascii="Arial" w:cs="Arial" w:eastAsia="Arial" w:hAnsi="Arial"/>
          <w:sz w:val="18"/>
          <w:szCs w:val="18"/>
          <w:b w:val="1"/>
          <w:bCs w:val="1"/>
          <w:color w:val="auto"/>
        </w:rPr>
        <w:t>COMMONLY ASKED QUESTIONS AND ANSWERS ABOUT THE ANNUAL MEETING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Why did I receive these materials?</w:t>
      </w:r>
    </w:p>
    <w:p>
      <w:pPr>
        <w:spacing w:after="0" w:line="19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Board of Alignment Healthcare, Inc. (“Alignment” or the “Company”) is soliciting your proxy to vote at our 2025 Annual Meeting of Stockholders (or at any postponement or adjournment of the meeting) (the “Annual Meeting”). Stockholders who own shares of our common stock as of April 7, 2025 (the “Record Date”), are entitled to vote at the Annual Meeting. These proxy materials are first being distributed to stockholders on or about April 25, 2025. You should review these proxy materials carefully as they give important information about the proposals that will be voted on at the Annual Meeting, as well as other important information about Alignment.</w:t>
      </w:r>
    </w:p>
    <w:p>
      <w:pPr>
        <w:spacing w:after="0" w:line="179"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i w:val="1"/>
          <w:iCs w:val="1"/>
          <w:color w:val="auto"/>
        </w:rPr>
        <w:t>Notice of Electronic Availability of Proxy Statement and Annual Report</w:t>
      </w:r>
      <w:r>
        <w:rPr>
          <w:rFonts w:ascii="Arial" w:cs="Arial" w:eastAsia="Arial" w:hAnsi="Arial"/>
          <w:sz w:val="18"/>
          <w:szCs w:val="18"/>
          <w:color w:val="auto"/>
        </w:rPr>
        <w:t>. As permitted by SEC rules, we are making this proxy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annual report available to our stockholders electronically via the Internet. The notice of electronic availability contains instructions on how to access this proxy statement and our annual report and vote online. If you received a notice by mail, you will not receive a printed copy of the proxy materials in the mail. Instead, the notice instructs you on how to access and review all of the important information contained in the proxy statement and annual report. The notice also instructs you on how you may submit your proxy over the Internet or by telephone. If you received a notice by mail and would like to receive a printed copy of our proxy materials, you should follow the instructions for requesting such materials contained on the notice.</w:t>
      </w:r>
    </w:p>
    <w:p>
      <w:pPr>
        <w:spacing w:after="0" w:line="183"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i w:val="1"/>
          <w:iCs w:val="1"/>
          <w:color w:val="auto"/>
        </w:rPr>
        <w:t>Householding</w:t>
      </w:r>
      <w:r>
        <w:rPr>
          <w:rFonts w:ascii="Arial" w:cs="Arial" w:eastAsia="Arial" w:hAnsi="Arial"/>
          <w:sz w:val="18"/>
          <w:szCs w:val="18"/>
          <w:color w:val="auto"/>
        </w:rPr>
        <w:t>. The SEC’s rules permit us to print an individual’s multiple accounts on a single notice or set of Annual Meeting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To take advantage of this opportunity, we have summarized on one notice or set of Annual Meeting materials all of the accounts registered with the same tax identification number or duplicate name and address, unless we received contrary instructions from the impacted stockholder prior to the mailing date. The SEC’s rules also permit us to send a single set of proxy materials to two or more securityholders who share a single address, which is called “householding.” We agree to deliver promptly, upon written or oral request, a separate copy of the notice or Annual Meeting materials, as requested, to any stockholder (including any stockholder at a shared address) to which a single copy of those documents was delivered. If you prefer to receive separate copies of the notice or Annual Meeting materials, or if you currently receive separate copies of the notice or Annual Meeting materials but would like to receive a single copy of such materials going forward, please visit www.proxydocs.com/ALHC, write to us at 1100 W. Town &amp; Country Rd., Suite 1600, Orange, CA 92868, Attn: Investor Relations, or contact BetaNXT at (866) 648-8133 or paper@investorelections.com. A number of brokerage firms have instituted householding. They will have their own procedures for stockholders who wish to receive individual copies of the proxy materials, or who currently receive individual copies of such materials and would like to participate in householding.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Who will be entitled to vote?</w:t>
      </w:r>
    </w:p>
    <w:p>
      <w:pPr>
        <w:spacing w:after="0" w:line="225" w:lineRule="exact"/>
        <w:rPr>
          <w:sz w:val="20"/>
          <w:szCs w:val="20"/>
          <w:color w:val="auto"/>
        </w:rPr>
      </w:pPr>
    </w:p>
    <w:p>
      <w:pPr>
        <w:ind w:right="120" w:firstLine="405"/>
        <w:spacing w:after="0" w:line="262" w:lineRule="auto"/>
        <w:rPr>
          <w:sz w:val="20"/>
          <w:szCs w:val="20"/>
          <w:color w:val="auto"/>
        </w:rPr>
      </w:pPr>
      <w:r>
        <w:rPr>
          <w:rFonts w:ascii="Arial" w:cs="Arial" w:eastAsia="Arial" w:hAnsi="Arial"/>
          <w:sz w:val="18"/>
          <w:szCs w:val="18"/>
          <w:color w:val="auto"/>
        </w:rPr>
        <w:t>Stockholders who own shares of our common stock as of the Record Date are entitled to vote at the Annual Meeting. As of the Record Date, Alignment had approximately 197,681,510 shares of common stock outstanding. Holders of shares of common stock are entitled to one vote per share. Cumulative voting is not permitted with respect to the election of directors or any other matter to be considered at the Annual Meeting and stockholders do not have preemptive, appraisal or dissenters' rights with respect thereto.</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What will I be voting 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You will be voting on:</w:t>
      </w:r>
    </w:p>
    <w:p>
      <w:pPr>
        <w:spacing w:after="0" w:line="185" w:lineRule="exact"/>
        <w:rPr>
          <w:sz w:val="20"/>
          <w:szCs w:val="20"/>
          <w:color w:val="auto"/>
        </w:rPr>
      </w:pPr>
    </w:p>
    <w:p>
      <w:pPr>
        <w:ind w:left="660" w:right="340" w:hanging="328"/>
        <w:spacing w:after="0" w:line="286" w:lineRule="auto"/>
        <w:tabs>
          <w:tab w:leader="none" w:pos="655"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Proposal 1</w:t>
      </w:r>
      <w:r>
        <w:rPr>
          <w:rFonts w:ascii="Arial" w:cs="Arial" w:eastAsia="Arial" w:hAnsi="Arial"/>
          <w:sz w:val="18"/>
          <w:szCs w:val="18"/>
          <w:color w:val="auto"/>
        </w:rPr>
        <w:t>: Election of three nominees identified in this proxy statement to serve as Class I directors to hold office until the 2028</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9" w:name="page10"/>
    <w:bookmarkEnd w:id="9"/>
    <w:p>
      <w:pPr>
        <w:spacing w:after="0" w:line="153" w:lineRule="exact"/>
        <w:rPr>
          <w:sz w:val="20"/>
          <w:szCs w:val="20"/>
          <w:color w:val="auto"/>
        </w:rPr>
      </w:pPr>
    </w:p>
    <w:p>
      <w:pPr>
        <w:ind w:left="660" w:right="320" w:hanging="328"/>
        <w:spacing w:after="0" w:line="286" w:lineRule="auto"/>
        <w:tabs>
          <w:tab w:leader="none" w:pos="655"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Proposal 2</w:t>
      </w:r>
      <w:r>
        <w:rPr>
          <w:rFonts w:ascii="Arial" w:cs="Arial" w:eastAsia="Arial" w:hAnsi="Arial"/>
          <w:sz w:val="18"/>
          <w:szCs w:val="18"/>
          <w:color w:val="auto"/>
        </w:rPr>
        <w:t>: Ratification of the appointment of Deloitte &amp; Touche LLP as our independent registered public accounting firm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ending December 31, 2025; and</w:t>
      </w:r>
    </w:p>
    <w:p>
      <w:pPr>
        <w:spacing w:after="0" w:line="126" w:lineRule="exact"/>
        <w:rPr>
          <w:rFonts w:ascii="Times New Roman" w:cs="Times New Roman" w:eastAsia="Times New Roman" w:hAnsi="Times New Roman"/>
          <w:sz w:val="18"/>
          <w:szCs w:val="18"/>
          <w:color w:val="auto"/>
        </w:rPr>
      </w:pPr>
    </w:p>
    <w:p>
      <w:pPr>
        <w:ind w:left="660" w:right="340" w:hanging="328"/>
        <w:spacing w:after="0" w:line="286" w:lineRule="auto"/>
        <w:tabs>
          <w:tab w:leader="none" w:pos="655"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Proposal 3</w:t>
      </w:r>
      <w:r>
        <w:rPr>
          <w:rFonts w:ascii="Arial" w:cs="Arial" w:eastAsia="Arial" w:hAnsi="Arial"/>
          <w:sz w:val="18"/>
          <w:szCs w:val="18"/>
          <w:color w:val="auto"/>
        </w:rPr>
        <w:t>: Approval, on an advisory basis, of the compensation of our named executive officers (“Named Executive Officers” or</w:t>
      </w:r>
      <w:r>
        <w:rPr>
          <w:rFonts w:ascii="Arial" w:cs="Arial" w:eastAsia="Arial" w:hAnsi="Arial"/>
          <w:sz w:val="18"/>
          <w:szCs w:val="18"/>
          <w:b w:val="1"/>
          <w:bCs w:val="1"/>
          <w:color w:val="auto"/>
        </w:rPr>
        <w:t xml:space="preserve"> </w:t>
      </w:r>
      <w:r>
        <w:rPr>
          <w:rFonts w:ascii="Arial" w:cs="Arial" w:eastAsia="Arial" w:hAnsi="Arial"/>
          <w:sz w:val="18"/>
          <w:szCs w:val="18"/>
          <w:color w:val="auto"/>
        </w:rPr>
        <w:t>“NEOs”).</w:t>
      </w:r>
    </w:p>
    <w:p>
      <w:pPr>
        <w:spacing w:after="0" w:line="113"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You will also vote on any other business as may properly come before the meeting or any adjournment of the Annual Meeting. All shares that are represented at the Annual Meeting by properly executed proxies received before or at the Annual Meeting and not revoked will be voted at the Annual Meeting in accordance with the instructions indicated in the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40575"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0575" cy="394335"/>
                    </a:xfrm>
                    <a:prstGeom prst="rect">
                      <a:avLst/>
                    </a:prstGeom>
                    <a:noFill/>
                  </pic:spPr>
                </pic:pic>
              </a:graphicData>
            </a:graphic>
          </wp:anchor>
        </w:drawing>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BOARD OF DIRECTORS RECOMMENDS THAT YOU VOTE</w:t>
      </w:r>
    </w:p>
    <w:p>
      <w:pPr>
        <w:jc w:val="center"/>
        <w:ind w:right="-19"/>
        <w:spacing w:after="0" w:line="219" w:lineRule="auto"/>
        <w:rPr>
          <w:sz w:val="20"/>
          <w:szCs w:val="20"/>
          <w:color w:val="auto"/>
        </w:rPr>
      </w:pPr>
      <w:r>
        <w:rPr>
          <w:rFonts w:ascii="Arial" w:cs="Arial" w:eastAsia="Arial" w:hAnsi="Arial"/>
          <w:sz w:val="18"/>
          <w:szCs w:val="18"/>
          <w:b w:val="1"/>
          <w:bCs w:val="1"/>
          <w:color w:val="auto"/>
        </w:rPr>
        <w:t>“FOR” THE ELECTION OF EACH DIRECTOR NOMINEE UNDER PROPOSAL 1</w:t>
      </w:r>
    </w:p>
    <w:p>
      <w:pPr>
        <w:jc w:val="center"/>
        <w:ind w:right="-19"/>
        <w:spacing w:after="0"/>
        <w:rPr>
          <w:sz w:val="20"/>
          <w:szCs w:val="20"/>
          <w:color w:val="auto"/>
        </w:rPr>
      </w:pPr>
      <w:r>
        <w:rPr>
          <w:rFonts w:ascii="Arial" w:cs="Arial" w:eastAsia="Arial" w:hAnsi="Arial"/>
          <w:sz w:val="18"/>
          <w:szCs w:val="18"/>
          <w:b w:val="1"/>
          <w:bCs w:val="1"/>
          <w:color w:val="auto"/>
        </w:rPr>
        <w:t>AND “FOR” PROPOSALS 2 AND 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How can I attend the Annual Meeting?</w:t>
      </w:r>
    </w:p>
    <w:p>
      <w:pPr>
        <w:spacing w:after="0" w:line="18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 xml:space="preserve">The Annual Meeting is being held as a virtual-only meeting. </w:t>
      </w:r>
      <w:r>
        <w:rPr>
          <w:rFonts w:ascii="Arial" w:cs="Arial" w:eastAsia="Arial" w:hAnsi="Arial"/>
          <w:sz w:val="18"/>
          <w:szCs w:val="18"/>
          <w:b w:val="1"/>
          <w:bCs w:val="1"/>
          <w:color w:val="auto"/>
        </w:rPr>
        <w:t>In order to attend the Annual Meeting, you must register at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www.proxydocs.com/ALHC by no later than 5:00 p.m. Pacific Time on June 4, 2025. </w:t>
      </w:r>
      <w:r>
        <w:rPr>
          <w:rFonts w:ascii="Arial" w:cs="Arial" w:eastAsia="Arial" w:hAnsi="Arial"/>
          <w:sz w:val="18"/>
          <w:szCs w:val="18"/>
          <w:color w:val="auto"/>
        </w:rPr>
        <w:t>If you are a stockholder of record as of the Record</w:t>
      </w:r>
      <w:r>
        <w:rPr>
          <w:rFonts w:ascii="Arial" w:cs="Arial" w:eastAsia="Arial" w:hAnsi="Arial"/>
          <w:sz w:val="18"/>
          <w:szCs w:val="18"/>
          <w:b w:val="1"/>
          <w:bCs w:val="1"/>
          <w:color w:val="auto"/>
        </w:rPr>
        <w:t xml:space="preserve"> </w:t>
      </w:r>
      <w:r>
        <w:rPr>
          <w:rFonts w:ascii="Arial" w:cs="Arial" w:eastAsia="Arial" w:hAnsi="Arial"/>
          <w:sz w:val="18"/>
          <w:szCs w:val="18"/>
          <w:color w:val="auto"/>
        </w:rPr>
        <w:t>Date, upon completing your registration, you will receive further instructions via email, including a unique link that will allow you access to the Annual Meeting and to vote and submit questions during the Annual Meeting. As part of the registration process, you must enter the control number located on your proxy card, voting instruction form, or Notice of Internet Availability.</w:t>
      </w:r>
    </w:p>
    <w:p>
      <w:pPr>
        <w:spacing w:after="0" w:line="17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If you are a beneficial owner of shares through a brokerage firm, bank, broker-dealer or other nominee holder (i.e., you hold shares in “street name”) as of the Record Date, you may gain access to the meeting by following the instructions in the voting instruction card provided by your brokerage firm, bank, broker-dealer or other nominee holder. You will need to enter your uniquely assigned control number at www.proxydocs.com/ALHC as part of the registration process. You may not vote your shares via the Internet at the Annual Meeting unless you receive a valid legal proxy from your brokerage firm, bank, broker-dealer or other nominee holder. If you were not a stockholder as of the Record Date, you may still listen to the Annual Meeting, but will not be able to ask questions or vote at the meeting.</w:t>
      </w:r>
    </w:p>
    <w:p>
      <w:pPr>
        <w:spacing w:after="0" w:line="182" w:lineRule="exact"/>
        <w:rPr>
          <w:sz w:val="20"/>
          <w:szCs w:val="20"/>
          <w:color w:val="auto"/>
        </w:rPr>
      </w:pPr>
    </w:p>
    <w:p>
      <w:pPr>
        <w:ind w:right="2300" w:firstLine="405"/>
        <w:spacing w:after="0" w:line="287" w:lineRule="auto"/>
        <w:rPr>
          <w:sz w:val="20"/>
          <w:szCs w:val="20"/>
          <w:color w:val="auto"/>
        </w:rPr>
      </w:pPr>
      <w:r>
        <w:rPr>
          <w:rFonts w:ascii="Arial" w:cs="Arial" w:eastAsia="Arial" w:hAnsi="Arial"/>
          <w:sz w:val="18"/>
          <w:szCs w:val="18"/>
          <w:color w:val="auto"/>
        </w:rPr>
        <w:t>The audio broadcast of the Annual Meeting will be archived on the investor relations section of our website, https://ir.alignmenthealth.com/, for at least one year.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How can I ask questions at the Annual Meeting?</w:t>
      </w:r>
    </w:p>
    <w:p>
      <w:pPr>
        <w:spacing w:after="0" w:line="22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have designed the virtual Annual Meeting to provide substantially the same opportunities to participate as stockholders would have at an in-person meeting. The virtual Annual Meeting format allows stockholders to ask questions of our management and Board of Directors, as appropriate. If you have questions, you may type them into the dialog box provided at any point during the meeting (until the floor is closed to questions).</w:t>
      </w:r>
    </w:p>
    <w:p>
      <w:pPr>
        <w:spacing w:after="0" w:line="176"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We reserve the right to exclude questions regarding topics that are not pertinent to meeting matters or company business or are inappropriate. If we receive substantially similar questions, we may group such questions together and provide a single response to avoid repetition. Any questions that are appropriate and pertinent to the Annual Meeting will be answered in the live question and answer session during the Annual Meeting, subject to time constraints. Any such questions that cannot be answered during the Annual Meeting due to time constraints will be posted and answered on the investor relations section of our website, https://ir.alignmenthealth.com/, as soon as practicable after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3" w:lineRule="exact"/>
        <w:rPr>
          <w:sz w:val="20"/>
          <w:szCs w:val="20"/>
          <w:color w:val="auto"/>
        </w:rPr>
      </w:pPr>
    </w:p>
    <w:p>
      <w:pPr>
        <w:jc w:val="both"/>
        <w:ind w:right="20" w:firstLine="405"/>
        <w:spacing w:after="0" w:line="291" w:lineRule="auto"/>
        <w:rPr>
          <w:sz w:val="20"/>
          <w:szCs w:val="20"/>
          <w:color w:val="auto"/>
        </w:rPr>
      </w:pPr>
      <w:r>
        <w:rPr>
          <w:rFonts w:ascii="Arial" w:cs="Arial" w:eastAsia="Arial" w:hAnsi="Arial"/>
          <w:sz w:val="17"/>
          <w:szCs w:val="17"/>
          <w:color w:val="auto"/>
        </w:rPr>
        <w:t>Additional information regarding the ability of stockholders to ask questions during the Annual Meeting and information regarding how to obtain the related rules of conduct and other materials for the Annual Meeting will be provided by email after you have completed registration to attend the Annual Meeting. The rules of conduct will also be available on the Annual Meeting platform during the Annual Meeting.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How can I access technical support for the Annual Meeting?</w:t>
      </w:r>
    </w:p>
    <w:p>
      <w:pPr>
        <w:spacing w:after="0" w:line="225"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If you encounter any difficulties accessing the virtual Annual Meeting during the check-in or meeting time, please call the technical support number that will be posted on the virtual meeting login page for assistance. Technical support will be available beginning approximately 15 minutes prior to the start of the Annual Meeting through its conclusion. The virtual Annual Meeting platform is fully supported across browsers (Edge, Firefox, Chrome, and Safari) and devices (desktops, laptops, tablets, and cell phones) running the most updated version of applicable software and plugins. You should ensure that you have a strong internet connection if you intend to attend and/or participate in the Annual Meeting.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Why is the Annual Meeting virtual only?</w:t>
      </w:r>
    </w:p>
    <w:p>
      <w:pPr>
        <w:spacing w:after="0" w:line="225" w:lineRule="exact"/>
        <w:rPr>
          <w:sz w:val="20"/>
          <w:szCs w:val="20"/>
          <w:color w:val="auto"/>
        </w:rPr>
      </w:pPr>
    </w:p>
    <w:p>
      <w:pPr>
        <w:ind w:right="240" w:firstLine="405"/>
        <w:spacing w:after="0" w:line="262" w:lineRule="auto"/>
        <w:rPr>
          <w:sz w:val="20"/>
          <w:szCs w:val="20"/>
          <w:color w:val="auto"/>
        </w:rPr>
      </w:pPr>
      <w:r>
        <w:rPr>
          <w:rFonts w:ascii="Arial" w:cs="Arial" w:eastAsia="Arial" w:hAnsi="Arial"/>
          <w:sz w:val="18"/>
          <w:szCs w:val="18"/>
          <w:color w:val="auto"/>
        </w:rPr>
        <w:t>In order to make the Annual Meeting accessible to a large number of our stockholders, the Annual Meeting will be conducted virtually via audio-only webcast. We will have technicians ready to assist you with any technical difficulties you may have accessing the Annual Meeting. If you encounter any difficulties accessing the virtual-only Annual Meeting platform, including any difficulties voting or submitting questions, you may call the technical support number that will be posted in your instruction email.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How do I cast my vote?</w:t>
      </w:r>
    </w:p>
    <w:p>
      <w:pPr>
        <w:spacing w:after="0" w:line="225" w:lineRule="exact"/>
        <w:rPr>
          <w:sz w:val="20"/>
          <w:szCs w:val="20"/>
          <w:color w:val="auto"/>
        </w:rPr>
      </w:pPr>
    </w:p>
    <w:p>
      <w:pPr>
        <w:ind w:right="60" w:firstLine="405"/>
        <w:spacing w:after="0" w:line="268" w:lineRule="auto"/>
        <w:rPr>
          <w:sz w:val="20"/>
          <w:szCs w:val="20"/>
          <w:color w:val="auto"/>
        </w:rPr>
      </w:pPr>
      <w:r>
        <w:rPr>
          <w:rFonts w:ascii="Arial" w:cs="Arial" w:eastAsia="Arial" w:hAnsi="Arial"/>
          <w:sz w:val="18"/>
          <w:szCs w:val="18"/>
          <w:i w:val="1"/>
          <w:iCs w:val="1"/>
          <w:color w:val="auto"/>
        </w:rPr>
        <w:t>Beneficial Stockholders</w:t>
      </w:r>
      <w:r>
        <w:rPr>
          <w:rFonts w:ascii="Arial" w:cs="Arial" w:eastAsia="Arial" w:hAnsi="Arial"/>
          <w:sz w:val="18"/>
          <w:szCs w:val="18"/>
          <w:color w:val="auto"/>
        </w:rPr>
        <w:t>. If you hold your shares through a broker, trustee or other nominee, you are a beneficial stockholder.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vote your shares, please refer to the materials forwarded to you by your broker, bank or other nominee for instructions on how to vote the shares you hold as a beneficial stockholder.</w:t>
      </w:r>
    </w:p>
    <w:p>
      <w:pPr>
        <w:spacing w:after="0" w:line="171"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i w:val="1"/>
          <w:iCs w:val="1"/>
          <w:color w:val="auto"/>
        </w:rPr>
        <w:t xml:space="preserve">Registered Stockholders. </w:t>
      </w:r>
      <w:r>
        <w:rPr>
          <w:rFonts w:ascii="Arial" w:cs="Arial" w:eastAsia="Arial" w:hAnsi="Arial"/>
          <w:sz w:val="18"/>
          <w:szCs w:val="18"/>
          <w:color w:val="auto"/>
        </w:rPr>
        <w:t>If you are a stockholder of record, you may vote at the Annual Meeting, vote by proxy over the telephone, vote</w:t>
      </w:r>
      <w:r>
        <w:rPr>
          <w:rFonts w:ascii="Arial" w:cs="Arial" w:eastAsia="Arial" w:hAnsi="Arial"/>
          <w:sz w:val="18"/>
          <w:szCs w:val="18"/>
          <w:i w:val="1"/>
          <w:iCs w:val="1"/>
          <w:color w:val="auto"/>
        </w:rPr>
        <w:t xml:space="preserve"> </w:t>
      </w:r>
      <w:r>
        <w:rPr>
          <w:rFonts w:ascii="Arial" w:cs="Arial" w:eastAsia="Arial" w:hAnsi="Arial"/>
          <w:sz w:val="18"/>
          <w:szCs w:val="18"/>
          <w:color w:val="auto"/>
        </w:rPr>
        <w:t>by proxy through the Internet or vote by proxy card. Whether or not you plan to attend the Annual Meeting, we urge you to vote by proxy to ensure your vote is counted. You may still attend the Annual Meeting and vote even if you have already voted by proxy.</w:t>
      </w:r>
    </w:p>
    <w:p>
      <w:pPr>
        <w:spacing w:after="0" w:line="171" w:lineRule="exact"/>
        <w:rPr>
          <w:sz w:val="20"/>
          <w:szCs w:val="20"/>
          <w:color w:val="auto"/>
        </w:rPr>
      </w:pPr>
    </w:p>
    <w:p>
      <w:pPr>
        <w:ind w:left="980" w:right="180" w:hanging="571"/>
        <w:spacing w:after="0" w:line="256" w:lineRule="auto"/>
        <w:tabs>
          <w:tab w:leader="none" w:pos="972"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TO VOTE DURING THE ANNUAL MEETING</w:t>
      </w:r>
      <w:r>
        <w:rPr>
          <w:rFonts w:ascii="Arial" w:cs="Arial" w:eastAsia="Arial" w:hAnsi="Arial"/>
          <w:sz w:val="18"/>
          <w:szCs w:val="18"/>
          <w:color w:val="auto"/>
        </w:rPr>
        <w:t>: To vote during the live webcast of the Annual Meeting, you must first register at</w:t>
      </w:r>
      <w:r>
        <w:rPr>
          <w:rFonts w:ascii="Arial" w:cs="Arial" w:eastAsia="Arial" w:hAnsi="Arial"/>
          <w:sz w:val="18"/>
          <w:szCs w:val="18"/>
          <w:b w:val="1"/>
          <w:bCs w:val="1"/>
          <w:color w:val="auto"/>
        </w:rPr>
        <w:t xml:space="preserve"> </w:t>
      </w:r>
      <w:r>
        <w:rPr>
          <w:rFonts w:ascii="Arial" w:cs="Arial" w:eastAsia="Arial" w:hAnsi="Arial"/>
          <w:sz w:val="18"/>
          <w:szCs w:val="18"/>
          <w:color w:val="auto"/>
        </w:rPr>
        <w:t>www.proxydocs.com/ALHC. Upon completing your registration, you will receive further instructions via email, including your unique link that will allow you to access the Annual Meeting and, if you are a stockholder, to submit questions during the meeting. Please be sure to follow the instructions found on your proxy card and/or voting authorization form and subsequent instructions that will be delivered to you via email. Stockholders will be able to attend the Annual Meeting platform beginning at 8:00 a.m. Pacific Time on June 5, 2025 pursuant to the unique access instructions they receive following their registration at www.proxydocs.com/ALHC.</w:t>
      </w:r>
    </w:p>
    <w:p>
      <w:pPr>
        <w:spacing w:after="0" w:line="181" w:lineRule="exact"/>
        <w:rPr>
          <w:rFonts w:ascii="Times New Roman" w:cs="Times New Roman" w:eastAsia="Times New Roman" w:hAnsi="Times New Roman"/>
          <w:sz w:val="18"/>
          <w:szCs w:val="18"/>
          <w:color w:val="auto"/>
        </w:rPr>
      </w:pPr>
    </w:p>
    <w:p>
      <w:pPr>
        <w:ind w:left="980" w:right="20" w:hanging="571"/>
        <w:spacing w:after="0" w:line="286" w:lineRule="auto"/>
        <w:tabs>
          <w:tab w:leader="none" w:pos="972"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TO VOTE BY PHONE</w:t>
      </w:r>
      <w:r>
        <w:rPr>
          <w:rFonts w:ascii="Arial" w:cs="Arial" w:eastAsia="Arial" w:hAnsi="Arial"/>
          <w:sz w:val="18"/>
          <w:szCs w:val="18"/>
          <w:color w:val="auto"/>
        </w:rPr>
        <w:t>: To vote by telephone, dial toll-free 866-314-3346 using any touch-tone telephone and follow the recorded</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w:t>
      </w:r>
    </w:p>
    <w:p>
      <w:pPr>
        <w:spacing w:after="0" w:line="153" w:lineRule="exact"/>
        <w:rPr>
          <w:rFonts w:ascii="Times New Roman" w:cs="Times New Roman" w:eastAsia="Times New Roman" w:hAnsi="Times New Roman"/>
          <w:sz w:val="18"/>
          <w:szCs w:val="18"/>
          <w:color w:val="auto"/>
        </w:rPr>
      </w:pPr>
    </w:p>
    <w:p>
      <w:pPr>
        <w:ind w:left="980" w:right="2200" w:hanging="571"/>
        <w:spacing w:after="0" w:line="286" w:lineRule="auto"/>
        <w:tabs>
          <w:tab w:leader="none" w:pos="972"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TO VOTE BY INTERNET</w:t>
      </w:r>
      <w:r>
        <w:rPr>
          <w:rFonts w:ascii="Arial" w:cs="Arial" w:eastAsia="Arial" w:hAnsi="Arial"/>
          <w:sz w:val="18"/>
          <w:szCs w:val="18"/>
          <w:color w:val="auto"/>
        </w:rPr>
        <w:t>: To vote through the Internet, you may complete an electronic proxy card at</w:t>
      </w:r>
      <w:r>
        <w:rPr>
          <w:rFonts w:ascii="Arial" w:cs="Arial" w:eastAsia="Arial" w:hAnsi="Arial"/>
          <w:sz w:val="18"/>
          <w:szCs w:val="18"/>
          <w:b w:val="1"/>
          <w:bCs w:val="1"/>
          <w:color w:val="auto"/>
        </w:rPr>
        <w:t xml:space="preserve"> </w:t>
      </w:r>
      <w:r>
        <w:rPr>
          <w:rFonts w:ascii="Arial" w:cs="Arial" w:eastAsia="Arial" w:hAnsi="Arial"/>
          <w:sz w:val="18"/>
          <w:szCs w:val="18"/>
          <w:color w:val="auto"/>
        </w:rPr>
        <w:t>www.proxypush.com/ALHC.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19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Board has appointed John Kao and Thomas Freeman to serve as proxy holders to vote your shares according to the instructions you submit. If you properly submit a proxy but do not indicate how you want your shares to be voted on one or more items, your shares will be voted on such items in accordance with the recommendations of our Board as set forth above under “</w:t>
      </w:r>
      <w:r>
        <w:rPr>
          <w:rFonts w:ascii="Arial" w:cs="Arial" w:eastAsia="Arial" w:hAnsi="Arial"/>
          <w:sz w:val="18"/>
          <w:szCs w:val="18"/>
          <w:i w:val="1"/>
          <w:iCs w:val="1"/>
          <w:color w:val="auto"/>
        </w:rPr>
        <w:t>What will I be voting on?</w:t>
      </w:r>
      <w:r>
        <w:rPr>
          <w:rFonts w:ascii="Arial" w:cs="Arial" w:eastAsia="Arial" w:hAnsi="Arial"/>
          <w:sz w:val="18"/>
          <w:szCs w:val="18"/>
          <w:color w:val="auto"/>
        </w:rPr>
        <w:t>” With respect to any other matter properly presented at the Annual Meeting, your proxy, if properly submitted, gives authority to the proxy holders to vote your shares on such matter in accordance with their best judgment.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Can I access the proxy materials electronically?</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Yes. Your notice, proxy card or voting instruction card will contain instructions on how to:</w:t>
      </w:r>
    </w:p>
    <w:p>
      <w:pPr>
        <w:spacing w:after="0" w:line="198"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view our proxy materials for the Annual Meeting on the Internet; and</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instruct us to send our future proxy materials to you electronically by e-mail.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proxy materials are also available at www.proxydocs.com/ALHC and our proxy materials will be available starting on April 25, 2025.</w:t>
      </w:r>
    </w:p>
    <w:p>
      <w:pPr>
        <w:spacing w:after="0" w:line="225"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color w:val="auto"/>
        </w:rPr>
        <w:t>Instead of receiving future copies of our proxy statements and annual reports by mail, stockholders of record and most beneficial owners can elect to receive an email that will provide an electronic link to these documents. Your election to receive future proxy materials by email will remain in effect until you revoke 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How may I change or revoke my proxy?</w:t>
      </w:r>
    </w:p>
    <w:p>
      <w:pPr>
        <w:spacing w:after="0" w:line="225" w:lineRule="exact"/>
        <w:rPr>
          <w:sz w:val="20"/>
          <w:szCs w:val="20"/>
          <w:color w:val="auto"/>
        </w:rPr>
      </w:pPr>
    </w:p>
    <w:p>
      <w:pPr>
        <w:ind w:right="120" w:firstLine="405"/>
        <w:spacing w:after="0" w:line="287" w:lineRule="auto"/>
        <w:rPr>
          <w:sz w:val="20"/>
          <w:szCs w:val="20"/>
          <w:color w:val="auto"/>
        </w:rPr>
      </w:pPr>
      <w:r>
        <w:rPr>
          <w:rFonts w:ascii="Arial" w:cs="Arial" w:eastAsia="Arial" w:hAnsi="Arial"/>
          <w:sz w:val="18"/>
          <w:szCs w:val="18"/>
          <w:i w:val="1"/>
          <w:iCs w:val="1"/>
          <w:color w:val="auto"/>
        </w:rPr>
        <w:t>Beneficial Stockholders</w:t>
      </w:r>
      <w:r>
        <w:rPr>
          <w:rFonts w:ascii="Arial" w:cs="Arial" w:eastAsia="Arial" w:hAnsi="Arial"/>
          <w:sz w:val="18"/>
          <w:szCs w:val="18"/>
          <w:color w:val="auto"/>
        </w:rPr>
        <w:t>. Beneficial stockholders should contact their broker, trustee or nominee for instructions on how to change their</w:t>
      </w:r>
      <w:r>
        <w:rPr>
          <w:rFonts w:ascii="Arial" w:cs="Arial" w:eastAsia="Arial" w:hAnsi="Arial"/>
          <w:sz w:val="18"/>
          <w:szCs w:val="18"/>
          <w:i w:val="1"/>
          <w:iCs w:val="1"/>
          <w:color w:val="auto"/>
        </w:rPr>
        <w:t xml:space="preserve"> </w:t>
      </w:r>
      <w:r>
        <w:rPr>
          <w:rFonts w:ascii="Arial" w:cs="Arial" w:eastAsia="Arial" w:hAnsi="Arial"/>
          <w:sz w:val="18"/>
          <w:szCs w:val="18"/>
          <w:color w:val="auto"/>
        </w:rPr>
        <w:t>proxy vote.</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Registered Stockholders</w:t>
      </w:r>
      <w:r>
        <w:rPr>
          <w:rFonts w:ascii="Arial" w:cs="Arial" w:eastAsia="Arial" w:hAnsi="Arial"/>
          <w:sz w:val="18"/>
          <w:szCs w:val="18"/>
          <w:color w:val="auto"/>
        </w:rPr>
        <w:t>. Registered stockholders may change a properly executed proxy at any time before its exercise by:</w:t>
      </w:r>
    </w:p>
    <w:p>
      <w:pPr>
        <w:spacing w:after="0" w:line="225" w:lineRule="exact"/>
        <w:rPr>
          <w:sz w:val="20"/>
          <w:szCs w:val="20"/>
          <w:color w:val="auto"/>
        </w:rPr>
      </w:pPr>
    </w:p>
    <w:p>
      <w:pPr>
        <w:ind w:left="1300" w:right="60" w:hanging="644"/>
        <w:spacing w:after="0" w:line="287" w:lineRule="auto"/>
        <w:tabs>
          <w:tab w:leader="none" w:pos="12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delivering written notice of revocation to the Chief Legal &amp; Administrative Officer at our principal executive offices at 1100 W. Town &amp; Country Rd., Suite 1600, Orange, CA 92868;</w:t>
      </w:r>
    </w:p>
    <w:p>
      <w:pPr>
        <w:spacing w:after="0" w:line="1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submitting another proxy that is dated later than the original proxy (including a proxy via telephone or Internet); or</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voting via the Internet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1F497D"/>
        </w:rPr>
        <w:t>What is the voting requirement to approve each of the proposals, and how are the votes counted?</w:t>
      </w:r>
    </w:p>
    <w:p>
      <w:pPr>
        <w:spacing w:after="0" w:line="286" w:lineRule="exact"/>
        <w:rPr>
          <w:sz w:val="20"/>
          <w:szCs w:val="20"/>
          <w:color w:val="auto"/>
        </w:rPr>
      </w:pPr>
    </w:p>
    <w:tbl>
      <w:tblPr>
        <w:tblLayout w:type="fixed"/>
        <w:tblInd w:w="920" w:type="dxa"/>
        <w:tblCellMar>
          <w:top w:w="0" w:type="dxa"/>
          <w:left w:w="0" w:type="dxa"/>
          <w:bottom w:w="0" w:type="dxa"/>
          <w:right w:w="0" w:type="dxa"/>
        </w:tblCellMar>
      </w:tblPr>
      <w:tr>
        <w:trPr>
          <w:trHeight w:val="189"/>
        </w:trPr>
        <w:tc>
          <w:tcPr>
            <w:tcW w:w="2180" w:type="dxa"/>
            <w:vAlign w:val="bottom"/>
          </w:tcPr>
          <w:p>
            <w:pPr>
              <w:spacing w:after="0"/>
              <w:rPr>
                <w:sz w:val="16"/>
                <w:szCs w:val="16"/>
                <w:color w:val="auto"/>
              </w:rPr>
            </w:pPr>
          </w:p>
        </w:tc>
        <w:tc>
          <w:tcPr>
            <w:tcW w:w="2420" w:type="dxa"/>
            <w:vAlign w:val="bottom"/>
          </w:tcPr>
          <w:p>
            <w:pPr>
              <w:jc w:val="right"/>
              <w:ind w:right="299"/>
              <w:spacing w:after="0"/>
              <w:rPr>
                <w:sz w:val="20"/>
                <w:szCs w:val="20"/>
                <w:color w:val="auto"/>
              </w:rPr>
            </w:pPr>
            <w:r>
              <w:rPr>
                <w:rFonts w:ascii="Arial" w:cs="Arial" w:eastAsia="Arial" w:hAnsi="Arial"/>
                <w:sz w:val="16"/>
                <w:szCs w:val="16"/>
                <w:b w:val="1"/>
                <w:bCs w:val="1"/>
                <w:i w:val="1"/>
                <w:iCs w:val="1"/>
                <w:color w:val="auto"/>
              </w:rPr>
              <w:t>Vote Required for</w:t>
            </w:r>
          </w:p>
        </w:tc>
        <w:tc>
          <w:tcPr>
            <w:tcW w:w="2400" w:type="dxa"/>
            <w:vAlign w:val="bottom"/>
          </w:tcPr>
          <w:p>
            <w:pPr>
              <w:jc w:val="center"/>
              <w:ind w:left="99"/>
              <w:spacing w:after="0"/>
              <w:rPr>
                <w:sz w:val="20"/>
                <w:szCs w:val="20"/>
                <w:color w:val="auto"/>
              </w:rPr>
            </w:pPr>
            <w:r>
              <w:rPr>
                <w:rFonts w:ascii="Arial" w:cs="Arial" w:eastAsia="Arial" w:hAnsi="Arial"/>
                <w:sz w:val="16"/>
                <w:szCs w:val="16"/>
                <w:b w:val="1"/>
                <w:bCs w:val="1"/>
                <w:i w:val="1"/>
                <w:iCs w:val="1"/>
                <w:color w:val="auto"/>
              </w:rPr>
              <w:t>Effect of Withhold Votes /</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180" w:type="dxa"/>
            <w:vAlign w:val="bottom"/>
            <w:vMerge w:val="restart"/>
          </w:tcPr>
          <w:p>
            <w:pPr>
              <w:ind w:left="840"/>
              <w:spacing w:after="0"/>
              <w:rPr>
                <w:sz w:val="20"/>
                <w:szCs w:val="20"/>
                <w:color w:val="auto"/>
              </w:rPr>
            </w:pPr>
            <w:r>
              <w:rPr>
                <w:rFonts w:ascii="Arial" w:cs="Arial" w:eastAsia="Arial" w:hAnsi="Arial"/>
                <w:sz w:val="16"/>
                <w:szCs w:val="16"/>
                <w:b w:val="1"/>
                <w:bCs w:val="1"/>
                <w:i w:val="1"/>
                <w:iCs w:val="1"/>
                <w:color w:val="auto"/>
              </w:rPr>
              <w:t>Proposal</w:t>
            </w:r>
          </w:p>
        </w:tc>
        <w:tc>
          <w:tcPr>
            <w:tcW w:w="2420" w:type="dxa"/>
            <w:vAlign w:val="bottom"/>
          </w:tcPr>
          <w:p>
            <w:pPr>
              <w:jc w:val="right"/>
              <w:ind w:right="559"/>
              <w:spacing w:after="0"/>
              <w:rPr>
                <w:sz w:val="20"/>
                <w:szCs w:val="20"/>
                <w:color w:val="auto"/>
              </w:rPr>
            </w:pPr>
            <w:r>
              <w:rPr>
                <w:rFonts w:ascii="Arial" w:cs="Arial" w:eastAsia="Arial" w:hAnsi="Arial"/>
                <w:sz w:val="16"/>
                <w:szCs w:val="16"/>
                <w:b w:val="1"/>
                <w:bCs w:val="1"/>
                <w:i w:val="1"/>
                <w:iCs w:val="1"/>
                <w:color w:val="auto"/>
              </w:rPr>
              <w:t>Approval</w:t>
            </w:r>
            <w:r>
              <w:rPr>
                <w:rFonts w:ascii="Arial" w:cs="Arial" w:eastAsia="Arial" w:hAnsi="Arial"/>
                <w:sz w:val="21"/>
                <w:szCs w:val="21"/>
                <w:b w:val="1"/>
                <w:bCs w:val="1"/>
                <w:i w:val="1"/>
                <w:iCs w:val="1"/>
                <w:color w:val="auto"/>
                <w:vertAlign w:val="superscript"/>
              </w:rPr>
              <w:t>(1)</w:t>
            </w:r>
          </w:p>
        </w:tc>
        <w:tc>
          <w:tcPr>
            <w:tcW w:w="2400" w:type="dxa"/>
            <w:vAlign w:val="bottom"/>
          </w:tcPr>
          <w:p>
            <w:pPr>
              <w:jc w:val="center"/>
              <w:ind w:left="99"/>
              <w:spacing w:after="0"/>
              <w:rPr>
                <w:sz w:val="20"/>
                <w:szCs w:val="20"/>
                <w:color w:val="auto"/>
              </w:rPr>
            </w:pPr>
            <w:r>
              <w:rPr>
                <w:rFonts w:ascii="Arial" w:cs="Arial" w:eastAsia="Arial" w:hAnsi="Arial"/>
                <w:sz w:val="16"/>
                <w:szCs w:val="16"/>
                <w:b w:val="1"/>
                <w:bCs w:val="1"/>
                <w:i w:val="1"/>
                <w:iCs w:val="1"/>
                <w:color w:val="auto"/>
                <w:w w:val="96"/>
              </w:rPr>
              <w:t>Abstentions</w:t>
            </w:r>
            <w:r>
              <w:rPr>
                <w:rFonts w:ascii="Arial" w:cs="Arial" w:eastAsia="Arial" w:hAnsi="Arial"/>
                <w:sz w:val="21"/>
                <w:szCs w:val="21"/>
                <w:b w:val="1"/>
                <w:bCs w:val="1"/>
                <w:i w:val="1"/>
                <w:iCs w:val="1"/>
                <w:color w:val="auto"/>
                <w:w w:val="96"/>
                <w:vertAlign w:val="superscript"/>
              </w:rPr>
              <w:t>(2)</w:t>
            </w:r>
          </w:p>
        </w:tc>
        <w:tc>
          <w:tcPr>
            <w:tcW w:w="2420" w:type="dxa"/>
            <w:vAlign w:val="bottom"/>
          </w:tcPr>
          <w:p>
            <w:pPr>
              <w:ind w:left="140"/>
              <w:spacing w:after="0"/>
              <w:rPr>
                <w:sz w:val="20"/>
                <w:szCs w:val="20"/>
                <w:color w:val="auto"/>
              </w:rPr>
            </w:pPr>
            <w:r>
              <w:rPr>
                <w:rFonts w:ascii="Arial" w:cs="Arial" w:eastAsia="Arial" w:hAnsi="Arial"/>
                <w:sz w:val="16"/>
                <w:szCs w:val="16"/>
                <w:b w:val="1"/>
                <w:bCs w:val="1"/>
                <w:i w:val="1"/>
                <w:iCs w:val="1"/>
                <w:color w:val="auto"/>
              </w:rPr>
              <w:t>Effect of Broker Non-Votes</w:t>
            </w:r>
            <w:r>
              <w:rPr>
                <w:rFonts w:ascii="Arial" w:cs="Arial" w:eastAsia="Arial" w:hAnsi="Arial"/>
                <w:sz w:val="21"/>
                <w:szCs w:val="21"/>
                <w:b w:val="1"/>
                <w:bCs w:val="1"/>
                <w:i w:val="1"/>
                <w:iCs w:val="1"/>
                <w:color w:val="auto"/>
                <w:vertAlign w:val="superscript"/>
              </w:rPr>
              <w:t>(2)</w:t>
            </w:r>
          </w:p>
        </w:tc>
        <w:tc>
          <w:tcPr>
            <w:tcW w:w="0" w:type="dxa"/>
            <w:vAlign w:val="bottom"/>
          </w:tcPr>
          <w:p>
            <w:pPr>
              <w:spacing w:after="0"/>
              <w:rPr>
                <w:sz w:val="1"/>
                <w:szCs w:val="1"/>
                <w:color w:val="auto"/>
              </w:rPr>
            </w:pPr>
          </w:p>
        </w:tc>
      </w:tr>
      <w:tr>
        <w:trPr>
          <w:trHeight w:val="54"/>
        </w:trPr>
        <w:tc>
          <w:tcPr>
            <w:tcW w:w="2180" w:type="dxa"/>
            <w:vAlign w:val="bottom"/>
            <w:tcBorders>
              <w:bottom w:val="single" w:sz="8" w:color="auto"/>
            </w:tcBorders>
            <w:vMerge w:val="continue"/>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DBE5F1"/>
          </w:tcPr>
          <w:p>
            <w:pPr>
              <w:ind w:left="100"/>
              <w:spacing w:after="0"/>
              <w:rPr>
                <w:sz w:val="20"/>
                <w:szCs w:val="20"/>
                <w:color w:val="auto"/>
              </w:rPr>
            </w:pPr>
            <w:r>
              <w:rPr>
                <w:rFonts w:ascii="Arial" w:cs="Arial" w:eastAsia="Arial" w:hAnsi="Arial"/>
                <w:sz w:val="16"/>
                <w:szCs w:val="16"/>
                <w:b w:val="1"/>
                <w:bCs w:val="1"/>
                <w:color w:val="auto"/>
              </w:rPr>
              <w:t>(1) Election of Directors</w:t>
            </w:r>
          </w:p>
        </w:tc>
        <w:tc>
          <w:tcPr>
            <w:tcW w:w="2420" w:type="dxa"/>
            <w:vAlign w:val="bottom"/>
            <w:vMerge w:val="restart"/>
            <w:shd w:val="clear" w:color="auto" w:fill="DBE5F1"/>
          </w:tcPr>
          <w:p>
            <w:pPr>
              <w:jc w:val="right"/>
              <w:ind w:right="99"/>
              <w:spacing w:after="0"/>
              <w:rPr>
                <w:sz w:val="20"/>
                <w:szCs w:val="20"/>
                <w:color w:val="auto"/>
              </w:rPr>
            </w:pPr>
            <w:r>
              <w:rPr>
                <w:rFonts w:ascii="Arial" w:cs="Arial" w:eastAsia="Arial" w:hAnsi="Arial"/>
                <w:sz w:val="16"/>
                <w:szCs w:val="16"/>
                <w:color w:val="auto"/>
              </w:rPr>
              <w:t>Plurality of the votes cast at</w:t>
            </w:r>
          </w:p>
        </w:tc>
        <w:tc>
          <w:tcPr>
            <w:tcW w:w="2400" w:type="dxa"/>
            <w:vAlign w:val="bottom"/>
            <w:shd w:val="clear" w:color="auto" w:fill="DBE5F1"/>
          </w:tcPr>
          <w:p>
            <w:pPr>
              <w:ind w:left="180"/>
              <w:spacing w:after="0"/>
              <w:rPr>
                <w:sz w:val="20"/>
                <w:szCs w:val="20"/>
                <w:color w:val="auto"/>
              </w:rPr>
            </w:pPr>
            <w:r>
              <w:rPr>
                <w:rFonts w:ascii="Arial" w:cs="Arial" w:eastAsia="Arial" w:hAnsi="Arial"/>
                <w:sz w:val="16"/>
                <w:szCs w:val="16"/>
                <w:color w:val="auto"/>
              </w:rPr>
              <w:t>No effect</w:t>
            </w:r>
          </w:p>
        </w:tc>
        <w:tc>
          <w:tcPr>
            <w:tcW w:w="2420" w:type="dxa"/>
            <w:vAlign w:val="bottom"/>
            <w:shd w:val="clear" w:color="auto" w:fill="DBE5F1"/>
          </w:tcPr>
          <w:p>
            <w:pPr>
              <w:ind w:left="14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87"/>
        </w:trPr>
        <w:tc>
          <w:tcPr>
            <w:tcW w:w="2180" w:type="dxa"/>
            <w:vAlign w:val="bottom"/>
            <w:shd w:val="clear" w:color="auto" w:fill="DBE5F1"/>
          </w:tcPr>
          <w:p>
            <w:pPr>
              <w:spacing w:after="0"/>
              <w:rPr>
                <w:sz w:val="7"/>
                <w:szCs w:val="7"/>
                <w:color w:val="auto"/>
              </w:rPr>
            </w:pPr>
          </w:p>
        </w:tc>
        <w:tc>
          <w:tcPr>
            <w:tcW w:w="2420" w:type="dxa"/>
            <w:vAlign w:val="bottom"/>
            <w:vMerge w:val="continue"/>
            <w:shd w:val="clear" w:color="auto" w:fill="DBE5F1"/>
          </w:tcPr>
          <w:p>
            <w:pPr>
              <w:spacing w:after="0"/>
              <w:rPr>
                <w:sz w:val="7"/>
                <w:szCs w:val="7"/>
                <w:color w:val="auto"/>
              </w:rPr>
            </w:pPr>
          </w:p>
        </w:tc>
        <w:tc>
          <w:tcPr>
            <w:tcW w:w="2400" w:type="dxa"/>
            <w:vAlign w:val="bottom"/>
            <w:shd w:val="clear" w:color="auto" w:fill="DBE5F1"/>
          </w:tcPr>
          <w:p>
            <w:pPr>
              <w:spacing w:after="0"/>
              <w:rPr>
                <w:sz w:val="7"/>
                <w:szCs w:val="7"/>
                <w:color w:val="auto"/>
              </w:rPr>
            </w:pPr>
          </w:p>
        </w:tc>
        <w:tc>
          <w:tcPr>
            <w:tcW w:w="2420" w:type="dxa"/>
            <w:vAlign w:val="bottom"/>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2180" w:type="dxa"/>
            <w:vAlign w:val="bottom"/>
            <w:shd w:val="clear" w:color="auto" w:fill="DBE5F1"/>
          </w:tcPr>
          <w:p>
            <w:pPr>
              <w:spacing w:after="0"/>
              <w:rPr>
                <w:sz w:val="24"/>
                <w:szCs w:val="24"/>
                <w:color w:val="auto"/>
              </w:rPr>
            </w:pPr>
          </w:p>
        </w:tc>
        <w:tc>
          <w:tcPr>
            <w:tcW w:w="2420" w:type="dxa"/>
            <w:vAlign w:val="bottom"/>
            <w:shd w:val="clear" w:color="auto" w:fill="DBE5F1"/>
          </w:tcPr>
          <w:p>
            <w:pPr>
              <w:jc w:val="right"/>
              <w:ind w:right="559"/>
              <w:spacing w:after="0"/>
              <w:rPr>
                <w:sz w:val="20"/>
                <w:szCs w:val="20"/>
                <w:color w:val="auto"/>
              </w:rPr>
            </w:pPr>
            <w:r>
              <w:rPr>
                <w:rFonts w:ascii="Arial" w:cs="Arial" w:eastAsia="Arial" w:hAnsi="Arial"/>
                <w:sz w:val="16"/>
                <w:szCs w:val="16"/>
                <w:color w:val="auto"/>
              </w:rPr>
              <w:t>the Annual Meeting</w:t>
            </w:r>
            <w:r>
              <w:rPr>
                <w:rFonts w:ascii="Arial" w:cs="Arial" w:eastAsia="Arial" w:hAnsi="Arial"/>
                <w:sz w:val="21"/>
                <w:szCs w:val="21"/>
                <w:color w:val="auto"/>
                <w:vertAlign w:val="superscript"/>
              </w:rPr>
              <w:t>(3)</w:t>
            </w:r>
          </w:p>
        </w:tc>
        <w:tc>
          <w:tcPr>
            <w:tcW w:w="2400" w:type="dxa"/>
            <w:vAlign w:val="bottom"/>
            <w:shd w:val="clear" w:color="auto" w:fill="DBE5F1"/>
          </w:tcPr>
          <w:p>
            <w:pPr>
              <w:spacing w:after="0"/>
              <w:rPr>
                <w:sz w:val="24"/>
                <w:szCs w:val="24"/>
                <w:color w:val="auto"/>
              </w:rPr>
            </w:pPr>
          </w:p>
        </w:tc>
        <w:tc>
          <w:tcPr>
            <w:tcW w:w="2420" w:type="dxa"/>
            <w:vAlign w:val="bottom"/>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180" w:type="dxa"/>
            <w:vAlign w:val="bottom"/>
            <w:shd w:val="clear" w:color="auto" w:fill="DBE5F1"/>
          </w:tcPr>
          <w:p>
            <w:pPr>
              <w:spacing w:after="0"/>
              <w:rPr>
                <w:sz w:val="5"/>
                <w:szCs w:val="5"/>
                <w:color w:val="auto"/>
              </w:rPr>
            </w:pPr>
          </w:p>
        </w:tc>
        <w:tc>
          <w:tcPr>
            <w:tcW w:w="2420" w:type="dxa"/>
            <w:vAlign w:val="bottom"/>
            <w:shd w:val="clear" w:color="auto" w:fill="DBE5F1"/>
          </w:tcPr>
          <w:p>
            <w:pPr>
              <w:spacing w:after="0"/>
              <w:rPr>
                <w:sz w:val="5"/>
                <w:szCs w:val="5"/>
                <w:color w:val="auto"/>
              </w:rPr>
            </w:pPr>
          </w:p>
        </w:tc>
        <w:tc>
          <w:tcPr>
            <w:tcW w:w="2400" w:type="dxa"/>
            <w:vAlign w:val="bottom"/>
            <w:shd w:val="clear" w:color="auto" w:fill="DBE5F1"/>
          </w:tcPr>
          <w:p>
            <w:pPr>
              <w:spacing w:after="0"/>
              <w:rPr>
                <w:sz w:val="5"/>
                <w:szCs w:val="5"/>
                <w:color w:val="auto"/>
              </w:rPr>
            </w:pPr>
          </w:p>
        </w:tc>
        <w:tc>
          <w:tcPr>
            <w:tcW w:w="2420" w:type="dxa"/>
            <w:vAlign w:val="bottom"/>
            <w:shd w:val="clear" w:color="auto" w:fill="DBE5F1"/>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00"/>
          </w:cols>
          <w:pgMar w:left="320" w:top="1417" w:right="379" w:bottom="1440" w:gutter="0" w:footer="0" w:header="0"/>
        </w:sectPr>
      </w:pPr>
    </w:p>
    <w:tbl>
      <w:tblPr>
        <w:tblLayout w:type="fixed"/>
        <w:tblInd w:w="1020" w:type="dxa"/>
        <w:tblCellMar>
          <w:top w:w="0" w:type="dxa"/>
          <w:left w:w="0" w:type="dxa"/>
          <w:bottom w:w="0" w:type="dxa"/>
          <w:right w:w="0" w:type="dxa"/>
        </w:tblCellMar>
      </w:tblPr>
      <w:tr>
        <w:trPr>
          <w:trHeight w:val="162"/>
        </w:trPr>
        <w:tc>
          <w:tcPr>
            <w:tcW w:w="2200" w:type="dxa"/>
            <w:vAlign w:val="bottom"/>
          </w:tcPr>
          <w:p>
            <w:pPr>
              <w:spacing w:after="0" w:line="162" w:lineRule="exact"/>
              <w:rPr>
                <w:sz w:val="20"/>
                <w:szCs w:val="20"/>
                <w:color w:val="auto"/>
              </w:rPr>
            </w:pPr>
            <w:r>
              <w:rPr>
                <w:rFonts w:ascii="Arial" w:cs="Arial" w:eastAsia="Arial" w:hAnsi="Arial"/>
                <w:sz w:val="16"/>
                <w:szCs w:val="16"/>
                <w:b w:val="1"/>
                <w:bCs w:val="1"/>
                <w:color w:val="auto"/>
              </w:rPr>
              <w:t>(2) Ratification of</w:t>
            </w:r>
          </w:p>
        </w:tc>
        <w:tc>
          <w:tcPr>
            <w:tcW w:w="2440" w:type="dxa"/>
            <w:vAlign w:val="bottom"/>
          </w:tcPr>
          <w:p>
            <w:pPr>
              <w:ind w:left="140"/>
              <w:spacing w:after="0" w:line="162" w:lineRule="exact"/>
              <w:rPr>
                <w:sz w:val="20"/>
                <w:szCs w:val="20"/>
                <w:color w:val="auto"/>
              </w:rPr>
            </w:pPr>
            <w:r>
              <w:rPr>
                <w:rFonts w:ascii="Arial" w:cs="Arial" w:eastAsia="Arial" w:hAnsi="Arial"/>
                <w:sz w:val="16"/>
                <w:szCs w:val="16"/>
                <w:color w:val="auto"/>
              </w:rPr>
              <w:t>Affirmative vote of a majority of</w:t>
            </w:r>
          </w:p>
        </w:tc>
        <w:tc>
          <w:tcPr>
            <w:tcW w:w="1200" w:type="dxa"/>
            <w:vAlign w:val="bottom"/>
            <w:vMerge w:val="restart"/>
          </w:tcPr>
          <w:p>
            <w:pPr>
              <w:ind w:left="40"/>
              <w:spacing w:after="0"/>
              <w:rPr>
                <w:sz w:val="20"/>
                <w:szCs w:val="20"/>
                <w:color w:val="auto"/>
              </w:rPr>
            </w:pPr>
            <w:r>
              <w:rPr>
                <w:rFonts w:ascii="Arial" w:cs="Arial" w:eastAsia="Arial" w:hAnsi="Arial"/>
                <w:sz w:val="16"/>
                <w:szCs w:val="16"/>
                <w:color w:val="auto"/>
                <w:w w:val="96"/>
              </w:rPr>
              <w:t>Vote “Against”</w:t>
            </w:r>
            <w:r>
              <w:rPr>
                <w:rFonts w:ascii="Arial" w:cs="Arial" w:eastAsia="Arial" w:hAnsi="Arial"/>
                <w:sz w:val="21"/>
                <w:szCs w:val="21"/>
                <w:color w:val="auto"/>
                <w:w w:val="96"/>
                <w:vertAlign w:val="superscript"/>
              </w:rPr>
              <w:t>(4)</w:t>
            </w:r>
          </w:p>
        </w:tc>
        <w:tc>
          <w:tcPr>
            <w:tcW w:w="0" w:type="dxa"/>
            <w:vAlign w:val="bottom"/>
          </w:tcPr>
          <w:p>
            <w:pPr>
              <w:spacing w:after="0"/>
              <w:rPr>
                <w:sz w:val="1"/>
                <w:szCs w:val="1"/>
                <w:color w:val="auto"/>
              </w:rPr>
            </w:pPr>
          </w:p>
        </w:tc>
      </w:tr>
      <w:tr>
        <w:trPr>
          <w:trHeight w:val="162"/>
        </w:trPr>
        <w:tc>
          <w:tcPr>
            <w:tcW w:w="2200" w:type="dxa"/>
            <w:vAlign w:val="bottom"/>
          </w:tcPr>
          <w:p>
            <w:pPr>
              <w:ind w:left="240"/>
              <w:spacing w:after="0" w:line="162" w:lineRule="exact"/>
              <w:rPr>
                <w:sz w:val="20"/>
                <w:szCs w:val="20"/>
                <w:color w:val="auto"/>
              </w:rPr>
            </w:pPr>
            <w:r>
              <w:rPr>
                <w:rFonts w:ascii="Arial" w:cs="Arial" w:eastAsia="Arial" w:hAnsi="Arial"/>
                <w:sz w:val="16"/>
                <w:szCs w:val="16"/>
                <w:b w:val="1"/>
                <w:bCs w:val="1"/>
                <w:color w:val="auto"/>
              </w:rPr>
              <w:t>Appointment of</w:t>
            </w:r>
          </w:p>
        </w:tc>
        <w:tc>
          <w:tcPr>
            <w:tcW w:w="2440" w:type="dxa"/>
            <w:vAlign w:val="bottom"/>
          </w:tcPr>
          <w:p>
            <w:pPr>
              <w:ind w:left="140"/>
              <w:spacing w:after="0" w:line="162" w:lineRule="exact"/>
              <w:rPr>
                <w:sz w:val="20"/>
                <w:szCs w:val="20"/>
                <w:color w:val="auto"/>
              </w:rPr>
            </w:pPr>
            <w:r>
              <w:rPr>
                <w:rFonts w:ascii="Arial" w:cs="Arial" w:eastAsia="Arial" w:hAnsi="Arial"/>
                <w:sz w:val="16"/>
                <w:szCs w:val="16"/>
                <w:color w:val="auto"/>
              </w:rPr>
              <w:t>the voting power present in</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40"/>
              <w:spacing w:after="0" w:line="162" w:lineRule="exact"/>
              <w:rPr>
                <w:sz w:val="20"/>
                <w:szCs w:val="20"/>
                <w:color w:val="auto"/>
              </w:rPr>
            </w:pPr>
            <w:r>
              <w:rPr>
                <w:rFonts w:ascii="Arial" w:cs="Arial" w:eastAsia="Arial" w:hAnsi="Arial"/>
                <w:sz w:val="16"/>
                <w:szCs w:val="16"/>
                <w:b w:val="1"/>
                <w:bCs w:val="1"/>
                <w:color w:val="auto"/>
              </w:rPr>
              <w:t>Independent Registered</w:t>
            </w:r>
          </w:p>
        </w:tc>
        <w:tc>
          <w:tcPr>
            <w:tcW w:w="2440" w:type="dxa"/>
            <w:vAlign w:val="bottom"/>
          </w:tcPr>
          <w:p>
            <w:pPr>
              <w:ind w:left="140"/>
              <w:spacing w:after="0" w:line="162" w:lineRule="exact"/>
              <w:rPr>
                <w:sz w:val="20"/>
                <w:szCs w:val="20"/>
                <w:color w:val="auto"/>
              </w:rPr>
            </w:pPr>
            <w:r>
              <w:rPr>
                <w:rFonts w:ascii="Arial" w:cs="Arial" w:eastAsia="Arial" w:hAnsi="Arial"/>
                <w:sz w:val="16"/>
                <w:szCs w:val="16"/>
                <w:color w:val="auto"/>
              </w:rPr>
              <w:t>person or represented by proxy</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40"/>
              <w:spacing w:after="0" w:line="162" w:lineRule="exact"/>
              <w:rPr>
                <w:sz w:val="20"/>
                <w:szCs w:val="20"/>
                <w:color w:val="auto"/>
              </w:rPr>
            </w:pPr>
            <w:r>
              <w:rPr>
                <w:rFonts w:ascii="Arial" w:cs="Arial" w:eastAsia="Arial" w:hAnsi="Arial"/>
                <w:sz w:val="16"/>
                <w:szCs w:val="16"/>
                <w:b w:val="1"/>
                <w:bCs w:val="1"/>
                <w:color w:val="auto"/>
              </w:rPr>
              <w:t>Public Accounting Firm</w:t>
            </w:r>
          </w:p>
        </w:tc>
        <w:tc>
          <w:tcPr>
            <w:tcW w:w="2440" w:type="dxa"/>
            <w:vAlign w:val="bottom"/>
          </w:tcPr>
          <w:p>
            <w:pPr>
              <w:ind w:left="140"/>
              <w:spacing w:after="0" w:line="162" w:lineRule="exact"/>
              <w:rPr>
                <w:sz w:val="20"/>
                <w:szCs w:val="20"/>
                <w:color w:val="auto"/>
              </w:rPr>
            </w:pPr>
            <w:r>
              <w:rPr>
                <w:rFonts w:ascii="Arial" w:cs="Arial" w:eastAsia="Arial" w:hAnsi="Arial"/>
                <w:sz w:val="16"/>
                <w:szCs w:val="16"/>
                <w:color w:val="auto"/>
              </w:rPr>
              <w:t>at the Annual Meeting and</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200" w:type="dxa"/>
            <w:vAlign w:val="bottom"/>
          </w:tcPr>
          <w:p>
            <w:pPr>
              <w:spacing w:after="0"/>
              <w:rPr>
                <w:sz w:val="18"/>
                <w:szCs w:val="18"/>
                <w:color w:val="auto"/>
              </w:rPr>
            </w:pPr>
          </w:p>
        </w:tc>
        <w:tc>
          <w:tcPr>
            <w:tcW w:w="2440" w:type="dxa"/>
            <w:vAlign w:val="bottom"/>
          </w:tcPr>
          <w:p>
            <w:pPr>
              <w:ind w:left="140"/>
              <w:spacing w:after="0"/>
              <w:rPr>
                <w:sz w:val="20"/>
                <w:szCs w:val="20"/>
                <w:color w:val="auto"/>
              </w:rPr>
            </w:pPr>
            <w:r>
              <w:rPr>
                <w:rFonts w:ascii="Arial" w:cs="Arial" w:eastAsia="Arial" w:hAnsi="Arial"/>
                <w:sz w:val="16"/>
                <w:szCs w:val="16"/>
                <w:color w:val="auto"/>
              </w:rPr>
              <w:t>entitled to vote on the matter</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Arial" w:cs="Arial" w:eastAsia="Arial" w:hAnsi="Arial"/>
          <w:sz w:val="16"/>
          <w:szCs w:val="16"/>
          <w:color w:val="auto"/>
        </w:rPr>
        <w:t>Not applicable (brokers may</w:t>
      </w:r>
    </w:p>
    <w:p>
      <w:pPr>
        <w:spacing w:after="0"/>
        <w:rPr>
          <w:sz w:val="20"/>
          <w:szCs w:val="20"/>
          <w:color w:val="auto"/>
        </w:rPr>
      </w:pPr>
      <w:r>
        <w:rPr>
          <w:rFonts w:ascii="Arial" w:cs="Arial" w:eastAsia="Arial" w:hAnsi="Arial"/>
          <w:sz w:val="16"/>
          <w:szCs w:val="16"/>
          <w:color w:val="auto"/>
        </w:rPr>
        <w:t>vote uninstructed shares)</w:t>
      </w:r>
    </w:p>
    <w:p>
      <w:pPr>
        <w:spacing w:after="0" w:line="501" w:lineRule="exact"/>
        <w:rPr>
          <w:sz w:val="20"/>
          <w:szCs w:val="20"/>
          <w:color w:val="auto"/>
        </w:rPr>
      </w:pPr>
    </w:p>
    <w:p>
      <w:pPr>
        <w:sectPr>
          <w:pgSz w:w="11900" w:h="16838" w:orient="portrait"/>
          <w:cols w:equalWidth="0" w:num="2">
            <w:col w:w="7340" w:space="720"/>
            <w:col w:w="3140"/>
          </w:cols>
          <w:pgMar w:left="320" w:top="1417" w:right="379" w:bottom="1440" w:gutter="0" w:footer="0" w:header="0"/>
          <w:type w:val="continuous"/>
        </w:sectPr>
      </w:pPr>
    </w:p>
    <w:tbl>
      <w:tblPr>
        <w:tblLayout w:type="fixed"/>
        <w:tblInd w:w="920" w:type="dxa"/>
        <w:tblCellMar>
          <w:top w:w="0" w:type="dxa"/>
          <w:left w:w="0" w:type="dxa"/>
          <w:bottom w:w="0" w:type="dxa"/>
          <w:right w:w="0" w:type="dxa"/>
        </w:tblCellMar>
      </w:tblPr>
      <w:tr>
        <w:trPr>
          <w:trHeight w:val="164"/>
        </w:trPr>
        <w:tc>
          <w:tcPr>
            <w:tcW w:w="2360" w:type="dxa"/>
            <w:vAlign w:val="bottom"/>
            <w:shd w:val="clear" w:color="auto" w:fill="DBE5F1"/>
          </w:tcPr>
          <w:p>
            <w:pPr>
              <w:ind w:left="100"/>
              <w:spacing w:after="0" w:line="164" w:lineRule="exact"/>
              <w:rPr>
                <w:sz w:val="20"/>
                <w:szCs w:val="20"/>
                <w:color w:val="auto"/>
              </w:rPr>
            </w:pPr>
            <w:r>
              <w:rPr>
                <w:rFonts w:ascii="Arial" w:cs="Arial" w:eastAsia="Arial" w:hAnsi="Arial"/>
                <w:sz w:val="16"/>
                <w:szCs w:val="16"/>
                <w:b w:val="1"/>
                <w:bCs w:val="1"/>
                <w:color w:val="auto"/>
              </w:rPr>
              <w:t>(3) Approval, on an Advisory</w:t>
            </w:r>
          </w:p>
        </w:tc>
        <w:tc>
          <w:tcPr>
            <w:tcW w:w="2380" w:type="dxa"/>
            <w:vAlign w:val="bottom"/>
            <w:shd w:val="clear" w:color="auto" w:fill="DBE5F1"/>
          </w:tcPr>
          <w:p>
            <w:pPr>
              <w:ind w:left="80"/>
              <w:spacing w:after="0" w:line="164" w:lineRule="exact"/>
              <w:rPr>
                <w:sz w:val="20"/>
                <w:szCs w:val="20"/>
                <w:color w:val="auto"/>
              </w:rPr>
            </w:pPr>
            <w:r>
              <w:rPr>
                <w:rFonts w:ascii="Arial" w:cs="Arial" w:eastAsia="Arial" w:hAnsi="Arial"/>
                <w:sz w:val="16"/>
                <w:szCs w:val="16"/>
                <w:color w:val="auto"/>
              </w:rPr>
              <w:t>Affirmative vote of a majority of</w:t>
            </w:r>
          </w:p>
        </w:tc>
        <w:tc>
          <w:tcPr>
            <w:tcW w:w="1800" w:type="dxa"/>
            <w:vAlign w:val="bottom"/>
            <w:vMerge w:val="restart"/>
            <w:shd w:val="clear" w:color="auto" w:fill="DBE5F1"/>
          </w:tcPr>
          <w:p>
            <w:pPr>
              <w:ind w:left="40"/>
              <w:spacing w:after="0"/>
              <w:rPr>
                <w:sz w:val="20"/>
                <w:szCs w:val="20"/>
                <w:color w:val="auto"/>
              </w:rPr>
            </w:pPr>
            <w:r>
              <w:rPr>
                <w:rFonts w:ascii="Arial" w:cs="Arial" w:eastAsia="Arial" w:hAnsi="Arial"/>
                <w:sz w:val="16"/>
                <w:szCs w:val="16"/>
                <w:color w:val="auto"/>
              </w:rPr>
              <w:t>Vote “Against”</w:t>
            </w:r>
            <w:r>
              <w:rPr>
                <w:rFonts w:ascii="Arial" w:cs="Arial" w:eastAsia="Arial" w:hAnsi="Arial"/>
                <w:sz w:val="21"/>
                <w:szCs w:val="21"/>
                <w:color w:val="auto"/>
                <w:vertAlign w:val="superscript"/>
              </w:rPr>
              <w:t>(4)</w:t>
            </w:r>
          </w:p>
        </w:tc>
        <w:tc>
          <w:tcPr>
            <w:tcW w:w="2880" w:type="dxa"/>
            <w:vAlign w:val="bottom"/>
            <w:shd w:val="clear" w:color="auto" w:fill="DBE5F1"/>
          </w:tcPr>
          <w:p>
            <w:pPr>
              <w:ind w:left="600"/>
              <w:spacing w:after="0" w:line="164" w:lineRule="exact"/>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162"/>
        </w:trPr>
        <w:tc>
          <w:tcPr>
            <w:tcW w:w="2360" w:type="dxa"/>
            <w:vAlign w:val="bottom"/>
            <w:shd w:val="clear" w:color="auto" w:fill="DBE5F1"/>
          </w:tcPr>
          <w:p>
            <w:pPr>
              <w:ind w:left="340"/>
              <w:spacing w:after="0" w:line="162" w:lineRule="exact"/>
              <w:rPr>
                <w:sz w:val="20"/>
                <w:szCs w:val="20"/>
                <w:color w:val="auto"/>
              </w:rPr>
            </w:pPr>
            <w:r>
              <w:rPr>
                <w:rFonts w:ascii="Arial" w:cs="Arial" w:eastAsia="Arial" w:hAnsi="Arial"/>
                <w:sz w:val="16"/>
                <w:szCs w:val="16"/>
                <w:b w:val="1"/>
                <w:bCs w:val="1"/>
                <w:color w:val="auto"/>
              </w:rPr>
              <w:t>Basis, of Executive</w:t>
            </w:r>
          </w:p>
        </w:tc>
        <w:tc>
          <w:tcPr>
            <w:tcW w:w="2380" w:type="dxa"/>
            <w:vAlign w:val="bottom"/>
            <w:shd w:val="clear" w:color="auto" w:fill="DBE5F1"/>
          </w:tcPr>
          <w:p>
            <w:pPr>
              <w:ind w:left="80"/>
              <w:spacing w:after="0" w:line="162" w:lineRule="exact"/>
              <w:rPr>
                <w:sz w:val="20"/>
                <w:szCs w:val="20"/>
                <w:color w:val="auto"/>
              </w:rPr>
            </w:pPr>
            <w:r>
              <w:rPr>
                <w:rFonts w:ascii="Arial" w:cs="Arial" w:eastAsia="Arial" w:hAnsi="Arial"/>
                <w:sz w:val="16"/>
                <w:szCs w:val="16"/>
                <w:color w:val="auto"/>
              </w:rPr>
              <w:t>the voting power present in</w:t>
            </w:r>
          </w:p>
        </w:tc>
        <w:tc>
          <w:tcPr>
            <w:tcW w:w="1800" w:type="dxa"/>
            <w:vAlign w:val="bottom"/>
            <w:vMerge w:val="continue"/>
            <w:shd w:val="clear" w:color="auto" w:fill="DBE5F1"/>
          </w:tcPr>
          <w:p>
            <w:pPr>
              <w:spacing w:after="0"/>
              <w:rPr>
                <w:sz w:val="14"/>
                <w:szCs w:val="14"/>
                <w:color w:val="auto"/>
              </w:rPr>
            </w:pPr>
          </w:p>
        </w:tc>
        <w:tc>
          <w:tcPr>
            <w:tcW w:w="2880" w:type="dxa"/>
            <w:vAlign w:val="bottom"/>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DBE5F1"/>
          </w:tcPr>
          <w:p>
            <w:pPr>
              <w:ind w:left="340"/>
              <w:spacing w:after="0" w:line="162" w:lineRule="exact"/>
              <w:rPr>
                <w:sz w:val="20"/>
                <w:szCs w:val="20"/>
                <w:color w:val="auto"/>
              </w:rPr>
            </w:pPr>
            <w:r>
              <w:rPr>
                <w:rFonts w:ascii="Arial" w:cs="Arial" w:eastAsia="Arial" w:hAnsi="Arial"/>
                <w:sz w:val="16"/>
                <w:szCs w:val="16"/>
                <w:b w:val="1"/>
                <w:bCs w:val="1"/>
                <w:color w:val="auto"/>
              </w:rPr>
              <w:t>Compensation</w:t>
            </w:r>
          </w:p>
        </w:tc>
        <w:tc>
          <w:tcPr>
            <w:tcW w:w="2380" w:type="dxa"/>
            <w:vAlign w:val="bottom"/>
            <w:shd w:val="clear" w:color="auto" w:fill="DBE5F1"/>
          </w:tcPr>
          <w:p>
            <w:pPr>
              <w:ind w:left="80"/>
              <w:spacing w:after="0" w:line="162" w:lineRule="exact"/>
              <w:rPr>
                <w:sz w:val="20"/>
                <w:szCs w:val="20"/>
                <w:color w:val="auto"/>
              </w:rPr>
            </w:pPr>
            <w:r>
              <w:rPr>
                <w:rFonts w:ascii="Arial" w:cs="Arial" w:eastAsia="Arial" w:hAnsi="Arial"/>
                <w:sz w:val="16"/>
                <w:szCs w:val="16"/>
                <w:color w:val="auto"/>
              </w:rPr>
              <w:t>person or represented by proxy</w:t>
            </w:r>
          </w:p>
        </w:tc>
        <w:tc>
          <w:tcPr>
            <w:tcW w:w="1800" w:type="dxa"/>
            <w:vAlign w:val="bottom"/>
            <w:shd w:val="clear" w:color="auto" w:fill="DBE5F1"/>
          </w:tcPr>
          <w:p>
            <w:pPr>
              <w:spacing w:after="0"/>
              <w:rPr>
                <w:sz w:val="14"/>
                <w:szCs w:val="14"/>
                <w:color w:val="auto"/>
              </w:rPr>
            </w:pPr>
          </w:p>
        </w:tc>
        <w:tc>
          <w:tcPr>
            <w:tcW w:w="2880" w:type="dxa"/>
            <w:vAlign w:val="bottom"/>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DBE5F1"/>
          </w:tcPr>
          <w:p>
            <w:pPr>
              <w:spacing w:after="0"/>
              <w:rPr>
                <w:sz w:val="14"/>
                <w:szCs w:val="14"/>
                <w:color w:val="auto"/>
              </w:rPr>
            </w:pPr>
          </w:p>
        </w:tc>
        <w:tc>
          <w:tcPr>
            <w:tcW w:w="2380" w:type="dxa"/>
            <w:vAlign w:val="bottom"/>
            <w:shd w:val="clear" w:color="auto" w:fill="DBE5F1"/>
          </w:tcPr>
          <w:p>
            <w:pPr>
              <w:ind w:left="80"/>
              <w:spacing w:after="0" w:line="162" w:lineRule="exact"/>
              <w:rPr>
                <w:sz w:val="20"/>
                <w:szCs w:val="20"/>
                <w:color w:val="auto"/>
              </w:rPr>
            </w:pPr>
            <w:r>
              <w:rPr>
                <w:rFonts w:ascii="Arial" w:cs="Arial" w:eastAsia="Arial" w:hAnsi="Arial"/>
                <w:sz w:val="16"/>
                <w:szCs w:val="16"/>
                <w:color w:val="auto"/>
              </w:rPr>
              <w:t>at the Annual Meeting and</w:t>
            </w:r>
          </w:p>
        </w:tc>
        <w:tc>
          <w:tcPr>
            <w:tcW w:w="1800" w:type="dxa"/>
            <w:vAlign w:val="bottom"/>
            <w:shd w:val="clear" w:color="auto" w:fill="DBE5F1"/>
          </w:tcPr>
          <w:p>
            <w:pPr>
              <w:spacing w:after="0"/>
              <w:rPr>
                <w:sz w:val="14"/>
                <w:szCs w:val="14"/>
                <w:color w:val="auto"/>
              </w:rPr>
            </w:pPr>
          </w:p>
        </w:tc>
        <w:tc>
          <w:tcPr>
            <w:tcW w:w="2880" w:type="dxa"/>
            <w:vAlign w:val="bottom"/>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360" w:type="dxa"/>
            <w:vAlign w:val="bottom"/>
            <w:tcBorders>
              <w:bottom w:val="single" w:sz="8" w:color="95B3D7"/>
            </w:tcBorders>
            <w:shd w:val="clear" w:color="auto" w:fill="DBE5F1"/>
          </w:tcPr>
          <w:p>
            <w:pPr>
              <w:spacing w:after="0"/>
              <w:rPr>
                <w:sz w:val="18"/>
                <w:szCs w:val="18"/>
                <w:color w:val="auto"/>
              </w:rPr>
            </w:pPr>
          </w:p>
        </w:tc>
        <w:tc>
          <w:tcPr>
            <w:tcW w:w="2380" w:type="dxa"/>
            <w:vAlign w:val="bottom"/>
            <w:tcBorders>
              <w:bottom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entitled to vote on the matter</w:t>
            </w:r>
          </w:p>
        </w:tc>
        <w:tc>
          <w:tcPr>
            <w:tcW w:w="1800" w:type="dxa"/>
            <w:vAlign w:val="bottom"/>
            <w:tcBorders>
              <w:bottom w:val="single" w:sz="8" w:color="95B3D7"/>
            </w:tcBorders>
            <w:shd w:val="clear" w:color="auto" w:fill="DBE5F1"/>
          </w:tcPr>
          <w:p>
            <w:pPr>
              <w:spacing w:after="0"/>
              <w:rPr>
                <w:sz w:val="18"/>
                <w:szCs w:val="18"/>
                <w:color w:val="auto"/>
              </w:rPr>
            </w:pPr>
          </w:p>
        </w:tc>
        <w:tc>
          <w:tcPr>
            <w:tcW w:w="2880" w:type="dxa"/>
            <w:vAlign w:val="bottom"/>
            <w:tcBorders>
              <w:bottom w:val="single" w:sz="8" w:color="95B3D7"/>
            </w:tcBorders>
            <w:shd w:val="clear" w:color="auto" w:fill="DBE5F1"/>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14"/>
          <w:szCs w:val="14"/>
          <w:color w:val="auto"/>
        </w:rPr>
      </w:pPr>
      <w:r>
        <w:rPr>
          <w:rFonts w:ascii="Arial" w:cs="Arial" w:eastAsia="Arial" w:hAnsi="Arial"/>
          <w:sz w:val="14"/>
          <w:szCs w:val="14"/>
          <w:color w:val="auto"/>
        </w:rPr>
        <w:t>Proxy cards that are signed and returned but include unmarked votes will be voted in accordance with our Board’s recommendations.</w:t>
      </w:r>
    </w:p>
    <w:p>
      <w:pPr>
        <w:spacing w:after="0" w:line="121" w:lineRule="exact"/>
        <w:rPr>
          <w:rFonts w:ascii="Times New Roman" w:cs="Times New Roman" w:eastAsia="Times New Roman" w:hAnsi="Times New Roman"/>
          <w:sz w:val="14"/>
          <w:szCs w:val="14"/>
          <w:color w:val="auto"/>
        </w:rPr>
      </w:pPr>
    </w:p>
    <w:p>
      <w:pPr>
        <w:ind w:left="660" w:hanging="328"/>
        <w:spacing w:after="0" w:line="279" w:lineRule="auto"/>
        <w:tabs>
          <w:tab w:leader="none" w:pos="652" w:val="left"/>
        </w:tabs>
        <w:numPr>
          <w:ilvl w:val="0"/>
          <w:numId w:val="13"/>
        </w:numPr>
        <w:rPr>
          <w:rFonts w:ascii="Times New Roman" w:cs="Times New Roman" w:eastAsia="Times New Roman" w:hAnsi="Times New Roman"/>
          <w:sz w:val="14"/>
          <w:szCs w:val="14"/>
          <w:color w:val="auto"/>
        </w:rPr>
      </w:pPr>
      <w:r>
        <w:rPr>
          <w:rFonts w:ascii="Arial" w:cs="Arial" w:eastAsia="Arial" w:hAnsi="Arial"/>
          <w:sz w:val="14"/>
          <w:szCs w:val="14"/>
          <w:color w:val="auto"/>
        </w:rPr>
        <w:t>If you are a beneficial owner whose shares are held of record by a broker or other New York Stock Exchange (“NYSE”) member organization, you must instruct the broker how to vote your shares. If you do not provide voting instructions, your shares will not be voted on any proposal on which the broker does not have discretionary authority to vote. This is called a “broker non-vote.” A broker non-vote will not affect the outcome of the vote for Proposal 1 or Proposal 3, because they are not considered to be shares entitled to vote on these “non-routine” matters. Proposal 2 is a “routine” matter, and so brokers are permitted discretionary authority to vote.</w:t>
      </w:r>
    </w:p>
    <w:p>
      <w:pPr>
        <w:spacing w:after="0" w:line="344" w:lineRule="exact"/>
        <w:rPr>
          <w:rFonts w:ascii="Times New Roman" w:cs="Times New Roman" w:eastAsia="Times New Roman" w:hAnsi="Times New Roman"/>
          <w:sz w:val="14"/>
          <w:szCs w:val="14"/>
          <w:color w:val="auto"/>
        </w:rPr>
      </w:pPr>
    </w:p>
    <w:p>
      <w:pPr>
        <w:ind w:left="660" w:right="160" w:hanging="328"/>
        <w:spacing w:after="0" w:line="292" w:lineRule="auto"/>
        <w:tabs>
          <w:tab w:leader="none" w:pos="652" w:val="left"/>
        </w:tabs>
        <w:numPr>
          <w:ilvl w:val="0"/>
          <w:numId w:val="13"/>
        </w:numPr>
        <w:rPr>
          <w:rFonts w:ascii="Times New Roman" w:cs="Times New Roman" w:eastAsia="Times New Roman" w:hAnsi="Times New Roman"/>
          <w:sz w:val="14"/>
          <w:szCs w:val="14"/>
          <w:color w:val="auto"/>
        </w:rPr>
      </w:pPr>
      <w:r>
        <w:rPr>
          <w:rFonts w:ascii="Arial" w:cs="Arial" w:eastAsia="Arial" w:hAnsi="Arial"/>
          <w:sz w:val="14"/>
          <w:szCs w:val="14"/>
          <w:color w:val="auto"/>
        </w:rPr>
        <w:t>A plurality of the votes cast by the shares of common stock present or represented by proxy at the meeting and entitled to vote thereon is required to elect each nominee named herein. This means that the three nominees receiving the highest number of votes at the Annual Meeting will be elected, even if those votes do not constitute a majority of the votes cast.</w:t>
      </w:r>
    </w:p>
    <w:p>
      <w:pPr>
        <w:spacing w:after="0" w:line="59" w:lineRule="exact"/>
        <w:rPr>
          <w:rFonts w:ascii="Times New Roman" w:cs="Times New Roman" w:eastAsia="Times New Roman" w:hAnsi="Times New Roman"/>
          <w:sz w:val="14"/>
          <w:szCs w:val="14"/>
          <w:color w:val="auto"/>
        </w:rPr>
      </w:pPr>
    </w:p>
    <w:p>
      <w:pPr>
        <w:ind w:left="660" w:right="260" w:hanging="328"/>
        <w:spacing w:after="0" w:line="324" w:lineRule="auto"/>
        <w:tabs>
          <w:tab w:leader="none" w:pos="652" w:val="left"/>
        </w:tabs>
        <w:numPr>
          <w:ilvl w:val="0"/>
          <w:numId w:val="13"/>
        </w:numPr>
        <w:rPr>
          <w:rFonts w:ascii="Times New Roman" w:cs="Times New Roman" w:eastAsia="Times New Roman" w:hAnsi="Times New Roman"/>
          <w:sz w:val="14"/>
          <w:szCs w:val="14"/>
          <w:color w:val="auto"/>
        </w:rPr>
      </w:pPr>
      <w:r>
        <w:rPr>
          <w:rFonts w:ascii="Arial" w:cs="Arial" w:eastAsia="Arial" w:hAnsi="Arial"/>
          <w:sz w:val="14"/>
          <w:szCs w:val="14"/>
          <w:color w:val="auto"/>
        </w:rPr>
        <w:t>Abstentions will be counted as present and entitled to vote on the proposals and will therefore have the effect of a negative vote. If you hold your shares through a bank, broker or other holder of record and you do not instruct them on how to vote on this proposal, they will not have the authority to vote your shares.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What is a “broker non-vote”?</w:t>
      </w:r>
    </w:p>
    <w:p>
      <w:pPr>
        <w:spacing w:after="0" w:line="225"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A broker non-vote occurs when a broker holding shares for a beneficial owner does not vote on a particular proposal because the broker does not have discretionary voting power with respect to that item and has not received voting instructions from the beneficial owner, but does have discretionary voting power over other items and submits votes for those matters. As discussed above, if you hold shares through a broker or other nominee and do not provide voting instructions to your broker, your shares may not be voted with respect to certain proposals, including the proposals listed above that are not considered “routine” and therefore discretionary voting by the broker or other NYSE member is not permitted. Among the matters submitted to the vote of stockholders at the Annual Meeting, only Proposal 2 is considered a “routine” matter.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What constitutes a “quorum”?</w:t>
      </w:r>
    </w:p>
    <w:p>
      <w:pPr>
        <w:spacing w:after="0" w:line="225"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auto"/>
        </w:rPr>
        <w:t>A “quorum” is the presence at the Annual Meeting, virtually or by proxy, of a majority of the outstanding shares entitled to vote at the Annual Meeting. Shares may be voted at the Annual Meeting by a signed proxy card, by telephone instruction, or electronically on the Internet. There must be a quorum for the Annual Meeting to be held. Abstentions and broker non-votes are counted as present and entitled to vote for purposes of determining whether a quorum exists.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type w:val="continuous"/>
        </w:sectPr>
      </w:pPr>
    </w:p>
    <w:bookmarkStart w:id="13" w:name="page14"/>
    <w:bookmarkEnd w:id="13"/>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When will the results of the vote be announced?</w:t>
      </w:r>
    </w:p>
    <w:p>
      <w:pPr>
        <w:spacing w:after="0" w:line="225" w:lineRule="exact"/>
        <w:rPr>
          <w:sz w:val="20"/>
          <w:szCs w:val="20"/>
          <w:color w:val="auto"/>
        </w:rPr>
      </w:pPr>
    </w:p>
    <w:p>
      <w:pPr>
        <w:ind w:right="40" w:firstLine="405"/>
        <w:spacing w:after="0" w:line="287" w:lineRule="auto"/>
        <w:rPr>
          <w:sz w:val="20"/>
          <w:szCs w:val="20"/>
          <w:color w:val="auto"/>
        </w:rPr>
      </w:pPr>
      <w:r>
        <w:rPr>
          <w:rFonts w:ascii="Arial" w:cs="Arial" w:eastAsia="Arial" w:hAnsi="Arial"/>
          <w:sz w:val="18"/>
          <w:szCs w:val="18"/>
          <w:color w:val="auto"/>
        </w:rPr>
        <w:t>The preliminary voting results will be announced at the Annual Meeting. The final voting results will be published in a Current Report on Form 8-K filed with the SEC within four business days after the Annual Meeting.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What is the deadline for submitting a stockholder proposal or director nomination for the 2026 Annual Meeting?</w:t>
      </w:r>
    </w:p>
    <w:p>
      <w:pPr>
        <w:spacing w:after="0" w:line="22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Stockholder proposals pursuant to SEC Rule 14a-8 for inclusion in the proxy statement and form of proxy for Alignment’s Annual Meeting of Stockholders to be held in 2026 must be received by us at our principal executive offices at 1100 W. Town &amp; Country Rd., Suite 1600, Orange, CA 92868 no later than the close of business on December 26, 2025. Stockholders wishing to make a director nomination or bring a proposal before the annual meeting to be held in 2026 (but not include it in our proxy materials) must provide written notice of such nomination or proposal to the Chief Legal &amp; Administrative Officer at our principal executive offices no later than March 7, 2026 and not earlier than February 5, 2026, assuming we do not change the date of the 2026 annual meeting of stockholders by more than 30 days before or after the anniversary of the 2025 Annual Meeting. If we do, written notice of the proposal or nomination must be delivered by the later of</w:t>
      </w:r>
    </w:p>
    <w:p>
      <w:pPr>
        <w:spacing w:after="0" w:line="3" w:lineRule="exact"/>
        <w:rPr>
          <w:sz w:val="20"/>
          <w:szCs w:val="20"/>
          <w:color w:val="auto"/>
        </w:rPr>
      </w:pPr>
    </w:p>
    <w:p>
      <w:pPr>
        <w:jc w:val="both"/>
        <w:ind w:right="280" w:firstLine="8"/>
        <w:spacing w:after="0" w:line="255" w:lineRule="auto"/>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tenth day following the day that public announcement of the date of the 2026 annual meeting is first made, or (y) the date which is ninety (90) days prior to the date of the 2026 annual meeting. Any stockholder proposal or director nomination must comply with the other provisions of our Amended and Restated Bylaws and be submitted in writing to the Chief Legal &amp; Administrative Officer at our principal executive offices in the form provided for in our Amended and Restated Bylaws.</w:t>
      </w:r>
    </w:p>
    <w:p>
      <w:pPr>
        <w:spacing w:after="0" w:line="182" w:lineRule="exact"/>
        <w:rPr>
          <w:sz w:val="20"/>
          <w:szCs w:val="20"/>
          <w:color w:val="auto"/>
        </w:rPr>
      </w:pPr>
    </w:p>
    <w:p>
      <w:pPr>
        <w:ind w:right="40" w:firstLine="405"/>
        <w:spacing w:after="0" w:line="261" w:lineRule="auto"/>
        <w:rPr>
          <w:sz w:val="20"/>
          <w:szCs w:val="20"/>
          <w:color w:val="auto"/>
        </w:rPr>
      </w:pPr>
      <w:r>
        <w:rPr>
          <w:rFonts w:ascii="Arial" w:cs="Arial" w:eastAsia="Arial" w:hAnsi="Arial"/>
          <w:sz w:val="18"/>
          <w:szCs w:val="18"/>
          <w:color w:val="auto"/>
        </w:rPr>
        <w:t>Additionally, to comply with the SEC’s universal proxy rules, stockholders who intend to solicit proxies in support of director nominees other than the Company’s nominees must provide notice that sets forth the information required by Rule 14a-19 under the Exchange Act no later than April 6, 2026. If the date of the 2026 annual meeting changes by more than 30 calendar days before or after the anniversary of the 2025 Annual Meeting, such notice must instead be provided by the later of 60 calendar days prior to the date of the 2026 annual meeting or the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calendar day following public announcement by the Company of the date of the 2026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PROXY SUMMARY</w:t>
      </w:r>
    </w:p>
    <w:p>
      <w:pPr>
        <w:spacing w:after="0" w:line="227" w:lineRule="exact"/>
        <w:rPr>
          <w:sz w:val="20"/>
          <w:szCs w:val="20"/>
          <w:color w:val="auto"/>
        </w:rPr>
      </w:pPr>
    </w:p>
    <w:p>
      <w:pPr>
        <w:ind w:right="120" w:firstLine="405"/>
        <w:spacing w:after="0" w:line="267" w:lineRule="auto"/>
        <w:rPr>
          <w:sz w:val="20"/>
          <w:szCs w:val="20"/>
          <w:color w:val="auto"/>
        </w:rPr>
      </w:pPr>
      <w:r>
        <w:rPr>
          <w:rFonts w:ascii="Arial" w:cs="Arial" w:eastAsia="Arial" w:hAnsi="Arial"/>
          <w:sz w:val="18"/>
          <w:szCs w:val="18"/>
          <w:i w:val="1"/>
          <w:iCs w:val="1"/>
          <w:color w:val="auto"/>
        </w:rPr>
        <w:t>This summary highlights certain information contained elsewhere in our proxy statement. This summary does not contain all of the information that you should consider, and you should carefully read the entire proxy statement and our 2024 Annual Report to Stockholders before voting.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About Us</w:t>
      </w:r>
    </w:p>
    <w:p>
      <w:pPr>
        <w:spacing w:after="0" w:line="144"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Alignment Healthcare is a next generation, consumer-centric platform designed to improve the health care experience for seniors. We deliver this experience through our Medicare Advantage plans, which are customized to meet the needs of a diverse array of seniors. Our innovative model of consumer-centric health care is purpose-built to provide seniors with care as it should be: high quality, low cost and accompanied by a vastly improved consumer experience. We combine a proprietary technology platform and a high-touch clinical model that enhances our members’ lifestyles and health outcomes while simultaneously controlling costs, which allows us to reinvest savings back into our platform and products to directly benefit the senior consumer. Our model is based on a flywheel concept, referred to as our “virtuous cycle,” which reflects our unique ability to manage health care expenditures while maintaining quality and member satisfaction.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33655</wp:posOffset>
            </wp:positionV>
            <wp:extent cx="4603115" cy="2588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03115"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Our ability to deliver lower health care costs while improving the consumer’s experience is a unique competitive advantage. In 2024, we achieved an overall Net Promoter Score (“NPS”) of 61, which includes an NPS of greater than 78 for our Care Anywhere program, and we had 98% of our members enrolled in a plan with a CMS star rating of 4 stars or above. From a clinical standpoint, we achieved a hospitalization rate of approximately 149 hospitalizations per every 1,000 at-risk members, which is approximately 41% lower than the 2019 Medicare FFS performance in our markets. These outcomes are achieved through our high-touch clinical model, which proactively manages chronic conditions and assists with post-discharge care navigation. Additionally, in 2024, the Company enhanced post-hospitalization care by embedding Alignment-employed Regional Medical Officers in skilled nursing facilities, ensuring high-risk members receive hands-on, real-time support to reduce readmissions and improve recovery outcomes. This differentiation has led to our demonstrated ability to rapidly scale, as evidenced by the expansion of our model to 53 markets across five states covering approximately 209,900 health plan members as of January 1, 2025 and more than 80% of gross sales sourced through plan switchers from a competing MA plan. We believe we have proven that our model is highly predictable and repeatable across different markets and will enable strong growth on a national level as we pursue our vision of becoming the most trusted senior health care brand in the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1305560</wp:posOffset>
            </wp:positionH>
            <wp:positionV relativeFrom="page">
              <wp:posOffset>1023620</wp:posOffset>
            </wp:positionV>
            <wp:extent cx="4937760" cy="27774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493776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firstLine="405"/>
        <w:spacing w:after="0" w:line="287" w:lineRule="auto"/>
        <w:rPr>
          <w:sz w:val="20"/>
          <w:szCs w:val="20"/>
          <w:color w:val="auto"/>
        </w:rPr>
      </w:pPr>
      <w:r>
        <w:rPr>
          <w:rFonts w:ascii="Arial" w:cs="Arial" w:eastAsia="Arial" w:hAnsi="Arial"/>
          <w:sz w:val="18"/>
          <w:szCs w:val="18"/>
          <w:color w:val="auto"/>
        </w:rPr>
        <w:t>Our platform was developed to align with the six core principles that we believe will be required to successfully deliver health care in the 21st century and that we believe represent our key competitive strengths. Our platform enables us to:</w:t>
      </w:r>
    </w:p>
    <w:p>
      <w:pPr>
        <w:spacing w:after="0" w:line="11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leverage data, technology and analytics to power all aspects of our model;</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engage consumers directly and develop products to meet their needs;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proactively manage and coordinate care for our most vulnerable members;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empower providers and employ flexible care delivery models;</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design and deploy innovative value-based payment models; and</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cultivate a culture of innovation.</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Voting Matters and Board Recommendations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Voting Matter</w:t>
            </w:r>
          </w:p>
        </w:tc>
        <w:tc>
          <w:tcPr>
            <w:tcW w:w="34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Vote Standard</w:t>
            </w:r>
          </w:p>
        </w:tc>
        <w:tc>
          <w:tcPr>
            <w:tcW w:w="26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Board Vote Recommendation</w:t>
            </w:r>
          </w:p>
        </w:tc>
        <w:tc>
          <w:tcPr>
            <w:tcW w:w="12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See Page</w:t>
            </w:r>
          </w:p>
        </w:tc>
      </w:tr>
      <w:tr>
        <w:trPr>
          <w:trHeight w:val="210"/>
        </w:trPr>
        <w:tc>
          <w:tcPr>
            <w:tcW w:w="1300" w:type="dxa"/>
            <w:vAlign w:val="bottom"/>
            <w:shd w:val="clear" w:color="auto" w:fill="DBE5F1"/>
          </w:tcPr>
          <w:p>
            <w:pPr>
              <w:ind w:left="80"/>
              <w:spacing w:after="0"/>
              <w:rPr>
                <w:sz w:val="20"/>
                <w:szCs w:val="20"/>
                <w:color w:val="auto"/>
              </w:rPr>
            </w:pPr>
            <w:r>
              <w:rPr>
                <w:rFonts w:ascii="Arial" w:cs="Arial" w:eastAsia="Arial" w:hAnsi="Arial"/>
                <w:sz w:val="16"/>
                <w:szCs w:val="16"/>
                <w:b w:val="1"/>
                <w:bCs w:val="1"/>
                <w:color w:val="auto"/>
              </w:rPr>
              <w:t>Proposal 1</w:t>
            </w:r>
          </w:p>
        </w:tc>
        <w:tc>
          <w:tcPr>
            <w:tcW w:w="2680" w:type="dxa"/>
            <w:vAlign w:val="bottom"/>
            <w:shd w:val="clear" w:color="auto" w:fill="DBE5F1"/>
          </w:tcPr>
          <w:p>
            <w:pPr>
              <w:ind w:left="380"/>
              <w:spacing w:after="0"/>
              <w:rPr>
                <w:sz w:val="20"/>
                <w:szCs w:val="20"/>
                <w:color w:val="auto"/>
              </w:rPr>
            </w:pPr>
            <w:r>
              <w:rPr>
                <w:rFonts w:ascii="Arial" w:cs="Arial" w:eastAsia="Arial" w:hAnsi="Arial"/>
                <w:sz w:val="16"/>
                <w:szCs w:val="16"/>
                <w:color w:val="auto"/>
              </w:rPr>
              <w:t>Election of Directors</w:t>
            </w:r>
          </w:p>
        </w:tc>
        <w:tc>
          <w:tcPr>
            <w:tcW w:w="3420" w:type="dxa"/>
            <w:vAlign w:val="bottom"/>
            <w:shd w:val="clear" w:color="auto" w:fill="DBE5F1"/>
          </w:tcPr>
          <w:p>
            <w:pPr>
              <w:ind w:left="100"/>
              <w:spacing w:after="0"/>
              <w:rPr>
                <w:sz w:val="20"/>
                <w:szCs w:val="20"/>
                <w:color w:val="auto"/>
              </w:rPr>
            </w:pPr>
            <w:r>
              <w:rPr>
                <w:rFonts w:ascii="Arial" w:cs="Arial" w:eastAsia="Arial" w:hAnsi="Arial"/>
                <w:sz w:val="16"/>
                <w:szCs w:val="16"/>
                <w:color w:val="auto"/>
              </w:rPr>
              <w:t>Plurality of votes cast</w:t>
            </w:r>
          </w:p>
        </w:tc>
        <w:tc>
          <w:tcPr>
            <w:tcW w:w="2620" w:type="dxa"/>
            <w:vAlign w:val="bottom"/>
            <w:shd w:val="clear" w:color="auto" w:fill="DBE5F1"/>
          </w:tcPr>
          <w:p>
            <w:pPr>
              <w:ind w:left="120"/>
              <w:spacing w:after="0"/>
              <w:rPr>
                <w:sz w:val="20"/>
                <w:szCs w:val="20"/>
                <w:color w:val="auto"/>
              </w:rPr>
            </w:pPr>
            <w:r>
              <w:rPr>
                <w:rFonts w:ascii="Arial" w:cs="Arial" w:eastAsia="Arial" w:hAnsi="Arial"/>
                <w:sz w:val="16"/>
                <w:szCs w:val="16"/>
                <w:color w:val="auto"/>
              </w:rPr>
              <w:t>FOR EACH NOMINEE</w:t>
            </w:r>
          </w:p>
        </w:tc>
        <w:tc>
          <w:tcPr>
            <w:tcW w:w="1220" w:type="dxa"/>
            <w:vAlign w:val="bottom"/>
            <w:shd w:val="clear" w:color="auto" w:fill="DBE5F1"/>
          </w:tcPr>
          <w:p>
            <w:pPr>
              <w:ind w:left="240"/>
              <w:spacing w:after="0"/>
              <w:rPr>
                <w:sz w:val="20"/>
                <w:szCs w:val="20"/>
                <w:color w:val="auto"/>
              </w:rPr>
            </w:pPr>
            <w:r>
              <w:rPr>
                <w:rFonts w:ascii="Arial" w:cs="Arial" w:eastAsia="Arial" w:hAnsi="Arial"/>
                <w:sz w:val="16"/>
                <w:szCs w:val="16"/>
                <w:color w:val="auto"/>
              </w:rPr>
              <w:t>13</w:t>
            </w:r>
          </w:p>
        </w:tc>
      </w:tr>
      <w:tr>
        <w:trPr>
          <w:trHeight w:val="162"/>
        </w:trPr>
        <w:tc>
          <w:tcPr>
            <w:tcW w:w="1300" w:type="dxa"/>
            <w:vAlign w:val="bottom"/>
          </w:tcPr>
          <w:p>
            <w:pPr>
              <w:ind w:left="80"/>
              <w:spacing w:after="0" w:line="162" w:lineRule="exact"/>
              <w:rPr>
                <w:sz w:val="20"/>
                <w:szCs w:val="20"/>
                <w:color w:val="auto"/>
              </w:rPr>
            </w:pPr>
            <w:r>
              <w:rPr>
                <w:rFonts w:ascii="Arial" w:cs="Arial" w:eastAsia="Arial" w:hAnsi="Arial"/>
                <w:sz w:val="16"/>
                <w:szCs w:val="16"/>
                <w:b w:val="1"/>
                <w:bCs w:val="1"/>
                <w:color w:val="auto"/>
              </w:rPr>
              <w:t>Proposal 2</w:t>
            </w:r>
          </w:p>
        </w:tc>
        <w:tc>
          <w:tcPr>
            <w:tcW w:w="2680" w:type="dxa"/>
            <w:vAlign w:val="bottom"/>
          </w:tcPr>
          <w:p>
            <w:pPr>
              <w:ind w:left="380"/>
              <w:spacing w:after="0" w:line="162" w:lineRule="exact"/>
              <w:rPr>
                <w:sz w:val="20"/>
                <w:szCs w:val="20"/>
                <w:color w:val="auto"/>
              </w:rPr>
            </w:pPr>
            <w:r>
              <w:rPr>
                <w:rFonts w:ascii="Arial" w:cs="Arial" w:eastAsia="Arial" w:hAnsi="Arial"/>
                <w:sz w:val="16"/>
                <w:szCs w:val="16"/>
                <w:color w:val="auto"/>
              </w:rPr>
              <w:t>Ratification of Independent</w:t>
            </w:r>
          </w:p>
        </w:tc>
        <w:tc>
          <w:tcPr>
            <w:tcW w:w="3420" w:type="dxa"/>
            <w:vAlign w:val="bottom"/>
          </w:tcPr>
          <w:p>
            <w:pPr>
              <w:ind w:left="100"/>
              <w:spacing w:after="0" w:line="162" w:lineRule="exact"/>
              <w:rPr>
                <w:sz w:val="20"/>
                <w:szCs w:val="20"/>
                <w:color w:val="auto"/>
              </w:rPr>
            </w:pPr>
            <w:r>
              <w:rPr>
                <w:rFonts w:ascii="Arial" w:cs="Arial" w:eastAsia="Arial" w:hAnsi="Arial"/>
                <w:sz w:val="16"/>
                <w:szCs w:val="16"/>
                <w:color w:val="auto"/>
              </w:rPr>
              <w:t>Majority of voting power present in person or</w:t>
            </w:r>
          </w:p>
        </w:tc>
        <w:tc>
          <w:tcPr>
            <w:tcW w:w="2620" w:type="dxa"/>
            <w:vAlign w:val="bottom"/>
          </w:tcPr>
          <w:p>
            <w:pPr>
              <w:ind w:left="120"/>
              <w:spacing w:after="0" w:line="162" w:lineRule="exact"/>
              <w:rPr>
                <w:sz w:val="20"/>
                <w:szCs w:val="20"/>
                <w:color w:val="auto"/>
              </w:rPr>
            </w:pPr>
            <w:r>
              <w:rPr>
                <w:rFonts w:ascii="Arial" w:cs="Arial" w:eastAsia="Arial" w:hAnsi="Arial"/>
                <w:sz w:val="16"/>
                <w:szCs w:val="16"/>
                <w:color w:val="auto"/>
              </w:rPr>
              <w:t>FOR</w:t>
            </w:r>
          </w:p>
        </w:tc>
        <w:tc>
          <w:tcPr>
            <w:tcW w:w="1220" w:type="dxa"/>
            <w:vAlign w:val="bottom"/>
          </w:tcPr>
          <w:p>
            <w:pPr>
              <w:ind w:left="240"/>
              <w:spacing w:after="0" w:line="162" w:lineRule="exact"/>
              <w:rPr>
                <w:sz w:val="20"/>
                <w:szCs w:val="20"/>
                <w:color w:val="auto"/>
              </w:rPr>
            </w:pPr>
            <w:r>
              <w:rPr>
                <w:rFonts w:ascii="Arial" w:cs="Arial" w:eastAsia="Arial" w:hAnsi="Arial"/>
                <w:sz w:val="16"/>
                <w:szCs w:val="16"/>
                <w:color w:val="auto"/>
              </w:rPr>
              <w:t>79</w:t>
            </w:r>
          </w:p>
        </w:tc>
      </w:tr>
      <w:tr>
        <w:trPr>
          <w:trHeight w:val="162"/>
        </w:trPr>
        <w:tc>
          <w:tcPr>
            <w:tcW w:w="1300" w:type="dxa"/>
            <w:vAlign w:val="bottom"/>
          </w:tcPr>
          <w:p>
            <w:pPr>
              <w:spacing w:after="0"/>
              <w:rPr>
                <w:sz w:val="14"/>
                <w:szCs w:val="14"/>
                <w:color w:val="auto"/>
              </w:rPr>
            </w:pPr>
          </w:p>
        </w:tc>
        <w:tc>
          <w:tcPr>
            <w:tcW w:w="2680" w:type="dxa"/>
            <w:vAlign w:val="bottom"/>
          </w:tcPr>
          <w:p>
            <w:pPr>
              <w:ind w:left="380"/>
              <w:spacing w:after="0" w:line="162" w:lineRule="exact"/>
              <w:rPr>
                <w:sz w:val="20"/>
                <w:szCs w:val="20"/>
                <w:color w:val="auto"/>
              </w:rPr>
            </w:pPr>
            <w:r>
              <w:rPr>
                <w:rFonts w:ascii="Arial" w:cs="Arial" w:eastAsia="Arial" w:hAnsi="Arial"/>
                <w:sz w:val="16"/>
                <w:szCs w:val="16"/>
                <w:color w:val="auto"/>
              </w:rPr>
              <w:t>Registered Public Accounting</w:t>
            </w:r>
          </w:p>
        </w:tc>
        <w:tc>
          <w:tcPr>
            <w:tcW w:w="3420" w:type="dxa"/>
            <w:vAlign w:val="bottom"/>
          </w:tcPr>
          <w:p>
            <w:pPr>
              <w:ind w:left="100"/>
              <w:spacing w:after="0" w:line="162" w:lineRule="exact"/>
              <w:rPr>
                <w:sz w:val="20"/>
                <w:szCs w:val="20"/>
                <w:color w:val="auto"/>
              </w:rPr>
            </w:pPr>
            <w:r>
              <w:rPr>
                <w:rFonts w:ascii="Arial" w:cs="Arial" w:eastAsia="Arial" w:hAnsi="Arial"/>
                <w:sz w:val="16"/>
                <w:szCs w:val="16"/>
                <w:color w:val="auto"/>
              </w:rPr>
              <w:t>represented by proxy at the Annual Meeting</w:t>
            </w:r>
          </w:p>
        </w:tc>
        <w:tc>
          <w:tcPr>
            <w:tcW w:w="26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5"/>
        </w:trPr>
        <w:tc>
          <w:tcPr>
            <w:tcW w:w="1300" w:type="dxa"/>
            <w:vAlign w:val="bottom"/>
          </w:tcPr>
          <w:p>
            <w:pPr>
              <w:spacing w:after="0"/>
              <w:rPr>
                <w:sz w:val="18"/>
                <w:szCs w:val="18"/>
                <w:color w:val="auto"/>
              </w:rPr>
            </w:pPr>
          </w:p>
        </w:tc>
        <w:tc>
          <w:tcPr>
            <w:tcW w:w="2680" w:type="dxa"/>
            <w:vAlign w:val="bottom"/>
          </w:tcPr>
          <w:p>
            <w:pPr>
              <w:ind w:left="380"/>
              <w:spacing w:after="0"/>
              <w:rPr>
                <w:sz w:val="20"/>
                <w:szCs w:val="20"/>
                <w:color w:val="auto"/>
              </w:rPr>
            </w:pPr>
            <w:r>
              <w:rPr>
                <w:rFonts w:ascii="Arial" w:cs="Arial" w:eastAsia="Arial" w:hAnsi="Arial"/>
                <w:sz w:val="16"/>
                <w:szCs w:val="16"/>
                <w:color w:val="auto"/>
              </w:rPr>
              <w:t>Firm</w:t>
            </w:r>
          </w:p>
        </w:tc>
        <w:tc>
          <w:tcPr>
            <w:tcW w:w="3420" w:type="dxa"/>
            <w:vAlign w:val="bottom"/>
          </w:tcPr>
          <w:p>
            <w:pPr>
              <w:ind w:left="100"/>
              <w:spacing w:after="0"/>
              <w:rPr>
                <w:sz w:val="20"/>
                <w:szCs w:val="20"/>
                <w:color w:val="auto"/>
              </w:rPr>
            </w:pPr>
            <w:r>
              <w:rPr>
                <w:rFonts w:ascii="Arial" w:cs="Arial" w:eastAsia="Arial" w:hAnsi="Arial"/>
                <w:sz w:val="16"/>
                <w:szCs w:val="16"/>
                <w:color w:val="auto"/>
              </w:rPr>
              <w:t>and entitled to vote on the matter</w:t>
            </w:r>
          </w:p>
        </w:tc>
        <w:tc>
          <w:tcPr>
            <w:tcW w:w="26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63"/>
        </w:trPr>
        <w:tc>
          <w:tcPr>
            <w:tcW w:w="1300" w:type="dxa"/>
            <w:vAlign w:val="bottom"/>
            <w:shd w:val="clear" w:color="auto" w:fill="DBE5F1"/>
          </w:tcPr>
          <w:p>
            <w:pPr>
              <w:ind w:left="80"/>
              <w:spacing w:after="0" w:line="163" w:lineRule="exact"/>
              <w:rPr>
                <w:sz w:val="20"/>
                <w:szCs w:val="20"/>
                <w:color w:val="auto"/>
              </w:rPr>
            </w:pPr>
            <w:r>
              <w:rPr>
                <w:rFonts w:ascii="Arial" w:cs="Arial" w:eastAsia="Arial" w:hAnsi="Arial"/>
                <w:sz w:val="16"/>
                <w:szCs w:val="16"/>
                <w:b w:val="1"/>
                <w:bCs w:val="1"/>
                <w:color w:val="auto"/>
              </w:rPr>
              <w:t>Proposal 3</w:t>
            </w:r>
          </w:p>
        </w:tc>
        <w:tc>
          <w:tcPr>
            <w:tcW w:w="2680" w:type="dxa"/>
            <w:vAlign w:val="bottom"/>
            <w:shd w:val="clear" w:color="auto" w:fill="DBE5F1"/>
          </w:tcPr>
          <w:p>
            <w:pPr>
              <w:ind w:left="380"/>
              <w:spacing w:after="0" w:line="163" w:lineRule="exact"/>
              <w:rPr>
                <w:sz w:val="20"/>
                <w:szCs w:val="20"/>
                <w:color w:val="auto"/>
              </w:rPr>
            </w:pPr>
            <w:r>
              <w:rPr>
                <w:rFonts w:ascii="Arial" w:cs="Arial" w:eastAsia="Arial" w:hAnsi="Arial"/>
                <w:sz w:val="16"/>
                <w:szCs w:val="16"/>
                <w:color w:val="auto"/>
              </w:rPr>
              <w:t>Non-Binding, Advisory Vote on</w:t>
            </w:r>
          </w:p>
        </w:tc>
        <w:tc>
          <w:tcPr>
            <w:tcW w:w="3420" w:type="dxa"/>
            <w:vAlign w:val="bottom"/>
            <w:shd w:val="clear" w:color="auto" w:fill="DBE5F1"/>
          </w:tcPr>
          <w:p>
            <w:pPr>
              <w:ind w:left="100"/>
              <w:spacing w:after="0" w:line="163" w:lineRule="exact"/>
              <w:rPr>
                <w:sz w:val="20"/>
                <w:szCs w:val="20"/>
                <w:color w:val="auto"/>
              </w:rPr>
            </w:pPr>
            <w:r>
              <w:rPr>
                <w:rFonts w:ascii="Arial" w:cs="Arial" w:eastAsia="Arial" w:hAnsi="Arial"/>
                <w:sz w:val="16"/>
                <w:szCs w:val="16"/>
                <w:color w:val="auto"/>
              </w:rPr>
              <w:t>Majority of voting power present in person or</w:t>
            </w:r>
          </w:p>
        </w:tc>
        <w:tc>
          <w:tcPr>
            <w:tcW w:w="2620" w:type="dxa"/>
            <w:vAlign w:val="bottom"/>
            <w:shd w:val="clear" w:color="auto" w:fill="DBE5F1"/>
          </w:tcPr>
          <w:p>
            <w:pPr>
              <w:ind w:left="120"/>
              <w:spacing w:after="0" w:line="163" w:lineRule="exact"/>
              <w:rPr>
                <w:sz w:val="20"/>
                <w:szCs w:val="20"/>
                <w:color w:val="auto"/>
              </w:rPr>
            </w:pPr>
            <w:r>
              <w:rPr>
                <w:rFonts w:ascii="Arial" w:cs="Arial" w:eastAsia="Arial" w:hAnsi="Arial"/>
                <w:sz w:val="16"/>
                <w:szCs w:val="16"/>
                <w:color w:val="auto"/>
              </w:rPr>
              <w:t>FOR</w:t>
            </w:r>
          </w:p>
        </w:tc>
        <w:tc>
          <w:tcPr>
            <w:tcW w:w="1220" w:type="dxa"/>
            <w:vAlign w:val="bottom"/>
            <w:shd w:val="clear" w:color="auto" w:fill="DBE5F1"/>
          </w:tcPr>
          <w:p>
            <w:pPr>
              <w:ind w:left="240"/>
              <w:spacing w:after="0" w:line="163" w:lineRule="exact"/>
              <w:rPr>
                <w:sz w:val="20"/>
                <w:szCs w:val="20"/>
                <w:color w:val="auto"/>
              </w:rPr>
            </w:pPr>
            <w:r>
              <w:rPr>
                <w:rFonts w:ascii="Arial" w:cs="Arial" w:eastAsia="Arial" w:hAnsi="Arial"/>
                <w:sz w:val="16"/>
                <w:szCs w:val="16"/>
                <w:color w:val="auto"/>
              </w:rPr>
              <w:t>82</w:t>
            </w:r>
          </w:p>
        </w:tc>
      </w:tr>
      <w:tr>
        <w:trPr>
          <w:trHeight w:val="162"/>
        </w:trPr>
        <w:tc>
          <w:tcPr>
            <w:tcW w:w="1300" w:type="dxa"/>
            <w:vAlign w:val="bottom"/>
            <w:shd w:val="clear" w:color="auto" w:fill="DBE5F1"/>
          </w:tcPr>
          <w:p>
            <w:pPr>
              <w:spacing w:after="0"/>
              <w:rPr>
                <w:sz w:val="14"/>
                <w:szCs w:val="14"/>
                <w:color w:val="auto"/>
              </w:rPr>
            </w:pPr>
          </w:p>
        </w:tc>
        <w:tc>
          <w:tcPr>
            <w:tcW w:w="2680" w:type="dxa"/>
            <w:vAlign w:val="bottom"/>
            <w:shd w:val="clear" w:color="auto" w:fill="DBE5F1"/>
          </w:tcPr>
          <w:p>
            <w:pPr>
              <w:ind w:left="380"/>
              <w:spacing w:after="0" w:line="162" w:lineRule="exact"/>
              <w:rPr>
                <w:sz w:val="20"/>
                <w:szCs w:val="20"/>
                <w:color w:val="auto"/>
              </w:rPr>
            </w:pPr>
            <w:r>
              <w:rPr>
                <w:rFonts w:ascii="Arial" w:cs="Arial" w:eastAsia="Arial" w:hAnsi="Arial"/>
                <w:sz w:val="16"/>
                <w:szCs w:val="16"/>
                <w:color w:val="auto"/>
              </w:rPr>
              <w:t>Executive Compensation</w:t>
            </w:r>
          </w:p>
        </w:tc>
        <w:tc>
          <w:tcPr>
            <w:tcW w:w="3420" w:type="dxa"/>
            <w:vAlign w:val="bottom"/>
            <w:shd w:val="clear" w:color="auto" w:fill="DBE5F1"/>
          </w:tcPr>
          <w:p>
            <w:pPr>
              <w:ind w:left="100"/>
              <w:spacing w:after="0" w:line="162" w:lineRule="exact"/>
              <w:rPr>
                <w:sz w:val="20"/>
                <w:szCs w:val="20"/>
                <w:color w:val="auto"/>
              </w:rPr>
            </w:pPr>
            <w:r>
              <w:rPr>
                <w:rFonts w:ascii="Arial" w:cs="Arial" w:eastAsia="Arial" w:hAnsi="Arial"/>
                <w:sz w:val="16"/>
                <w:szCs w:val="16"/>
                <w:color w:val="auto"/>
              </w:rPr>
              <w:t>represented by proxy at the Annual Meeting</w:t>
            </w:r>
          </w:p>
        </w:tc>
        <w:tc>
          <w:tcPr>
            <w:tcW w:w="2620" w:type="dxa"/>
            <w:vAlign w:val="bottom"/>
            <w:shd w:val="clear" w:color="auto" w:fill="DBE5F1"/>
          </w:tcPr>
          <w:p>
            <w:pPr>
              <w:spacing w:after="0"/>
              <w:rPr>
                <w:sz w:val="14"/>
                <w:szCs w:val="14"/>
                <w:color w:val="auto"/>
              </w:rPr>
            </w:pPr>
          </w:p>
        </w:tc>
        <w:tc>
          <w:tcPr>
            <w:tcW w:w="1220" w:type="dxa"/>
            <w:vAlign w:val="bottom"/>
            <w:shd w:val="clear" w:color="auto" w:fill="DBE5F1"/>
          </w:tcPr>
          <w:p>
            <w:pPr>
              <w:spacing w:after="0"/>
              <w:rPr>
                <w:sz w:val="14"/>
                <w:szCs w:val="14"/>
                <w:color w:val="auto"/>
              </w:rPr>
            </w:pPr>
          </w:p>
        </w:tc>
      </w:tr>
      <w:tr>
        <w:trPr>
          <w:trHeight w:val="215"/>
        </w:trPr>
        <w:tc>
          <w:tcPr>
            <w:tcW w:w="1300" w:type="dxa"/>
            <w:vAlign w:val="bottom"/>
            <w:tcBorders>
              <w:bottom w:val="single" w:sz="8" w:color="95B3D7"/>
            </w:tcBorders>
            <w:shd w:val="clear" w:color="auto" w:fill="DBE5F1"/>
          </w:tcPr>
          <w:p>
            <w:pPr>
              <w:spacing w:after="0"/>
              <w:rPr>
                <w:sz w:val="18"/>
                <w:szCs w:val="18"/>
                <w:color w:val="auto"/>
              </w:rPr>
            </w:pPr>
          </w:p>
        </w:tc>
        <w:tc>
          <w:tcPr>
            <w:tcW w:w="2680" w:type="dxa"/>
            <w:vAlign w:val="bottom"/>
            <w:tcBorders>
              <w:bottom w:val="single" w:sz="8" w:color="95B3D7"/>
            </w:tcBorders>
            <w:shd w:val="clear" w:color="auto" w:fill="DBE5F1"/>
          </w:tcPr>
          <w:p>
            <w:pPr>
              <w:spacing w:after="0"/>
              <w:rPr>
                <w:sz w:val="18"/>
                <w:szCs w:val="18"/>
                <w:color w:val="auto"/>
              </w:rPr>
            </w:pPr>
          </w:p>
        </w:tc>
        <w:tc>
          <w:tcPr>
            <w:tcW w:w="3420" w:type="dxa"/>
            <w:vAlign w:val="bottom"/>
            <w:tcBorders>
              <w:bottom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and entitled to vote on the matter</w:t>
            </w:r>
          </w:p>
        </w:tc>
        <w:tc>
          <w:tcPr>
            <w:tcW w:w="2620" w:type="dxa"/>
            <w:vAlign w:val="bottom"/>
            <w:tcBorders>
              <w:bottom w:val="single" w:sz="8" w:color="95B3D7"/>
            </w:tcBorders>
            <w:shd w:val="clear" w:color="auto" w:fill="DBE5F1"/>
          </w:tcPr>
          <w:p>
            <w:pPr>
              <w:spacing w:after="0"/>
              <w:rPr>
                <w:sz w:val="18"/>
                <w:szCs w:val="18"/>
                <w:color w:val="auto"/>
              </w:rPr>
            </w:pPr>
          </w:p>
        </w:tc>
        <w:tc>
          <w:tcPr>
            <w:tcW w:w="1220" w:type="dxa"/>
            <w:vAlign w:val="bottom"/>
            <w:tcBorders>
              <w:bottom w:val="single" w:sz="8" w:color="95B3D7"/>
            </w:tcBorders>
            <w:shd w:val="clear" w:color="auto" w:fill="DBE5F1"/>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Our Director Nominees</w:t>
      </w:r>
    </w:p>
    <w:p>
      <w:pPr>
        <w:spacing w:after="0" w:line="185" w:lineRule="exact"/>
        <w:rPr>
          <w:sz w:val="20"/>
          <w:szCs w:val="20"/>
          <w:color w:val="auto"/>
        </w:rPr>
      </w:pPr>
    </w:p>
    <w:p>
      <w:pPr>
        <w:jc w:val="both"/>
        <w:ind w:right="140" w:firstLine="401"/>
        <w:spacing w:after="0" w:line="268" w:lineRule="auto"/>
        <w:rPr>
          <w:sz w:val="20"/>
          <w:szCs w:val="20"/>
          <w:color w:val="auto"/>
        </w:rPr>
      </w:pPr>
      <w:r>
        <w:rPr>
          <w:rFonts w:ascii="Arial" w:cs="Arial" w:eastAsia="Arial" w:hAnsi="Arial"/>
          <w:sz w:val="18"/>
          <w:szCs w:val="18"/>
          <w:color w:val="auto"/>
        </w:rPr>
        <w:t>You are being asked to vote on the election of the three Class I Directors listed below. For additional information about each nominee’s background and experience, please see “</w:t>
      </w:r>
      <w:r>
        <w:rPr>
          <w:rFonts w:ascii="Arial" w:cs="Arial" w:eastAsia="Arial" w:hAnsi="Arial"/>
          <w:sz w:val="18"/>
          <w:szCs w:val="18"/>
          <w:i w:val="1"/>
          <w:iCs w:val="1"/>
          <w:color w:val="auto"/>
        </w:rPr>
        <w:t>Proposal 1 – Election of Directors—Director Nominees to Serve for a Three-Year Term Expiring at</w:t>
      </w:r>
      <w:r>
        <w:rPr>
          <w:rFonts w:ascii="Arial" w:cs="Arial" w:eastAsia="Arial" w:hAnsi="Arial"/>
          <w:sz w:val="18"/>
          <w:szCs w:val="18"/>
          <w:color w:val="auto"/>
        </w:rPr>
        <w:t xml:space="preserve"> </w:t>
      </w:r>
      <w:r>
        <w:rPr>
          <w:rFonts w:ascii="Arial" w:cs="Arial" w:eastAsia="Arial" w:hAnsi="Arial"/>
          <w:sz w:val="18"/>
          <w:szCs w:val="18"/>
          <w:i w:val="1"/>
          <w:iCs w:val="1"/>
          <w:color w:val="auto"/>
        </w:rPr>
        <w:t>the 2028 Annual Meeting</w:t>
      </w:r>
      <w:r>
        <w:rPr>
          <w:rFonts w:ascii="Arial" w:cs="Arial" w:eastAsia="Arial" w:hAnsi="Arial"/>
          <w:sz w:val="18"/>
          <w:szCs w:val="18"/>
          <w:color w:val="auto"/>
        </w:rPr>
        <w:t>” beginning on page 13.</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Age</w:t>
            </w:r>
          </w:p>
        </w:tc>
        <w:tc>
          <w:tcPr>
            <w:tcW w:w="15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Director Since</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Independent</w:t>
            </w:r>
          </w:p>
        </w:tc>
        <w:tc>
          <w:tcPr>
            <w:tcW w:w="348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Selected Skills &amp; Qualifications</w:t>
            </w:r>
          </w:p>
        </w:tc>
        <w:tc>
          <w:tcPr>
            <w:tcW w:w="21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Committees</w:t>
            </w:r>
          </w:p>
        </w:tc>
        <w:tc>
          <w:tcPr>
            <w:tcW w:w="0" w:type="dxa"/>
            <w:vAlign w:val="bottom"/>
          </w:tcPr>
          <w:p>
            <w:pPr>
              <w:spacing w:after="0"/>
              <w:rPr>
                <w:sz w:val="1"/>
                <w:szCs w:val="1"/>
                <w:color w:val="auto"/>
              </w:rPr>
            </w:pPr>
          </w:p>
        </w:tc>
      </w:tr>
      <w:tr>
        <w:trPr>
          <w:trHeight w:val="155"/>
        </w:trPr>
        <w:tc>
          <w:tcPr>
            <w:tcW w:w="2080" w:type="dxa"/>
            <w:vAlign w:val="bottom"/>
            <w:shd w:val="clear" w:color="auto" w:fill="DBE5F1"/>
          </w:tcPr>
          <w:p>
            <w:pPr>
              <w:ind w:left="80"/>
              <w:spacing w:after="0" w:line="155" w:lineRule="exact"/>
              <w:rPr>
                <w:sz w:val="20"/>
                <w:szCs w:val="20"/>
                <w:color w:val="auto"/>
              </w:rPr>
            </w:pPr>
            <w:r>
              <w:rPr>
                <w:rFonts w:ascii="Arial" w:cs="Arial" w:eastAsia="Arial" w:hAnsi="Arial"/>
                <w:sz w:val="16"/>
                <w:szCs w:val="16"/>
                <w:color w:val="auto"/>
              </w:rPr>
              <w:t>Margaret McCarthy, Lead</w:t>
            </w:r>
          </w:p>
        </w:tc>
        <w:tc>
          <w:tcPr>
            <w:tcW w:w="640" w:type="dxa"/>
            <w:vAlign w:val="bottom"/>
            <w:shd w:val="clear" w:color="auto" w:fill="DBE5F1"/>
          </w:tcPr>
          <w:p>
            <w:pPr>
              <w:jc w:val="center"/>
              <w:spacing w:after="0" w:line="155" w:lineRule="exact"/>
              <w:rPr>
                <w:sz w:val="20"/>
                <w:szCs w:val="20"/>
                <w:color w:val="auto"/>
              </w:rPr>
            </w:pPr>
            <w:r>
              <w:rPr>
                <w:rFonts w:ascii="Arial" w:cs="Arial" w:eastAsia="Arial" w:hAnsi="Arial"/>
                <w:sz w:val="16"/>
                <w:szCs w:val="16"/>
                <w:color w:val="auto"/>
              </w:rPr>
              <w:t>71</w:t>
            </w:r>
          </w:p>
        </w:tc>
        <w:tc>
          <w:tcPr>
            <w:tcW w:w="1500" w:type="dxa"/>
            <w:vAlign w:val="bottom"/>
            <w:shd w:val="clear" w:color="auto" w:fill="DBE5F1"/>
          </w:tcPr>
          <w:p>
            <w:pPr>
              <w:jc w:val="center"/>
              <w:ind w:right="19"/>
              <w:spacing w:after="0" w:line="155" w:lineRule="exact"/>
              <w:rPr>
                <w:sz w:val="20"/>
                <w:szCs w:val="20"/>
                <w:color w:val="auto"/>
              </w:rPr>
            </w:pPr>
            <w:r>
              <w:rPr>
                <w:rFonts w:ascii="Arial" w:cs="Arial" w:eastAsia="Arial" w:hAnsi="Arial"/>
                <w:sz w:val="16"/>
                <w:szCs w:val="16"/>
                <w:color w:val="auto"/>
              </w:rPr>
              <w:t>2020</w:t>
            </w:r>
          </w:p>
        </w:tc>
        <w:tc>
          <w:tcPr>
            <w:tcW w:w="1440" w:type="dxa"/>
            <w:vAlign w:val="bottom"/>
            <w:shd w:val="clear" w:color="auto" w:fill="DBE5F1"/>
          </w:tcPr>
          <w:p>
            <w:pPr>
              <w:jc w:val="center"/>
              <w:spacing w:after="0" w:line="155" w:lineRule="exact"/>
              <w:rPr>
                <w:sz w:val="20"/>
                <w:szCs w:val="20"/>
                <w:color w:val="auto"/>
              </w:rPr>
            </w:pPr>
            <w:r>
              <w:rPr>
                <w:rFonts w:ascii="Arial" w:cs="Arial" w:eastAsia="Arial" w:hAnsi="Arial"/>
                <w:sz w:val="16"/>
                <w:szCs w:val="16"/>
                <w:color w:val="auto"/>
                <w:w w:val="94"/>
              </w:rPr>
              <w:t>Yes</w:t>
            </w:r>
          </w:p>
        </w:tc>
        <w:tc>
          <w:tcPr>
            <w:tcW w:w="440" w:type="dxa"/>
            <w:vAlign w:val="bottom"/>
            <w:vMerge w:val="restart"/>
            <w:shd w:val="clear" w:color="auto" w:fill="DBE5F1"/>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040" w:type="dxa"/>
            <w:vAlign w:val="bottom"/>
            <w:vMerge w:val="restart"/>
            <w:shd w:val="clear" w:color="auto" w:fill="DBE5F1"/>
          </w:tcPr>
          <w:p>
            <w:pPr>
              <w:ind w:left="120"/>
              <w:spacing w:after="0"/>
              <w:rPr>
                <w:sz w:val="20"/>
                <w:szCs w:val="20"/>
                <w:color w:val="auto"/>
              </w:rPr>
            </w:pPr>
            <w:r>
              <w:rPr>
                <w:rFonts w:ascii="Arial" w:cs="Arial" w:eastAsia="Arial" w:hAnsi="Arial"/>
                <w:sz w:val="16"/>
                <w:szCs w:val="16"/>
                <w:color w:val="auto"/>
              </w:rPr>
              <w:t>Executive Leadership</w:t>
            </w:r>
          </w:p>
        </w:tc>
        <w:tc>
          <w:tcPr>
            <w:tcW w:w="2100" w:type="dxa"/>
            <w:vAlign w:val="bottom"/>
            <w:shd w:val="clear" w:color="auto" w:fill="DBE5F1"/>
          </w:tcPr>
          <w:p>
            <w:pPr>
              <w:ind w:left="220"/>
              <w:spacing w:after="0" w:line="155" w:lineRule="exact"/>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162"/>
        </w:trPr>
        <w:tc>
          <w:tcPr>
            <w:tcW w:w="2080" w:type="dxa"/>
            <w:vAlign w:val="bottom"/>
            <w:shd w:val="clear" w:color="auto" w:fill="DBE5F1"/>
          </w:tcPr>
          <w:p>
            <w:pPr>
              <w:ind w:left="80"/>
              <w:spacing w:after="0" w:line="162" w:lineRule="exact"/>
              <w:rPr>
                <w:sz w:val="20"/>
                <w:szCs w:val="20"/>
                <w:color w:val="auto"/>
              </w:rPr>
            </w:pPr>
            <w:r>
              <w:rPr>
                <w:rFonts w:ascii="Arial" w:cs="Arial" w:eastAsia="Arial" w:hAnsi="Arial"/>
                <w:sz w:val="16"/>
                <w:szCs w:val="16"/>
                <w:color w:val="auto"/>
              </w:rPr>
              <w:t>Independent Director</w:t>
            </w:r>
          </w:p>
        </w:tc>
        <w:tc>
          <w:tcPr>
            <w:tcW w:w="640" w:type="dxa"/>
            <w:vAlign w:val="bottom"/>
            <w:shd w:val="clear" w:color="auto" w:fill="DBE5F1"/>
          </w:tcPr>
          <w:p>
            <w:pPr>
              <w:spacing w:after="0"/>
              <w:rPr>
                <w:sz w:val="14"/>
                <w:szCs w:val="14"/>
                <w:color w:val="auto"/>
              </w:rPr>
            </w:pPr>
          </w:p>
        </w:tc>
        <w:tc>
          <w:tcPr>
            <w:tcW w:w="1500" w:type="dxa"/>
            <w:vAlign w:val="bottom"/>
            <w:shd w:val="clear" w:color="auto" w:fill="DBE5F1"/>
          </w:tcPr>
          <w:p>
            <w:pPr>
              <w:spacing w:after="0"/>
              <w:rPr>
                <w:sz w:val="14"/>
                <w:szCs w:val="14"/>
                <w:color w:val="auto"/>
              </w:rPr>
            </w:pPr>
          </w:p>
        </w:tc>
        <w:tc>
          <w:tcPr>
            <w:tcW w:w="1440" w:type="dxa"/>
            <w:vAlign w:val="bottom"/>
            <w:shd w:val="clear" w:color="auto" w:fill="DBE5F1"/>
          </w:tcPr>
          <w:p>
            <w:pPr>
              <w:spacing w:after="0"/>
              <w:rPr>
                <w:sz w:val="14"/>
                <w:szCs w:val="14"/>
                <w:color w:val="auto"/>
              </w:rPr>
            </w:pPr>
          </w:p>
        </w:tc>
        <w:tc>
          <w:tcPr>
            <w:tcW w:w="440" w:type="dxa"/>
            <w:vAlign w:val="bottom"/>
            <w:vMerge w:val="continue"/>
            <w:shd w:val="clear" w:color="auto" w:fill="DBE5F1"/>
          </w:tcPr>
          <w:p>
            <w:pPr>
              <w:spacing w:after="0"/>
              <w:rPr>
                <w:sz w:val="14"/>
                <w:szCs w:val="14"/>
                <w:color w:val="auto"/>
              </w:rPr>
            </w:pPr>
          </w:p>
        </w:tc>
        <w:tc>
          <w:tcPr>
            <w:tcW w:w="3040" w:type="dxa"/>
            <w:vAlign w:val="bottom"/>
            <w:vMerge w:val="continue"/>
            <w:shd w:val="clear" w:color="auto" w:fill="DBE5F1"/>
          </w:tcPr>
          <w:p>
            <w:pPr>
              <w:spacing w:after="0"/>
              <w:rPr>
                <w:sz w:val="14"/>
                <w:szCs w:val="14"/>
                <w:color w:val="auto"/>
              </w:rPr>
            </w:pPr>
          </w:p>
        </w:tc>
        <w:tc>
          <w:tcPr>
            <w:tcW w:w="2100" w:type="dxa"/>
            <w:vAlign w:val="bottom"/>
            <w:shd w:val="clear" w:color="auto" w:fill="DBE5F1"/>
          </w:tcPr>
          <w:p>
            <w:pPr>
              <w:ind w:left="220"/>
              <w:spacing w:after="0" w:line="162" w:lineRule="exact"/>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175"/>
        </w:trPr>
        <w:tc>
          <w:tcPr>
            <w:tcW w:w="2080" w:type="dxa"/>
            <w:vAlign w:val="bottom"/>
            <w:shd w:val="clear" w:color="auto" w:fill="DBE5F1"/>
          </w:tcPr>
          <w:p>
            <w:pPr>
              <w:spacing w:after="0"/>
              <w:rPr>
                <w:sz w:val="15"/>
                <w:szCs w:val="15"/>
                <w:color w:val="auto"/>
              </w:rPr>
            </w:pPr>
          </w:p>
        </w:tc>
        <w:tc>
          <w:tcPr>
            <w:tcW w:w="640" w:type="dxa"/>
            <w:vAlign w:val="bottom"/>
            <w:shd w:val="clear" w:color="auto" w:fill="DBE5F1"/>
          </w:tcPr>
          <w:p>
            <w:pPr>
              <w:spacing w:after="0"/>
              <w:rPr>
                <w:sz w:val="15"/>
                <w:szCs w:val="15"/>
                <w:color w:val="auto"/>
              </w:rPr>
            </w:pPr>
          </w:p>
        </w:tc>
        <w:tc>
          <w:tcPr>
            <w:tcW w:w="1500" w:type="dxa"/>
            <w:vAlign w:val="bottom"/>
            <w:shd w:val="clear" w:color="auto" w:fill="DBE5F1"/>
          </w:tcPr>
          <w:p>
            <w:pPr>
              <w:spacing w:after="0"/>
              <w:rPr>
                <w:sz w:val="15"/>
                <w:szCs w:val="15"/>
                <w:color w:val="auto"/>
              </w:rPr>
            </w:pPr>
          </w:p>
        </w:tc>
        <w:tc>
          <w:tcPr>
            <w:tcW w:w="1440" w:type="dxa"/>
            <w:vAlign w:val="bottom"/>
            <w:shd w:val="clear" w:color="auto" w:fill="DBE5F1"/>
          </w:tcPr>
          <w:p>
            <w:pPr>
              <w:spacing w:after="0"/>
              <w:rPr>
                <w:sz w:val="15"/>
                <w:szCs w:val="15"/>
                <w:color w:val="auto"/>
              </w:rPr>
            </w:pPr>
          </w:p>
        </w:tc>
        <w:tc>
          <w:tcPr>
            <w:tcW w:w="3480" w:type="dxa"/>
            <w:vAlign w:val="bottom"/>
            <w:gridSpan w:val="2"/>
            <w:shd w:val="clear" w:color="auto" w:fill="DBE5F1"/>
          </w:tcPr>
          <w:p>
            <w:pPr>
              <w:ind w:left="240"/>
              <w:spacing w:after="0" w:line="175" w:lineRule="exact"/>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Health Care Industry Experience</w:t>
            </w:r>
          </w:p>
        </w:tc>
        <w:tc>
          <w:tcPr>
            <w:tcW w:w="2100" w:type="dxa"/>
            <w:vAlign w:val="bottom"/>
            <w:shd w:val="clear" w:color="auto" w:fill="DBE5F1"/>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DBE5F1"/>
          </w:tcPr>
          <w:p>
            <w:pPr>
              <w:spacing w:after="0"/>
              <w:rPr>
                <w:sz w:val="17"/>
                <w:szCs w:val="17"/>
                <w:color w:val="auto"/>
              </w:rPr>
            </w:pPr>
          </w:p>
        </w:tc>
        <w:tc>
          <w:tcPr>
            <w:tcW w:w="640" w:type="dxa"/>
            <w:vAlign w:val="bottom"/>
            <w:shd w:val="clear" w:color="auto" w:fill="DBE5F1"/>
          </w:tcPr>
          <w:p>
            <w:pPr>
              <w:spacing w:after="0"/>
              <w:rPr>
                <w:sz w:val="17"/>
                <w:szCs w:val="17"/>
                <w:color w:val="auto"/>
              </w:rPr>
            </w:pPr>
          </w:p>
        </w:tc>
        <w:tc>
          <w:tcPr>
            <w:tcW w:w="1500" w:type="dxa"/>
            <w:vAlign w:val="bottom"/>
            <w:shd w:val="clear" w:color="auto" w:fill="DBE5F1"/>
          </w:tcPr>
          <w:p>
            <w:pPr>
              <w:spacing w:after="0"/>
              <w:rPr>
                <w:sz w:val="17"/>
                <w:szCs w:val="17"/>
                <w:color w:val="auto"/>
              </w:rPr>
            </w:pPr>
          </w:p>
        </w:tc>
        <w:tc>
          <w:tcPr>
            <w:tcW w:w="1440" w:type="dxa"/>
            <w:vAlign w:val="bottom"/>
            <w:shd w:val="clear" w:color="auto" w:fill="DBE5F1"/>
          </w:tcPr>
          <w:p>
            <w:pPr>
              <w:spacing w:after="0"/>
              <w:rPr>
                <w:sz w:val="17"/>
                <w:szCs w:val="17"/>
                <w:color w:val="auto"/>
              </w:rPr>
            </w:pPr>
          </w:p>
        </w:tc>
        <w:tc>
          <w:tcPr>
            <w:tcW w:w="440" w:type="dxa"/>
            <w:vAlign w:val="bottom"/>
            <w:shd w:val="clear" w:color="auto" w:fill="DBE5F1"/>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040" w:type="dxa"/>
            <w:vAlign w:val="bottom"/>
            <w:shd w:val="clear" w:color="auto" w:fill="DBE5F1"/>
          </w:tcPr>
          <w:p>
            <w:pPr>
              <w:ind w:left="120"/>
              <w:spacing w:after="0"/>
              <w:rPr>
                <w:sz w:val="20"/>
                <w:szCs w:val="20"/>
                <w:color w:val="auto"/>
              </w:rPr>
            </w:pPr>
            <w:r>
              <w:rPr>
                <w:rFonts w:ascii="Arial" w:cs="Arial" w:eastAsia="Arial" w:hAnsi="Arial"/>
                <w:sz w:val="16"/>
                <w:szCs w:val="16"/>
                <w:color w:val="auto"/>
              </w:rPr>
              <w:t>Audit Committee Experience</w:t>
            </w:r>
          </w:p>
        </w:tc>
        <w:tc>
          <w:tcPr>
            <w:tcW w:w="210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80" w:type="dxa"/>
            <w:vAlign w:val="bottom"/>
            <w:shd w:val="clear" w:color="auto" w:fill="DBE5F1"/>
          </w:tcPr>
          <w:p>
            <w:pPr>
              <w:spacing w:after="0"/>
              <w:rPr>
                <w:sz w:val="18"/>
                <w:szCs w:val="18"/>
                <w:color w:val="auto"/>
              </w:rPr>
            </w:pPr>
          </w:p>
        </w:tc>
        <w:tc>
          <w:tcPr>
            <w:tcW w:w="640" w:type="dxa"/>
            <w:vAlign w:val="bottom"/>
            <w:shd w:val="clear" w:color="auto" w:fill="DBE5F1"/>
          </w:tcPr>
          <w:p>
            <w:pPr>
              <w:spacing w:after="0"/>
              <w:rPr>
                <w:sz w:val="18"/>
                <w:szCs w:val="18"/>
                <w:color w:val="auto"/>
              </w:rPr>
            </w:pPr>
          </w:p>
        </w:tc>
        <w:tc>
          <w:tcPr>
            <w:tcW w:w="1500" w:type="dxa"/>
            <w:vAlign w:val="bottom"/>
            <w:shd w:val="clear" w:color="auto" w:fill="DBE5F1"/>
          </w:tcPr>
          <w:p>
            <w:pPr>
              <w:spacing w:after="0"/>
              <w:rPr>
                <w:sz w:val="18"/>
                <w:szCs w:val="18"/>
                <w:color w:val="auto"/>
              </w:rPr>
            </w:pPr>
          </w:p>
        </w:tc>
        <w:tc>
          <w:tcPr>
            <w:tcW w:w="1440" w:type="dxa"/>
            <w:vAlign w:val="bottom"/>
            <w:shd w:val="clear" w:color="auto" w:fill="DBE5F1"/>
          </w:tcPr>
          <w:p>
            <w:pPr>
              <w:spacing w:after="0"/>
              <w:rPr>
                <w:sz w:val="18"/>
                <w:szCs w:val="18"/>
                <w:color w:val="auto"/>
              </w:rPr>
            </w:pPr>
          </w:p>
        </w:tc>
        <w:tc>
          <w:tcPr>
            <w:tcW w:w="440" w:type="dxa"/>
            <w:vAlign w:val="bottom"/>
            <w:shd w:val="clear" w:color="auto" w:fill="DBE5F1"/>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040" w:type="dxa"/>
            <w:vAlign w:val="bottom"/>
            <w:shd w:val="clear" w:color="auto" w:fill="DBE5F1"/>
          </w:tcPr>
          <w:p>
            <w:pPr>
              <w:ind w:left="120"/>
              <w:spacing w:after="0"/>
              <w:rPr>
                <w:sz w:val="20"/>
                <w:szCs w:val="20"/>
                <w:color w:val="auto"/>
              </w:rPr>
            </w:pPr>
            <w:r>
              <w:rPr>
                <w:rFonts w:ascii="Arial" w:cs="Arial" w:eastAsia="Arial" w:hAnsi="Arial"/>
                <w:sz w:val="16"/>
                <w:szCs w:val="16"/>
                <w:color w:val="auto"/>
              </w:rPr>
              <w:t>Technology/Business Processes</w:t>
            </w:r>
          </w:p>
        </w:tc>
        <w:tc>
          <w:tcPr>
            <w:tcW w:w="210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080" w:type="dxa"/>
            <w:vAlign w:val="bottom"/>
            <w:shd w:val="clear" w:color="auto" w:fill="DBE5F1"/>
          </w:tcPr>
          <w:p>
            <w:pPr>
              <w:spacing w:after="0"/>
              <w:rPr>
                <w:sz w:val="11"/>
                <w:szCs w:val="11"/>
                <w:color w:val="auto"/>
              </w:rPr>
            </w:pPr>
          </w:p>
        </w:tc>
        <w:tc>
          <w:tcPr>
            <w:tcW w:w="640" w:type="dxa"/>
            <w:vAlign w:val="bottom"/>
            <w:shd w:val="clear" w:color="auto" w:fill="DBE5F1"/>
          </w:tcPr>
          <w:p>
            <w:pPr>
              <w:spacing w:after="0"/>
              <w:rPr>
                <w:sz w:val="11"/>
                <w:szCs w:val="11"/>
                <w:color w:val="auto"/>
              </w:rPr>
            </w:pPr>
          </w:p>
        </w:tc>
        <w:tc>
          <w:tcPr>
            <w:tcW w:w="1500" w:type="dxa"/>
            <w:vAlign w:val="bottom"/>
            <w:shd w:val="clear" w:color="auto" w:fill="DBE5F1"/>
          </w:tcPr>
          <w:p>
            <w:pPr>
              <w:spacing w:after="0"/>
              <w:rPr>
                <w:sz w:val="11"/>
                <w:szCs w:val="11"/>
                <w:color w:val="auto"/>
              </w:rPr>
            </w:pPr>
          </w:p>
        </w:tc>
        <w:tc>
          <w:tcPr>
            <w:tcW w:w="1440" w:type="dxa"/>
            <w:vAlign w:val="bottom"/>
            <w:shd w:val="clear" w:color="auto" w:fill="DBE5F1"/>
          </w:tcPr>
          <w:p>
            <w:pPr>
              <w:spacing w:after="0"/>
              <w:rPr>
                <w:sz w:val="11"/>
                <w:szCs w:val="11"/>
                <w:color w:val="auto"/>
              </w:rPr>
            </w:pPr>
          </w:p>
        </w:tc>
        <w:tc>
          <w:tcPr>
            <w:tcW w:w="440" w:type="dxa"/>
            <w:vAlign w:val="bottom"/>
            <w:shd w:val="clear" w:color="auto" w:fill="DBE5F1"/>
          </w:tcPr>
          <w:p>
            <w:pPr>
              <w:spacing w:after="0"/>
              <w:rPr>
                <w:sz w:val="11"/>
                <w:szCs w:val="11"/>
                <w:color w:val="auto"/>
              </w:rPr>
            </w:pPr>
          </w:p>
        </w:tc>
        <w:tc>
          <w:tcPr>
            <w:tcW w:w="3040" w:type="dxa"/>
            <w:vAlign w:val="bottom"/>
            <w:shd w:val="clear" w:color="auto" w:fill="DBE5F1"/>
          </w:tcPr>
          <w:p>
            <w:pPr>
              <w:spacing w:after="0"/>
              <w:rPr>
                <w:sz w:val="11"/>
                <w:szCs w:val="11"/>
                <w:color w:val="auto"/>
              </w:rPr>
            </w:pPr>
          </w:p>
        </w:tc>
        <w:tc>
          <w:tcPr>
            <w:tcW w:w="2100" w:type="dxa"/>
            <w:vAlign w:val="bottom"/>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80"/>
              <w:spacing w:after="0" w:line="175" w:lineRule="exact"/>
              <w:rPr>
                <w:sz w:val="20"/>
                <w:szCs w:val="20"/>
                <w:color w:val="auto"/>
              </w:rPr>
            </w:pPr>
            <w:r>
              <w:rPr>
                <w:rFonts w:ascii="Arial" w:cs="Arial" w:eastAsia="Arial" w:hAnsi="Arial"/>
                <w:sz w:val="16"/>
                <w:szCs w:val="16"/>
                <w:color w:val="auto"/>
              </w:rPr>
              <w:t>Mark McClellan</w:t>
            </w:r>
          </w:p>
        </w:tc>
        <w:tc>
          <w:tcPr>
            <w:tcW w:w="640" w:type="dxa"/>
            <w:vAlign w:val="bottom"/>
          </w:tcPr>
          <w:p>
            <w:pPr>
              <w:jc w:val="center"/>
              <w:spacing w:after="0" w:line="175" w:lineRule="exact"/>
              <w:rPr>
                <w:sz w:val="20"/>
                <w:szCs w:val="20"/>
                <w:color w:val="auto"/>
              </w:rPr>
            </w:pPr>
            <w:r>
              <w:rPr>
                <w:rFonts w:ascii="Arial" w:cs="Arial" w:eastAsia="Arial" w:hAnsi="Arial"/>
                <w:sz w:val="16"/>
                <w:szCs w:val="16"/>
                <w:color w:val="auto"/>
              </w:rPr>
              <w:t>61</w:t>
            </w:r>
          </w:p>
        </w:tc>
        <w:tc>
          <w:tcPr>
            <w:tcW w:w="1500" w:type="dxa"/>
            <w:vAlign w:val="bottom"/>
          </w:tcPr>
          <w:p>
            <w:pPr>
              <w:jc w:val="center"/>
              <w:ind w:right="19"/>
              <w:spacing w:after="0" w:line="175" w:lineRule="exact"/>
              <w:rPr>
                <w:sz w:val="20"/>
                <w:szCs w:val="20"/>
                <w:color w:val="auto"/>
              </w:rPr>
            </w:pPr>
            <w:r>
              <w:rPr>
                <w:rFonts w:ascii="Arial" w:cs="Arial" w:eastAsia="Arial" w:hAnsi="Arial"/>
                <w:sz w:val="16"/>
                <w:szCs w:val="16"/>
                <w:color w:val="auto"/>
              </w:rPr>
              <w:t>2014</w:t>
            </w:r>
          </w:p>
        </w:tc>
        <w:tc>
          <w:tcPr>
            <w:tcW w:w="1440" w:type="dxa"/>
            <w:vAlign w:val="bottom"/>
          </w:tcPr>
          <w:p>
            <w:pPr>
              <w:jc w:val="center"/>
              <w:spacing w:after="0" w:line="175" w:lineRule="exact"/>
              <w:rPr>
                <w:sz w:val="20"/>
                <w:szCs w:val="20"/>
                <w:color w:val="auto"/>
              </w:rPr>
            </w:pPr>
            <w:r>
              <w:rPr>
                <w:rFonts w:ascii="Arial" w:cs="Arial" w:eastAsia="Arial" w:hAnsi="Arial"/>
                <w:sz w:val="16"/>
                <w:szCs w:val="16"/>
                <w:color w:val="auto"/>
                <w:w w:val="94"/>
              </w:rPr>
              <w:t>Yes</w:t>
            </w:r>
          </w:p>
        </w:tc>
        <w:tc>
          <w:tcPr>
            <w:tcW w:w="440" w:type="dxa"/>
            <w:vAlign w:val="bottom"/>
          </w:tcPr>
          <w:p>
            <w:pPr>
              <w:ind w:left="2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3040" w:type="dxa"/>
            <w:vAlign w:val="bottom"/>
          </w:tcPr>
          <w:p>
            <w:pPr>
              <w:ind w:left="120"/>
              <w:spacing w:after="0" w:line="175" w:lineRule="exact"/>
              <w:rPr>
                <w:sz w:val="20"/>
                <w:szCs w:val="20"/>
                <w:color w:val="auto"/>
              </w:rPr>
            </w:pPr>
            <w:r>
              <w:rPr>
                <w:rFonts w:ascii="Arial" w:cs="Arial" w:eastAsia="Arial" w:hAnsi="Arial"/>
                <w:sz w:val="16"/>
                <w:szCs w:val="16"/>
                <w:color w:val="auto"/>
              </w:rPr>
              <w:t>Health Care Industry Expertise</w:t>
            </w:r>
          </w:p>
        </w:tc>
        <w:tc>
          <w:tcPr>
            <w:tcW w:w="2100" w:type="dxa"/>
            <w:vAlign w:val="bottom"/>
          </w:tcPr>
          <w:p>
            <w:pPr>
              <w:ind w:left="220"/>
              <w:spacing w:after="0" w:line="175" w:lineRule="exact"/>
              <w:rPr>
                <w:sz w:val="20"/>
                <w:szCs w:val="20"/>
                <w:color w:val="auto"/>
              </w:rPr>
            </w:pPr>
            <w:r>
              <w:rPr>
                <w:rFonts w:ascii="Arial" w:cs="Arial" w:eastAsia="Arial" w:hAnsi="Arial"/>
                <w:sz w:val="16"/>
                <w:szCs w:val="16"/>
                <w:color w:val="auto"/>
              </w:rPr>
              <w:t>Nominating, Corporate</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ind w:left="240"/>
              <w:spacing w:after="0"/>
              <w:rPr>
                <w:sz w:val="20"/>
                <w:szCs w:val="20"/>
                <w:color w:val="auto"/>
              </w:rPr>
            </w:pPr>
            <w:r>
              <w:rPr>
                <w:rFonts w:ascii="Arial" w:cs="Arial" w:eastAsia="Arial" w:hAnsi="Arial"/>
                <w:sz w:val="16"/>
                <w:szCs w:val="16"/>
                <w:color w:val="auto"/>
              </w:rPr>
              <w:t>•</w:t>
            </w:r>
          </w:p>
        </w:tc>
        <w:tc>
          <w:tcPr>
            <w:tcW w:w="3040" w:type="dxa"/>
            <w:vAlign w:val="bottom"/>
          </w:tcPr>
          <w:p>
            <w:pPr>
              <w:ind w:left="120"/>
              <w:spacing w:after="0"/>
              <w:rPr>
                <w:sz w:val="20"/>
                <w:szCs w:val="20"/>
                <w:color w:val="auto"/>
              </w:rPr>
            </w:pPr>
            <w:r>
              <w:rPr>
                <w:rFonts w:ascii="Arial" w:cs="Arial" w:eastAsia="Arial" w:hAnsi="Arial"/>
                <w:sz w:val="16"/>
                <w:szCs w:val="16"/>
                <w:color w:val="auto"/>
              </w:rPr>
              <w:t>Clinical Practice</w:t>
            </w:r>
          </w:p>
        </w:tc>
        <w:tc>
          <w:tcPr>
            <w:tcW w:w="2100" w:type="dxa"/>
            <w:vAlign w:val="bottom"/>
          </w:tcPr>
          <w:p>
            <w:pPr>
              <w:ind w:left="220"/>
              <w:spacing w:after="0"/>
              <w:rPr>
                <w:sz w:val="20"/>
                <w:szCs w:val="20"/>
                <w:color w:val="auto"/>
              </w:rPr>
            </w:pPr>
            <w:r>
              <w:rPr>
                <w:rFonts w:ascii="Arial" w:cs="Arial" w:eastAsia="Arial" w:hAnsi="Arial"/>
                <w:sz w:val="16"/>
                <w:szCs w:val="16"/>
                <w:color w:val="auto"/>
              </w:rPr>
              <w:t>Governance and</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80" w:type="dxa"/>
            <w:vAlign w:val="bottom"/>
            <w:gridSpan w:val="2"/>
            <w:vMerge w:val="restart"/>
          </w:tcPr>
          <w:p>
            <w:pPr>
              <w:ind w:left="240"/>
              <w:spacing w:after="0"/>
              <w:rPr>
                <w:sz w:val="20"/>
                <w:szCs w:val="20"/>
                <w:color w:val="auto"/>
              </w:rPr>
            </w:pPr>
            <w:r>
              <w:rPr>
                <w:rFonts w:ascii="Arial" w:cs="Arial" w:eastAsia="Arial" w:hAnsi="Arial"/>
                <w:sz w:val="16"/>
                <w:szCs w:val="16"/>
                <w:color w:val="auto"/>
              </w:rPr>
              <w:t>•   Regulatory / Public Policy Experience</w:t>
            </w:r>
          </w:p>
        </w:tc>
        <w:tc>
          <w:tcPr>
            <w:tcW w:w="2100" w:type="dxa"/>
            <w:vAlign w:val="bottom"/>
          </w:tcPr>
          <w:p>
            <w:pPr>
              <w:ind w:left="220"/>
              <w:spacing w:after="0"/>
              <w:rPr>
                <w:sz w:val="20"/>
                <w:szCs w:val="20"/>
                <w:color w:val="auto"/>
              </w:rPr>
            </w:pPr>
            <w:r>
              <w:rPr>
                <w:rFonts w:ascii="Arial" w:cs="Arial" w:eastAsia="Arial" w:hAnsi="Arial"/>
                <w:sz w:val="16"/>
                <w:szCs w:val="16"/>
                <w:color w:val="auto"/>
              </w:rPr>
              <w:t>Compliance ("NCGCC")</w:t>
            </w:r>
          </w:p>
        </w:tc>
        <w:tc>
          <w:tcPr>
            <w:tcW w:w="0" w:type="dxa"/>
            <w:vAlign w:val="bottom"/>
          </w:tcPr>
          <w:p>
            <w:pPr>
              <w:spacing w:after="0"/>
              <w:rPr>
                <w:sz w:val="1"/>
                <w:szCs w:val="1"/>
                <w:color w:val="auto"/>
              </w:rPr>
            </w:pPr>
          </w:p>
        </w:tc>
      </w:tr>
      <w:tr>
        <w:trPr>
          <w:trHeight w:val="52"/>
        </w:trPr>
        <w:tc>
          <w:tcPr>
            <w:tcW w:w="20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480" w:type="dxa"/>
            <w:vAlign w:val="bottom"/>
            <w:gridSpan w:val="2"/>
            <w:vMerge w:val="continue"/>
          </w:tcPr>
          <w:p>
            <w:pPr>
              <w:spacing w:after="0"/>
              <w:rPr>
                <w:sz w:val="4"/>
                <w:szCs w:val="4"/>
                <w:color w:val="auto"/>
              </w:rPr>
            </w:pP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80" w:type="dxa"/>
            <w:vAlign w:val="bottom"/>
            <w:shd w:val="clear" w:color="auto" w:fill="DBE5F1"/>
          </w:tcPr>
          <w:p>
            <w:pPr>
              <w:ind w:left="80"/>
              <w:spacing w:after="0"/>
              <w:rPr>
                <w:sz w:val="20"/>
                <w:szCs w:val="20"/>
                <w:color w:val="auto"/>
              </w:rPr>
            </w:pPr>
            <w:r>
              <w:rPr>
                <w:rFonts w:ascii="Arial" w:cs="Arial" w:eastAsia="Arial" w:hAnsi="Arial"/>
                <w:sz w:val="16"/>
                <w:szCs w:val="16"/>
                <w:color w:val="auto"/>
              </w:rPr>
              <w:t>Robbert Vorhoff</w:t>
            </w:r>
          </w:p>
        </w:tc>
        <w:tc>
          <w:tcPr>
            <w:tcW w:w="640" w:type="dxa"/>
            <w:vAlign w:val="bottom"/>
            <w:shd w:val="clear" w:color="auto" w:fill="DBE5F1"/>
          </w:tcPr>
          <w:p>
            <w:pPr>
              <w:jc w:val="center"/>
              <w:spacing w:after="0"/>
              <w:rPr>
                <w:sz w:val="20"/>
                <w:szCs w:val="20"/>
                <w:color w:val="auto"/>
              </w:rPr>
            </w:pPr>
            <w:r>
              <w:rPr>
                <w:rFonts w:ascii="Arial" w:cs="Arial" w:eastAsia="Arial" w:hAnsi="Arial"/>
                <w:sz w:val="16"/>
                <w:szCs w:val="16"/>
                <w:color w:val="auto"/>
              </w:rPr>
              <w:t>46</w:t>
            </w:r>
          </w:p>
        </w:tc>
        <w:tc>
          <w:tcPr>
            <w:tcW w:w="1500" w:type="dxa"/>
            <w:vAlign w:val="bottom"/>
            <w:shd w:val="clear" w:color="auto" w:fill="DBE5F1"/>
          </w:tcPr>
          <w:p>
            <w:pPr>
              <w:jc w:val="center"/>
              <w:ind w:right="19"/>
              <w:spacing w:after="0"/>
              <w:rPr>
                <w:sz w:val="20"/>
                <w:szCs w:val="20"/>
                <w:color w:val="auto"/>
              </w:rPr>
            </w:pPr>
            <w:r>
              <w:rPr>
                <w:rFonts w:ascii="Arial" w:cs="Arial" w:eastAsia="Arial" w:hAnsi="Arial"/>
                <w:sz w:val="16"/>
                <w:szCs w:val="16"/>
                <w:color w:val="auto"/>
              </w:rPr>
              <w:t>2014</w:t>
            </w:r>
          </w:p>
        </w:tc>
        <w:tc>
          <w:tcPr>
            <w:tcW w:w="144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4"/>
              </w:rPr>
              <w:t>Yes</w:t>
            </w:r>
          </w:p>
        </w:tc>
        <w:tc>
          <w:tcPr>
            <w:tcW w:w="3480" w:type="dxa"/>
            <w:vAlign w:val="bottom"/>
            <w:gridSpan w:val="2"/>
            <w:vMerge w:val="restart"/>
            <w:shd w:val="clear" w:color="auto" w:fill="DBE5F1"/>
          </w:tcPr>
          <w:p>
            <w:pPr>
              <w:ind w:left="240"/>
              <w:spacing w:after="0"/>
              <w:rPr>
                <w:sz w:val="20"/>
                <w:szCs w:val="20"/>
                <w:color w:val="auto"/>
              </w:rPr>
            </w:pPr>
            <w:r>
              <w:rPr>
                <w:rFonts w:ascii="Arial" w:cs="Arial" w:eastAsia="Arial" w:hAnsi="Arial"/>
                <w:sz w:val="16"/>
                <w:szCs w:val="16"/>
                <w:color w:val="auto"/>
              </w:rPr>
              <w:t>•   Health Care Industry Expertise</w:t>
            </w:r>
          </w:p>
        </w:tc>
        <w:tc>
          <w:tcPr>
            <w:tcW w:w="2100" w:type="dxa"/>
            <w:vAlign w:val="bottom"/>
            <w:shd w:val="clear" w:color="auto" w:fill="DBE5F1"/>
          </w:tcPr>
          <w:p>
            <w:pPr>
              <w:ind w:left="220"/>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82"/>
        </w:trPr>
        <w:tc>
          <w:tcPr>
            <w:tcW w:w="2080" w:type="dxa"/>
            <w:vAlign w:val="bottom"/>
            <w:shd w:val="clear" w:color="auto" w:fill="DBE5F1"/>
          </w:tcPr>
          <w:p>
            <w:pPr>
              <w:spacing w:after="0"/>
              <w:rPr>
                <w:sz w:val="7"/>
                <w:szCs w:val="7"/>
                <w:color w:val="auto"/>
              </w:rPr>
            </w:pPr>
          </w:p>
        </w:tc>
        <w:tc>
          <w:tcPr>
            <w:tcW w:w="640" w:type="dxa"/>
            <w:vAlign w:val="bottom"/>
            <w:shd w:val="clear" w:color="auto" w:fill="DBE5F1"/>
          </w:tcPr>
          <w:p>
            <w:pPr>
              <w:spacing w:after="0"/>
              <w:rPr>
                <w:sz w:val="7"/>
                <w:szCs w:val="7"/>
                <w:color w:val="auto"/>
              </w:rPr>
            </w:pPr>
          </w:p>
        </w:tc>
        <w:tc>
          <w:tcPr>
            <w:tcW w:w="1500" w:type="dxa"/>
            <w:vAlign w:val="bottom"/>
            <w:shd w:val="clear" w:color="auto" w:fill="DBE5F1"/>
          </w:tcPr>
          <w:p>
            <w:pPr>
              <w:spacing w:after="0"/>
              <w:rPr>
                <w:sz w:val="7"/>
                <w:szCs w:val="7"/>
                <w:color w:val="auto"/>
              </w:rPr>
            </w:pPr>
          </w:p>
        </w:tc>
        <w:tc>
          <w:tcPr>
            <w:tcW w:w="1440" w:type="dxa"/>
            <w:vAlign w:val="bottom"/>
            <w:shd w:val="clear" w:color="auto" w:fill="DBE5F1"/>
          </w:tcPr>
          <w:p>
            <w:pPr>
              <w:spacing w:after="0"/>
              <w:rPr>
                <w:sz w:val="7"/>
                <w:szCs w:val="7"/>
                <w:color w:val="auto"/>
              </w:rPr>
            </w:pPr>
          </w:p>
        </w:tc>
        <w:tc>
          <w:tcPr>
            <w:tcW w:w="3480" w:type="dxa"/>
            <w:vAlign w:val="bottom"/>
            <w:gridSpan w:val="2"/>
            <w:vMerge w:val="continue"/>
            <w:shd w:val="clear" w:color="auto" w:fill="DBE5F1"/>
          </w:tcPr>
          <w:p>
            <w:pPr>
              <w:spacing w:after="0"/>
              <w:rPr>
                <w:sz w:val="7"/>
                <w:szCs w:val="7"/>
                <w:color w:val="auto"/>
              </w:rPr>
            </w:pPr>
          </w:p>
        </w:tc>
        <w:tc>
          <w:tcPr>
            <w:tcW w:w="2100" w:type="dxa"/>
            <w:vAlign w:val="bottom"/>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80" w:type="dxa"/>
            <w:vAlign w:val="bottom"/>
            <w:tcBorders>
              <w:bottom w:val="single" w:sz="8" w:color="DBE5F1"/>
            </w:tcBorders>
            <w:shd w:val="clear" w:color="auto" w:fill="DBE5F1"/>
          </w:tcPr>
          <w:p>
            <w:pPr>
              <w:spacing w:after="0"/>
              <w:rPr>
                <w:sz w:val="19"/>
                <w:szCs w:val="19"/>
                <w:color w:val="auto"/>
              </w:rPr>
            </w:pPr>
          </w:p>
        </w:tc>
        <w:tc>
          <w:tcPr>
            <w:tcW w:w="640" w:type="dxa"/>
            <w:vAlign w:val="bottom"/>
            <w:tcBorders>
              <w:bottom w:val="single" w:sz="8" w:color="DBE5F1"/>
            </w:tcBorders>
            <w:shd w:val="clear" w:color="auto" w:fill="DBE5F1"/>
          </w:tcPr>
          <w:p>
            <w:pPr>
              <w:spacing w:after="0"/>
              <w:rPr>
                <w:sz w:val="19"/>
                <w:szCs w:val="19"/>
                <w:color w:val="auto"/>
              </w:rPr>
            </w:pPr>
          </w:p>
        </w:tc>
        <w:tc>
          <w:tcPr>
            <w:tcW w:w="1500" w:type="dxa"/>
            <w:vAlign w:val="bottom"/>
            <w:tcBorders>
              <w:bottom w:val="single" w:sz="8" w:color="DBE5F1"/>
            </w:tcBorders>
            <w:shd w:val="clear" w:color="auto" w:fill="DBE5F1"/>
          </w:tcPr>
          <w:p>
            <w:pPr>
              <w:spacing w:after="0"/>
              <w:rPr>
                <w:sz w:val="19"/>
                <w:szCs w:val="19"/>
                <w:color w:val="auto"/>
              </w:rPr>
            </w:pPr>
          </w:p>
        </w:tc>
        <w:tc>
          <w:tcPr>
            <w:tcW w:w="1440" w:type="dxa"/>
            <w:vAlign w:val="bottom"/>
            <w:tcBorders>
              <w:bottom w:val="single" w:sz="8" w:color="DBE5F1"/>
            </w:tcBorders>
            <w:shd w:val="clear" w:color="auto" w:fill="DBE5F1"/>
          </w:tcPr>
          <w:p>
            <w:pPr>
              <w:spacing w:after="0"/>
              <w:rPr>
                <w:sz w:val="19"/>
                <w:szCs w:val="19"/>
                <w:color w:val="auto"/>
              </w:rPr>
            </w:pPr>
          </w:p>
        </w:tc>
        <w:tc>
          <w:tcPr>
            <w:tcW w:w="44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6"/>
                <w:szCs w:val="16"/>
                <w:color w:val="auto"/>
              </w:rPr>
              <w:t>•</w:t>
            </w:r>
          </w:p>
        </w:tc>
        <w:tc>
          <w:tcPr>
            <w:tcW w:w="3040" w:type="dxa"/>
            <w:vAlign w:val="bottom"/>
            <w:tcBorders>
              <w:bottom w:val="single" w:sz="8" w:color="DBE5F1"/>
            </w:tcBorders>
            <w:shd w:val="clear" w:color="auto" w:fill="DBE5F1"/>
          </w:tcPr>
          <w:p>
            <w:pPr>
              <w:ind w:left="120"/>
              <w:spacing w:after="0"/>
              <w:rPr>
                <w:sz w:val="20"/>
                <w:szCs w:val="20"/>
                <w:color w:val="auto"/>
              </w:rPr>
            </w:pPr>
            <w:r>
              <w:rPr>
                <w:rFonts w:ascii="Arial" w:cs="Arial" w:eastAsia="Arial" w:hAnsi="Arial"/>
                <w:sz w:val="16"/>
                <w:szCs w:val="16"/>
                <w:color w:val="auto"/>
              </w:rPr>
              <w:t>Capital Markets Expertise</w:t>
            </w:r>
          </w:p>
        </w:tc>
        <w:tc>
          <w:tcPr>
            <w:tcW w:w="2100" w:type="dxa"/>
            <w:vAlign w:val="bottom"/>
            <w:tcBorders>
              <w:bottom w:val="single" w:sz="8" w:color="DBE5F1"/>
            </w:tcBorders>
            <w:shd w:val="clear" w:color="auto" w:fill="DBE5F1"/>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shd w:val="clear" w:color="auto" w:fill="95B3D7"/>
          </w:tcPr>
          <w:p>
            <w:pPr>
              <w:spacing w:after="0" w:line="20" w:lineRule="exact"/>
              <w:rPr>
                <w:sz w:val="1"/>
                <w:szCs w:val="1"/>
                <w:color w:val="auto"/>
              </w:rPr>
            </w:pPr>
          </w:p>
        </w:tc>
        <w:tc>
          <w:tcPr>
            <w:tcW w:w="640" w:type="dxa"/>
            <w:vAlign w:val="bottom"/>
            <w:shd w:val="clear" w:color="auto" w:fill="95B3D7"/>
          </w:tcPr>
          <w:p>
            <w:pPr>
              <w:spacing w:after="0" w:line="20" w:lineRule="exact"/>
              <w:rPr>
                <w:sz w:val="1"/>
                <w:szCs w:val="1"/>
                <w:color w:val="auto"/>
              </w:rPr>
            </w:pPr>
          </w:p>
        </w:tc>
        <w:tc>
          <w:tcPr>
            <w:tcW w:w="1500" w:type="dxa"/>
            <w:vAlign w:val="bottom"/>
            <w:shd w:val="clear" w:color="auto" w:fill="95B3D7"/>
          </w:tcPr>
          <w:p>
            <w:pPr>
              <w:spacing w:after="0" w:line="20" w:lineRule="exact"/>
              <w:rPr>
                <w:sz w:val="1"/>
                <w:szCs w:val="1"/>
                <w:color w:val="auto"/>
              </w:rPr>
            </w:pPr>
          </w:p>
        </w:tc>
        <w:tc>
          <w:tcPr>
            <w:tcW w:w="1440" w:type="dxa"/>
            <w:vAlign w:val="bottom"/>
            <w:shd w:val="clear" w:color="auto" w:fill="95B3D7"/>
          </w:tcPr>
          <w:p>
            <w:pPr>
              <w:spacing w:after="0" w:line="20" w:lineRule="exact"/>
              <w:rPr>
                <w:sz w:val="1"/>
                <w:szCs w:val="1"/>
                <w:color w:val="auto"/>
              </w:rPr>
            </w:pPr>
          </w:p>
        </w:tc>
        <w:tc>
          <w:tcPr>
            <w:tcW w:w="440" w:type="dxa"/>
            <w:vAlign w:val="bottom"/>
            <w:shd w:val="clear" w:color="auto" w:fill="95B3D7"/>
          </w:tcPr>
          <w:p>
            <w:pPr>
              <w:spacing w:after="0" w:line="20" w:lineRule="exact"/>
              <w:rPr>
                <w:sz w:val="1"/>
                <w:szCs w:val="1"/>
                <w:color w:val="auto"/>
              </w:rPr>
            </w:pPr>
          </w:p>
        </w:tc>
        <w:tc>
          <w:tcPr>
            <w:tcW w:w="3040" w:type="dxa"/>
            <w:vAlign w:val="bottom"/>
            <w:shd w:val="clear" w:color="auto" w:fill="95B3D7"/>
          </w:tcPr>
          <w:p>
            <w:pPr>
              <w:spacing w:after="0" w:line="20" w:lineRule="exact"/>
              <w:rPr>
                <w:sz w:val="1"/>
                <w:szCs w:val="1"/>
                <w:color w:val="auto"/>
              </w:rPr>
            </w:pPr>
          </w:p>
        </w:tc>
        <w:tc>
          <w:tcPr>
            <w:tcW w:w="2100" w:type="dxa"/>
            <w:vAlign w:val="bottom"/>
            <w:shd w:val="clear" w:color="auto" w:fill="95B3D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Board Diversity</w:t>
      </w:r>
    </w:p>
    <w:p>
      <w:pPr>
        <w:spacing w:after="0" w:line="225"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The Board believes that a diverse board is better able to effectively oversee the Company’s management and strategy and better positions us to deliver long-term value for our stockholders. Our Board recognizes that gender, racial or ethnic diversity, tenure and experience add to the overall mix of perspectives of our Board as a whole. The following charts present the diversity profile of the directors currently serving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140970</wp:posOffset>
            </wp:positionV>
            <wp:extent cx="3454400" cy="16287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54400"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Stockholder Engagement Highlights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 2024-25, we continued our robust stockholder engagement program. We proactively engage with stockholders and other stakeholders</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throughout the year to learn more about their perspectives on significant issues, including company performance and strategy, executive compensation and governance matters. We take feedback and insights from our engagement with stockholders and other stakeholders into</w:t>
      </w:r>
    </w:p>
    <w:p>
      <w:pPr>
        <w:spacing w:after="0" w:line="1"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consideration as we review and evolve our practices and disclosures, and share this feedback with our Board, as appropriate. For more information, see “</w:t>
      </w:r>
      <w:r>
        <w:rPr>
          <w:rFonts w:ascii="Arial" w:cs="Arial" w:eastAsia="Arial" w:hAnsi="Arial"/>
          <w:sz w:val="18"/>
          <w:szCs w:val="18"/>
          <w:i w:val="1"/>
          <w:iCs w:val="1"/>
          <w:color w:val="auto"/>
        </w:rPr>
        <w:t>Corporate Governance—Stockholder Engagement</w:t>
      </w:r>
      <w:r>
        <w:rPr>
          <w:rFonts w:ascii="Arial" w:cs="Arial" w:eastAsia="Arial" w:hAnsi="Arial"/>
          <w:sz w:val="18"/>
          <w:szCs w:val="18"/>
          <w:color w:val="auto"/>
        </w:rPr>
        <w:t>” on page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Corporate Governance Highlights</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are committed to governance practices that promote the long-term interests of our stockholders, strengthen Board and management</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accountability and continue to build trust in our Company. The Board regularly reviews our governance profile to ensure that it reflects the evolving governance landscape applicable to our Company and appropriately supports and serves the best interests of the Company and our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stockholders. For more information, see “</w:t>
      </w:r>
      <w:r>
        <w:rPr>
          <w:rFonts w:ascii="Arial" w:cs="Arial" w:eastAsia="Arial" w:hAnsi="Arial"/>
          <w:sz w:val="18"/>
          <w:szCs w:val="18"/>
          <w:i w:val="1"/>
          <w:iCs w:val="1"/>
          <w:color w:val="auto"/>
        </w:rPr>
        <w:t>Corporate Governance</w:t>
      </w:r>
      <w:r>
        <w:rPr>
          <w:rFonts w:ascii="Arial" w:cs="Arial" w:eastAsia="Arial" w:hAnsi="Arial"/>
          <w:sz w:val="18"/>
          <w:szCs w:val="18"/>
          <w:color w:val="auto"/>
        </w:rPr>
        <w:t>” beginning on page 22.</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236"/>
        </w:trPr>
        <w:tc>
          <w:tcPr>
            <w:tcW w:w="3940" w:type="dxa"/>
            <w:vAlign w:val="bottom"/>
            <w:tcBorders>
              <w:top w:val="single" w:sz="8" w:color="auto"/>
            </w:tcBorders>
            <w:shd w:val="clear" w:color="auto" w:fill="DBE5F1"/>
          </w:tcPr>
          <w:p>
            <w:pPr>
              <w:ind w:left="60"/>
              <w:spacing w:after="0"/>
              <w:rPr>
                <w:sz w:val="20"/>
                <w:szCs w:val="20"/>
                <w:color w:val="auto"/>
              </w:rPr>
            </w:pPr>
            <w:r>
              <w:rPr>
                <w:rFonts w:ascii="Arial" w:cs="Arial" w:eastAsia="Arial" w:hAnsi="Arial"/>
                <w:sz w:val="16"/>
                <w:szCs w:val="16"/>
                <w:b w:val="1"/>
                <w:bCs w:val="1"/>
                <w:i w:val="1"/>
                <w:iCs w:val="1"/>
                <w:color w:val="auto"/>
              </w:rPr>
              <w:t>Board Structure &amp; Composition</w:t>
            </w:r>
          </w:p>
        </w:tc>
        <w:tc>
          <w:tcPr>
            <w:tcW w:w="3520" w:type="dxa"/>
            <w:vAlign w:val="bottom"/>
            <w:tcBorders>
              <w:top w:val="single" w:sz="8" w:color="auto"/>
            </w:tcBorders>
            <w:shd w:val="clear" w:color="auto" w:fill="DBE5F1"/>
          </w:tcPr>
          <w:p>
            <w:pPr>
              <w:spacing w:after="0"/>
              <w:rPr>
                <w:sz w:val="20"/>
                <w:szCs w:val="20"/>
                <w:color w:val="auto"/>
              </w:rPr>
            </w:pPr>
          </w:p>
        </w:tc>
        <w:tc>
          <w:tcPr>
            <w:tcW w:w="3680" w:type="dxa"/>
            <w:vAlign w:val="bottom"/>
            <w:tcBorders>
              <w:top w:val="single" w:sz="8" w:color="auto"/>
            </w:tcBorders>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394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7 of 9 Directors, and all Board Committee</w:t>
            </w:r>
          </w:p>
        </w:tc>
        <w:tc>
          <w:tcPr>
            <w:tcW w:w="3520" w:type="dxa"/>
            <w:vAlign w:val="bottom"/>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Lead Independent Director empowered</w:t>
            </w:r>
          </w:p>
        </w:tc>
        <w:tc>
          <w:tcPr>
            <w:tcW w:w="3680" w:type="dxa"/>
            <w:vAlign w:val="bottom"/>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Annual assessment and determination of</w:t>
            </w:r>
          </w:p>
        </w:tc>
        <w:tc>
          <w:tcPr>
            <w:tcW w:w="0" w:type="dxa"/>
            <w:vAlign w:val="bottom"/>
          </w:tcPr>
          <w:p>
            <w:pPr>
              <w:spacing w:after="0"/>
              <w:rPr>
                <w:sz w:val="1"/>
                <w:szCs w:val="1"/>
                <w:color w:val="auto"/>
              </w:rPr>
            </w:pPr>
          </w:p>
        </w:tc>
      </w:tr>
      <w:tr>
        <w:trPr>
          <w:trHeight w:val="229"/>
        </w:trPr>
        <w:tc>
          <w:tcPr>
            <w:tcW w:w="3940" w:type="dxa"/>
            <w:vAlign w:val="bottom"/>
            <w:shd w:val="clear" w:color="auto" w:fill="DBE5F1"/>
          </w:tcPr>
          <w:p>
            <w:pPr>
              <w:ind w:left="520"/>
              <w:spacing w:after="0"/>
              <w:rPr>
                <w:sz w:val="20"/>
                <w:szCs w:val="20"/>
                <w:color w:val="auto"/>
              </w:rPr>
            </w:pPr>
            <w:r>
              <w:rPr>
                <w:rFonts w:ascii="Arial" w:cs="Arial" w:eastAsia="Arial" w:hAnsi="Arial"/>
                <w:sz w:val="16"/>
                <w:szCs w:val="16"/>
                <w:color w:val="auto"/>
              </w:rPr>
              <w:t>members, are independent</w:t>
            </w:r>
          </w:p>
        </w:tc>
        <w:tc>
          <w:tcPr>
            <w:tcW w:w="3520" w:type="dxa"/>
            <w:vAlign w:val="bottom"/>
            <w:shd w:val="clear" w:color="auto" w:fill="DBE5F1"/>
          </w:tcPr>
          <w:p>
            <w:pPr>
              <w:ind w:left="460"/>
              <w:spacing w:after="0"/>
              <w:rPr>
                <w:sz w:val="20"/>
                <w:szCs w:val="20"/>
                <w:color w:val="auto"/>
              </w:rPr>
            </w:pPr>
            <w:r>
              <w:rPr>
                <w:rFonts w:ascii="Arial" w:cs="Arial" w:eastAsia="Arial" w:hAnsi="Arial"/>
                <w:sz w:val="16"/>
                <w:szCs w:val="16"/>
                <w:color w:val="auto"/>
              </w:rPr>
              <w:t>with agenda-setting authority and active</w:t>
            </w:r>
          </w:p>
        </w:tc>
        <w:tc>
          <w:tcPr>
            <w:tcW w:w="3680" w:type="dxa"/>
            <w:vAlign w:val="bottom"/>
            <w:shd w:val="clear" w:color="auto" w:fill="DBE5F1"/>
          </w:tcPr>
          <w:p>
            <w:pPr>
              <w:ind w:left="420"/>
              <w:spacing w:after="0"/>
              <w:rPr>
                <w:sz w:val="20"/>
                <w:szCs w:val="20"/>
                <w:color w:val="auto"/>
              </w:rPr>
            </w:pPr>
            <w:r>
              <w:rPr>
                <w:rFonts w:ascii="Arial" w:cs="Arial" w:eastAsia="Arial" w:hAnsi="Arial"/>
                <w:sz w:val="16"/>
                <w:szCs w:val="16"/>
                <w:color w:val="auto"/>
              </w:rPr>
              <w:t>optimal Board leadership structure</w:t>
            </w:r>
          </w:p>
        </w:tc>
        <w:tc>
          <w:tcPr>
            <w:tcW w:w="0" w:type="dxa"/>
            <w:vAlign w:val="bottom"/>
          </w:tcPr>
          <w:p>
            <w:pPr>
              <w:spacing w:after="0"/>
              <w:rPr>
                <w:sz w:val="1"/>
                <w:szCs w:val="1"/>
                <w:color w:val="auto"/>
              </w:rPr>
            </w:pPr>
          </w:p>
        </w:tc>
      </w:tr>
      <w:tr>
        <w:trPr>
          <w:trHeight w:val="203"/>
        </w:trPr>
        <w:tc>
          <w:tcPr>
            <w:tcW w:w="3940" w:type="dxa"/>
            <w:vAlign w:val="bottom"/>
            <w:shd w:val="clear" w:color="auto" w:fill="DBE5F1"/>
          </w:tcPr>
          <w:p>
            <w:pPr>
              <w:ind w:left="200"/>
              <w:spacing w:after="0" w:line="203" w:lineRule="exact"/>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Board composed of a mix of long-tenured and</w:t>
            </w:r>
          </w:p>
        </w:tc>
        <w:tc>
          <w:tcPr>
            <w:tcW w:w="3520" w:type="dxa"/>
            <w:vAlign w:val="bottom"/>
            <w:shd w:val="clear" w:color="auto" w:fill="DBE5F1"/>
          </w:tcPr>
          <w:p>
            <w:pPr>
              <w:ind w:left="460"/>
              <w:spacing w:after="0"/>
              <w:rPr>
                <w:sz w:val="20"/>
                <w:szCs w:val="20"/>
                <w:color w:val="auto"/>
              </w:rPr>
            </w:pPr>
            <w:r>
              <w:rPr>
                <w:rFonts w:ascii="Arial" w:cs="Arial" w:eastAsia="Arial" w:hAnsi="Arial"/>
                <w:sz w:val="16"/>
                <w:szCs w:val="16"/>
                <w:color w:val="auto"/>
              </w:rPr>
              <w:t>involvement in oversight of Board</w:t>
            </w:r>
          </w:p>
        </w:tc>
        <w:tc>
          <w:tcPr>
            <w:tcW w:w="3680" w:type="dxa"/>
            <w:vAlign w:val="bottom"/>
            <w:vMerge w:val="restart"/>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Commitment to Board diversity of</w:t>
            </w:r>
          </w:p>
        </w:tc>
        <w:tc>
          <w:tcPr>
            <w:tcW w:w="0" w:type="dxa"/>
            <w:vAlign w:val="bottom"/>
          </w:tcPr>
          <w:p>
            <w:pPr>
              <w:spacing w:after="0"/>
              <w:rPr>
                <w:sz w:val="1"/>
                <w:szCs w:val="1"/>
                <w:color w:val="auto"/>
              </w:rPr>
            </w:pPr>
          </w:p>
        </w:tc>
      </w:tr>
      <w:tr>
        <w:trPr>
          <w:trHeight w:val="107"/>
        </w:trPr>
        <w:tc>
          <w:tcPr>
            <w:tcW w:w="3940" w:type="dxa"/>
            <w:vAlign w:val="bottom"/>
            <w:vMerge w:val="restart"/>
            <w:shd w:val="clear" w:color="auto" w:fill="DBE5F1"/>
          </w:tcPr>
          <w:p>
            <w:pPr>
              <w:ind w:left="520"/>
              <w:spacing w:after="0"/>
              <w:rPr>
                <w:sz w:val="20"/>
                <w:szCs w:val="20"/>
                <w:color w:val="auto"/>
              </w:rPr>
            </w:pPr>
            <w:r>
              <w:rPr>
                <w:rFonts w:ascii="Arial" w:cs="Arial" w:eastAsia="Arial" w:hAnsi="Arial"/>
                <w:sz w:val="16"/>
                <w:szCs w:val="16"/>
                <w:color w:val="auto"/>
              </w:rPr>
              <w:t>new directors</w:t>
            </w:r>
          </w:p>
        </w:tc>
        <w:tc>
          <w:tcPr>
            <w:tcW w:w="3520" w:type="dxa"/>
            <w:vAlign w:val="bottom"/>
            <w:vMerge w:val="restart"/>
            <w:shd w:val="clear" w:color="auto" w:fill="DBE5F1"/>
          </w:tcPr>
          <w:p>
            <w:pPr>
              <w:ind w:left="460"/>
              <w:spacing w:after="0"/>
              <w:rPr>
                <w:sz w:val="20"/>
                <w:szCs w:val="20"/>
                <w:color w:val="auto"/>
              </w:rPr>
            </w:pPr>
            <w:r>
              <w:rPr>
                <w:rFonts w:ascii="Arial" w:cs="Arial" w:eastAsia="Arial" w:hAnsi="Arial"/>
                <w:sz w:val="16"/>
                <w:szCs w:val="16"/>
                <w:color w:val="auto"/>
              </w:rPr>
              <w:t>functions, elected annually by the</w:t>
            </w:r>
          </w:p>
        </w:tc>
        <w:tc>
          <w:tcPr>
            <w:tcW w:w="3680" w:type="dxa"/>
            <w:vAlign w:val="bottom"/>
            <w:vMerge w:val="continue"/>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940" w:type="dxa"/>
            <w:vAlign w:val="bottom"/>
            <w:vMerge w:val="continue"/>
            <w:shd w:val="clear" w:color="auto" w:fill="DBE5F1"/>
          </w:tcPr>
          <w:p>
            <w:pPr>
              <w:spacing w:after="0"/>
              <w:rPr>
                <w:sz w:val="8"/>
                <w:szCs w:val="8"/>
                <w:color w:val="auto"/>
              </w:rPr>
            </w:pPr>
          </w:p>
        </w:tc>
        <w:tc>
          <w:tcPr>
            <w:tcW w:w="3520" w:type="dxa"/>
            <w:vAlign w:val="bottom"/>
            <w:vMerge w:val="continue"/>
            <w:shd w:val="clear" w:color="auto" w:fill="DBE5F1"/>
          </w:tcPr>
          <w:p>
            <w:pPr>
              <w:spacing w:after="0"/>
              <w:rPr>
                <w:sz w:val="8"/>
                <w:szCs w:val="8"/>
                <w:color w:val="auto"/>
              </w:rPr>
            </w:pPr>
          </w:p>
        </w:tc>
        <w:tc>
          <w:tcPr>
            <w:tcW w:w="3680" w:type="dxa"/>
            <w:vAlign w:val="bottom"/>
            <w:vMerge w:val="restart"/>
            <w:shd w:val="clear" w:color="auto" w:fill="DBE5F1"/>
          </w:tcPr>
          <w:p>
            <w:pPr>
              <w:ind w:left="420"/>
              <w:spacing w:after="0"/>
              <w:rPr>
                <w:sz w:val="20"/>
                <w:szCs w:val="20"/>
                <w:color w:val="auto"/>
              </w:rPr>
            </w:pPr>
            <w:r>
              <w:rPr>
                <w:rFonts w:ascii="Arial" w:cs="Arial" w:eastAsia="Arial" w:hAnsi="Arial"/>
                <w:sz w:val="16"/>
                <w:szCs w:val="16"/>
                <w:color w:val="auto"/>
              </w:rPr>
              <w:t>perspective, gender, and race or ethnicity</w:t>
            </w:r>
          </w:p>
        </w:tc>
        <w:tc>
          <w:tcPr>
            <w:tcW w:w="0" w:type="dxa"/>
            <w:vAlign w:val="bottom"/>
          </w:tcPr>
          <w:p>
            <w:pPr>
              <w:spacing w:after="0"/>
              <w:rPr>
                <w:sz w:val="1"/>
                <w:szCs w:val="1"/>
                <w:color w:val="auto"/>
              </w:rPr>
            </w:pPr>
          </w:p>
        </w:tc>
      </w:tr>
      <w:tr>
        <w:trPr>
          <w:trHeight w:val="119"/>
        </w:trPr>
        <w:tc>
          <w:tcPr>
            <w:tcW w:w="3940" w:type="dxa"/>
            <w:vAlign w:val="bottom"/>
            <w:vMerge w:val="restart"/>
            <w:shd w:val="clear" w:color="auto" w:fill="DBE5F1"/>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Directors reflect a variety of experiences and</w:t>
            </w:r>
          </w:p>
        </w:tc>
        <w:tc>
          <w:tcPr>
            <w:tcW w:w="3520" w:type="dxa"/>
            <w:vAlign w:val="bottom"/>
            <w:vMerge w:val="restart"/>
            <w:shd w:val="clear" w:color="auto" w:fill="DBE5F1"/>
          </w:tcPr>
          <w:p>
            <w:pPr>
              <w:ind w:left="460"/>
              <w:spacing w:after="0"/>
              <w:rPr>
                <w:sz w:val="20"/>
                <w:szCs w:val="20"/>
                <w:color w:val="auto"/>
              </w:rPr>
            </w:pPr>
            <w:r>
              <w:rPr>
                <w:rFonts w:ascii="Arial" w:cs="Arial" w:eastAsia="Arial" w:hAnsi="Arial"/>
                <w:sz w:val="16"/>
                <w:szCs w:val="16"/>
                <w:color w:val="auto"/>
              </w:rPr>
              <w:t>independent directors</w:t>
            </w:r>
          </w:p>
        </w:tc>
        <w:tc>
          <w:tcPr>
            <w:tcW w:w="3680" w:type="dxa"/>
            <w:vAlign w:val="bottom"/>
            <w:vMerge w:val="continue"/>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940" w:type="dxa"/>
            <w:vAlign w:val="bottom"/>
            <w:vMerge w:val="continue"/>
            <w:shd w:val="clear" w:color="auto" w:fill="DBE5F1"/>
          </w:tcPr>
          <w:p>
            <w:pPr>
              <w:spacing w:after="0"/>
              <w:rPr>
                <w:sz w:val="8"/>
                <w:szCs w:val="8"/>
                <w:color w:val="auto"/>
              </w:rPr>
            </w:pPr>
          </w:p>
        </w:tc>
        <w:tc>
          <w:tcPr>
            <w:tcW w:w="3520" w:type="dxa"/>
            <w:vAlign w:val="bottom"/>
            <w:vMerge w:val="continue"/>
            <w:shd w:val="clear" w:color="auto" w:fill="DBE5F1"/>
          </w:tcPr>
          <w:p>
            <w:pPr>
              <w:spacing w:after="0"/>
              <w:rPr>
                <w:sz w:val="8"/>
                <w:szCs w:val="8"/>
                <w:color w:val="auto"/>
              </w:rPr>
            </w:pPr>
          </w:p>
        </w:tc>
        <w:tc>
          <w:tcPr>
            <w:tcW w:w="3680" w:type="dxa"/>
            <w:vAlign w:val="bottom"/>
            <w:vMerge w:val="restart"/>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Directors attended about 93% of Board and</w:t>
            </w:r>
          </w:p>
        </w:tc>
        <w:tc>
          <w:tcPr>
            <w:tcW w:w="0" w:type="dxa"/>
            <w:vAlign w:val="bottom"/>
          </w:tcPr>
          <w:p>
            <w:pPr>
              <w:spacing w:after="0"/>
              <w:rPr>
                <w:sz w:val="1"/>
                <w:szCs w:val="1"/>
                <w:color w:val="auto"/>
              </w:rPr>
            </w:pPr>
          </w:p>
        </w:tc>
      </w:tr>
      <w:tr>
        <w:trPr>
          <w:trHeight w:val="122"/>
        </w:trPr>
        <w:tc>
          <w:tcPr>
            <w:tcW w:w="3940" w:type="dxa"/>
            <w:vAlign w:val="bottom"/>
            <w:vMerge w:val="continue"/>
            <w:shd w:val="clear" w:color="auto" w:fill="DBE5F1"/>
          </w:tcPr>
          <w:p>
            <w:pPr>
              <w:spacing w:after="0"/>
              <w:rPr>
                <w:sz w:val="10"/>
                <w:szCs w:val="10"/>
                <w:color w:val="auto"/>
              </w:rPr>
            </w:pPr>
          </w:p>
        </w:tc>
        <w:tc>
          <w:tcPr>
            <w:tcW w:w="3520" w:type="dxa"/>
            <w:vAlign w:val="bottom"/>
            <w:vMerge w:val="restart"/>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Active and empowered committee chairs,</w:t>
            </w:r>
          </w:p>
        </w:tc>
        <w:tc>
          <w:tcPr>
            <w:tcW w:w="3680" w:type="dxa"/>
            <w:vAlign w:val="bottom"/>
            <w:vMerge w:val="continue"/>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940" w:type="dxa"/>
            <w:vAlign w:val="bottom"/>
            <w:vMerge w:val="restart"/>
            <w:shd w:val="clear" w:color="auto" w:fill="DBE5F1"/>
          </w:tcPr>
          <w:p>
            <w:pPr>
              <w:ind w:left="520"/>
              <w:spacing w:after="0" w:line="163" w:lineRule="exact"/>
              <w:rPr>
                <w:sz w:val="20"/>
                <w:szCs w:val="20"/>
                <w:color w:val="auto"/>
              </w:rPr>
            </w:pPr>
            <w:r>
              <w:rPr>
                <w:rFonts w:ascii="Arial" w:cs="Arial" w:eastAsia="Arial" w:hAnsi="Arial"/>
                <w:sz w:val="16"/>
                <w:szCs w:val="16"/>
                <w:color w:val="auto"/>
              </w:rPr>
              <w:t>skills that give the Board the collective</w:t>
            </w:r>
          </w:p>
        </w:tc>
        <w:tc>
          <w:tcPr>
            <w:tcW w:w="3520" w:type="dxa"/>
            <w:vAlign w:val="bottom"/>
            <w:vMerge w:val="continue"/>
            <w:shd w:val="clear" w:color="auto" w:fill="DBE5F1"/>
          </w:tcPr>
          <w:p>
            <w:pPr>
              <w:spacing w:after="0"/>
              <w:rPr>
                <w:sz w:val="5"/>
                <w:szCs w:val="5"/>
                <w:color w:val="auto"/>
              </w:rPr>
            </w:pPr>
          </w:p>
        </w:tc>
        <w:tc>
          <w:tcPr>
            <w:tcW w:w="3680" w:type="dxa"/>
            <w:vAlign w:val="bottom"/>
            <w:vMerge w:val="continue"/>
            <w:shd w:val="clear" w:color="auto" w:fill="DBE5F1"/>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940" w:type="dxa"/>
            <w:vAlign w:val="bottom"/>
            <w:vMerge w:val="continue"/>
            <w:shd w:val="clear" w:color="auto" w:fill="DBE5F1"/>
          </w:tcPr>
          <w:p>
            <w:pPr>
              <w:spacing w:after="0"/>
              <w:rPr>
                <w:sz w:val="8"/>
                <w:szCs w:val="8"/>
                <w:color w:val="auto"/>
              </w:rPr>
            </w:pPr>
          </w:p>
        </w:tc>
        <w:tc>
          <w:tcPr>
            <w:tcW w:w="3520" w:type="dxa"/>
            <w:vAlign w:val="bottom"/>
            <w:vMerge w:val="continue"/>
            <w:shd w:val="clear" w:color="auto" w:fill="DBE5F1"/>
          </w:tcPr>
          <w:p>
            <w:pPr>
              <w:spacing w:after="0"/>
              <w:rPr>
                <w:sz w:val="8"/>
                <w:szCs w:val="8"/>
                <w:color w:val="auto"/>
              </w:rPr>
            </w:pPr>
          </w:p>
        </w:tc>
        <w:tc>
          <w:tcPr>
            <w:tcW w:w="3680" w:type="dxa"/>
            <w:vAlign w:val="bottom"/>
            <w:vMerge w:val="restart"/>
            <w:shd w:val="clear" w:color="auto" w:fill="DBE5F1"/>
          </w:tcPr>
          <w:p>
            <w:pPr>
              <w:ind w:left="420"/>
              <w:spacing w:after="0"/>
              <w:rPr>
                <w:sz w:val="20"/>
                <w:szCs w:val="20"/>
                <w:color w:val="auto"/>
              </w:rPr>
            </w:pPr>
            <w:r>
              <w:rPr>
                <w:rFonts w:ascii="Arial" w:cs="Arial" w:eastAsia="Arial" w:hAnsi="Arial"/>
                <w:sz w:val="16"/>
                <w:szCs w:val="16"/>
                <w:color w:val="auto"/>
              </w:rPr>
              <w:t>Committee meetings combined in 2024</w:t>
            </w:r>
          </w:p>
        </w:tc>
        <w:tc>
          <w:tcPr>
            <w:tcW w:w="0" w:type="dxa"/>
            <w:vAlign w:val="bottom"/>
          </w:tcPr>
          <w:p>
            <w:pPr>
              <w:spacing w:after="0"/>
              <w:rPr>
                <w:sz w:val="1"/>
                <w:szCs w:val="1"/>
                <w:color w:val="auto"/>
              </w:rPr>
            </w:pPr>
          </w:p>
        </w:tc>
      </w:tr>
      <w:tr>
        <w:trPr>
          <w:trHeight w:val="119"/>
        </w:trPr>
        <w:tc>
          <w:tcPr>
            <w:tcW w:w="3940" w:type="dxa"/>
            <w:vAlign w:val="bottom"/>
            <w:vMerge w:val="restart"/>
            <w:shd w:val="clear" w:color="auto" w:fill="DBE5F1"/>
          </w:tcPr>
          <w:p>
            <w:pPr>
              <w:ind w:left="520"/>
              <w:spacing w:after="0"/>
              <w:rPr>
                <w:sz w:val="20"/>
                <w:szCs w:val="20"/>
                <w:color w:val="auto"/>
              </w:rPr>
            </w:pPr>
            <w:r>
              <w:rPr>
                <w:rFonts w:ascii="Arial" w:cs="Arial" w:eastAsia="Arial" w:hAnsi="Arial"/>
                <w:sz w:val="16"/>
                <w:szCs w:val="16"/>
                <w:color w:val="auto"/>
              </w:rPr>
              <w:t>capability necessary to oversee the</w:t>
            </w:r>
          </w:p>
        </w:tc>
        <w:tc>
          <w:tcPr>
            <w:tcW w:w="3520" w:type="dxa"/>
            <w:vAlign w:val="bottom"/>
            <w:vMerge w:val="restart"/>
            <w:shd w:val="clear" w:color="auto" w:fill="DBE5F1"/>
          </w:tcPr>
          <w:p>
            <w:pPr>
              <w:ind w:left="460"/>
              <w:spacing w:after="0"/>
              <w:rPr>
                <w:sz w:val="20"/>
                <w:szCs w:val="20"/>
                <w:color w:val="auto"/>
              </w:rPr>
            </w:pPr>
            <w:r>
              <w:rPr>
                <w:rFonts w:ascii="Arial" w:cs="Arial" w:eastAsia="Arial" w:hAnsi="Arial"/>
                <w:sz w:val="16"/>
                <w:szCs w:val="16"/>
                <w:color w:val="auto"/>
              </w:rPr>
              <w:t>all of whom are independent</w:t>
            </w:r>
          </w:p>
        </w:tc>
        <w:tc>
          <w:tcPr>
            <w:tcW w:w="3680" w:type="dxa"/>
            <w:vAlign w:val="bottom"/>
            <w:vMerge w:val="continue"/>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940" w:type="dxa"/>
            <w:vAlign w:val="bottom"/>
            <w:vMerge w:val="continue"/>
            <w:shd w:val="clear" w:color="auto" w:fill="DBE5F1"/>
          </w:tcPr>
          <w:p>
            <w:pPr>
              <w:spacing w:after="0"/>
              <w:rPr>
                <w:sz w:val="9"/>
                <w:szCs w:val="9"/>
                <w:color w:val="auto"/>
              </w:rPr>
            </w:pPr>
          </w:p>
        </w:tc>
        <w:tc>
          <w:tcPr>
            <w:tcW w:w="3520" w:type="dxa"/>
            <w:vAlign w:val="bottom"/>
            <w:vMerge w:val="continue"/>
            <w:shd w:val="clear" w:color="auto" w:fill="DBE5F1"/>
          </w:tcPr>
          <w:p>
            <w:pPr>
              <w:spacing w:after="0"/>
              <w:rPr>
                <w:sz w:val="9"/>
                <w:szCs w:val="9"/>
                <w:color w:val="auto"/>
              </w:rPr>
            </w:pPr>
          </w:p>
        </w:tc>
        <w:tc>
          <w:tcPr>
            <w:tcW w:w="3680" w:type="dxa"/>
            <w:vAlign w:val="bottom"/>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940" w:type="dxa"/>
            <w:vAlign w:val="bottom"/>
            <w:shd w:val="clear" w:color="auto" w:fill="DBE5F1"/>
          </w:tcPr>
          <w:p>
            <w:pPr>
              <w:ind w:left="520"/>
              <w:spacing w:after="0"/>
              <w:rPr>
                <w:sz w:val="20"/>
                <w:szCs w:val="20"/>
                <w:color w:val="auto"/>
              </w:rPr>
            </w:pPr>
            <w:r>
              <w:rPr>
                <w:rFonts w:ascii="Arial" w:cs="Arial" w:eastAsia="Arial" w:hAnsi="Arial"/>
                <w:sz w:val="16"/>
                <w:szCs w:val="16"/>
                <w:color w:val="auto"/>
              </w:rPr>
              <w:t>Company’s activities</w:t>
            </w:r>
          </w:p>
        </w:tc>
        <w:tc>
          <w:tcPr>
            <w:tcW w:w="3520" w:type="dxa"/>
            <w:vAlign w:val="bottom"/>
            <w:shd w:val="clear" w:color="auto" w:fill="DBE5F1"/>
          </w:tcPr>
          <w:p>
            <w:pPr>
              <w:spacing w:after="0"/>
              <w:rPr>
                <w:sz w:val="18"/>
                <w:szCs w:val="18"/>
                <w:color w:val="auto"/>
              </w:rPr>
            </w:pPr>
          </w:p>
        </w:tc>
        <w:tc>
          <w:tcPr>
            <w:tcW w:w="368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3940" w:type="dxa"/>
            <w:vAlign w:val="bottom"/>
            <w:tcBorders>
              <w:bottom w:val="single" w:sz="8" w:color="auto"/>
            </w:tcBorders>
            <w:shd w:val="clear" w:color="auto" w:fill="DBE5F1"/>
          </w:tcPr>
          <w:p>
            <w:pPr>
              <w:spacing w:after="0"/>
              <w:rPr>
                <w:sz w:val="9"/>
                <w:szCs w:val="9"/>
                <w:color w:val="auto"/>
              </w:rPr>
            </w:pPr>
          </w:p>
        </w:tc>
        <w:tc>
          <w:tcPr>
            <w:tcW w:w="3520" w:type="dxa"/>
            <w:vAlign w:val="bottom"/>
            <w:tcBorders>
              <w:bottom w:val="single" w:sz="8" w:color="auto"/>
            </w:tcBorders>
            <w:shd w:val="clear" w:color="auto" w:fill="DBE5F1"/>
          </w:tcPr>
          <w:p>
            <w:pPr>
              <w:spacing w:after="0"/>
              <w:rPr>
                <w:sz w:val="9"/>
                <w:szCs w:val="9"/>
                <w:color w:val="auto"/>
              </w:rPr>
            </w:pPr>
          </w:p>
        </w:tc>
        <w:tc>
          <w:tcPr>
            <w:tcW w:w="3680" w:type="dxa"/>
            <w:vAlign w:val="bottom"/>
            <w:tcBorders>
              <w:bottom w:val="single" w:sz="8" w:color="auto"/>
            </w:tcBorders>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94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Good Governance Practices</w:t>
            </w:r>
          </w:p>
        </w:tc>
        <w:tc>
          <w:tcPr>
            <w:tcW w:w="35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18" w:lineRule="exact"/>
        <w:rPr>
          <w:sz w:val="20"/>
          <w:szCs w:val="20"/>
          <w:color w:val="auto"/>
        </w:rPr>
      </w:pPr>
    </w:p>
    <w:p>
      <w:pPr>
        <w:ind w:left="520" w:right="180" w:hanging="333"/>
        <w:spacing w:after="0" w:line="274" w:lineRule="auto"/>
        <w:tabs>
          <w:tab w:leader="none" w:pos="515"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6"/>
          <w:szCs w:val="16"/>
          <w:color w:val="auto"/>
        </w:rPr>
        <w:t>Ongoing Board assessment and refreshment led by the NCGCC</w:t>
      </w:r>
    </w:p>
    <w:p>
      <w:pPr>
        <w:spacing w:after="0" w:line="53" w:lineRule="exact"/>
        <w:rPr>
          <w:rFonts w:ascii="Times New Roman" w:cs="Times New Roman" w:eastAsia="Times New Roman" w:hAnsi="Times New Roman"/>
          <w:sz w:val="18"/>
          <w:szCs w:val="18"/>
          <w:color w:val="auto"/>
        </w:rPr>
      </w:pPr>
    </w:p>
    <w:p>
      <w:pPr>
        <w:ind w:left="500" w:hanging="313"/>
        <w:spacing w:after="0"/>
        <w:tabs>
          <w:tab w:leader="none" w:pos="5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6"/>
          <w:szCs w:val="16"/>
          <w:color w:val="auto"/>
        </w:rPr>
        <w:t>Annual Board and Committee self-assessments</w:t>
      </w:r>
    </w:p>
    <w:p>
      <w:pPr>
        <w:spacing w:after="0" w:line="103" w:lineRule="exact"/>
        <w:rPr>
          <w:rFonts w:ascii="Times New Roman" w:cs="Times New Roman" w:eastAsia="Times New Roman" w:hAnsi="Times New Roman"/>
          <w:sz w:val="18"/>
          <w:szCs w:val="18"/>
          <w:color w:val="auto"/>
        </w:rPr>
      </w:pPr>
    </w:p>
    <w:p>
      <w:pPr>
        <w:ind w:left="520" w:right="120" w:hanging="333"/>
        <w:spacing w:after="0" w:line="274" w:lineRule="auto"/>
        <w:tabs>
          <w:tab w:leader="none" w:pos="515"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6"/>
          <w:szCs w:val="16"/>
          <w:color w:val="auto"/>
        </w:rPr>
        <w:t>Insider trading policy, including prohibitions on pledging and short-sales</w:t>
      </w:r>
    </w:p>
    <w:p>
      <w:pPr>
        <w:spacing w:after="0" w:line="53" w:lineRule="exact"/>
        <w:rPr>
          <w:rFonts w:ascii="Times New Roman" w:cs="Times New Roman" w:eastAsia="Times New Roman" w:hAnsi="Times New Roman"/>
          <w:sz w:val="18"/>
          <w:szCs w:val="18"/>
          <w:color w:val="auto"/>
        </w:rPr>
      </w:pPr>
    </w:p>
    <w:p>
      <w:pPr>
        <w:ind w:left="500" w:hanging="313"/>
        <w:spacing w:after="0"/>
        <w:tabs>
          <w:tab w:leader="none" w:pos="5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6"/>
          <w:szCs w:val="16"/>
          <w:color w:val="auto"/>
        </w:rPr>
        <w:t>Incentive-based compensation clawback policy</w:t>
      </w:r>
    </w:p>
    <w:p>
      <w:pPr>
        <w:spacing w:after="0" w:line="20" w:lineRule="exact"/>
        <w:rPr>
          <w:sz w:val="20"/>
          <w:szCs w:val="20"/>
          <w:color w:val="auto"/>
        </w:rPr>
      </w:pPr>
      <w:r>
        <w:rPr>
          <w:sz w:val="20"/>
          <w:szCs w:val="20"/>
          <w:color w:val="auto"/>
        </w:rPr>
        <w:br w:type="column"/>
      </w:r>
    </w:p>
    <w:p>
      <w:pPr>
        <w:spacing w:after="0"/>
        <w:tabs>
          <w:tab w:leader="none" w:pos="300" w:val="left"/>
          <w:tab w:leader="none" w:pos="3520" w:val="left"/>
          <w:tab w:leader="none" w:pos="38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6"/>
          <w:szCs w:val="16"/>
          <w:color w:val="auto"/>
        </w:rPr>
        <w:t>Regular executive sessions of the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6"/>
          <w:szCs w:val="16"/>
          <w:color w:val="auto"/>
        </w:rPr>
        <w:t>Robust stockholder engagement program,</w:t>
      </w:r>
    </w:p>
    <w:p>
      <w:pPr>
        <w:spacing w:after="0" w:line="27" w:lineRule="exact"/>
        <w:rPr>
          <w:sz w:val="20"/>
          <w:szCs w:val="20"/>
          <w:color w:val="auto"/>
        </w:rPr>
      </w:pPr>
    </w:p>
    <w:p>
      <w:pPr>
        <w:ind w:left="320"/>
        <w:spacing w:after="0"/>
        <w:tabs>
          <w:tab w:leader="none" w:pos="3840" w:val="left"/>
        </w:tabs>
        <w:rPr>
          <w:sz w:val="20"/>
          <w:szCs w:val="20"/>
          <w:color w:val="auto"/>
        </w:rPr>
      </w:pPr>
      <w:r>
        <w:rPr>
          <w:rFonts w:ascii="Arial" w:cs="Arial" w:eastAsia="Arial" w:hAnsi="Arial"/>
          <w:sz w:val="16"/>
          <w:szCs w:val="16"/>
          <w:color w:val="auto"/>
        </w:rPr>
        <w:t>independent directors at meetings of the</w:t>
      </w:r>
      <w:r>
        <w:rPr>
          <w:sz w:val="20"/>
          <w:szCs w:val="20"/>
          <w:color w:val="auto"/>
        </w:rPr>
        <w:tab/>
      </w:r>
      <w:r>
        <w:rPr>
          <w:rFonts w:ascii="Arial" w:cs="Arial" w:eastAsia="Arial" w:hAnsi="Arial"/>
          <w:sz w:val="16"/>
          <w:szCs w:val="16"/>
          <w:color w:val="auto"/>
        </w:rPr>
        <w:t>with the participation of our Chairman, to</w:t>
      </w:r>
    </w:p>
    <w:p>
      <w:pPr>
        <w:spacing w:after="0" w:line="7" w:lineRule="exact"/>
        <w:rPr>
          <w:sz w:val="20"/>
          <w:szCs w:val="20"/>
          <w:color w:val="auto"/>
        </w:rPr>
      </w:pPr>
    </w:p>
    <w:p>
      <w:pPr>
        <w:ind w:left="320"/>
        <w:spacing w:after="0"/>
        <w:tabs>
          <w:tab w:leader="none" w:pos="3840" w:val="left"/>
        </w:tabs>
        <w:rPr>
          <w:sz w:val="20"/>
          <w:szCs w:val="20"/>
          <w:color w:val="auto"/>
        </w:rPr>
      </w:pPr>
      <w:r>
        <w:rPr>
          <w:rFonts w:ascii="Arial" w:cs="Arial" w:eastAsia="Arial" w:hAnsi="Arial"/>
          <w:sz w:val="16"/>
          <w:szCs w:val="16"/>
          <w:color w:val="auto"/>
        </w:rPr>
        <w:t>Board, without management present</w:t>
      </w:r>
      <w:r>
        <w:rPr>
          <w:sz w:val="20"/>
          <w:szCs w:val="20"/>
          <w:color w:val="auto"/>
        </w:rPr>
        <w:tab/>
      </w:r>
      <w:r>
        <w:rPr>
          <w:rFonts w:ascii="Arial" w:cs="Arial" w:eastAsia="Arial" w:hAnsi="Arial"/>
          <w:sz w:val="16"/>
          <w:szCs w:val="16"/>
          <w:color w:val="auto"/>
        </w:rPr>
        <w:t>share our perspectives and solicit feedback</w:t>
      </w:r>
    </w:p>
    <w:p>
      <w:pPr>
        <w:spacing w:after="0" w:line="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6"/>
          <w:szCs w:val="16"/>
          <w:color w:val="auto"/>
        </w:rPr>
        <w:t>Officer and director stock ownership</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requirements</w:t>
      </w:r>
    </w:p>
    <w:p>
      <w:pPr>
        <w:spacing w:after="0" w:line="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6"/>
          <w:szCs w:val="16"/>
          <w:color w:val="auto"/>
        </w:rPr>
        <w:t>Code of Conduct overseen by Board</w:t>
      </w:r>
    </w:p>
    <w:p>
      <w:pPr>
        <w:spacing w:after="0" w:line="237" w:lineRule="exact"/>
        <w:rPr>
          <w:sz w:val="20"/>
          <w:szCs w:val="20"/>
          <w:color w:val="auto"/>
        </w:rPr>
      </w:pPr>
    </w:p>
    <w:p>
      <w:pPr>
        <w:sectPr>
          <w:pgSz w:w="11900" w:h="16838" w:orient="portrait"/>
          <w:cols w:equalWidth="0" w:num="2">
            <w:col w:w="3920" w:space="220"/>
            <w:col w:w="7100"/>
          </w:cols>
          <w:pgMar w:left="320" w:top="1440" w:right="339" w:bottom="1440" w:gutter="0" w:footer="0" w:header="0"/>
          <w:type w:val="continuous"/>
        </w:sectPr>
      </w:pPr>
    </w:p>
    <w:tbl>
      <w:tblPr>
        <w:tblLayout w:type="fixed"/>
        <w:tblInd w:w="60" w:type="dxa"/>
        <w:tblCellMar>
          <w:top w:w="0" w:type="dxa"/>
          <w:left w:w="0" w:type="dxa"/>
          <w:bottom w:w="0" w:type="dxa"/>
          <w:right w:w="0" w:type="dxa"/>
        </w:tblCellMar>
      </w:tblPr>
      <w:tr>
        <w:trPr>
          <w:trHeight w:val="235"/>
        </w:trPr>
        <w:tc>
          <w:tcPr>
            <w:tcW w:w="3920" w:type="dxa"/>
            <w:vAlign w:val="bottom"/>
            <w:tcBorders>
              <w:top w:val="single" w:sz="8" w:color="auto"/>
            </w:tcBorders>
            <w:gridSpan w:val="2"/>
            <w:shd w:val="clear" w:color="auto" w:fill="DBE5F1"/>
          </w:tcPr>
          <w:p>
            <w:pPr>
              <w:ind w:left="60"/>
              <w:spacing w:after="0"/>
              <w:rPr>
                <w:sz w:val="20"/>
                <w:szCs w:val="20"/>
                <w:color w:val="auto"/>
              </w:rPr>
            </w:pPr>
            <w:r>
              <w:rPr>
                <w:rFonts w:ascii="Arial" w:cs="Arial" w:eastAsia="Arial" w:hAnsi="Arial"/>
                <w:sz w:val="16"/>
                <w:szCs w:val="16"/>
                <w:b w:val="1"/>
                <w:bCs w:val="1"/>
                <w:i w:val="1"/>
                <w:iCs w:val="1"/>
                <w:color w:val="auto"/>
              </w:rPr>
              <w:t>Board Operations and Oversight</w:t>
            </w:r>
          </w:p>
        </w:tc>
        <w:tc>
          <w:tcPr>
            <w:tcW w:w="3560" w:type="dxa"/>
            <w:vAlign w:val="bottom"/>
            <w:tcBorders>
              <w:top w:val="single" w:sz="8" w:color="auto"/>
            </w:tcBorders>
            <w:shd w:val="clear" w:color="auto" w:fill="DBE5F1"/>
          </w:tcPr>
          <w:p>
            <w:pPr>
              <w:spacing w:after="0"/>
              <w:rPr>
                <w:sz w:val="20"/>
                <w:szCs w:val="20"/>
                <w:color w:val="auto"/>
              </w:rPr>
            </w:pPr>
          </w:p>
        </w:tc>
        <w:tc>
          <w:tcPr>
            <w:tcW w:w="3660" w:type="dxa"/>
            <w:vAlign w:val="bottom"/>
            <w:tcBorders>
              <w:top w:val="single" w:sz="8" w:color="auto"/>
            </w:tcBorders>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320" w:type="dxa"/>
            <w:vAlign w:val="bottom"/>
            <w:shd w:val="clear" w:color="auto" w:fill="DBE5F1"/>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shd w:val="clear" w:color="auto" w:fill="DBE5F1"/>
          </w:tcPr>
          <w:p>
            <w:pPr>
              <w:ind w:left="120"/>
              <w:spacing w:after="0"/>
              <w:rPr>
                <w:sz w:val="20"/>
                <w:szCs w:val="20"/>
                <w:color w:val="auto"/>
              </w:rPr>
            </w:pPr>
            <w:r>
              <w:rPr>
                <w:rFonts w:ascii="Arial" w:cs="Arial" w:eastAsia="Arial" w:hAnsi="Arial"/>
                <w:sz w:val="16"/>
                <w:szCs w:val="16"/>
                <w:color w:val="auto"/>
              </w:rPr>
              <w:t>Active board oversight of strategic planning</w:t>
            </w:r>
          </w:p>
        </w:tc>
        <w:tc>
          <w:tcPr>
            <w:tcW w:w="356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Audit Committee oversight of financial</w:t>
            </w:r>
          </w:p>
        </w:tc>
        <w:tc>
          <w:tcPr>
            <w:tcW w:w="3660" w:type="dxa"/>
            <w:vAlign w:val="bottom"/>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Direct access by the Board to members of</w:t>
            </w:r>
          </w:p>
        </w:tc>
        <w:tc>
          <w:tcPr>
            <w:tcW w:w="0" w:type="dxa"/>
            <w:vAlign w:val="bottom"/>
          </w:tcPr>
          <w:p>
            <w:pPr>
              <w:spacing w:after="0"/>
              <w:rPr>
                <w:sz w:val="1"/>
                <w:szCs w:val="1"/>
                <w:color w:val="auto"/>
              </w:rPr>
            </w:pPr>
          </w:p>
        </w:tc>
      </w:tr>
      <w:tr>
        <w:trPr>
          <w:trHeight w:val="189"/>
        </w:trPr>
        <w:tc>
          <w:tcPr>
            <w:tcW w:w="320" w:type="dxa"/>
            <w:vAlign w:val="bottom"/>
            <w:vMerge w:val="restart"/>
            <w:shd w:val="clear" w:color="auto" w:fill="DBE5F1"/>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vMerge w:val="restart"/>
            <w:shd w:val="clear" w:color="auto" w:fill="DBE5F1"/>
          </w:tcPr>
          <w:p>
            <w:pPr>
              <w:ind w:left="120"/>
              <w:spacing w:after="0"/>
              <w:rPr>
                <w:sz w:val="20"/>
                <w:szCs w:val="20"/>
                <w:color w:val="auto"/>
              </w:rPr>
            </w:pPr>
            <w:r>
              <w:rPr>
                <w:rFonts w:ascii="Arial" w:cs="Arial" w:eastAsia="Arial" w:hAnsi="Arial"/>
                <w:sz w:val="16"/>
                <w:szCs w:val="16"/>
                <w:color w:val="auto"/>
              </w:rPr>
              <w:t>Robust oversight framework to assess and</w:t>
            </w:r>
          </w:p>
        </w:tc>
        <w:tc>
          <w:tcPr>
            <w:tcW w:w="3560" w:type="dxa"/>
            <w:vAlign w:val="bottom"/>
            <w:shd w:val="clear" w:color="auto" w:fill="DBE5F1"/>
          </w:tcPr>
          <w:p>
            <w:pPr>
              <w:ind w:left="480"/>
              <w:spacing w:after="0"/>
              <w:rPr>
                <w:sz w:val="20"/>
                <w:szCs w:val="20"/>
                <w:color w:val="auto"/>
              </w:rPr>
            </w:pPr>
            <w:r>
              <w:rPr>
                <w:rFonts w:ascii="Arial" w:cs="Arial" w:eastAsia="Arial" w:hAnsi="Arial"/>
                <w:sz w:val="16"/>
                <w:szCs w:val="16"/>
                <w:color w:val="auto"/>
              </w:rPr>
              <w:t>risks, cybersecurity</w:t>
            </w:r>
          </w:p>
        </w:tc>
        <w:tc>
          <w:tcPr>
            <w:tcW w:w="3660" w:type="dxa"/>
            <w:vAlign w:val="bottom"/>
            <w:shd w:val="clear" w:color="auto" w:fill="DBE5F1"/>
          </w:tcPr>
          <w:p>
            <w:pPr>
              <w:ind w:left="460"/>
              <w:spacing w:after="0"/>
              <w:rPr>
                <w:sz w:val="20"/>
                <w:szCs w:val="20"/>
                <w:color w:val="auto"/>
              </w:rPr>
            </w:pPr>
            <w:r>
              <w:rPr>
                <w:rFonts w:ascii="Arial" w:cs="Arial" w:eastAsia="Arial" w:hAnsi="Arial"/>
                <w:sz w:val="16"/>
                <w:szCs w:val="16"/>
                <w:color w:val="auto"/>
              </w:rPr>
              <w:t>management, including Chief Compliance</w:t>
            </w:r>
          </w:p>
        </w:tc>
        <w:tc>
          <w:tcPr>
            <w:tcW w:w="0" w:type="dxa"/>
            <w:vAlign w:val="bottom"/>
          </w:tcPr>
          <w:p>
            <w:pPr>
              <w:spacing w:after="0"/>
              <w:rPr>
                <w:sz w:val="1"/>
                <w:szCs w:val="1"/>
                <w:color w:val="auto"/>
              </w:rPr>
            </w:pPr>
          </w:p>
        </w:tc>
      </w:tr>
      <w:tr>
        <w:trPr>
          <w:trHeight w:val="121"/>
        </w:trPr>
        <w:tc>
          <w:tcPr>
            <w:tcW w:w="320" w:type="dxa"/>
            <w:vAlign w:val="bottom"/>
            <w:vMerge w:val="continue"/>
            <w:shd w:val="clear" w:color="auto" w:fill="DBE5F1"/>
          </w:tcPr>
          <w:p>
            <w:pPr>
              <w:spacing w:after="0"/>
              <w:rPr>
                <w:sz w:val="10"/>
                <w:szCs w:val="10"/>
                <w:color w:val="auto"/>
              </w:rPr>
            </w:pPr>
          </w:p>
        </w:tc>
        <w:tc>
          <w:tcPr>
            <w:tcW w:w="3600" w:type="dxa"/>
            <w:vAlign w:val="bottom"/>
            <w:vMerge w:val="continue"/>
            <w:shd w:val="clear" w:color="auto" w:fill="DBE5F1"/>
          </w:tcPr>
          <w:p>
            <w:pPr>
              <w:spacing w:after="0"/>
              <w:rPr>
                <w:sz w:val="10"/>
                <w:szCs w:val="10"/>
                <w:color w:val="auto"/>
              </w:rPr>
            </w:pPr>
          </w:p>
        </w:tc>
        <w:tc>
          <w:tcPr>
            <w:tcW w:w="3560" w:type="dxa"/>
            <w:vAlign w:val="bottom"/>
            <w:vMerge w:val="restart"/>
            <w:shd w:val="clear" w:color="auto" w:fill="DBE5F1"/>
          </w:tcPr>
          <w:p>
            <w:pPr>
              <w:ind w:left="16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NCGCC oversight of nominating process</w:t>
            </w:r>
          </w:p>
        </w:tc>
        <w:tc>
          <w:tcPr>
            <w:tcW w:w="3660" w:type="dxa"/>
            <w:vAlign w:val="bottom"/>
            <w:vMerge w:val="restart"/>
            <w:shd w:val="clear" w:color="auto" w:fill="DBE5F1"/>
          </w:tcPr>
          <w:p>
            <w:pPr>
              <w:ind w:left="460"/>
              <w:spacing w:after="0"/>
              <w:rPr>
                <w:sz w:val="20"/>
                <w:szCs w:val="20"/>
                <w:color w:val="auto"/>
              </w:rPr>
            </w:pPr>
            <w:r>
              <w:rPr>
                <w:rFonts w:ascii="Arial" w:cs="Arial" w:eastAsia="Arial" w:hAnsi="Arial"/>
                <w:sz w:val="16"/>
                <w:szCs w:val="16"/>
                <w:color w:val="auto"/>
              </w:rPr>
              <w:t>Officer</w:t>
            </w:r>
          </w:p>
        </w:tc>
        <w:tc>
          <w:tcPr>
            <w:tcW w:w="0" w:type="dxa"/>
            <w:vAlign w:val="bottom"/>
          </w:tcPr>
          <w:p>
            <w:pPr>
              <w:spacing w:after="0"/>
              <w:rPr>
                <w:sz w:val="1"/>
                <w:szCs w:val="1"/>
                <w:color w:val="auto"/>
              </w:rPr>
            </w:pPr>
          </w:p>
        </w:tc>
      </w:tr>
      <w:tr>
        <w:trPr>
          <w:trHeight w:val="93"/>
        </w:trPr>
        <w:tc>
          <w:tcPr>
            <w:tcW w:w="320" w:type="dxa"/>
            <w:vAlign w:val="bottom"/>
            <w:shd w:val="clear" w:color="auto" w:fill="DBE5F1"/>
          </w:tcPr>
          <w:p>
            <w:pPr>
              <w:spacing w:after="0"/>
              <w:rPr>
                <w:sz w:val="8"/>
                <w:szCs w:val="8"/>
                <w:color w:val="auto"/>
              </w:rPr>
            </w:pPr>
          </w:p>
        </w:tc>
        <w:tc>
          <w:tcPr>
            <w:tcW w:w="3600" w:type="dxa"/>
            <w:vAlign w:val="bottom"/>
            <w:vMerge w:val="restart"/>
            <w:shd w:val="clear" w:color="auto" w:fill="DBE5F1"/>
          </w:tcPr>
          <w:p>
            <w:pPr>
              <w:ind w:left="140"/>
              <w:spacing w:after="0"/>
              <w:rPr>
                <w:sz w:val="20"/>
                <w:szCs w:val="20"/>
                <w:color w:val="auto"/>
              </w:rPr>
            </w:pPr>
            <w:r>
              <w:rPr>
                <w:rFonts w:ascii="Arial" w:cs="Arial" w:eastAsia="Arial" w:hAnsi="Arial"/>
                <w:sz w:val="16"/>
                <w:szCs w:val="16"/>
                <w:color w:val="auto"/>
              </w:rPr>
              <w:t>manage risks</w:t>
            </w:r>
          </w:p>
        </w:tc>
        <w:tc>
          <w:tcPr>
            <w:tcW w:w="3560" w:type="dxa"/>
            <w:vAlign w:val="bottom"/>
            <w:vMerge w:val="continue"/>
            <w:shd w:val="clear" w:color="auto" w:fill="DBE5F1"/>
          </w:tcPr>
          <w:p>
            <w:pPr>
              <w:spacing w:after="0"/>
              <w:rPr>
                <w:sz w:val="8"/>
                <w:szCs w:val="8"/>
                <w:color w:val="auto"/>
              </w:rPr>
            </w:pPr>
          </w:p>
        </w:tc>
        <w:tc>
          <w:tcPr>
            <w:tcW w:w="3660" w:type="dxa"/>
            <w:vAlign w:val="bottom"/>
            <w:vMerge w:val="continue"/>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20" w:type="dxa"/>
            <w:vAlign w:val="bottom"/>
            <w:shd w:val="clear" w:color="auto" w:fill="DBE5F1"/>
          </w:tcPr>
          <w:p>
            <w:pPr>
              <w:spacing w:after="0"/>
              <w:rPr>
                <w:sz w:val="8"/>
                <w:szCs w:val="8"/>
                <w:color w:val="auto"/>
              </w:rPr>
            </w:pPr>
          </w:p>
        </w:tc>
        <w:tc>
          <w:tcPr>
            <w:tcW w:w="3600" w:type="dxa"/>
            <w:vAlign w:val="bottom"/>
            <w:vMerge w:val="continue"/>
            <w:shd w:val="clear" w:color="auto" w:fill="DBE5F1"/>
          </w:tcPr>
          <w:p>
            <w:pPr>
              <w:spacing w:after="0"/>
              <w:rPr>
                <w:sz w:val="8"/>
                <w:szCs w:val="8"/>
                <w:color w:val="auto"/>
              </w:rPr>
            </w:pPr>
          </w:p>
        </w:tc>
        <w:tc>
          <w:tcPr>
            <w:tcW w:w="3560" w:type="dxa"/>
            <w:vAlign w:val="bottom"/>
            <w:vMerge w:val="continue"/>
            <w:shd w:val="clear" w:color="auto" w:fill="DBE5F1"/>
          </w:tcPr>
          <w:p>
            <w:pPr>
              <w:spacing w:after="0"/>
              <w:rPr>
                <w:sz w:val="8"/>
                <w:szCs w:val="8"/>
                <w:color w:val="auto"/>
              </w:rPr>
            </w:pPr>
          </w:p>
        </w:tc>
        <w:tc>
          <w:tcPr>
            <w:tcW w:w="3660" w:type="dxa"/>
            <w:vAlign w:val="bottom"/>
            <w:vMerge w:val="restart"/>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Regular briefings on corporate governance</w:t>
            </w:r>
          </w:p>
        </w:tc>
        <w:tc>
          <w:tcPr>
            <w:tcW w:w="0" w:type="dxa"/>
            <w:vAlign w:val="bottom"/>
          </w:tcPr>
          <w:p>
            <w:pPr>
              <w:spacing w:after="0"/>
              <w:rPr>
                <w:sz w:val="1"/>
                <w:szCs w:val="1"/>
                <w:color w:val="auto"/>
              </w:rPr>
            </w:pPr>
          </w:p>
        </w:tc>
      </w:tr>
      <w:tr>
        <w:trPr>
          <w:trHeight w:val="189"/>
        </w:trPr>
        <w:tc>
          <w:tcPr>
            <w:tcW w:w="320" w:type="dxa"/>
            <w:vAlign w:val="bottom"/>
            <w:vMerge w:val="restart"/>
            <w:shd w:val="clear" w:color="auto" w:fill="DBE5F1"/>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vMerge w:val="restart"/>
            <w:shd w:val="clear" w:color="auto" w:fill="DBE5F1"/>
          </w:tcPr>
          <w:p>
            <w:pPr>
              <w:ind w:left="120"/>
              <w:spacing w:after="0"/>
              <w:rPr>
                <w:sz w:val="20"/>
                <w:szCs w:val="20"/>
                <w:color w:val="auto"/>
              </w:rPr>
            </w:pPr>
            <w:r>
              <w:rPr>
                <w:rFonts w:ascii="Arial" w:cs="Arial" w:eastAsia="Arial" w:hAnsi="Arial"/>
                <w:sz w:val="16"/>
                <w:szCs w:val="16"/>
                <w:color w:val="auto"/>
              </w:rPr>
              <w:t>Committee charters provide clear allocation of</w:t>
            </w:r>
          </w:p>
        </w:tc>
        <w:tc>
          <w:tcPr>
            <w:tcW w:w="3560" w:type="dxa"/>
            <w:vAlign w:val="bottom"/>
            <w:shd w:val="clear" w:color="auto" w:fill="DBE5F1"/>
          </w:tcPr>
          <w:p>
            <w:pPr>
              <w:ind w:left="480"/>
              <w:spacing w:after="0"/>
              <w:rPr>
                <w:sz w:val="20"/>
                <w:szCs w:val="20"/>
                <w:color w:val="auto"/>
              </w:rPr>
            </w:pPr>
            <w:r>
              <w:rPr>
                <w:rFonts w:ascii="Arial" w:cs="Arial" w:eastAsia="Arial" w:hAnsi="Arial"/>
                <w:sz w:val="16"/>
                <w:szCs w:val="16"/>
                <w:color w:val="auto"/>
              </w:rPr>
              <w:t>and criteria, legal and regulatory</w:t>
            </w:r>
          </w:p>
        </w:tc>
        <w:tc>
          <w:tcPr>
            <w:tcW w:w="3660" w:type="dxa"/>
            <w:vAlign w:val="bottom"/>
            <w:vMerge w:val="continue"/>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20" w:type="dxa"/>
            <w:vAlign w:val="bottom"/>
            <w:vMerge w:val="continue"/>
            <w:shd w:val="clear" w:color="auto" w:fill="DBE5F1"/>
          </w:tcPr>
          <w:p>
            <w:pPr>
              <w:spacing w:after="0"/>
              <w:rPr>
                <w:sz w:val="10"/>
                <w:szCs w:val="10"/>
                <w:color w:val="auto"/>
              </w:rPr>
            </w:pPr>
          </w:p>
        </w:tc>
        <w:tc>
          <w:tcPr>
            <w:tcW w:w="3600" w:type="dxa"/>
            <w:vAlign w:val="bottom"/>
            <w:vMerge w:val="continue"/>
            <w:shd w:val="clear" w:color="auto" w:fill="DBE5F1"/>
          </w:tcPr>
          <w:p>
            <w:pPr>
              <w:spacing w:after="0"/>
              <w:rPr>
                <w:sz w:val="10"/>
                <w:szCs w:val="10"/>
                <w:color w:val="auto"/>
              </w:rPr>
            </w:pPr>
          </w:p>
        </w:tc>
        <w:tc>
          <w:tcPr>
            <w:tcW w:w="356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compliance</w:t>
            </w:r>
          </w:p>
        </w:tc>
        <w:tc>
          <w:tcPr>
            <w:tcW w:w="3660" w:type="dxa"/>
            <w:vAlign w:val="bottom"/>
            <w:vMerge w:val="restart"/>
            <w:shd w:val="clear" w:color="auto" w:fill="DBE5F1"/>
          </w:tcPr>
          <w:p>
            <w:pPr>
              <w:ind w:left="460"/>
              <w:spacing w:after="0"/>
              <w:rPr>
                <w:sz w:val="20"/>
                <w:szCs w:val="20"/>
                <w:color w:val="auto"/>
              </w:rPr>
            </w:pPr>
            <w:r>
              <w:rPr>
                <w:rFonts w:ascii="Arial" w:cs="Arial" w:eastAsia="Arial" w:hAnsi="Arial"/>
                <w:sz w:val="16"/>
                <w:szCs w:val="16"/>
                <w:color w:val="auto"/>
              </w:rPr>
              <w:t>practices and emerging corporate</w:t>
            </w:r>
          </w:p>
        </w:tc>
        <w:tc>
          <w:tcPr>
            <w:tcW w:w="0" w:type="dxa"/>
            <w:vAlign w:val="bottom"/>
          </w:tcPr>
          <w:p>
            <w:pPr>
              <w:spacing w:after="0"/>
              <w:rPr>
                <w:sz w:val="1"/>
                <w:szCs w:val="1"/>
                <w:color w:val="auto"/>
              </w:rPr>
            </w:pPr>
          </w:p>
        </w:tc>
      </w:tr>
      <w:tr>
        <w:trPr>
          <w:trHeight w:val="81"/>
        </w:trPr>
        <w:tc>
          <w:tcPr>
            <w:tcW w:w="320" w:type="dxa"/>
            <w:vAlign w:val="bottom"/>
            <w:shd w:val="clear" w:color="auto" w:fill="DBE5F1"/>
          </w:tcPr>
          <w:p>
            <w:pPr>
              <w:spacing w:after="0"/>
              <w:rPr>
                <w:sz w:val="7"/>
                <w:szCs w:val="7"/>
                <w:color w:val="auto"/>
              </w:rPr>
            </w:pPr>
          </w:p>
        </w:tc>
        <w:tc>
          <w:tcPr>
            <w:tcW w:w="3600" w:type="dxa"/>
            <w:vAlign w:val="bottom"/>
            <w:vMerge w:val="restart"/>
            <w:shd w:val="clear" w:color="auto" w:fill="DBE5F1"/>
          </w:tcPr>
          <w:p>
            <w:pPr>
              <w:ind w:left="140"/>
              <w:spacing w:after="0"/>
              <w:rPr>
                <w:sz w:val="20"/>
                <w:szCs w:val="20"/>
                <w:color w:val="auto"/>
              </w:rPr>
            </w:pPr>
            <w:r>
              <w:rPr>
                <w:rFonts w:ascii="Arial" w:cs="Arial" w:eastAsia="Arial" w:hAnsi="Arial"/>
                <w:sz w:val="16"/>
                <w:szCs w:val="16"/>
                <w:color w:val="auto"/>
              </w:rPr>
              <w:t>committee and full Board oversight roles</w:t>
            </w:r>
          </w:p>
        </w:tc>
        <w:tc>
          <w:tcPr>
            <w:tcW w:w="3560" w:type="dxa"/>
            <w:vAlign w:val="bottom"/>
            <w:vMerge w:val="continue"/>
            <w:shd w:val="clear" w:color="auto" w:fill="DBE5F1"/>
          </w:tcPr>
          <w:p>
            <w:pPr>
              <w:spacing w:after="0"/>
              <w:rPr>
                <w:sz w:val="7"/>
                <w:szCs w:val="7"/>
                <w:color w:val="auto"/>
              </w:rPr>
            </w:pPr>
          </w:p>
        </w:tc>
        <w:tc>
          <w:tcPr>
            <w:tcW w:w="3660" w:type="dxa"/>
            <w:vAlign w:val="bottom"/>
            <w:vMerge w:val="continue"/>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20" w:type="dxa"/>
            <w:vAlign w:val="bottom"/>
            <w:shd w:val="clear" w:color="auto" w:fill="DBE5F1"/>
          </w:tcPr>
          <w:p>
            <w:pPr>
              <w:spacing w:after="0"/>
              <w:rPr>
                <w:sz w:val="11"/>
                <w:szCs w:val="11"/>
                <w:color w:val="auto"/>
              </w:rPr>
            </w:pPr>
          </w:p>
        </w:tc>
        <w:tc>
          <w:tcPr>
            <w:tcW w:w="3600" w:type="dxa"/>
            <w:vAlign w:val="bottom"/>
            <w:vMerge w:val="continue"/>
            <w:shd w:val="clear" w:color="auto" w:fill="DBE5F1"/>
          </w:tcPr>
          <w:p>
            <w:pPr>
              <w:spacing w:after="0"/>
              <w:rPr>
                <w:sz w:val="11"/>
                <w:szCs w:val="11"/>
                <w:color w:val="auto"/>
              </w:rPr>
            </w:pPr>
          </w:p>
        </w:tc>
        <w:tc>
          <w:tcPr>
            <w:tcW w:w="3560" w:type="dxa"/>
            <w:vAlign w:val="bottom"/>
            <w:vMerge w:val="restart"/>
            <w:shd w:val="clear" w:color="auto" w:fill="DBE5F1"/>
          </w:tcPr>
          <w:p>
            <w:pPr>
              <w:ind w:left="16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Compensation Committee oversight of</w:t>
            </w:r>
          </w:p>
        </w:tc>
        <w:tc>
          <w:tcPr>
            <w:tcW w:w="3660" w:type="dxa"/>
            <w:vAlign w:val="bottom"/>
            <w:vMerge w:val="restart"/>
            <w:shd w:val="clear" w:color="auto" w:fill="DBE5F1"/>
          </w:tcPr>
          <w:p>
            <w:pPr>
              <w:ind w:left="460"/>
              <w:spacing w:after="0"/>
              <w:rPr>
                <w:sz w:val="20"/>
                <w:szCs w:val="20"/>
                <w:color w:val="auto"/>
              </w:rPr>
            </w:pPr>
            <w:r>
              <w:rPr>
                <w:rFonts w:ascii="Arial" w:cs="Arial" w:eastAsia="Arial" w:hAnsi="Arial"/>
                <w:sz w:val="16"/>
                <w:szCs w:val="16"/>
                <w:color w:val="auto"/>
              </w:rPr>
              <w:t>governance issues</w:t>
            </w:r>
          </w:p>
        </w:tc>
        <w:tc>
          <w:tcPr>
            <w:tcW w:w="0" w:type="dxa"/>
            <w:vAlign w:val="bottom"/>
          </w:tcPr>
          <w:p>
            <w:pPr>
              <w:spacing w:after="0"/>
              <w:rPr>
                <w:sz w:val="1"/>
                <w:szCs w:val="1"/>
                <w:color w:val="auto"/>
              </w:rPr>
            </w:pPr>
          </w:p>
        </w:tc>
      </w:tr>
      <w:tr>
        <w:trPr>
          <w:trHeight w:val="81"/>
        </w:trPr>
        <w:tc>
          <w:tcPr>
            <w:tcW w:w="320" w:type="dxa"/>
            <w:vAlign w:val="bottom"/>
            <w:vMerge w:val="restart"/>
            <w:shd w:val="clear" w:color="auto" w:fill="DBE5F1"/>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shd w:val="clear" w:color="auto" w:fill="DBE5F1"/>
          </w:tcPr>
          <w:p>
            <w:pPr>
              <w:spacing w:after="0"/>
              <w:rPr>
                <w:sz w:val="7"/>
                <w:szCs w:val="7"/>
                <w:color w:val="auto"/>
              </w:rPr>
            </w:pPr>
          </w:p>
        </w:tc>
        <w:tc>
          <w:tcPr>
            <w:tcW w:w="3560" w:type="dxa"/>
            <w:vAlign w:val="bottom"/>
            <w:vMerge w:val="continue"/>
            <w:shd w:val="clear" w:color="auto" w:fill="DBE5F1"/>
          </w:tcPr>
          <w:p>
            <w:pPr>
              <w:spacing w:after="0"/>
              <w:rPr>
                <w:sz w:val="7"/>
                <w:szCs w:val="7"/>
                <w:color w:val="auto"/>
              </w:rPr>
            </w:pPr>
          </w:p>
        </w:tc>
        <w:tc>
          <w:tcPr>
            <w:tcW w:w="3660" w:type="dxa"/>
            <w:vAlign w:val="bottom"/>
            <w:vMerge w:val="continue"/>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320" w:type="dxa"/>
            <w:vAlign w:val="bottom"/>
            <w:vMerge w:val="continue"/>
            <w:shd w:val="clear" w:color="auto" w:fill="DBE5F1"/>
          </w:tcPr>
          <w:p>
            <w:pPr>
              <w:spacing w:after="0"/>
              <w:rPr>
                <w:sz w:val="7"/>
                <w:szCs w:val="7"/>
                <w:color w:val="auto"/>
              </w:rPr>
            </w:pPr>
          </w:p>
        </w:tc>
        <w:tc>
          <w:tcPr>
            <w:tcW w:w="3600" w:type="dxa"/>
            <w:vAlign w:val="bottom"/>
            <w:vMerge w:val="restart"/>
            <w:shd w:val="clear" w:color="auto" w:fill="DBE5F1"/>
          </w:tcPr>
          <w:p>
            <w:pPr>
              <w:ind w:left="120"/>
              <w:spacing w:after="0"/>
              <w:rPr>
                <w:sz w:val="20"/>
                <w:szCs w:val="20"/>
                <w:color w:val="auto"/>
              </w:rPr>
            </w:pPr>
            <w:r>
              <w:rPr>
                <w:rFonts w:ascii="Arial" w:cs="Arial" w:eastAsia="Arial" w:hAnsi="Arial"/>
                <w:sz w:val="16"/>
                <w:szCs w:val="16"/>
                <w:color w:val="auto"/>
              </w:rPr>
              <w:t>Regular talent and succession planning</w:t>
            </w:r>
          </w:p>
        </w:tc>
        <w:tc>
          <w:tcPr>
            <w:tcW w:w="3560" w:type="dxa"/>
            <w:vAlign w:val="bottom"/>
            <w:vMerge w:val="continue"/>
            <w:shd w:val="clear" w:color="auto" w:fill="DBE5F1"/>
          </w:tcPr>
          <w:p>
            <w:pPr>
              <w:spacing w:after="0"/>
              <w:rPr>
                <w:sz w:val="7"/>
                <w:szCs w:val="7"/>
                <w:color w:val="auto"/>
              </w:rPr>
            </w:pPr>
          </w:p>
        </w:tc>
        <w:tc>
          <w:tcPr>
            <w:tcW w:w="3660" w:type="dxa"/>
            <w:vAlign w:val="bottom"/>
            <w:vMerge w:val="restart"/>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Monthly “teach-ins” addressing key</w:t>
            </w:r>
          </w:p>
        </w:tc>
        <w:tc>
          <w:tcPr>
            <w:tcW w:w="0" w:type="dxa"/>
            <w:vAlign w:val="bottom"/>
          </w:tcPr>
          <w:p>
            <w:pPr>
              <w:spacing w:after="0"/>
              <w:rPr>
                <w:sz w:val="1"/>
                <w:szCs w:val="1"/>
                <w:color w:val="auto"/>
              </w:rPr>
            </w:pPr>
          </w:p>
        </w:tc>
      </w:tr>
      <w:tr>
        <w:trPr>
          <w:trHeight w:val="122"/>
        </w:trPr>
        <w:tc>
          <w:tcPr>
            <w:tcW w:w="320" w:type="dxa"/>
            <w:vAlign w:val="bottom"/>
            <w:vMerge w:val="continue"/>
            <w:shd w:val="clear" w:color="auto" w:fill="DBE5F1"/>
          </w:tcPr>
          <w:p>
            <w:pPr>
              <w:spacing w:after="0"/>
              <w:rPr>
                <w:sz w:val="10"/>
                <w:szCs w:val="10"/>
                <w:color w:val="auto"/>
              </w:rPr>
            </w:pPr>
          </w:p>
        </w:tc>
        <w:tc>
          <w:tcPr>
            <w:tcW w:w="3600" w:type="dxa"/>
            <w:vAlign w:val="bottom"/>
            <w:vMerge w:val="continue"/>
            <w:shd w:val="clear" w:color="auto" w:fill="DBE5F1"/>
          </w:tcPr>
          <w:p>
            <w:pPr>
              <w:spacing w:after="0"/>
              <w:rPr>
                <w:sz w:val="10"/>
                <w:szCs w:val="10"/>
                <w:color w:val="auto"/>
              </w:rPr>
            </w:pPr>
          </w:p>
        </w:tc>
        <w:tc>
          <w:tcPr>
            <w:tcW w:w="356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compensation program, annual CEO</w:t>
            </w:r>
          </w:p>
        </w:tc>
        <w:tc>
          <w:tcPr>
            <w:tcW w:w="3660" w:type="dxa"/>
            <w:vAlign w:val="bottom"/>
            <w:vMerge w:val="continue"/>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20" w:type="dxa"/>
            <w:vAlign w:val="bottom"/>
            <w:shd w:val="clear" w:color="auto" w:fill="DBE5F1"/>
          </w:tcPr>
          <w:p>
            <w:pPr>
              <w:spacing w:after="0"/>
              <w:rPr>
                <w:sz w:val="7"/>
                <w:szCs w:val="7"/>
                <w:color w:val="auto"/>
              </w:rPr>
            </w:pPr>
          </w:p>
        </w:tc>
        <w:tc>
          <w:tcPr>
            <w:tcW w:w="3600" w:type="dxa"/>
            <w:vAlign w:val="bottom"/>
            <w:vMerge w:val="restart"/>
            <w:shd w:val="clear" w:color="auto" w:fill="DBE5F1"/>
          </w:tcPr>
          <w:p>
            <w:pPr>
              <w:ind w:left="140"/>
              <w:spacing w:after="0"/>
              <w:rPr>
                <w:sz w:val="20"/>
                <w:szCs w:val="20"/>
                <w:color w:val="auto"/>
              </w:rPr>
            </w:pPr>
            <w:r>
              <w:rPr>
                <w:rFonts w:ascii="Arial" w:cs="Arial" w:eastAsia="Arial" w:hAnsi="Arial"/>
                <w:sz w:val="16"/>
                <w:szCs w:val="16"/>
                <w:color w:val="auto"/>
              </w:rPr>
              <w:t>discussions</w:t>
            </w:r>
          </w:p>
        </w:tc>
        <w:tc>
          <w:tcPr>
            <w:tcW w:w="3560" w:type="dxa"/>
            <w:vAlign w:val="bottom"/>
            <w:vMerge w:val="continue"/>
            <w:shd w:val="clear" w:color="auto" w:fill="DBE5F1"/>
          </w:tcPr>
          <w:p>
            <w:pPr>
              <w:spacing w:after="0"/>
              <w:rPr>
                <w:sz w:val="7"/>
                <w:szCs w:val="7"/>
                <w:color w:val="auto"/>
              </w:rPr>
            </w:pPr>
          </w:p>
        </w:tc>
        <w:tc>
          <w:tcPr>
            <w:tcW w:w="3660" w:type="dxa"/>
            <w:vAlign w:val="bottom"/>
            <w:vMerge w:val="continue"/>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20" w:type="dxa"/>
            <w:vAlign w:val="bottom"/>
            <w:shd w:val="clear" w:color="auto" w:fill="DBE5F1"/>
          </w:tcPr>
          <w:p>
            <w:pPr>
              <w:spacing w:after="0"/>
              <w:rPr>
                <w:sz w:val="11"/>
                <w:szCs w:val="11"/>
                <w:color w:val="auto"/>
              </w:rPr>
            </w:pPr>
          </w:p>
        </w:tc>
        <w:tc>
          <w:tcPr>
            <w:tcW w:w="3600" w:type="dxa"/>
            <w:vAlign w:val="bottom"/>
            <w:vMerge w:val="continue"/>
            <w:shd w:val="clear" w:color="auto" w:fill="DBE5F1"/>
          </w:tcPr>
          <w:p>
            <w:pPr>
              <w:spacing w:after="0"/>
              <w:rPr>
                <w:sz w:val="11"/>
                <w:szCs w:val="11"/>
                <w:color w:val="auto"/>
              </w:rPr>
            </w:pPr>
          </w:p>
        </w:tc>
        <w:tc>
          <w:tcPr>
            <w:tcW w:w="356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evaluation</w:t>
            </w:r>
          </w:p>
        </w:tc>
        <w:tc>
          <w:tcPr>
            <w:tcW w:w="3660" w:type="dxa"/>
            <w:vAlign w:val="bottom"/>
            <w:vMerge w:val="restart"/>
            <w:shd w:val="clear" w:color="auto" w:fill="DBE5F1"/>
          </w:tcPr>
          <w:p>
            <w:pPr>
              <w:ind w:left="460"/>
              <w:spacing w:after="0"/>
              <w:rPr>
                <w:sz w:val="20"/>
                <w:szCs w:val="20"/>
                <w:color w:val="auto"/>
              </w:rPr>
            </w:pPr>
            <w:r>
              <w:rPr>
                <w:rFonts w:ascii="Arial" w:cs="Arial" w:eastAsia="Arial" w:hAnsi="Arial"/>
                <w:sz w:val="16"/>
                <w:szCs w:val="16"/>
                <w:color w:val="auto"/>
              </w:rPr>
              <w:t>strategic areas</w:t>
            </w:r>
          </w:p>
        </w:tc>
        <w:tc>
          <w:tcPr>
            <w:tcW w:w="0" w:type="dxa"/>
            <w:vAlign w:val="bottom"/>
          </w:tcPr>
          <w:p>
            <w:pPr>
              <w:spacing w:after="0"/>
              <w:rPr>
                <w:sz w:val="1"/>
                <w:szCs w:val="1"/>
                <w:color w:val="auto"/>
              </w:rPr>
            </w:pPr>
          </w:p>
        </w:tc>
      </w:tr>
      <w:tr>
        <w:trPr>
          <w:trHeight w:val="81"/>
        </w:trPr>
        <w:tc>
          <w:tcPr>
            <w:tcW w:w="320" w:type="dxa"/>
            <w:vAlign w:val="bottom"/>
            <w:shd w:val="clear" w:color="auto" w:fill="DBE5F1"/>
          </w:tcPr>
          <w:p>
            <w:pPr>
              <w:spacing w:after="0"/>
              <w:rPr>
                <w:sz w:val="7"/>
                <w:szCs w:val="7"/>
                <w:color w:val="auto"/>
              </w:rPr>
            </w:pPr>
          </w:p>
        </w:tc>
        <w:tc>
          <w:tcPr>
            <w:tcW w:w="3600" w:type="dxa"/>
            <w:vAlign w:val="bottom"/>
            <w:shd w:val="clear" w:color="auto" w:fill="DBE5F1"/>
          </w:tcPr>
          <w:p>
            <w:pPr>
              <w:spacing w:after="0"/>
              <w:rPr>
                <w:sz w:val="7"/>
                <w:szCs w:val="7"/>
                <w:color w:val="auto"/>
              </w:rPr>
            </w:pPr>
          </w:p>
        </w:tc>
        <w:tc>
          <w:tcPr>
            <w:tcW w:w="3560" w:type="dxa"/>
            <w:vAlign w:val="bottom"/>
            <w:vMerge w:val="continue"/>
            <w:shd w:val="clear" w:color="auto" w:fill="DBE5F1"/>
          </w:tcPr>
          <w:p>
            <w:pPr>
              <w:spacing w:after="0"/>
              <w:rPr>
                <w:sz w:val="7"/>
                <w:szCs w:val="7"/>
                <w:color w:val="auto"/>
              </w:rPr>
            </w:pPr>
          </w:p>
        </w:tc>
        <w:tc>
          <w:tcPr>
            <w:tcW w:w="3660" w:type="dxa"/>
            <w:vAlign w:val="bottom"/>
            <w:vMerge w:val="continue"/>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20" w:type="dxa"/>
            <w:vAlign w:val="bottom"/>
            <w:tcBorders>
              <w:bottom w:val="single" w:sz="8" w:color="auto"/>
            </w:tcBorders>
            <w:shd w:val="clear" w:color="auto" w:fill="DBE5F1"/>
          </w:tcPr>
          <w:p>
            <w:pPr>
              <w:spacing w:after="0"/>
              <w:rPr>
                <w:sz w:val="9"/>
                <w:szCs w:val="9"/>
                <w:color w:val="auto"/>
              </w:rPr>
            </w:pPr>
          </w:p>
        </w:tc>
        <w:tc>
          <w:tcPr>
            <w:tcW w:w="3600" w:type="dxa"/>
            <w:vAlign w:val="bottom"/>
            <w:tcBorders>
              <w:bottom w:val="single" w:sz="8" w:color="auto"/>
            </w:tcBorders>
            <w:shd w:val="clear" w:color="auto" w:fill="DBE5F1"/>
          </w:tcPr>
          <w:p>
            <w:pPr>
              <w:spacing w:after="0"/>
              <w:rPr>
                <w:sz w:val="9"/>
                <w:szCs w:val="9"/>
                <w:color w:val="auto"/>
              </w:rPr>
            </w:pPr>
          </w:p>
        </w:tc>
        <w:tc>
          <w:tcPr>
            <w:tcW w:w="3560" w:type="dxa"/>
            <w:vAlign w:val="bottom"/>
            <w:tcBorders>
              <w:bottom w:val="single" w:sz="8" w:color="auto"/>
            </w:tcBorders>
            <w:shd w:val="clear" w:color="auto" w:fill="DBE5F1"/>
          </w:tcPr>
          <w:p>
            <w:pPr>
              <w:spacing w:after="0"/>
              <w:rPr>
                <w:sz w:val="9"/>
                <w:szCs w:val="9"/>
                <w:color w:val="auto"/>
              </w:rPr>
            </w:pPr>
          </w:p>
        </w:tc>
        <w:tc>
          <w:tcPr>
            <w:tcW w:w="3660" w:type="dxa"/>
            <w:vAlign w:val="bottom"/>
            <w:tcBorders>
              <w:bottom w:val="single" w:sz="8" w:color="auto"/>
            </w:tcBorders>
            <w:shd w:val="clear" w:color="auto" w:fill="DBE5F1"/>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Executive Compensation Highlights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executive compensation philosophy is to forge critical connections between performance, long-term value creation, employee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engagement and retention, compensation governance and our cultural values. The Compensation Committee reviews and approves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elements of our compensation program at least annually, with input from an independent compensation consultant. In 2024, we moved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performance share units from a one-year vesting period to a three-year vesting period, with performance measured in the third year, which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was aimed at trying executive compensation to the achievement of long-term financial performance. The program is described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of this proxy statement beginning on page 40. We believe the following practices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policies within our program promote sound compensation governance and are in the best interests of our stockholders and executives:</w:t>
      </w:r>
    </w:p>
    <w:p>
      <w:pPr>
        <w:spacing w:after="0" w:line="8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What We Do</w:t>
      </w:r>
    </w:p>
    <w:p>
      <w:pPr>
        <w:spacing w:after="0" w:line="40"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4500" w:type="dxa"/>
            <w:vAlign w:val="bottom"/>
            <w:tcBorders>
              <w:top w:val="single" w:sz="8" w:color="auto"/>
            </w:tcBorders>
            <w:shd w:val="clear" w:color="auto" w:fill="DBE5F1"/>
          </w:tcPr>
          <w:p>
            <w:pPr>
              <w:ind w:left="480"/>
              <w:spacing w:after="0" w:line="184" w:lineRule="exact"/>
              <w:rPr>
                <w:sz w:val="20"/>
                <w:szCs w:val="20"/>
                <w:color w:val="auto"/>
              </w:rPr>
            </w:pPr>
            <w:r>
              <w:rPr>
                <w:rFonts w:ascii="Arial" w:cs="Arial" w:eastAsia="Arial" w:hAnsi="Arial"/>
                <w:sz w:val="18"/>
                <w:szCs w:val="18"/>
                <w:color w:val="auto"/>
              </w:rPr>
              <w:t>Emphasize variable pay over fixed pay, with a</w:t>
            </w:r>
          </w:p>
        </w:tc>
        <w:tc>
          <w:tcPr>
            <w:tcW w:w="3940" w:type="dxa"/>
            <w:vAlign w:val="bottom"/>
            <w:tcBorders>
              <w:top w:val="single" w:sz="8" w:color="auto"/>
            </w:tcBorders>
            <w:shd w:val="clear" w:color="auto" w:fill="DBE5F1"/>
          </w:tcPr>
          <w:p>
            <w:pPr>
              <w:ind w:left="380"/>
              <w:spacing w:after="0" w:line="184" w:lineRule="exact"/>
              <w:rPr>
                <w:sz w:val="20"/>
                <w:szCs w:val="20"/>
                <w:color w:val="auto"/>
              </w:rPr>
            </w:pPr>
            <w:r>
              <w:rPr>
                <w:rFonts w:ascii="Arial" w:cs="Arial" w:eastAsia="Arial" w:hAnsi="Arial"/>
                <w:sz w:val="18"/>
                <w:szCs w:val="18"/>
                <w:color w:val="auto"/>
              </w:rPr>
              <w:t>Use an independent compensation</w:t>
            </w:r>
          </w:p>
        </w:tc>
      </w:tr>
      <w:tr>
        <w:trPr>
          <w:trHeight w:val="184"/>
        </w:trPr>
        <w:tc>
          <w:tcPr>
            <w:tcW w:w="4500" w:type="dxa"/>
            <w:vAlign w:val="bottom"/>
            <w:shd w:val="clear" w:color="auto" w:fill="DBE5F1"/>
          </w:tcPr>
          <w:p>
            <w:pPr>
              <w:ind w:left="480"/>
              <w:spacing w:after="0" w:line="183" w:lineRule="exact"/>
              <w:rPr>
                <w:sz w:val="20"/>
                <w:szCs w:val="20"/>
                <w:color w:val="auto"/>
              </w:rPr>
            </w:pPr>
            <w:r>
              <w:rPr>
                <w:rFonts w:ascii="Arial" w:cs="Arial" w:eastAsia="Arial" w:hAnsi="Arial"/>
                <w:sz w:val="18"/>
                <w:szCs w:val="18"/>
                <w:color w:val="auto"/>
              </w:rPr>
              <w:t>significant portion focused on long-term value</w:t>
            </w:r>
          </w:p>
        </w:tc>
        <w:tc>
          <w:tcPr>
            <w:tcW w:w="3940" w:type="dxa"/>
            <w:vAlign w:val="bottom"/>
            <w:shd w:val="clear" w:color="auto" w:fill="DBE5F1"/>
          </w:tcPr>
          <w:p>
            <w:pPr>
              <w:ind w:left="380"/>
              <w:spacing w:after="0" w:line="183" w:lineRule="exact"/>
              <w:rPr>
                <w:sz w:val="20"/>
                <w:szCs w:val="20"/>
                <w:color w:val="auto"/>
              </w:rPr>
            </w:pPr>
            <w:r>
              <w:rPr>
                <w:rFonts w:ascii="Arial" w:cs="Arial" w:eastAsia="Arial" w:hAnsi="Arial"/>
                <w:sz w:val="18"/>
                <w:szCs w:val="18"/>
                <w:color w:val="auto"/>
              </w:rPr>
              <w:t>consultant</w:t>
            </w:r>
          </w:p>
        </w:tc>
      </w:tr>
      <w:tr>
        <w:trPr>
          <w:trHeight w:val="239"/>
        </w:trPr>
        <w:tc>
          <w:tcPr>
            <w:tcW w:w="4500" w:type="dxa"/>
            <w:vAlign w:val="bottom"/>
            <w:shd w:val="clear" w:color="auto" w:fill="DBE5F1"/>
          </w:tcPr>
          <w:p>
            <w:pPr>
              <w:ind w:left="480"/>
              <w:spacing w:after="0"/>
              <w:rPr>
                <w:sz w:val="20"/>
                <w:szCs w:val="20"/>
                <w:color w:val="auto"/>
              </w:rPr>
            </w:pPr>
            <w:r>
              <w:rPr>
                <w:rFonts w:ascii="Arial" w:cs="Arial" w:eastAsia="Arial" w:hAnsi="Arial"/>
                <w:sz w:val="18"/>
                <w:szCs w:val="18"/>
                <w:color w:val="auto"/>
              </w:rPr>
              <w:t>creation</w:t>
            </w:r>
          </w:p>
        </w:tc>
        <w:tc>
          <w:tcPr>
            <w:tcW w:w="3940" w:type="dxa"/>
            <w:vAlign w:val="bottom"/>
            <w:shd w:val="clear" w:color="auto" w:fill="DBE5F1"/>
          </w:tcPr>
          <w:p>
            <w:pPr>
              <w:spacing w:after="0"/>
              <w:rPr>
                <w:sz w:val="20"/>
                <w:szCs w:val="20"/>
                <w:color w:val="auto"/>
              </w:rPr>
            </w:pPr>
          </w:p>
        </w:tc>
      </w:tr>
      <w:tr>
        <w:trPr>
          <w:trHeight w:val="144"/>
        </w:trPr>
        <w:tc>
          <w:tcPr>
            <w:tcW w:w="4500" w:type="dxa"/>
            <w:vAlign w:val="bottom"/>
            <w:shd w:val="clear" w:color="auto" w:fill="DBE5F1"/>
          </w:tcPr>
          <w:p>
            <w:pPr>
              <w:spacing w:after="0"/>
              <w:rPr>
                <w:sz w:val="12"/>
                <w:szCs w:val="12"/>
                <w:color w:val="auto"/>
              </w:rPr>
            </w:pPr>
          </w:p>
        </w:tc>
        <w:tc>
          <w:tcPr>
            <w:tcW w:w="3940" w:type="dxa"/>
            <w:vAlign w:val="bottom"/>
            <w:shd w:val="clear" w:color="auto" w:fill="DBE5F1"/>
          </w:tcPr>
          <w:p>
            <w:pPr>
              <w:spacing w:after="0"/>
              <w:rPr>
                <w:sz w:val="12"/>
                <w:szCs w:val="12"/>
                <w:color w:val="auto"/>
              </w:rPr>
            </w:pPr>
          </w:p>
        </w:tc>
      </w:tr>
      <w:tr>
        <w:trPr>
          <w:trHeight w:val="175"/>
        </w:trPr>
        <w:tc>
          <w:tcPr>
            <w:tcW w:w="4500" w:type="dxa"/>
            <w:vAlign w:val="bottom"/>
          </w:tcPr>
          <w:p>
            <w:pPr>
              <w:ind w:left="480"/>
              <w:spacing w:after="0" w:line="176" w:lineRule="exact"/>
              <w:rPr>
                <w:sz w:val="20"/>
                <w:szCs w:val="20"/>
                <w:color w:val="auto"/>
              </w:rPr>
            </w:pPr>
            <w:r>
              <w:rPr>
                <w:rFonts w:ascii="Arial" w:cs="Arial" w:eastAsia="Arial" w:hAnsi="Arial"/>
                <w:sz w:val="18"/>
                <w:szCs w:val="18"/>
                <w:color w:val="auto"/>
              </w:rPr>
              <w:t>Conduct an annual advisory vote on the</w:t>
            </w:r>
          </w:p>
        </w:tc>
        <w:tc>
          <w:tcPr>
            <w:tcW w:w="3940" w:type="dxa"/>
            <w:vAlign w:val="bottom"/>
          </w:tcPr>
          <w:p>
            <w:pPr>
              <w:ind w:left="380"/>
              <w:spacing w:after="0" w:line="176" w:lineRule="exact"/>
              <w:rPr>
                <w:sz w:val="20"/>
                <w:szCs w:val="20"/>
                <w:color w:val="auto"/>
              </w:rPr>
            </w:pPr>
            <w:r>
              <w:rPr>
                <w:rFonts w:ascii="Arial" w:cs="Arial" w:eastAsia="Arial" w:hAnsi="Arial"/>
                <w:sz w:val="18"/>
                <w:szCs w:val="18"/>
                <w:color w:val="auto"/>
              </w:rPr>
              <w:t>Maintain a Clawback Policy applicable to</w:t>
            </w:r>
          </w:p>
        </w:tc>
      </w:tr>
      <w:tr>
        <w:trPr>
          <w:trHeight w:val="184"/>
        </w:trPr>
        <w:tc>
          <w:tcPr>
            <w:tcW w:w="4500" w:type="dxa"/>
            <w:vAlign w:val="bottom"/>
          </w:tcPr>
          <w:p>
            <w:pPr>
              <w:ind w:left="480"/>
              <w:spacing w:after="0" w:line="183" w:lineRule="exact"/>
              <w:rPr>
                <w:sz w:val="20"/>
                <w:szCs w:val="20"/>
                <w:color w:val="auto"/>
              </w:rPr>
            </w:pPr>
            <w:r>
              <w:rPr>
                <w:rFonts w:ascii="Arial" w:cs="Arial" w:eastAsia="Arial" w:hAnsi="Arial"/>
                <w:sz w:val="18"/>
                <w:szCs w:val="18"/>
                <w:color w:val="auto"/>
              </w:rPr>
              <w:t>compensation of our NEOs</w:t>
            </w:r>
          </w:p>
        </w:tc>
        <w:tc>
          <w:tcPr>
            <w:tcW w:w="3940" w:type="dxa"/>
            <w:vAlign w:val="bottom"/>
          </w:tcPr>
          <w:p>
            <w:pPr>
              <w:ind w:left="380"/>
              <w:spacing w:after="0" w:line="183" w:lineRule="exact"/>
              <w:rPr>
                <w:sz w:val="20"/>
                <w:szCs w:val="20"/>
                <w:color w:val="auto"/>
              </w:rPr>
            </w:pPr>
            <w:r>
              <w:rPr>
                <w:rFonts w:ascii="Arial" w:cs="Arial" w:eastAsia="Arial" w:hAnsi="Arial"/>
                <w:sz w:val="18"/>
                <w:szCs w:val="18"/>
                <w:color w:val="auto"/>
              </w:rPr>
              <w:t>cash incentive compensation and equity</w:t>
            </w:r>
          </w:p>
        </w:tc>
      </w:tr>
      <w:tr>
        <w:trPr>
          <w:trHeight w:val="181"/>
        </w:trPr>
        <w:tc>
          <w:tcPr>
            <w:tcW w:w="4500" w:type="dxa"/>
            <w:vAlign w:val="bottom"/>
          </w:tcPr>
          <w:p>
            <w:pPr>
              <w:spacing w:after="0"/>
              <w:rPr>
                <w:sz w:val="15"/>
                <w:szCs w:val="15"/>
                <w:color w:val="auto"/>
              </w:rPr>
            </w:pPr>
          </w:p>
        </w:tc>
        <w:tc>
          <w:tcPr>
            <w:tcW w:w="3940" w:type="dxa"/>
            <w:vAlign w:val="bottom"/>
          </w:tcPr>
          <w:p>
            <w:pPr>
              <w:ind w:left="380"/>
              <w:spacing w:after="0" w:line="181" w:lineRule="exact"/>
              <w:rPr>
                <w:sz w:val="20"/>
                <w:szCs w:val="20"/>
                <w:color w:val="auto"/>
              </w:rPr>
            </w:pPr>
            <w:r>
              <w:rPr>
                <w:rFonts w:ascii="Arial" w:cs="Arial" w:eastAsia="Arial" w:hAnsi="Arial"/>
                <w:sz w:val="18"/>
                <w:szCs w:val="18"/>
                <w:color w:val="auto"/>
              </w:rPr>
              <w:t>awards in the event of a financial</w:t>
            </w:r>
          </w:p>
        </w:tc>
      </w:tr>
      <w:tr>
        <w:trPr>
          <w:trHeight w:val="175"/>
        </w:trPr>
        <w:tc>
          <w:tcPr>
            <w:tcW w:w="4500" w:type="dxa"/>
            <w:vAlign w:val="bottom"/>
          </w:tcPr>
          <w:p>
            <w:pPr>
              <w:spacing w:after="0"/>
              <w:rPr>
                <w:sz w:val="15"/>
                <w:szCs w:val="15"/>
                <w:color w:val="auto"/>
              </w:rPr>
            </w:pPr>
          </w:p>
        </w:tc>
        <w:tc>
          <w:tcPr>
            <w:tcW w:w="3940" w:type="dxa"/>
            <w:vAlign w:val="bottom"/>
          </w:tcPr>
          <w:p>
            <w:pPr>
              <w:ind w:left="380"/>
              <w:spacing w:after="0" w:line="176" w:lineRule="exact"/>
              <w:rPr>
                <w:sz w:val="20"/>
                <w:szCs w:val="20"/>
                <w:color w:val="auto"/>
              </w:rPr>
            </w:pPr>
            <w:r>
              <w:rPr>
                <w:rFonts w:ascii="Arial" w:cs="Arial" w:eastAsia="Arial" w:hAnsi="Arial"/>
                <w:sz w:val="18"/>
                <w:szCs w:val="18"/>
                <w:color w:val="auto"/>
              </w:rPr>
              <w:t>restatement, consistent with SEC and</w:t>
            </w:r>
          </w:p>
        </w:tc>
      </w:tr>
      <w:tr>
        <w:trPr>
          <w:trHeight w:val="239"/>
        </w:trPr>
        <w:tc>
          <w:tcPr>
            <w:tcW w:w="4500" w:type="dxa"/>
            <w:vAlign w:val="bottom"/>
          </w:tcPr>
          <w:p>
            <w:pPr>
              <w:spacing w:after="0"/>
              <w:rPr>
                <w:sz w:val="20"/>
                <w:szCs w:val="20"/>
                <w:color w:val="auto"/>
              </w:rPr>
            </w:pPr>
          </w:p>
        </w:tc>
        <w:tc>
          <w:tcPr>
            <w:tcW w:w="3940" w:type="dxa"/>
            <w:vAlign w:val="bottom"/>
          </w:tcPr>
          <w:p>
            <w:pPr>
              <w:ind w:left="380"/>
              <w:spacing w:after="0"/>
              <w:rPr>
                <w:sz w:val="20"/>
                <w:szCs w:val="20"/>
                <w:color w:val="auto"/>
              </w:rPr>
            </w:pPr>
            <w:r>
              <w:rPr>
                <w:rFonts w:ascii="Arial" w:cs="Arial" w:eastAsia="Arial" w:hAnsi="Arial"/>
                <w:sz w:val="18"/>
                <w:szCs w:val="18"/>
                <w:color w:val="auto"/>
              </w:rPr>
              <w:t>Nasdaq requirements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-1059815</wp:posOffset>
            </wp:positionV>
            <wp:extent cx="196850" cy="3771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6850" cy="3771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-1059815</wp:posOffset>
            </wp:positionV>
            <wp:extent cx="196850" cy="3771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6850" cy="377190"/>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-467995</wp:posOffset>
            </wp:positionV>
            <wp:extent cx="188595" cy="3771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8595" cy="3771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-467995</wp:posOffset>
            </wp:positionV>
            <wp:extent cx="188595" cy="3771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8595" cy="377190"/>
                    </a:xfrm>
                    <a:prstGeom prst="rect">
                      <a:avLst/>
                    </a:prstGeom>
                    <a:noFill/>
                  </pic:spPr>
                </pic:pic>
              </a:graphicData>
            </a:graphic>
          </wp:anchor>
        </w:drawing>
      </w:r>
    </w:p>
    <w:p>
      <w:pPr>
        <w:sectPr>
          <w:pgSz w:w="11900" w:h="16838" w:orient="portrait"/>
          <w:cols w:equalWidth="0" w:num="1">
            <w:col w:w="11000"/>
          </w:cols>
          <w:pgMar w:left="320" w:top="1440" w:right="579" w:bottom="1440" w:gutter="0" w:footer="0" w:header="0"/>
        </w:sectPr>
      </w:pPr>
    </w:p>
    <w:p>
      <w:pPr>
        <w:spacing w:after="0" w:line="174" w:lineRule="exact"/>
        <w:rPr>
          <w:sz w:val="20"/>
          <w:szCs w:val="20"/>
          <w:color w:val="auto"/>
        </w:rPr>
      </w:pPr>
    </w:p>
    <w:p>
      <w:pPr>
        <w:ind w:left="1880" w:right="200"/>
        <w:spacing w:after="0"/>
        <w:rPr>
          <w:sz w:val="20"/>
          <w:szCs w:val="20"/>
          <w:color w:val="auto"/>
        </w:rPr>
      </w:pPr>
      <w:r>
        <w:rPr>
          <w:rFonts w:ascii="Arial" w:cs="Arial" w:eastAsia="Arial" w:hAnsi="Arial"/>
          <w:sz w:val="18"/>
          <w:szCs w:val="18"/>
          <w:color w:val="auto"/>
        </w:rPr>
        <w:t>Annually review and approve peer group for comparative compensation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-259080</wp:posOffset>
            </wp:positionV>
            <wp:extent cx="5366385" cy="436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66385" cy="436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1700"/>
        <w:spacing w:after="0"/>
        <w:rPr>
          <w:sz w:val="20"/>
          <w:szCs w:val="20"/>
          <w:color w:val="auto"/>
        </w:rPr>
      </w:pPr>
      <w:r>
        <w:rPr>
          <w:rFonts w:ascii="Arial" w:cs="Arial" w:eastAsia="Arial" w:hAnsi="Arial"/>
          <w:sz w:val="18"/>
          <w:szCs w:val="18"/>
          <w:color w:val="auto"/>
        </w:rPr>
        <w:t>Conduct annual risk assessment of all compensation plans and programs</w:t>
      </w:r>
    </w:p>
    <w:p>
      <w:pPr>
        <w:spacing w:after="0" w:line="200" w:lineRule="exact"/>
        <w:rPr>
          <w:sz w:val="20"/>
          <w:szCs w:val="20"/>
          <w:color w:val="auto"/>
        </w:rPr>
      </w:pPr>
    </w:p>
    <w:p>
      <w:pPr>
        <w:sectPr>
          <w:pgSz w:w="11900" w:h="16838" w:orient="portrait"/>
          <w:cols w:equalWidth="0" w:num="2">
            <w:col w:w="5560" w:space="720"/>
            <w:col w:w="4720"/>
          </w:cols>
          <w:pgMar w:left="320" w:top="1440" w:right="579" w:bottom="1440" w:gutter="0" w:footer="0" w:header="0"/>
          <w:type w:val="continuous"/>
        </w:sectPr>
      </w:pPr>
    </w:p>
    <w:p>
      <w:pPr>
        <w:spacing w:after="0" w:line="48" w:lineRule="exact"/>
        <w:rPr>
          <w:sz w:val="20"/>
          <w:szCs w:val="20"/>
          <w:color w:val="auto"/>
        </w:rPr>
      </w:pPr>
    </w:p>
    <w:tbl>
      <w:tblPr>
        <w:tblLayout w:type="fixed"/>
        <w:tblInd w:w="1400" w:type="dxa"/>
        <w:tblCellMar>
          <w:top w:w="0" w:type="dxa"/>
          <w:left w:w="0" w:type="dxa"/>
          <w:bottom w:w="0" w:type="dxa"/>
          <w:right w:w="0" w:type="dxa"/>
        </w:tblCellMar>
      </w:tblPr>
      <w:tr>
        <w:trPr>
          <w:trHeight w:val="207"/>
        </w:trPr>
        <w:tc>
          <w:tcPr>
            <w:tcW w:w="4580" w:type="dxa"/>
            <w:vAlign w:val="bottom"/>
          </w:tcPr>
          <w:p>
            <w:pPr>
              <w:ind w:left="480"/>
              <w:spacing w:after="0"/>
              <w:rPr>
                <w:sz w:val="20"/>
                <w:szCs w:val="20"/>
                <w:color w:val="auto"/>
              </w:rPr>
            </w:pPr>
            <w:r>
              <w:rPr>
                <w:rFonts w:ascii="Arial" w:cs="Arial" w:eastAsia="Arial" w:hAnsi="Arial"/>
                <w:sz w:val="18"/>
                <w:szCs w:val="18"/>
                <w:color w:val="auto"/>
              </w:rPr>
              <w:t>Maintain anti-hedging and anti-pledging policies</w:t>
            </w:r>
          </w:p>
        </w:tc>
        <w:tc>
          <w:tcPr>
            <w:tcW w:w="3860" w:type="dxa"/>
            <w:vAlign w:val="bottom"/>
          </w:tcPr>
          <w:p>
            <w:pPr>
              <w:ind w:left="300"/>
              <w:spacing w:after="0"/>
              <w:rPr>
                <w:sz w:val="20"/>
                <w:szCs w:val="20"/>
                <w:color w:val="auto"/>
              </w:rPr>
            </w:pPr>
            <w:r>
              <w:rPr>
                <w:rFonts w:ascii="Arial" w:cs="Arial" w:eastAsia="Arial" w:hAnsi="Arial"/>
                <w:sz w:val="18"/>
                <w:szCs w:val="18"/>
                <w:color w:val="auto"/>
              </w:rPr>
              <w:t>Maintain stock ownership guidelines for our</w:t>
            </w:r>
          </w:p>
        </w:tc>
      </w:tr>
      <w:tr>
        <w:trPr>
          <w:trHeight w:val="239"/>
        </w:trPr>
        <w:tc>
          <w:tcPr>
            <w:tcW w:w="4580" w:type="dxa"/>
            <w:vAlign w:val="bottom"/>
          </w:tcPr>
          <w:p>
            <w:pPr>
              <w:spacing w:after="0"/>
              <w:rPr>
                <w:sz w:val="20"/>
                <w:szCs w:val="20"/>
                <w:color w:val="auto"/>
              </w:rPr>
            </w:pPr>
          </w:p>
        </w:tc>
        <w:tc>
          <w:tcPr>
            <w:tcW w:w="3860" w:type="dxa"/>
            <w:vAlign w:val="bottom"/>
          </w:tcPr>
          <w:p>
            <w:pPr>
              <w:ind w:left="300"/>
              <w:spacing w:after="0"/>
              <w:rPr>
                <w:sz w:val="20"/>
                <w:szCs w:val="20"/>
                <w:color w:val="auto"/>
              </w:rPr>
            </w:pPr>
            <w:r>
              <w:rPr>
                <w:rFonts w:ascii="Arial" w:cs="Arial" w:eastAsia="Arial" w:hAnsi="Arial"/>
                <w:sz w:val="18"/>
                <w:szCs w:val="18"/>
                <w:color w:val="auto"/>
              </w:rPr>
              <w:t>executive officers and Board of Directors</w:t>
            </w:r>
          </w:p>
        </w:tc>
      </w:tr>
      <w:tr>
        <w:trPr>
          <w:trHeight w:val="274"/>
        </w:trPr>
        <w:tc>
          <w:tcPr>
            <w:tcW w:w="4580" w:type="dxa"/>
            <w:vAlign w:val="bottom"/>
            <w:tcBorders>
              <w:bottom w:val="single" w:sz="8" w:color="95B3D7"/>
            </w:tcBorders>
          </w:tcPr>
          <w:p>
            <w:pPr>
              <w:spacing w:after="0"/>
              <w:rPr>
                <w:sz w:val="23"/>
                <w:szCs w:val="23"/>
                <w:color w:val="auto"/>
              </w:rPr>
            </w:pPr>
          </w:p>
        </w:tc>
        <w:tc>
          <w:tcPr>
            <w:tcW w:w="3860" w:type="dxa"/>
            <w:vAlign w:val="bottom"/>
            <w:tcBorders>
              <w:bottom w:val="single" w:sz="8" w:color="95B3D7"/>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-445135</wp:posOffset>
            </wp:positionV>
            <wp:extent cx="188595" cy="3771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8595" cy="3771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-445135</wp:posOffset>
            </wp:positionV>
            <wp:extent cx="188595" cy="3771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8595" cy="377190"/>
                    </a:xfrm>
                    <a:prstGeom prst="rect">
                      <a:avLst/>
                    </a:prstGeom>
                    <a:noFill/>
                  </pic:spPr>
                </pic:pic>
              </a:graphicData>
            </a:graphic>
          </wp:anchor>
        </w:drawing>
      </w:r>
    </w:p>
    <w:p>
      <w:pPr>
        <w:spacing w:after="0" w:line="33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34925</wp:posOffset>
            </wp:positionV>
            <wp:extent cx="5366385" cy="4800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66385" cy="480060"/>
                    </a:xfrm>
                    <a:prstGeom prst="rect">
                      <a:avLst/>
                    </a:prstGeom>
                    <a:noFill/>
                  </pic:spPr>
                </pic:pic>
              </a:graphicData>
            </a:graphic>
          </wp:anchor>
        </w:drawing>
      </w:r>
    </w:p>
    <w:p>
      <w:pPr>
        <w:sectPr>
          <w:pgSz w:w="11900" w:h="16838" w:orient="portrait"/>
          <w:cols w:equalWidth="0" w:num="1">
            <w:col w:w="11000"/>
          </w:cols>
          <w:pgMar w:left="320" w:top="1440" w:right="579" w:bottom="1440" w:gutter="0" w:footer="0" w:header="0"/>
          <w:type w:val="continuous"/>
        </w:sectPr>
      </w:pP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No guaranteed or uncapped incentive payouts in our annual bonus plan</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1760"/>
        <w:spacing w:after="0" w:line="268" w:lineRule="auto"/>
        <w:rPr>
          <w:sz w:val="20"/>
          <w:szCs w:val="20"/>
          <w:color w:val="auto"/>
        </w:rPr>
      </w:pPr>
      <w:r>
        <w:rPr>
          <w:rFonts w:ascii="Arial" w:cs="Arial" w:eastAsia="Arial" w:hAnsi="Arial"/>
          <w:sz w:val="17"/>
          <w:szCs w:val="17"/>
          <w:color w:val="auto"/>
        </w:rPr>
        <w:t>No option or stock appreciation rights granted below fair market value</w:t>
      </w:r>
    </w:p>
    <w:p>
      <w:pPr>
        <w:spacing w:after="0" w:line="200" w:lineRule="exact"/>
        <w:rPr>
          <w:sz w:val="20"/>
          <w:szCs w:val="20"/>
          <w:color w:val="auto"/>
        </w:rPr>
      </w:pPr>
    </w:p>
    <w:p>
      <w:pPr>
        <w:sectPr>
          <w:pgSz w:w="11900" w:h="16838" w:orient="portrait"/>
          <w:cols w:equalWidth="0" w:num="2">
            <w:col w:w="5740" w:space="540"/>
            <w:col w:w="4720"/>
          </w:cols>
          <w:pgMar w:left="320" w:top="1440" w:right="579" w:bottom="1440" w:gutter="0" w:footer="0" w:header="0"/>
          <w:type w:val="continuous"/>
        </w:sectPr>
      </w:pPr>
    </w:p>
    <w:p>
      <w:pPr>
        <w:spacing w:after="0" w:line="92" w:lineRule="exact"/>
        <w:rPr>
          <w:sz w:val="20"/>
          <w:szCs w:val="20"/>
          <w:color w:val="auto"/>
        </w:rPr>
      </w:pPr>
    </w:p>
    <w:p>
      <w:pPr>
        <w:ind w:left="1880"/>
        <w:spacing w:after="0"/>
        <w:tabs>
          <w:tab w:leader="none" w:pos="6260" w:val="left"/>
        </w:tabs>
        <w:rPr>
          <w:sz w:val="20"/>
          <w:szCs w:val="20"/>
          <w:color w:val="auto"/>
        </w:rPr>
      </w:pPr>
      <w:r>
        <w:rPr>
          <w:rFonts w:ascii="Arial" w:cs="Arial" w:eastAsia="Arial" w:hAnsi="Arial"/>
          <w:sz w:val="18"/>
          <w:szCs w:val="18"/>
          <w:color w:val="auto"/>
        </w:rPr>
        <w:t>No significant perquisites</w:t>
      </w:r>
      <w:r>
        <w:rPr>
          <w:sz w:val="20"/>
          <w:szCs w:val="20"/>
          <w:color w:val="auto"/>
        </w:rPr>
        <w:tab/>
      </w:r>
      <w:r>
        <w:rPr>
          <w:rFonts w:ascii="Arial" w:cs="Arial" w:eastAsia="Arial" w:hAnsi="Arial"/>
          <w:sz w:val="17"/>
          <w:szCs w:val="17"/>
          <w:color w:val="auto"/>
        </w:rPr>
        <w:t>No repricing or exchange of underwater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-50165</wp:posOffset>
            </wp:positionV>
            <wp:extent cx="214630"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4630" cy="27432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-50165</wp:posOffset>
            </wp:positionV>
            <wp:extent cx="213995" cy="27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3995" cy="27432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8"/>
          <w:szCs w:val="18"/>
          <w:color w:val="auto"/>
        </w:rPr>
        <w:t>options without stockholder approval</w:t>
      </w:r>
    </w:p>
    <w:p>
      <w:pPr>
        <w:sectPr>
          <w:pgSz w:w="11900" w:h="16838" w:orient="portrait"/>
          <w:cols w:equalWidth="0" w:num="1">
            <w:col w:w="11000"/>
          </w:cols>
          <w:pgMar w:left="320" w:top="1440" w:right="579" w:bottom="1440" w:gutter="0" w:footer="0" w:header="0"/>
          <w:type w:val="continuous"/>
        </w:sectPr>
      </w:pPr>
    </w:p>
    <w:p>
      <w:pPr>
        <w:spacing w:after="0" w:line="342" w:lineRule="exact"/>
        <w:rPr>
          <w:sz w:val="20"/>
          <w:szCs w:val="20"/>
          <w:color w:val="auto"/>
        </w:rPr>
      </w:pPr>
    </w:p>
    <w:p>
      <w:pPr>
        <w:ind w:left="1880" w:right="560"/>
        <w:spacing w:after="0"/>
        <w:rPr>
          <w:sz w:val="20"/>
          <w:szCs w:val="20"/>
          <w:color w:val="auto"/>
        </w:rPr>
      </w:pPr>
      <w:r>
        <w:rPr>
          <w:rFonts w:ascii="Arial" w:cs="Arial" w:eastAsia="Arial" w:hAnsi="Arial"/>
          <w:sz w:val="18"/>
          <w:szCs w:val="18"/>
          <w:color w:val="auto"/>
        </w:rPr>
        <w:t>No tax gross-ups, other than for certain relocation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-259080</wp:posOffset>
            </wp:positionV>
            <wp:extent cx="5366385" cy="420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66385" cy="420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1320"/>
        <w:spacing w:after="0" w:line="227" w:lineRule="auto"/>
        <w:rPr>
          <w:sz w:val="20"/>
          <w:szCs w:val="20"/>
          <w:color w:val="auto"/>
        </w:rPr>
      </w:pPr>
      <w:r>
        <w:rPr>
          <w:rFonts w:ascii="Arial" w:cs="Arial" w:eastAsia="Arial" w:hAnsi="Arial"/>
          <w:sz w:val="18"/>
          <w:szCs w:val="18"/>
          <w:color w:val="auto"/>
        </w:rPr>
        <w:t>No dividend equivalents on unearned restricted stock units or performance share units</w:t>
      </w:r>
    </w:p>
    <w:p>
      <w:pPr>
        <w:spacing w:after="0" w:line="200" w:lineRule="exact"/>
        <w:rPr>
          <w:sz w:val="20"/>
          <w:szCs w:val="20"/>
          <w:color w:val="auto"/>
        </w:rPr>
      </w:pPr>
    </w:p>
    <w:p>
      <w:pPr>
        <w:sectPr>
          <w:pgSz w:w="11900" w:h="16838" w:orient="portrait"/>
          <w:cols w:equalWidth="0" w:num="2">
            <w:col w:w="5560" w:space="720"/>
            <w:col w:w="4720"/>
          </w:cols>
          <w:pgMar w:left="320" w:top="1440"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40" w:right="579" w:bottom="1440" w:gutter="0" w:footer="0" w:header="0"/>
          <w:type w:val="continuous"/>
        </w:sectPr>
      </w:pPr>
    </w:p>
    <w:bookmarkStart w:id="19" w:name="page20"/>
    <w:bookmarkEnd w:id="19"/>
    <w:p>
      <w:pPr>
        <w:spacing w:after="0" w:line="193" w:lineRule="exact"/>
        <w:rPr>
          <w:sz w:val="20"/>
          <w:szCs w:val="20"/>
          <w:color w:val="auto"/>
        </w:rPr>
      </w:pPr>
    </w:p>
    <w:p>
      <w:pPr>
        <w:ind w:right="120" w:firstLine="486"/>
        <w:spacing w:after="0" w:line="287" w:lineRule="auto"/>
        <w:rPr>
          <w:sz w:val="20"/>
          <w:szCs w:val="20"/>
          <w:color w:val="auto"/>
        </w:rPr>
      </w:pPr>
      <w:r>
        <w:rPr>
          <w:rFonts w:ascii="Arial" w:cs="Arial" w:eastAsia="Arial" w:hAnsi="Arial"/>
          <w:sz w:val="18"/>
          <w:szCs w:val="18"/>
          <w:color w:val="auto"/>
        </w:rPr>
        <w:t>The following table illustrates the elements of pay we currently employ, the manner in which we position these elements relative to the market and the objectives achieved by each element: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60" w:type="dxa"/>
            <w:vAlign w:val="bottom"/>
          </w:tcPr>
          <w:p>
            <w:pPr>
              <w:ind w:left="520"/>
              <w:spacing w:after="0"/>
              <w:rPr>
                <w:sz w:val="20"/>
                <w:szCs w:val="20"/>
                <w:color w:val="auto"/>
              </w:rPr>
            </w:pPr>
            <w:r>
              <w:rPr>
                <w:rFonts w:ascii="Arial" w:cs="Arial" w:eastAsia="Arial" w:hAnsi="Arial"/>
                <w:sz w:val="16"/>
                <w:szCs w:val="16"/>
                <w:b w:val="1"/>
                <w:bCs w:val="1"/>
                <w:color w:val="auto"/>
              </w:rPr>
              <w:t>Element</w:t>
            </w:r>
          </w:p>
        </w:tc>
        <w:tc>
          <w:tcPr>
            <w:tcW w:w="4340" w:type="dxa"/>
            <w:vAlign w:val="bottom"/>
          </w:tcPr>
          <w:p>
            <w:pPr>
              <w:ind w:left="1520"/>
              <w:spacing w:after="0"/>
              <w:rPr>
                <w:sz w:val="20"/>
                <w:szCs w:val="20"/>
                <w:color w:val="auto"/>
              </w:rPr>
            </w:pPr>
            <w:r>
              <w:rPr>
                <w:rFonts w:ascii="Arial" w:cs="Arial" w:eastAsia="Arial" w:hAnsi="Arial"/>
                <w:sz w:val="16"/>
                <w:szCs w:val="16"/>
                <w:b w:val="1"/>
                <w:bCs w:val="1"/>
                <w:color w:val="auto"/>
              </w:rPr>
              <w:t>Primary Objective</w:t>
            </w:r>
          </w:p>
        </w:tc>
        <w:tc>
          <w:tcPr>
            <w:tcW w:w="800" w:type="dxa"/>
            <w:vAlign w:val="bottom"/>
          </w:tcPr>
          <w:p>
            <w:pPr>
              <w:spacing w:after="0"/>
              <w:rPr>
                <w:sz w:val="19"/>
                <w:szCs w:val="19"/>
                <w:color w:val="auto"/>
              </w:rPr>
            </w:pPr>
          </w:p>
        </w:tc>
        <w:tc>
          <w:tcPr>
            <w:tcW w:w="4440" w:type="dxa"/>
            <w:vAlign w:val="bottom"/>
          </w:tcPr>
          <w:p>
            <w:pPr>
              <w:ind w:left="980"/>
              <w:spacing w:after="0"/>
              <w:rPr>
                <w:sz w:val="20"/>
                <w:szCs w:val="20"/>
                <w:color w:val="auto"/>
              </w:rPr>
            </w:pPr>
            <w:r>
              <w:rPr>
                <w:rFonts w:ascii="Arial" w:cs="Arial" w:eastAsia="Arial" w:hAnsi="Arial"/>
                <w:sz w:val="16"/>
                <w:szCs w:val="16"/>
                <w:b w:val="1"/>
                <w:bCs w:val="1"/>
                <w:color w:val="auto"/>
              </w:rPr>
              <w:t>Determination Factors</w:t>
            </w:r>
          </w:p>
        </w:tc>
        <w:tc>
          <w:tcPr>
            <w:tcW w:w="0" w:type="dxa"/>
            <w:vAlign w:val="bottom"/>
          </w:tcPr>
          <w:p>
            <w:pPr>
              <w:spacing w:after="0"/>
              <w:rPr>
                <w:sz w:val="1"/>
                <w:szCs w:val="1"/>
                <w:color w:val="auto"/>
              </w:rPr>
            </w:pPr>
          </w:p>
        </w:tc>
      </w:tr>
      <w:tr>
        <w:trPr>
          <w:trHeight w:val="21"/>
        </w:trPr>
        <w:tc>
          <w:tcPr>
            <w:tcW w:w="166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52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1660" w:type="dxa"/>
            <w:vAlign w:val="bottom"/>
            <w:shd w:val="clear" w:color="auto" w:fill="DBE5F1"/>
          </w:tcPr>
          <w:p>
            <w:pPr>
              <w:ind w:left="120"/>
              <w:spacing w:after="0"/>
              <w:rPr>
                <w:sz w:val="20"/>
                <w:szCs w:val="20"/>
                <w:color w:val="auto"/>
              </w:rPr>
            </w:pPr>
            <w:r>
              <w:rPr>
                <w:rFonts w:ascii="Arial" w:cs="Arial" w:eastAsia="Arial" w:hAnsi="Arial"/>
                <w:sz w:val="16"/>
                <w:szCs w:val="16"/>
                <w:b w:val="1"/>
                <w:bCs w:val="1"/>
                <w:color w:val="auto"/>
              </w:rPr>
              <w:t>Base Salary</w:t>
            </w:r>
          </w:p>
        </w:tc>
        <w:tc>
          <w:tcPr>
            <w:tcW w:w="434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Attract and retain high-performing and experienced</w:t>
            </w:r>
          </w:p>
        </w:tc>
        <w:tc>
          <w:tcPr>
            <w:tcW w:w="5240" w:type="dxa"/>
            <w:vAlign w:val="bottom"/>
            <w:gridSpan w:val="2"/>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Value of role in competitive marketplace</w:t>
            </w:r>
          </w:p>
        </w:tc>
        <w:tc>
          <w:tcPr>
            <w:tcW w:w="0" w:type="dxa"/>
            <w:vAlign w:val="bottom"/>
          </w:tcPr>
          <w:p>
            <w:pPr>
              <w:spacing w:after="0"/>
              <w:rPr>
                <w:sz w:val="1"/>
                <w:szCs w:val="1"/>
                <w:color w:val="auto"/>
              </w:rPr>
            </w:pPr>
          </w:p>
        </w:tc>
      </w:tr>
      <w:tr>
        <w:trPr>
          <w:trHeight w:val="189"/>
        </w:trPr>
        <w:tc>
          <w:tcPr>
            <w:tcW w:w="1660" w:type="dxa"/>
            <w:vAlign w:val="bottom"/>
            <w:shd w:val="clear" w:color="auto" w:fill="DBE5F1"/>
          </w:tcPr>
          <w:p>
            <w:pPr>
              <w:spacing w:after="0"/>
              <w:rPr>
                <w:sz w:val="16"/>
                <w:szCs w:val="16"/>
                <w:color w:val="auto"/>
              </w:rPr>
            </w:pPr>
          </w:p>
        </w:tc>
        <w:tc>
          <w:tcPr>
            <w:tcW w:w="4340" w:type="dxa"/>
            <w:vAlign w:val="bottom"/>
            <w:shd w:val="clear" w:color="auto" w:fill="DBE5F1"/>
          </w:tcPr>
          <w:p>
            <w:pPr>
              <w:ind w:left="420"/>
              <w:spacing w:after="0"/>
              <w:rPr>
                <w:sz w:val="20"/>
                <w:szCs w:val="20"/>
                <w:color w:val="auto"/>
              </w:rPr>
            </w:pPr>
            <w:r>
              <w:rPr>
                <w:rFonts w:ascii="Arial" w:cs="Arial" w:eastAsia="Arial" w:hAnsi="Arial"/>
                <w:sz w:val="16"/>
                <w:szCs w:val="16"/>
                <w:color w:val="auto"/>
              </w:rPr>
              <w:t>individuals</w:t>
            </w:r>
          </w:p>
        </w:tc>
        <w:tc>
          <w:tcPr>
            <w:tcW w:w="5240" w:type="dxa"/>
            <w:vAlign w:val="bottom"/>
            <w:gridSpan w:val="2"/>
            <w:shd w:val="clear" w:color="auto" w:fill="DBE5F1"/>
          </w:tcPr>
          <w:p>
            <w:pPr>
              <w:ind w:left="14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Value of role to the Company</w:t>
            </w:r>
          </w:p>
        </w:tc>
        <w:tc>
          <w:tcPr>
            <w:tcW w:w="0" w:type="dxa"/>
            <w:vAlign w:val="bottom"/>
          </w:tcPr>
          <w:p>
            <w:pPr>
              <w:spacing w:after="0"/>
              <w:rPr>
                <w:sz w:val="1"/>
                <w:szCs w:val="1"/>
                <w:color w:val="auto"/>
              </w:rPr>
            </w:pPr>
          </w:p>
        </w:tc>
      </w:tr>
      <w:tr>
        <w:trPr>
          <w:trHeight w:val="234"/>
        </w:trPr>
        <w:tc>
          <w:tcPr>
            <w:tcW w:w="1660" w:type="dxa"/>
            <w:vAlign w:val="bottom"/>
            <w:shd w:val="clear" w:color="auto" w:fill="DBE5F1"/>
          </w:tcPr>
          <w:p>
            <w:pPr>
              <w:spacing w:after="0"/>
              <w:rPr>
                <w:sz w:val="20"/>
                <w:szCs w:val="20"/>
                <w:color w:val="auto"/>
              </w:rPr>
            </w:pPr>
          </w:p>
        </w:tc>
        <w:tc>
          <w:tcPr>
            <w:tcW w:w="434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Provide steady source of income so executives can</w:t>
            </w:r>
          </w:p>
        </w:tc>
        <w:tc>
          <w:tcPr>
            <w:tcW w:w="5240" w:type="dxa"/>
            <w:vAlign w:val="bottom"/>
            <w:gridSpan w:val="2"/>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Skills, experience and performance of individual compared to</w:t>
            </w:r>
          </w:p>
        </w:tc>
        <w:tc>
          <w:tcPr>
            <w:tcW w:w="0" w:type="dxa"/>
            <w:vAlign w:val="bottom"/>
          </w:tcPr>
          <w:p>
            <w:pPr>
              <w:spacing w:after="0"/>
              <w:rPr>
                <w:sz w:val="1"/>
                <w:szCs w:val="1"/>
                <w:color w:val="auto"/>
              </w:rPr>
            </w:pPr>
          </w:p>
        </w:tc>
      </w:tr>
      <w:tr>
        <w:trPr>
          <w:trHeight w:val="242"/>
        </w:trPr>
        <w:tc>
          <w:tcPr>
            <w:tcW w:w="1660" w:type="dxa"/>
            <w:vAlign w:val="bottom"/>
            <w:shd w:val="clear" w:color="auto" w:fill="DBE5F1"/>
          </w:tcPr>
          <w:p>
            <w:pPr>
              <w:spacing w:after="0"/>
              <w:rPr>
                <w:sz w:val="21"/>
                <w:szCs w:val="21"/>
                <w:color w:val="auto"/>
              </w:rPr>
            </w:pPr>
          </w:p>
        </w:tc>
        <w:tc>
          <w:tcPr>
            <w:tcW w:w="4340" w:type="dxa"/>
            <w:vAlign w:val="bottom"/>
            <w:shd w:val="clear" w:color="auto" w:fill="DBE5F1"/>
          </w:tcPr>
          <w:p>
            <w:pPr>
              <w:ind w:left="420"/>
              <w:spacing w:after="0"/>
              <w:rPr>
                <w:sz w:val="20"/>
                <w:szCs w:val="20"/>
                <w:color w:val="auto"/>
              </w:rPr>
            </w:pPr>
            <w:r>
              <w:rPr>
                <w:rFonts w:ascii="Arial" w:cs="Arial" w:eastAsia="Arial" w:hAnsi="Arial"/>
                <w:sz w:val="16"/>
                <w:szCs w:val="16"/>
                <w:color w:val="auto"/>
              </w:rPr>
              <w:t>focus on the needs of the business</w:t>
            </w:r>
          </w:p>
        </w:tc>
        <w:tc>
          <w:tcPr>
            <w:tcW w:w="5240" w:type="dxa"/>
            <w:vAlign w:val="bottom"/>
            <w:gridSpan w:val="2"/>
            <w:shd w:val="clear" w:color="auto" w:fill="DBE5F1"/>
          </w:tcPr>
          <w:p>
            <w:pPr>
              <w:ind w:left="480"/>
              <w:spacing w:after="0"/>
              <w:rPr>
                <w:sz w:val="20"/>
                <w:szCs w:val="20"/>
                <w:color w:val="auto"/>
              </w:rPr>
            </w:pPr>
            <w:r>
              <w:rPr>
                <w:rFonts w:ascii="Arial" w:cs="Arial" w:eastAsia="Arial" w:hAnsi="Arial"/>
                <w:sz w:val="16"/>
                <w:szCs w:val="16"/>
                <w:color w:val="auto"/>
              </w:rPr>
              <w:t>the market as well as others in the Company</w:t>
            </w:r>
          </w:p>
        </w:tc>
        <w:tc>
          <w:tcPr>
            <w:tcW w:w="0" w:type="dxa"/>
            <w:vAlign w:val="bottom"/>
          </w:tcPr>
          <w:p>
            <w:pPr>
              <w:spacing w:after="0"/>
              <w:rPr>
                <w:sz w:val="1"/>
                <w:szCs w:val="1"/>
                <w:color w:val="auto"/>
              </w:rPr>
            </w:pPr>
          </w:p>
        </w:tc>
      </w:tr>
      <w:tr>
        <w:trPr>
          <w:trHeight w:val="124"/>
        </w:trPr>
        <w:tc>
          <w:tcPr>
            <w:tcW w:w="1660" w:type="dxa"/>
            <w:vAlign w:val="bottom"/>
            <w:shd w:val="clear" w:color="auto" w:fill="DBE5F1"/>
          </w:tcPr>
          <w:p>
            <w:pPr>
              <w:spacing w:after="0"/>
              <w:rPr>
                <w:sz w:val="10"/>
                <w:szCs w:val="10"/>
                <w:color w:val="auto"/>
              </w:rPr>
            </w:pPr>
          </w:p>
        </w:tc>
        <w:tc>
          <w:tcPr>
            <w:tcW w:w="4340" w:type="dxa"/>
            <w:vAlign w:val="bottom"/>
            <w:shd w:val="clear" w:color="auto" w:fill="DBE5F1"/>
          </w:tcPr>
          <w:p>
            <w:pPr>
              <w:spacing w:after="0"/>
              <w:rPr>
                <w:sz w:val="10"/>
                <w:szCs w:val="10"/>
                <w:color w:val="auto"/>
              </w:rPr>
            </w:pPr>
          </w:p>
        </w:tc>
        <w:tc>
          <w:tcPr>
            <w:tcW w:w="5240" w:type="dxa"/>
            <w:vAlign w:val="bottom"/>
            <w:gridSpan w:val="2"/>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660" w:type="dxa"/>
            <w:vAlign w:val="bottom"/>
          </w:tcPr>
          <w:p>
            <w:pPr>
              <w:ind w:left="120"/>
              <w:spacing w:after="0"/>
              <w:rPr>
                <w:sz w:val="20"/>
                <w:szCs w:val="20"/>
                <w:color w:val="auto"/>
              </w:rPr>
            </w:pPr>
            <w:r>
              <w:rPr>
                <w:rFonts w:ascii="Arial" w:cs="Arial" w:eastAsia="Arial" w:hAnsi="Arial"/>
                <w:sz w:val="16"/>
                <w:szCs w:val="16"/>
                <w:b w:val="1"/>
                <w:bCs w:val="1"/>
                <w:color w:val="auto"/>
              </w:rPr>
              <w:t>Annual Cash</w:t>
            </w:r>
          </w:p>
        </w:tc>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Motivate executives to achieve challenging short-</w:t>
            </w:r>
          </w:p>
        </w:tc>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Target awards based on competitive marketplace, level of</w:t>
            </w:r>
          </w:p>
        </w:tc>
        <w:tc>
          <w:tcPr>
            <w:tcW w:w="0" w:type="dxa"/>
            <w:vAlign w:val="bottom"/>
          </w:tcPr>
          <w:p>
            <w:pPr>
              <w:spacing w:after="0"/>
              <w:rPr>
                <w:sz w:val="1"/>
                <w:szCs w:val="1"/>
                <w:color w:val="auto"/>
              </w:rPr>
            </w:pPr>
          </w:p>
        </w:tc>
      </w:tr>
      <w:tr>
        <w:trPr>
          <w:trHeight w:val="212"/>
        </w:trPr>
        <w:tc>
          <w:tcPr>
            <w:tcW w:w="1660" w:type="dxa"/>
            <w:vAlign w:val="bottom"/>
          </w:tcPr>
          <w:p>
            <w:pPr>
              <w:ind w:left="120"/>
              <w:spacing w:after="0"/>
              <w:rPr>
                <w:sz w:val="20"/>
                <w:szCs w:val="20"/>
                <w:color w:val="auto"/>
              </w:rPr>
            </w:pPr>
            <w:r>
              <w:rPr>
                <w:rFonts w:ascii="Arial" w:cs="Arial" w:eastAsia="Arial" w:hAnsi="Arial"/>
                <w:sz w:val="16"/>
                <w:szCs w:val="16"/>
                <w:b w:val="1"/>
                <w:bCs w:val="1"/>
                <w:color w:val="auto"/>
              </w:rPr>
              <w:t>Incentives</w:t>
            </w:r>
          </w:p>
        </w:tc>
        <w:tc>
          <w:tcPr>
            <w:tcW w:w="4340" w:type="dxa"/>
            <w:vAlign w:val="bottom"/>
          </w:tcPr>
          <w:p>
            <w:pPr>
              <w:ind w:left="460"/>
              <w:spacing w:after="0"/>
              <w:rPr>
                <w:sz w:val="20"/>
                <w:szCs w:val="20"/>
                <w:color w:val="auto"/>
              </w:rPr>
            </w:pPr>
            <w:r>
              <w:rPr>
                <w:rFonts w:ascii="Arial" w:cs="Arial" w:eastAsia="Arial" w:hAnsi="Arial"/>
                <w:sz w:val="16"/>
                <w:szCs w:val="16"/>
                <w:color w:val="auto"/>
              </w:rPr>
              <w:t>term performance goals</w:t>
            </w:r>
          </w:p>
        </w:tc>
        <w:tc>
          <w:tcPr>
            <w:tcW w:w="5240" w:type="dxa"/>
            <w:vAlign w:val="bottom"/>
            <w:gridSpan w:val="2"/>
          </w:tcPr>
          <w:p>
            <w:pPr>
              <w:ind w:left="480"/>
              <w:spacing w:after="0"/>
              <w:rPr>
                <w:sz w:val="20"/>
                <w:szCs w:val="20"/>
                <w:color w:val="auto"/>
              </w:rPr>
            </w:pPr>
            <w:r>
              <w:rPr>
                <w:rFonts w:ascii="Arial" w:cs="Arial" w:eastAsia="Arial" w:hAnsi="Arial"/>
                <w:sz w:val="16"/>
                <w:szCs w:val="16"/>
                <w:color w:val="auto"/>
              </w:rPr>
              <w:t>position, skills and performance of executive</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Align with annual financial objectives</w:t>
            </w:r>
          </w:p>
        </w:tc>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75% of actual awards based on achievement against the</w:t>
            </w:r>
          </w:p>
        </w:tc>
        <w:tc>
          <w:tcPr>
            <w:tcW w:w="0" w:type="dxa"/>
            <w:vAlign w:val="bottom"/>
          </w:tcPr>
          <w:p>
            <w:pPr>
              <w:spacing w:after="0"/>
              <w:rPr>
                <w:sz w:val="1"/>
                <w:szCs w:val="1"/>
                <w:color w:val="auto"/>
              </w:rPr>
            </w:pPr>
          </w:p>
        </w:tc>
      </w:tr>
      <w:tr>
        <w:trPr>
          <w:trHeight w:val="198"/>
        </w:trPr>
        <w:tc>
          <w:tcPr>
            <w:tcW w:w="16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5240" w:type="dxa"/>
            <w:vAlign w:val="bottom"/>
            <w:gridSpan w:val="2"/>
          </w:tcPr>
          <w:p>
            <w:pPr>
              <w:ind w:left="480"/>
              <w:spacing w:after="0"/>
              <w:rPr>
                <w:sz w:val="20"/>
                <w:szCs w:val="20"/>
                <w:color w:val="auto"/>
              </w:rPr>
            </w:pPr>
            <w:r>
              <w:rPr>
                <w:rFonts w:ascii="Arial" w:cs="Arial" w:eastAsia="Arial" w:hAnsi="Arial"/>
                <w:sz w:val="16"/>
                <w:szCs w:val="16"/>
                <w:color w:val="auto"/>
              </w:rPr>
              <w:t>following annual corporate metrics:</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w:t>
            </w:r>
          </w:p>
        </w:tc>
        <w:tc>
          <w:tcPr>
            <w:tcW w:w="4440" w:type="dxa"/>
            <w:vAlign w:val="bottom"/>
          </w:tcPr>
          <w:p>
            <w:pPr>
              <w:ind w:left="140"/>
              <w:spacing w:after="0"/>
              <w:rPr>
                <w:sz w:val="20"/>
                <w:szCs w:val="20"/>
                <w:color w:val="auto"/>
              </w:rPr>
            </w:pPr>
            <w:r>
              <w:rPr>
                <w:rFonts w:ascii="Arial" w:cs="Arial" w:eastAsia="Arial" w:hAnsi="Arial"/>
                <w:sz w:val="16"/>
                <w:szCs w:val="16"/>
                <w:color w:val="auto"/>
              </w:rPr>
              <w:t>Health plan membership</w:t>
            </w: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w:t>
            </w:r>
          </w:p>
        </w:tc>
        <w:tc>
          <w:tcPr>
            <w:tcW w:w="4440" w:type="dxa"/>
            <w:vAlign w:val="bottom"/>
          </w:tcPr>
          <w:p>
            <w:pPr>
              <w:ind w:left="140"/>
              <w:spacing w:after="0"/>
              <w:rPr>
                <w:sz w:val="20"/>
                <w:szCs w:val="20"/>
                <w:color w:val="auto"/>
              </w:rPr>
            </w:pPr>
            <w:r>
              <w:rPr>
                <w:rFonts w:ascii="Arial" w:cs="Arial" w:eastAsia="Arial" w:hAnsi="Arial"/>
                <w:sz w:val="16"/>
                <w:szCs w:val="16"/>
                <w:color w:val="auto"/>
              </w:rPr>
              <w:t>Adjusted gross profit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w:t>
            </w:r>
          </w:p>
        </w:tc>
        <w:tc>
          <w:tcPr>
            <w:tcW w:w="444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25% of actual awards based on achievement of individual</w:t>
            </w:r>
          </w:p>
        </w:tc>
        <w:tc>
          <w:tcPr>
            <w:tcW w:w="0" w:type="dxa"/>
            <w:vAlign w:val="bottom"/>
          </w:tcPr>
          <w:p>
            <w:pPr>
              <w:spacing w:after="0"/>
              <w:rPr>
                <w:sz w:val="1"/>
                <w:szCs w:val="1"/>
                <w:color w:val="auto"/>
              </w:rPr>
            </w:pPr>
          </w:p>
        </w:tc>
      </w:tr>
      <w:tr>
        <w:trPr>
          <w:trHeight w:val="198"/>
        </w:trPr>
        <w:tc>
          <w:tcPr>
            <w:tcW w:w="16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5240" w:type="dxa"/>
            <w:vAlign w:val="bottom"/>
            <w:gridSpan w:val="2"/>
          </w:tcPr>
          <w:p>
            <w:pPr>
              <w:ind w:left="480"/>
              <w:spacing w:after="0"/>
              <w:rPr>
                <w:sz w:val="20"/>
                <w:szCs w:val="20"/>
                <w:color w:val="auto"/>
              </w:rPr>
            </w:pPr>
            <w:r>
              <w:rPr>
                <w:rFonts w:ascii="Arial" w:cs="Arial" w:eastAsia="Arial" w:hAnsi="Arial"/>
                <w:sz w:val="16"/>
                <w:szCs w:val="16"/>
                <w:color w:val="auto"/>
              </w:rPr>
              <w:t>and/or departmental goals (other than the CEO)</w:t>
            </w:r>
          </w:p>
        </w:tc>
        <w:tc>
          <w:tcPr>
            <w:tcW w:w="0" w:type="dxa"/>
            <w:vAlign w:val="bottom"/>
          </w:tcPr>
          <w:p>
            <w:pPr>
              <w:spacing w:after="0"/>
              <w:rPr>
                <w:sz w:val="1"/>
                <w:szCs w:val="1"/>
                <w:color w:val="auto"/>
              </w:rPr>
            </w:pPr>
          </w:p>
        </w:tc>
      </w:tr>
      <w:tr>
        <w:trPr>
          <w:trHeight w:val="220"/>
        </w:trPr>
        <w:tc>
          <w:tcPr>
            <w:tcW w:w="16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For 2024, awards were subject to a modifier (-25% to +35%)</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5240" w:type="dxa"/>
            <w:vAlign w:val="bottom"/>
            <w:gridSpan w:val="2"/>
          </w:tcPr>
          <w:p>
            <w:pPr>
              <w:ind w:left="480"/>
              <w:spacing w:after="0"/>
              <w:rPr>
                <w:sz w:val="20"/>
                <w:szCs w:val="20"/>
                <w:color w:val="auto"/>
              </w:rPr>
            </w:pPr>
            <w:r>
              <w:rPr>
                <w:rFonts w:ascii="Arial" w:cs="Arial" w:eastAsia="Arial" w:hAnsi="Arial"/>
                <w:sz w:val="16"/>
                <w:szCs w:val="16"/>
                <w:color w:val="auto"/>
              </w:rPr>
              <w:t>based on the Company’s CMS Star Ratings, with potential</w:t>
            </w:r>
          </w:p>
        </w:tc>
        <w:tc>
          <w:tcPr>
            <w:tcW w:w="0" w:type="dxa"/>
            <w:vAlign w:val="bottom"/>
          </w:tcPr>
          <w:p>
            <w:pPr>
              <w:spacing w:after="0"/>
              <w:rPr>
                <w:sz w:val="1"/>
                <w:szCs w:val="1"/>
                <w:color w:val="auto"/>
              </w:rPr>
            </w:pPr>
          </w:p>
        </w:tc>
      </w:tr>
      <w:tr>
        <w:trPr>
          <w:trHeight w:val="215"/>
        </w:trPr>
        <w:tc>
          <w:tcPr>
            <w:tcW w:w="16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240" w:type="dxa"/>
            <w:vAlign w:val="bottom"/>
            <w:gridSpan w:val="2"/>
          </w:tcPr>
          <w:p>
            <w:pPr>
              <w:ind w:left="480"/>
              <w:spacing w:after="0"/>
              <w:rPr>
                <w:sz w:val="20"/>
                <w:szCs w:val="20"/>
                <w:color w:val="auto"/>
              </w:rPr>
            </w:pPr>
            <w:r>
              <w:rPr>
                <w:rFonts w:ascii="Arial" w:cs="Arial" w:eastAsia="Arial" w:hAnsi="Arial"/>
                <w:sz w:val="16"/>
                <w:szCs w:val="16"/>
                <w:color w:val="auto"/>
              </w:rPr>
              <w:t>payouts ranging from 0% to 200% of target bonus</w:t>
            </w:r>
          </w:p>
        </w:tc>
        <w:tc>
          <w:tcPr>
            <w:tcW w:w="0" w:type="dxa"/>
            <w:vAlign w:val="bottom"/>
          </w:tcPr>
          <w:p>
            <w:pPr>
              <w:spacing w:after="0"/>
              <w:rPr>
                <w:sz w:val="1"/>
                <w:szCs w:val="1"/>
                <w:color w:val="auto"/>
              </w:rPr>
            </w:pPr>
          </w:p>
        </w:tc>
      </w:tr>
      <w:tr>
        <w:trPr>
          <w:trHeight w:val="137"/>
        </w:trPr>
        <w:tc>
          <w:tcPr>
            <w:tcW w:w="166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52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1660" w:type="dxa"/>
            <w:vAlign w:val="bottom"/>
            <w:shd w:val="clear" w:color="auto" w:fill="DBE5F1"/>
          </w:tcPr>
          <w:p>
            <w:pPr>
              <w:ind w:left="120"/>
              <w:spacing w:after="0"/>
              <w:rPr>
                <w:sz w:val="20"/>
                <w:szCs w:val="20"/>
                <w:color w:val="auto"/>
              </w:rPr>
            </w:pPr>
            <w:r>
              <w:rPr>
                <w:rFonts w:ascii="Arial" w:cs="Arial" w:eastAsia="Arial" w:hAnsi="Arial"/>
                <w:sz w:val="16"/>
                <w:szCs w:val="16"/>
                <w:b w:val="1"/>
                <w:bCs w:val="1"/>
                <w:color w:val="auto"/>
              </w:rPr>
              <w:t>Long-Term Equity</w:t>
            </w:r>
          </w:p>
        </w:tc>
        <w:tc>
          <w:tcPr>
            <w:tcW w:w="434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Align executives’ interests with those of our</w:t>
            </w:r>
          </w:p>
        </w:tc>
        <w:tc>
          <w:tcPr>
            <w:tcW w:w="5240" w:type="dxa"/>
            <w:vAlign w:val="bottom"/>
            <w:gridSpan w:val="2"/>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Awards based on competitive marketplace, current value of</w:t>
            </w:r>
          </w:p>
        </w:tc>
        <w:tc>
          <w:tcPr>
            <w:tcW w:w="0" w:type="dxa"/>
            <w:vAlign w:val="bottom"/>
          </w:tcPr>
          <w:p>
            <w:pPr>
              <w:spacing w:after="0"/>
              <w:rPr>
                <w:sz w:val="1"/>
                <w:szCs w:val="1"/>
                <w:color w:val="auto"/>
              </w:rPr>
            </w:pPr>
          </w:p>
        </w:tc>
      </w:tr>
      <w:tr>
        <w:trPr>
          <w:trHeight w:val="212"/>
        </w:trPr>
        <w:tc>
          <w:tcPr>
            <w:tcW w:w="1660" w:type="dxa"/>
            <w:vAlign w:val="bottom"/>
            <w:shd w:val="clear" w:color="auto" w:fill="DBE5F1"/>
          </w:tcPr>
          <w:p>
            <w:pPr>
              <w:ind w:left="120"/>
              <w:spacing w:after="0"/>
              <w:rPr>
                <w:sz w:val="20"/>
                <w:szCs w:val="20"/>
                <w:color w:val="auto"/>
              </w:rPr>
            </w:pPr>
            <w:r>
              <w:rPr>
                <w:rFonts w:ascii="Arial" w:cs="Arial" w:eastAsia="Arial" w:hAnsi="Arial"/>
                <w:sz w:val="16"/>
                <w:szCs w:val="16"/>
                <w:b w:val="1"/>
                <w:bCs w:val="1"/>
                <w:color w:val="auto"/>
              </w:rPr>
              <w:t>Incentives</w:t>
            </w:r>
          </w:p>
        </w:tc>
        <w:tc>
          <w:tcPr>
            <w:tcW w:w="4340" w:type="dxa"/>
            <w:vAlign w:val="bottom"/>
            <w:shd w:val="clear" w:color="auto" w:fill="DBE5F1"/>
          </w:tcPr>
          <w:p>
            <w:pPr>
              <w:ind w:left="460"/>
              <w:spacing w:after="0"/>
              <w:rPr>
                <w:sz w:val="20"/>
                <w:szCs w:val="20"/>
                <w:color w:val="auto"/>
              </w:rPr>
            </w:pPr>
            <w:r>
              <w:rPr>
                <w:rFonts w:ascii="Arial" w:cs="Arial" w:eastAsia="Arial" w:hAnsi="Arial"/>
                <w:sz w:val="16"/>
                <w:szCs w:val="16"/>
                <w:color w:val="auto"/>
              </w:rPr>
              <w:t>stockholders</w:t>
            </w:r>
          </w:p>
        </w:tc>
        <w:tc>
          <w:tcPr>
            <w:tcW w:w="5240" w:type="dxa"/>
            <w:vAlign w:val="bottom"/>
            <w:gridSpan w:val="2"/>
            <w:shd w:val="clear" w:color="auto" w:fill="DBE5F1"/>
          </w:tcPr>
          <w:p>
            <w:pPr>
              <w:ind w:left="480"/>
              <w:spacing w:after="0"/>
              <w:rPr>
                <w:sz w:val="20"/>
                <w:szCs w:val="20"/>
                <w:color w:val="auto"/>
              </w:rPr>
            </w:pPr>
            <w:r>
              <w:rPr>
                <w:rFonts w:ascii="Arial" w:cs="Arial" w:eastAsia="Arial" w:hAnsi="Arial"/>
                <w:sz w:val="16"/>
                <w:szCs w:val="16"/>
                <w:color w:val="auto"/>
              </w:rPr>
              <w:t>unvested equity holdings, level of position, skills and</w:t>
            </w:r>
          </w:p>
        </w:tc>
        <w:tc>
          <w:tcPr>
            <w:tcW w:w="0" w:type="dxa"/>
            <w:vAlign w:val="bottom"/>
          </w:tcPr>
          <w:p>
            <w:pPr>
              <w:spacing w:after="0"/>
              <w:rPr>
                <w:sz w:val="1"/>
                <w:szCs w:val="1"/>
                <w:color w:val="auto"/>
              </w:rPr>
            </w:pPr>
          </w:p>
        </w:tc>
      </w:tr>
      <w:tr>
        <w:trPr>
          <w:trHeight w:val="203"/>
        </w:trPr>
        <w:tc>
          <w:tcPr>
            <w:tcW w:w="1660" w:type="dxa"/>
            <w:vAlign w:val="bottom"/>
            <w:shd w:val="clear" w:color="auto" w:fill="DBE5F1"/>
          </w:tcPr>
          <w:p>
            <w:pPr>
              <w:spacing w:after="0"/>
              <w:rPr>
                <w:sz w:val="17"/>
                <w:szCs w:val="17"/>
                <w:color w:val="auto"/>
              </w:rPr>
            </w:pPr>
          </w:p>
        </w:tc>
        <w:tc>
          <w:tcPr>
            <w:tcW w:w="4340" w:type="dxa"/>
            <w:vAlign w:val="bottom"/>
            <w:shd w:val="clear" w:color="auto" w:fill="DBE5F1"/>
          </w:tcPr>
          <w:p>
            <w:pPr>
              <w:ind w:left="200"/>
              <w:spacing w:after="0" w:line="202" w:lineRule="exact"/>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Align with long-term business strategy</w:t>
            </w:r>
          </w:p>
        </w:tc>
        <w:tc>
          <w:tcPr>
            <w:tcW w:w="5240" w:type="dxa"/>
            <w:vAlign w:val="bottom"/>
            <w:gridSpan w:val="2"/>
            <w:shd w:val="clear" w:color="auto" w:fill="DBE5F1"/>
          </w:tcPr>
          <w:p>
            <w:pPr>
              <w:ind w:left="480"/>
              <w:spacing w:after="0"/>
              <w:rPr>
                <w:sz w:val="20"/>
                <w:szCs w:val="20"/>
                <w:color w:val="auto"/>
              </w:rPr>
            </w:pPr>
            <w:r>
              <w:rPr>
                <w:rFonts w:ascii="Arial" w:cs="Arial" w:eastAsia="Arial" w:hAnsi="Arial"/>
                <w:sz w:val="16"/>
                <w:szCs w:val="16"/>
                <w:color w:val="auto"/>
              </w:rPr>
              <w:t>performance of the executive</w:t>
            </w:r>
          </w:p>
        </w:tc>
        <w:tc>
          <w:tcPr>
            <w:tcW w:w="0" w:type="dxa"/>
            <w:vAlign w:val="bottom"/>
          </w:tcPr>
          <w:p>
            <w:pPr>
              <w:spacing w:after="0"/>
              <w:rPr>
                <w:sz w:val="1"/>
                <w:szCs w:val="1"/>
                <w:color w:val="auto"/>
              </w:rPr>
            </w:pPr>
          </w:p>
        </w:tc>
      </w:tr>
      <w:tr>
        <w:trPr>
          <w:trHeight w:val="234"/>
        </w:trPr>
        <w:tc>
          <w:tcPr>
            <w:tcW w:w="1660" w:type="dxa"/>
            <w:vAlign w:val="bottom"/>
            <w:shd w:val="clear" w:color="auto" w:fill="DBE5F1"/>
          </w:tcPr>
          <w:p>
            <w:pPr>
              <w:spacing w:after="0"/>
              <w:rPr>
                <w:sz w:val="20"/>
                <w:szCs w:val="20"/>
                <w:color w:val="auto"/>
              </w:rPr>
            </w:pPr>
          </w:p>
        </w:tc>
        <w:tc>
          <w:tcPr>
            <w:tcW w:w="434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Retain executive talent through multi-year vesting</w:t>
            </w:r>
          </w:p>
        </w:tc>
        <w:tc>
          <w:tcPr>
            <w:tcW w:w="5240" w:type="dxa"/>
            <w:vAlign w:val="bottom"/>
            <w:gridSpan w:val="2"/>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For 2024, awards were issued 50% in the form of RSUs that</w:t>
            </w:r>
          </w:p>
        </w:tc>
        <w:tc>
          <w:tcPr>
            <w:tcW w:w="0" w:type="dxa"/>
            <w:vAlign w:val="bottom"/>
          </w:tcPr>
          <w:p>
            <w:pPr>
              <w:spacing w:after="0"/>
              <w:rPr>
                <w:sz w:val="1"/>
                <w:szCs w:val="1"/>
                <w:color w:val="auto"/>
              </w:rPr>
            </w:pPr>
          </w:p>
        </w:tc>
      </w:tr>
      <w:tr>
        <w:trPr>
          <w:trHeight w:val="203"/>
        </w:trPr>
        <w:tc>
          <w:tcPr>
            <w:tcW w:w="1660" w:type="dxa"/>
            <w:vAlign w:val="bottom"/>
            <w:shd w:val="clear" w:color="auto" w:fill="DBE5F1"/>
          </w:tcPr>
          <w:p>
            <w:pPr>
              <w:spacing w:after="0"/>
              <w:rPr>
                <w:sz w:val="17"/>
                <w:szCs w:val="17"/>
                <w:color w:val="auto"/>
              </w:rPr>
            </w:pPr>
          </w:p>
        </w:tc>
        <w:tc>
          <w:tcPr>
            <w:tcW w:w="4340" w:type="dxa"/>
            <w:vAlign w:val="bottom"/>
            <w:shd w:val="clear" w:color="auto" w:fill="DBE5F1"/>
          </w:tcPr>
          <w:p>
            <w:pPr>
              <w:ind w:left="460"/>
              <w:spacing w:after="0"/>
              <w:rPr>
                <w:sz w:val="20"/>
                <w:szCs w:val="20"/>
                <w:color w:val="auto"/>
              </w:rPr>
            </w:pPr>
            <w:r>
              <w:rPr>
                <w:rFonts w:ascii="Arial" w:cs="Arial" w:eastAsia="Arial" w:hAnsi="Arial"/>
                <w:sz w:val="16"/>
                <w:szCs w:val="16"/>
                <w:color w:val="auto"/>
              </w:rPr>
              <w:t>schedules</w:t>
            </w:r>
          </w:p>
        </w:tc>
        <w:tc>
          <w:tcPr>
            <w:tcW w:w="5240" w:type="dxa"/>
            <w:vAlign w:val="bottom"/>
            <w:gridSpan w:val="2"/>
            <w:shd w:val="clear" w:color="auto" w:fill="DBE5F1"/>
          </w:tcPr>
          <w:p>
            <w:pPr>
              <w:ind w:left="480"/>
              <w:spacing w:after="0"/>
              <w:rPr>
                <w:sz w:val="20"/>
                <w:szCs w:val="20"/>
                <w:color w:val="auto"/>
              </w:rPr>
            </w:pPr>
            <w:r>
              <w:rPr>
                <w:rFonts w:ascii="Arial" w:cs="Arial" w:eastAsia="Arial" w:hAnsi="Arial"/>
                <w:sz w:val="16"/>
                <w:szCs w:val="16"/>
                <w:color w:val="auto"/>
              </w:rPr>
              <w:t>vest over four years and 50% in the form of PSUs that have a</w:t>
            </w:r>
          </w:p>
        </w:tc>
        <w:tc>
          <w:tcPr>
            <w:tcW w:w="0" w:type="dxa"/>
            <w:vAlign w:val="bottom"/>
          </w:tcPr>
          <w:p>
            <w:pPr>
              <w:spacing w:after="0"/>
              <w:rPr>
                <w:sz w:val="1"/>
                <w:szCs w:val="1"/>
                <w:color w:val="auto"/>
              </w:rPr>
            </w:pPr>
          </w:p>
        </w:tc>
      </w:tr>
      <w:tr>
        <w:trPr>
          <w:trHeight w:val="203"/>
        </w:trPr>
        <w:tc>
          <w:tcPr>
            <w:tcW w:w="1660" w:type="dxa"/>
            <w:vAlign w:val="bottom"/>
            <w:shd w:val="clear" w:color="auto" w:fill="DBE5F1"/>
          </w:tcPr>
          <w:p>
            <w:pPr>
              <w:spacing w:after="0"/>
              <w:rPr>
                <w:sz w:val="17"/>
                <w:szCs w:val="17"/>
                <w:color w:val="auto"/>
              </w:rPr>
            </w:pPr>
          </w:p>
        </w:tc>
        <w:tc>
          <w:tcPr>
            <w:tcW w:w="4340" w:type="dxa"/>
            <w:vAlign w:val="bottom"/>
            <w:shd w:val="clear" w:color="auto" w:fill="DBE5F1"/>
          </w:tcPr>
          <w:p>
            <w:pPr>
              <w:ind w:left="200"/>
              <w:spacing w:after="0" w:line="202" w:lineRule="exact"/>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Motivate sustainable performance that creates long-</w:t>
            </w:r>
          </w:p>
        </w:tc>
        <w:tc>
          <w:tcPr>
            <w:tcW w:w="5240" w:type="dxa"/>
            <w:vAlign w:val="bottom"/>
            <w:gridSpan w:val="2"/>
            <w:shd w:val="clear" w:color="auto" w:fill="DBE5F1"/>
          </w:tcPr>
          <w:p>
            <w:pPr>
              <w:ind w:left="480"/>
              <w:spacing w:after="0"/>
              <w:rPr>
                <w:sz w:val="20"/>
                <w:szCs w:val="20"/>
                <w:color w:val="auto"/>
              </w:rPr>
            </w:pPr>
            <w:r>
              <w:rPr>
                <w:rFonts w:ascii="Arial" w:cs="Arial" w:eastAsia="Arial" w:hAnsi="Arial"/>
                <w:sz w:val="16"/>
                <w:szCs w:val="16"/>
                <w:color w:val="auto"/>
              </w:rPr>
              <w:t>three-year vesting period and are earned, if at all, based on</w:t>
            </w:r>
          </w:p>
        </w:tc>
        <w:tc>
          <w:tcPr>
            <w:tcW w:w="0" w:type="dxa"/>
            <w:vAlign w:val="bottom"/>
          </w:tcPr>
          <w:p>
            <w:pPr>
              <w:spacing w:after="0"/>
              <w:rPr>
                <w:sz w:val="1"/>
                <w:szCs w:val="1"/>
                <w:color w:val="auto"/>
              </w:rPr>
            </w:pPr>
          </w:p>
        </w:tc>
      </w:tr>
      <w:tr>
        <w:trPr>
          <w:trHeight w:val="203"/>
        </w:trPr>
        <w:tc>
          <w:tcPr>
            <w:tcW w:w="1660" w:type="dxa"/>
            <w:vAlign w:val="bottom"/>
            <w:shd w:val="clear" w:color="auto" w:fill="DBE5F1"/>
          </w:tcPr>
          <w:p>
            <w:pPr>
              <w:spacing w:after="0"/>
              <w:rPr>
                <w:sz w:val="17"/>
                <w:szCs w:val="17"/>
                <w:color w:val="auto"/>
              </w:rPr>
            </w:pPr>
          </w:p>
        </w:tc>
        <w:tc>
          <w:tcPr>
            <w:tcW w:w="4340" w:type="dxa"/>
            <w:vAlign w:val="bottom"/>
            <w:shd w:val="clear" w:color="auto" w:fill="DBE5F1"/>
          </w:tcPr>
          <w:p>
            <w:pPr>
              <w:ind w:left="460"/>
              <w:spacing w:after="0"/>
              <w:rPr>
                <w:sz w:val="20"/>
                <w:szCs w:val="20"/>
                <w:color w:val="auto"/>
              </w:rPr>
            </w:pPr>
            <w:r>
              <w:rPr>
                <w:rFonts w:ascii="Arial" w:cs="Arial" w:eastAsia="Arial" w:hAnsi="Arial"/>
                <w:sz w:val="16"/>
                <w:szCs w:val="16"/>
                <w:color w:val="auto"/>
              </w:rPr>
              <w:t>term value for stockholders</w:t>
            </w:r>
          </w:p>
        </w:tc>
        <w:tc>
          <w:tcPr>
            <w:tcW w:w="5240" w:type="dxa"/>
            <w:vAlign w:val="bottom"/>
            <w:gridSpan w:val="2"/>
            <w:shd w:val="clear" w:color="auto" w:fill="DBE5F1"/>
          </w:tcPr>
          <w:p>
            <w:pPr>
              <w:ind w:left="480"/>
              <w:spacing w:after="0"/>
              <w:rPr>
                <w:sz w:val="20"/>
                <w:szCs w:val="20"/>
                <w:color w:val="auto"/>
              </w:rPr>
            </w:pPr>
            <w:r>
              <w:rPr>
                <w:rFonts w:ascii="Arial" w:cs="Arial" w:eastAsia="Arial" w:hAnsi="Arial"/>
                <w:sz w:val="16"/>
                <w:szCs w:val="16"/>
                <w:color w:val="auto"/>
              </w:rPr>
              <w:t>achievement of the following metrics during fiscal year 2026:</w:t>
            </w:r>
          </w:p>
        </w:tc>
        <w:tc>
          <w:tcPr>
            <w:tcW w:w="0" w:type="dxa"/>
            <w:vAlign w:val="bottom"/>
          </w:tcPr>
          <w:p>
            <w:pPr>
              <w:spacing w:after="0"/>
              <w:rPr>
                <w:sz w:val="1"/>
                <w:szCs w:val="1"/>
                <w:color w:val="auto"/>
              </w:rPr>
            </w:pPr>
          </w:p>
        </w:tc>
      </w:tr>
      <w:tr>
        <w:trPr>
          <w:trHeight w:val="216"/>
        </w:trPr>
        <w:tc>
          <w:tcPr>
            <w:tcW w:w="1660" w:type="dxa"/>
            <w:vAlign w:val="bottom"/>
            <w:shd w:val="clear" w:color="auto" w:fill="DBE5F1"/>
          </w:tcPr>
          <w:p>
            <w:pPr>
              <w:spacing w:after="0"/>
              <w:rPr>
                <w:sz w:val="18"/>
                <w:szCs w:val="18"/>
                <w:color w:val="auto"/>
              </w:rPr>
            </w:pPr>
          </w:p>
        </w:tc>
        <w:tc>
          <w:tcPr>
            <w:tcW w:w="434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Foster our purpose and values to build teams that</w:t>
            </w:r>
          </w:p>
        </w:tc>
        <w:tc>
          <w:tcPr>
            <w:tcW w:w="800" w:type="dxa"/>
            <w:vAlign w:val="bottom"/>
            <w:shd w:val="clear" w:color="auto" w:fill="DBE5F1"/>
          </w:tcPr>
          <w:p>
            <w:pPr>
              <w:ind w:left="500"/>
              <w:spacing w:after="0"/>
              <w:rPr>
                <w:sz w:val="20"/>
                <w:szCs w:val="20"/>
                <w:color w:val="auto"/>
              </w:rPr>
            </w:pPr>
            <w:r>
              <w:rPr>
                <w:rFonts w:ascii="Arial" w:cs="Arial" w:eastAsia="Arial" w:hAnsi="Arial"/>
                <w:sz w:val="16"/>
                <w:szCs w:val="16"/>
                <w:color w:val="auto"/>
              </w:rPr>
              <w:t>o</w:t>
            </w:r>
          </w:p>
        </w:tc>
        <w:tc>
          <w:tcPr>
            <w:tcW w:w="4440" w:type="dxa"/>
            <w:vAlign w:val="bottom"/>
            <w:shd w:val="clear" w:color="auto" w:fill="DBE5F1"/>
          </w:tcPr>
          <w:p>
            <w:pPr>
              <w:ind w:left="100"/>
              <w:spacing w:after="0"/>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203"/>
        </w:trPr>
        <w:tc>
          <w:tcPr>
            <w:tcW w:w="1660" w:type="dxa"/>
            <w:vAlign w:val="bottom"/>
            <w:shd w:val="clear" w:color="auto" w:fill="DBE5F1"/>
          </w:tcPr>
          <w:p>
            <w:pPr>
              <w:spacing w:after="0"/>
              <w:rPr>
                <w:sz w:val="17"/>
                <w:szCs w:val="17"/>
                <w:color w:val="auto"/>
              </w:rPr>
            </w:pPr>
          </w:p>
        </w:tc>
        <w:tc>
          <w:tcPr>
            <w:tcW w:w="4340" w:type="dxa"/>
            <w:vAlign w:val="bottom"/>
            <w:vMerge w:val="restart"/>
            <w:shd w:val="clear" w:color="auto" w:fill="DBE5F1"/>
          </w:tcPr>
          <w:p>
            <w:pPr>
              <w:ind w:left="460"/>
              <w:spacing w:after="0"/>
              <w:rPr>
                <w:sz w:val="20"/>
                <w:szCs w:val="20"/>
                <w:color w:val="auto"/>
              </w:rPr>
            </w:pPr>
            <w:r>
              <w:rPr>
                <w:rFonts w:ascii="Arial" w:cs="Arial" w:eastAsia="Arial" w:hAnsi="Arial"/>
                <w:sz w:val="16"/>
                <w:szCs w:val="16"/>
                <w:color w:val="auto"/>
              </w:rPr>
              <w:t>think and act like owners</w:t>
            </w:r>
          </w:p>
        </w:tc>
        <w:tc>
          <w:tcPr>
            <w:tcW w:w="800" w:type="dxa"/>
            <w:vAlign w:val="bottom"/>
            <w:shd w:val="clear" w:color="auto" w:fill="DBE5F1"/>
          </w:tcPr>
          <w:p>
            <w:pPr>
              <w:ind w:left="500"/>
              <w:spacing w:after="0"/>
              <w:rPr>
                <w:sz w:val="20"/>
                <w:szCs w:val="20"/>
                <w:color w:val="auto"/>
              </w:rPr>
            </w:pPr>
            <w:r>
              <w:rPr>
                <w:rFonts w:ascii="Arial" w:cs="Arial" w:eastAsia="Arial" w:hAnsi="Arial"/>
                <w:sz w:val="16"/>
                <w:szCs w:val="16"/>
                <w:color w:val="auto"/>
              </w:rPr>
              <w:t>o</w:t>
            </w:r>
          </w:p>
        </w:tc>
        <w:tc>
          <w:tcPr>
            <w:tcW w:w="4440" w:type="dxa"/>
            <w:vAlign w:val="bottom"/>
            <w:shd w:val="clear" w:color="auto" w:fill="DBE5F1"/>
          </w:tcPr>
          <w:p>
            <w:pPr>
              <w:ind w:left="100"/>
              <w:spacing w:after="0"/>
              <w:rPr>
                <w:sz w:val="20"/>
                <w:szCs w:val="20"/>
                <w:color w:val="auto"/>
              </w:rPr>
            </w:pPr>
            <w:r>
              <w:rPr>
                <w:rFonts w:ascii="Arial" w:cs="Arial" w:eastAsia="Arial" w:hAnsi="Arial"/>
                <w:sz w:val="16"/>
                <w:szCs w:val="16"/>
                <w:color w:val="auto"/>
              </w:rPr>
              <w:t>Adjusted EBITDA</w:t>
            </w:r>
          </w:p>
        </w:tc>
        <w:tc>
          <w:tcPr>
            <w:tcW w:w="0" w:type="dxa"/>
            <w:vAlign w:val="bottom"/>
          </w:tcPr>
          <w:p>
            <w:pPr>
              <w:spacing w:after="0"/>
              <w:rPr>
                <w:sz w:val="1"/>
                <w:szCs w:val="1"/>
                <w:color w:val="auto"/>
              </w:rPr>
            </w:pPr>
          </w:p>
        </w:tc>
      </w:tr>
      <w:tr>
        <w:trPr>
          <w:trHeight w:val="61"/>
        </w:trPr>
        <w:tc>
          <w:tcPr>
            <w:tcW w:w="1660" w:type="dxa"/>
            <w:vAlign w:val="bottom"/>
            <w:tcBorders>
              <w:bottom w:val="single" w:sz="8" w:color="DBE5F1"/>
            </w:tcBorders>
            <w:shd w:val="clear" w:color="auto" w:fill="DBE5F1"/>
          </w:tcPr>
          <w:p>
            <w:pPr>
              <w:spacing w:after="0"/>
              <w:rPr>
                <w:sz w:val="5"/>
                <w:szCs w:val="5"/>
                <w:color w:val="auto"/>
              </w:rPr>
            </w:pPr>
          </w:p>
        </w:tc>
        <w:tc>
          <w:tcPr>
            <w:tcW w:w="4340" w:type="dxa"/>
            <w:vAlign w:val="bottom"/>
            <w:tcBorders>
              <w:bottom w:val="single" w:sz="8" w:color="DBE5F1"/>
            </w:tcBorders>
            <w:vMerge w:val="continue"/>
            <w:shd w:val="clear" w:color="auto" w:fill="DBE5F1"/>
          </w:tcPr>
          <w:p>
            <w:pPr>
              <w:spacing w:after="0"/>
              <w:rPr>
                <w:sz w:val="5"/>
                <w:szCs w:val="5"/>
                <w:color w:val="auto"/>
              </w:rPr>
            </w:pPr>
          </w:p>
        </w:tc>
        <w:tc>
          <w:tcPr>
            <w:tcW w:w="800" w:type="dxa"/>
            <w:vAlign w:val="bottom"/>
            <w:tcBorders>
              <w:bottom w:val="single" w:sz="8" w:color="DBE5F1"/>
            </w:tcBorders>
            <w:shd w:val="clear" w:color="auto" w:fill="DBE5F1"/>
          </w:tcPr>
          <w:p>
            <w:pPr>
              <w:spacing w:after="0"/>
              <w:rPr>
                <w:sz w:val="5"/>
                <w:szCs w:val="5"/>
                <w:color w:val="auto"/>
              </w:rPr>
            </w:pPr>
          </w:p>
        </w:tc>
        <w:tc>
          <w:tcPr>
            <w:tcW w:w="4440" w:type="dxa"/>
            <w:vAlign w:val="bottom"/>
            <w:tcBorders>
              <w:bottom w:val="single" w:sz="8" w:color="DBE5F1"/>
            </w:tcBorders>
            <w:shd w:val="clear" w:color="auto" w:fill="DBE5F1"/>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95B3D7"/>
          </w:tcPr>
          <w:p>
            <w:pPr>
              <w:spacing w:after="0" w:line="20" w:lineRule="exact"/>
              <w:rPr>
                <w:sz w:val="1"/>
                <w:szCs w:val="1"/>
                <w:color w:val="auto"/>
              </w:rPr>
            </w:pPr>
          </w:p>
        </w:tc>
        <w:tc>
          <w:tcPr>
            <w:tcW w:w="4340" w:type="dxa"/>
            <w:vAlign w:val="bottom"/>
            <w:shd w:val="clear" w:color="auto" w:fill="95B3D7"/>
          </w:tcPr>
          <w:p>
            <w:pPr>
              <w:spacing w:after="0" w:line="20" w:lineRule="exact"/>
              <w:rPr>
                <w:sz w:val="1"/>
                <w:szCs w:val="1"/>
                <w:color w:val="auto"/>
              </w:rPr>
            </w:pPr>
          </w:p>
        </w:tc>
        <w:tc>
          <w:tcPr>
            <w:tcW w:w="800" w:type="dxa"/>
            <w:vAlign w:val="bottom"/>
            <w:shd w:val="clear" w:color="auto" w:fill="95B3D7"/>
          </w:tcPr>
          <w:p>
            <w:pPr>
              <w:spacing w:after="0" w:line="20" w:lineRule="exact"/>
              <w:rPr>
                <w:sz w:val="1"/>
                <w:szCs w:val="1"/>
                <w:color w:val="auto"/>
              </w:rPr>
            </w:pPr>
          </w:p>
        </w:tc>
        <w:tc>
          <w:tcPr>
            <w:tcW w:w="4440" w:type="dxa"/>
            <w:vAlign w:val="bottom"/>
            <w:shd w:val="clear" w:color="auto" w:fill="95B3D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400" w:firstLine="401"/>
        <w:spacing w:after="0" w:line="268" w:lineRule="auto"/>
        <w:rPr>
          <w:sz w:val="20"/>
          <w:szCs w:val="20"/>
          <w:color w:val="auto"/>
        </w:rPr>
      </w:pPr>
      <w:r>
        <w:rPr>
          <w:rFonts w:ascii="Arial" w:cs="Arial" w:eastAsia="Arial" w:hAnsi="Arial"/>
          <w:sz w:val="18"/>
          <w:szCs w:val="18"/>
          <w:color w:val="auto"/>
        </w:rPr>
        <w:t>For more information regarding our executive compensation program, please see “</w:t>
      </w:r>
      <w:r>
        <w:rPr>
          <w:rFonts w:ascii="Arial" w:cs="Arial" w:eastAsia="Arial" w:hAnsi="Arial"/>
          <w:sz w:val="18"/>
          <w:szCs w:val="18"/>
          <w:i w:val="1"/>
          <w:iCs w:val="1"/>
          <w:color w:val="auto"/>
        </w:rPr>
        <w:t>Compensation Discussion and Analysis—2024</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Compensation Program in Detail</w:t>
      </w:r>
      <w:r>
        <w:rPr>
          <w:rFonts w:ascii="Arial" w:cs="Arial" w:eastAsia="Arial" w:hAnsi="Arial"/>
          <w:sz w:val="18"/>
          <w:szCs w:val="18"/>
          <w:color w:val="auto"/>
        </w:rPr>
        <w:t>” beginning on page 47. For information regarding the 2024 compensation paid to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please see “</w:t>
      </w:r>
      <w:r>
        <w:rPr>
          <w:rFonts w:ascii="Arial" w:cs="Arial" w:eastAsia="Arial" w:hAnsi="Arial"/>
          <w:sz w:val="18"/>
          <w:szCs w:val="18"/>
          <w:i w:val="1"/>
          <w:iCs w:val="1"/>
          <w:color w:val="auto"/>
        </w:rPr>
        <w:t>Executive and Director Compensation</w:t>
      </w:r>
      <w:r>
        <w:rPr>
          <w:rFonts w:ascii="Arial" w:cs="Arial" w:eastAsia="Arial" w:hAnsi="Arial"/>
          <w:sz w:val="18"/>
          <w:szCs w:val="18"/>
          <w:color w:val="auto"/>
        </w:rPr>
        <w:t>” beginning on page 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PROPOSAL 1 – ELECTION OF DIRECTORS</w:t>
      </w:r>
    </w:p>
    <w:p>
      <w:pPr>
        <w:spacing w:after="0" w:line="225" w:lineRule="exact"/>
        <w:rPr>
          <w:sz w:val="20"/>
          <w:szCs w:val="20"/>
          <w:color w:val="auto"/>
        </w:rPr>
      </w:pPr>
    </w:p>
    <w:p>
      <w:pPr>
        <w:ind w:right="60" w:firstLine="401"/>
        <w:spacing w:after="0" w:line="287" w:lineRule="auto"/>
        <w:rPr>
          <w:sz w:val="20"/>
          <w:szCs w:val="20"/>
          <w:color w:val="auto"/>
        </w:rPr>
      </w:pPr>
      <w:r>
        <w:rPr>
          <w:rFonts w:ascii="Arial" w:cs="Arial" w:eastAsia="Arial" w:hAnsi="Arial"/>
          <w:sz w:val="18"/>
          <w:szCs w:val="18"/>
          <w:color w:val="auto"/>
        </w:rPr>
        <w:t>Our Board recommends that the nominees below be elected as Class I members of the Board at the Annual Meeting for a term expiring at the 2028 Meeting of Stockholders: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1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Age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Director Since</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Independent</w:t>
            </w:r>
          </w:p>
        </w:tc>
        <w:tc>
          <w:tcPr>
            <w:tcW w:w="16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Committees</w:t>
            </w:r>
          </w:p>
        </w:tc>
        <w:tc>
          <w:tcPr>
            <w:tcW w:w="3500" w:type="dxa"/>
            <w:vAlign w:val="bottom"/>
            <w:tcBorders>
              <w:bottom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Other Public Company Boards</w:t>
            </w:r>
          </w:p>
        </w:tc>
        <w:tc>
          <w:tcPr>
            <w:tcW w:w="0" w:type="dxa"/>
            <w:vAlign w:val="bottom"/>
          </w:tcPr>
          <w:p>
            <w:pPr>
              <w:spacing w:after="0"/>
              <w:rPr>
                <w:sz w:val="1"/>
                <w:szCs w:val="1"/>
                <w:color w:val="auto"/>
              </w:rPr>
            </w:pPr>
          </w:p>
        </w:tc>
      </w:tr>
      <w:tr>
        <w:trPr>
          <w:trHeight w:val="183"/>
        </w:trPr>
        <w:tc>
          <w:tcPr>
            <w:tcW w:w="2180" w:type="dxa"/>
            <w:vAlign w:val="bottom"/>
            <w:shd w:val="clear" w:color="auto" w:fill="DBE5F1"/>
          </w:tcPr>
          <w:p>
            <w:pPr>
              <w:ind w:left="80"/>
              <w:spacing w:after="0" w:line="183" w:lineRule="exact"/>
              <w:rPr>
                <w:sz w:val="20"/>
                <w:szCs w:val="20"/>
                <w:color w:val="auto"/>
              </w:rPr>
            </w:pPr>
            <w:r>
              <w:rPr>
                <w:rFonts w:ascii="Arial" w:cs="Arial" w:eastAsia="Arial" w:hAnsi="Arial"/>
                <w:sz w:val="16"/>
                <w:szCs w:val="16"/>
                <w:color w:val="auto"/>
              </w:rPr>
              <w:t>Margaret McCarthy, Lead</w:t>
            </w:r>
          </w:p>
        </w:tc>
        <w:tc>
          <w:tcPr>
            <w:tcW w:w="740" w:type="dxa"/>
            <w:vAlign w:val="bottom"/>
            <w:shd w:val="clear" w:color="auto" w:fill="DBE5F1"/>
          </w:tcPr>
          <w:p>
            <w:pPr>
              <w:jc w:val="center"/>
              <w:spacing w:after="0" w:line="183" w:lineRule="exact"/>
              <w:rPr>
                <w:sz w:val="20"/>
                <w:szCs w:val="20"/>
                <w:color w:val="auto"/>
              </w:rPr>
            </w:pPr>
            <w:r>
              <w:rPr>
                <w:rFonts w:ascii="Arial" w:cs="Arial" w:eastAsia="Arial" w:hAnsi="Arial"/>
                <w:sz w:val="16"/>
                <w:szCs w:val="16"/>
                <w:color w:val="auto"/>
              </w:rPr>
              <w:t>71</w:t>
            </w:r>
          </w:p>
        </w:tc>
        <w:tc>
          <w:tcPr>
            <w:tcW w:w="1520" w:type="dxa"/>
            <w:vAlign w:val="bottom"/>
            <w:shd w:val="clear" w:color="auto" w:fill="DBE5F1"/>
          </w:tcPr>
          <w:p>
            <w:pPr>
              <w:jc w:val="center"/>
              <w:spacing w:after="0" w:line="183" w:lineRule="exact"/>
              <w:rPr>
                <w:sz w:val="20"/>
                <w:szCs w:val="20"/>
                <w:color w:val="auto"/>
              </w:rPr>
            </w:pPr>
            <w:r>
              <w:rPr>
                <w:rFonts w:ascii="Arial" w:cs="Arial" w:eastAsia="Arial" w:hAnsi="Arial"/>
                <w:sz w:val="16"/>
                <w:szCs w:val="16"/>
                <w:color w:val="auto"/>
              </w:rPr>
              <w:t>2020</w:t>
            </w:r>
          </w:p>
        </w:tc>
        <w:tc>
          <w:tcPr>
            <w:tcW w:w="1420" w:type="dxa"/>
            <w:vAlign w:val="bottom"/>
            <w:shd w:val="clear" w:color="auto" w:fill="DBE5F1"/>
          </w:tcPr>
          <w:p>
            <w:pPr>
              <w:jc w:val="center"/>
              <w:spacing w:after="0" w:line="183" w:lineRule="exact"/>
              <w:rPr>
                <w:sz w:val="20"/>
                <w:szCs w:val="20"/>
                <w:color w:val="auto"/>
              </w:rPr>
            </w:pPr>
            <w:r>
              <w:rPr>
                <w:rFonts w:ascii="Arial" w:cs="Arial" w:eastAsia="Arial" w:hAnsi="Arial"/>
                <w:sz w:val="16"/>
                <w:szCs w:val="16"/>
                <w:color w:val="auto"/>
                <w:w w:val="94"/>
              </w:rPr>
              <w:t>Yes</w:t>
            </w:r>
          </w:p>
        </w:tc>
        <w:tc>
          <w:tcPr>
            <w:tcW w:w="1600" w:type="dxa"/>
            <w:vAlign w:val="bottom"/>
            <w:shd w:val="clear" w:color="auto" w:fill="DBE5F1"/>
          </w:tcPr>
          <w:p>
            <w:pPr>
              <w:ind w:left="220"/>
              <w:spacing w:after="0" w:line="183" w:lineRule="exact"/>
              <w:rPr>
                <w:sz w:val="20"/>
                <w:szCs w:val="20"/>
                <w:color w:val="auto"/>
              </w:rPr>
            </w:pPr>
            <w:r>
              <w:rPr>
                <w:rFonts w:ascii="Arial" w:cs="Arial" w:eastAsia="Arial" w:hAnsi="Arial"/>
                <w:sz w:val="16"/>
                <w:szCs w:val="16"/>
                <w:color w:val="auto"/>
              </w:rPr>
              <w:t>Audit</w:t>
            </w:r>
          </w:p>
        </w:tc>
        <w:tc>
          <w:tcPr>
            <w:tcW w:w="3500" w:type="dxa"/>
            <w:vAlign w:val="bottom"/>
            <w:gridSpan w:val="2"/>
            <w:shd w:val="clear" w:color="auto" w:fill="DBE5F1"/>
          </w:tcPr>
          <w:p>
            <w:pPr>
              <w:ind w:left="360"/>
              <w:spacing w:after="0" w:line="182" w:lineRule="exact"/>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American Electric Power Co. Inc.</w:t>
            </w:r>
          </w:p>
        </w:tc>
        <w:tc>
          <w:tcPr>
            <w:tcW w:w="0" w:type="dxa"/>
            <w:vAlign w:val="bottom"/>
          </w:tcPr>
          <w:p>
            <w:pPr>
              <w:spacing w:after="0"/>
              <w:rPr>
                <w:sz w:val="1"/>
                <w:szCs w:val="1"/>
                <w:color w:val="auto"/>
              </w:rPr>
            </w:pPr>
          </w:p>
        </w:tc>
      </w:tr>
      <w:tr>
        <w:trPr>
          <w:trHeight w:val="215"/>
        </w:trPr>
        <w:tc>
          <w:tcPr>
            <w:tcW w:w="2180" w:type="dxa"/>
            <w:vAlign w:val="bottom"/>
            <w:shd w:val="clear" w:color="auto" w:fill="DBE5F1"/>
          </w:tcPr>
          <w:p>
            <w:pPr>
              <w:ind w:left="80"/>
              <w:spacing w:after="0"/>
              <w:rPr>
                <w:sz w:val="20"/>
                <w:szCs w:val="20"/>
                <w:color w:val="auto"/>
              </w:rPr>
            </w:pPr>
            <w:r>
              <w:rPr>
                <w:rFonts w:ascii="Arial" w:cs="Arial" w:eastAsia="Arial" w:hAnsi="Arial"/>
                <w:sz w:val="16"/>
                <w:szCs w:val="16"/>
                <w:color w:val="auto"/>
              </w:rPr>
              <w:t>Independent Director</w:t>
            </w:r>
          </w:p>
        </w:tc>
        <w:tc>
          <w:tcPr>
            <w:tcW w:w="740" w:type="dxa"/>
            <w:vAlign w:val="bottom"/>
            <w:shd w:val="clear" w:color="auto" w:fill="DBE5F1"/>
          </w:tcPr>
          <w:p>
            <w:pPr>
              <w:spacing w:after="0"/>
              <w:rPr>
                <w:sz w:val="18"/>
                <w:szCs w:val="18"/>
                <w:color w:val="auto"/>
              </w:rPr>
            </w:pPr>
          </w:p>
        </w:tc>
        <w:tc>
          <w:tcPr>
            <w:tcW w:w="1520" w:type="dxa"/>
            <w:vAlign w:val="bottom"/>
            <w:shd w:val="clear" w:color="auto" w:fill="DBE5F1"/>
          </w:tcPr>
          <w:p>
            <w:pPr>
              <w:spacing w:after="0"/>
              <w:rPr>
                <w:sz w:val="18"/>
                <w:szCs w:val="18"/>
                <w:color w:val="auto"/>
              </w:rPr>
            </w:pPr>
          </w:p>
        </w:tc>
        <w:tc>
          <w:tcPr>
            <w:tcW w:w="1420" w:type="dxa"/>
            <w:vAlign w:val="bottom"/>
            <w:shd w:val="clear" w:color="auto" w:fill="DBE5F1"/>
          </w:tcPr>
          <w:p>
            <w:pPr>
              <w:spacing w:after="0"/>
              <w:rPr>
                <w:sz w:val="18"/>
                <w:szCs w:val="18"/>
                <w:color w:val="auto"/>
              </w:rPr>
            </w:pPr>
          </w:p>
        </w:tc>
        <w:tc>
          <w:tcPr>
            <w:tcW w:w="1600" w:type="dxa"/>
            <w:vAlign w:val="bottom"/>
            <w:shd w:val="clear" w:color="auto" w:fill="DBE5F1"/>
          </w:tcPr>
          <w:p>
            <w:pPr>
              <w:ind w:left="220"/>
              <w:spacing w:after="0"/>
              <w:rPr>
                <w:sz w:val="20"/>
                <w:szCs w:val="20"/>
                <w:color w:val="auto"/>
              </w:rPr>
            </w:pPr>
            <w:r>
              <w:rPr>
                <w:rFonts w:ascii="Arial" w:cs="Arial" w:eastAsia="Arial" w:hAnsi="Arial"/>
                <w:sz w:val="16"/>
                <w:szCs w:val="16"/>
                <w:color w:val="auto"/>
              </w:rPr>
              <w:t>Compensation</w:t>
            </w:r>
          </w:p>
        </w:tc>
        <w:tc>
          <w:tcPr>
            <w:tcW w:w="440" w:type="dxa"/>
            <w:vAlign w:val="bottom"/>
            <w:vMerge w:val="restart"/>
            <w:shd w:val="clear" w:color="auto" w:fill="DBE5F1"/>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vMerge w:val="restart"/>
            <w:shd w:val="clear" w:color="auto" w:fill="DBE5F1"/>
          </w:tcPr>
          <w:p>
            <w:pPr>
              <w:ind w:left="40"/>
              <w:spacing w:after="0"/>
              <w:rPr>
                <w:sz w:val="20"/>
                <w:szCs w:val="20"/>
                <w:color w:val="auto"/>
              </w:rPr>
            </w:pPr>
            <w:r>
              <w:rPr>
                <w:rFonts w:ascii="Arial" w:cs="Arial" w:eastAsia="Arial" w:hAnsi="Arial"/>
                <w:sz w:val="16"/>
                <w:szCs w:val="16"/>
                <w:color w:val="auto"/>
              </w:rPr>
              <w:t>First American Financial Corp.</w:t>
            </w:r>
          </w:p>
        </w:tc>
        <w:tc>
          <w:tcPr>
            <w:tcW w:w="0" w:type="dxa"/>
            <w:vAlign w:val="bottom"/>
          </w:tcPr>
          <w:p>
            <w:pPr>
              <w:spacing w:after="0"/>
              <w:rPr>
                <w:sz w:val="1"/>
                <w:szCs w:val="1"/>
                <w:color w:val="auto"/>
              </w:rPr>
            </w:pPr>
          </w:p>
        </w:tc>
      </w:tr>
      <w:tr>
        <w:trPr>
          <w:trHeight w:val="109"/>
        </w:trPr>
        <w:tc>
          <w:tcPr>
            <w:tcW w:w="2180" w:type="dxa"/>
            <w:vAlign w:val="bottom"/>
            <w:shd w:val="clear" w:color="auto" w:fill="DBE5F1"/>
          </w:tcPr>
          <w:p>
            <w:pPr>
              <w:spacing w:after="0"/>
              <w:rPr>
                <w:sz w:val="9"/>
                <w:szCs w:val="9"/>
                <w:color w:val="auto"/>
              </w:rPr>
            </w:pPr>
          </w:p>
        </w:tc>
        <w:tc>
          <w:tcPr>
            <w:tcW w:w="740" w:type="dxa"/>
            <w:vAlign w:val="bottom"/>
            <w:shd w:val="clear" w:color="auto" w:fill="DBE5F1"/>
          </w:tcPr>
          <w:p>
            <w:pPr>
              <w:spacing w:after="0"/>
              <w:rPr>
                <w:sz w:val="9"/>
                <w:szCs w:val="9"/>
                <w:color w:val="auto"/>
              </w:rPr>
            </w:pPr>
          </w:p>
        </w:tc>
        <w:tc>
          <w:tcPr>
            <w:tcW w:w="1520" w:type="dxa"/>
            <w:vAlign w:val="bottom"/>
            <w:shd w:val="clear" w:color="auto" w:fill="DBE5F1"/>
          </w:tcPr>
          <w:p>
            <w:pPr>
              <w:spacing w:after="0"/>
              <w:rPr>
                <w:sz w:val="9"/>
                <w:szCs w:val="9"/>
                <w:color w:val="auto"/>
              </w:rPr>
            </w:pPr>
          </w:p>
        </w:tc>
        <w:tc>
          <w:tcPr>
            <w:tcW w:w="1420" w:type="dxa"/>
            <w:vAlign w:val="bottom"/>
            <w:shd w:val="clear" w:color="auto" w:fill="DBE5F1"/>
          </w:tcPr>
          <w:p>
            <w:pPr>
              <w:spacing w:after="0"/>
              <w:rPr>
                <w:sz w:val="9"/>
                <w:szCs w:val="9"/>
                <w:color w:val="auto"/>
              </w:rPr>
            </w:pPr>
          </w:p>
        </w:tc>
        <w:tc>
          <w:tcPr>
            <w:tcW w:w="1600" w:type="dxa"/>
            <w:vAlign w:val="bottom"/>
            <w:shd w:val="clear" w:color="auto" w:fill="DBE5F1"/>
          </w:tcPr>
          <w:p>
            <w:pPr>
              <w:spacing w:after="0"/>
              <w:rPr>
                <w:sz w:val="9"/>
                <w:szCs w:val="9"/>
                <w:color w:val="auto"/>
              </w:rPr>
            </w:pPr>
          </w:p>
        </w:tc>
        <w:tc>
          <w:tcPr>
            <w:tcW w:w="440" w:type="dxa"/>
            <w:vAlign w:val="bottom"/>
            <w:vMerge w:val="continue"/>
            <w:shd w:val="clear" w:color="auto" w:fill="DBE5F1"/>
          </w:tcPr>
          <w:p>
            <w:pPr>
              <w:spacing w:after="0"/>
              <w:rPr>
                <w:sz w:val="9"/>
                <w:szCs w:val="9"/>
                <w:color w:val="auto"/>
              </w:rPr>
            </w:pPr>
          </w:p>
        </w:tc>
        <w:tc>
          <w:tcPr>
            <w:tcW w:w="3060" w:type="dxa"/>
            <w:vAlign w:val="bottom"/>
            <w:vMerge w:val="continue"/>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2180" w:type="dxa"/>
            <w:vAlign w:val="bottom"/>
            <w:tcBorders>
              <w:bottom w:val="single" w:sz="8" w:color="DBE5F1"/>
            </w:tcBorders>
            <w:shd w:val="clear" w:color="auto" w:fill="DBE5F1"/>
          </w:tcPr>
          <w:p>
            <w:pPr>
              <w:spacing w:after="0"/>
              <w:rPr>
                <w:sz w:val="24"/>
                <w:szCs w:val="24"/>
                <w:color w:val="auto"/>
              </w:rPr>
            </w:pPr>
          </w:p>
        </w:tc>
        <w:tc>
          <w:tcPr>
            <w:tcW w:w="740" w:type="dxa"/>
            <w:vAlign w:val="bottom"/>
            <w:tcBorders>
              <w:bottom w:val="single" w:sz="8" w:color="DBE5F1"/>
            </w:tcBorders>
            <w:shd w:val="clear" w:color="auto" w:fill="DBE5F1"/>
          </w:tcPr>
          <w:p>
            <w:pPr>
              <w:spacing w:after="0"/>
              <w:rPr>
                <w:sz w:val="24"/>
                <w:szCs w:val="24"/>
                <w:color w:val="auto"/>
              </w:rPr>
            </w:pPr>
          </w:p>
        </w:tc>
        <w:tc>
          <w:tcPr>
            <w:tcW w:w="1520" w:type="dxa"/>
            <w:vAlign w:val="bottom"/>
            <w:tcBorders>
              <w:bottom w:val="single" w:sz="8" w:color="DBE5F1"/>
            </w:tcBorders>
            <w:shd w:val="clear" w:color="auto" w:fill="DBE5F1"/>
          </w:tcPr>
          <w:p>
            <w:pPr>
              <w:spacing w:after="0"/>
              <w:rPr>
                <w:sz w:val="24"/>
                <w:szCs w:val="24"/>
                <w:color w:val="auto"/>
              </w:rPr>
            </w:pPr>
          </w:p>
        </w:tc>
        <w:tc>
          <w:tcPr>
            <w:tcW w:w="1420" w:type="dxa"/>
            <w:vAlign w:val="bottom"/>
            <w:tcBorders>
              <w:bottom w:val="single" w:sz="8" w:color="DBE5F1"/>
            </w:tcBorders>
            <w:shd w:val="clear" w:color="auto" w:fill="DBE5F1"/>
          </w:tcPr>
          <w:p>
            <w:pPr>
              <w:spacing w:after="0"/>
              <w:rPr>
                <w:sz w:val="24"/>
                <w:szCs w:val="24"/>
                <w:color w:val="auto"/>
              </w:rPr>
            </w:pPr>
          </w:p>
        </w:tc>
        <w:tc>
          <w:tcPr>
            <w:tcW w:w="1600" w:type="dxa"/>
            <w:vAlign w:val="bottom"/>
            <w:tcBorders>
              <w:bottom w:val="single" w:sz="8" w:color="DBE5F1"/>
            </w:tcBorders>
            <w:shd w:val="clear" w:color="auto" w:fill="DBE5F1"/>
          </w:tcPr>
          <w:p>
            <w:pPr>
              <w:spacing w:after="0"/>
              <w:rPr>
                <w:sz w:val="24"/>
                <w:szCs w:val="24"/>
                <w:color w:val="auto"/>
              </w:rPr>
            </w:pPr>
          </w:p>
        </w:tc>
        <w:tc>
          <w:tcPr>
            <w:tcW w:w="440" w:type="dxa"/>
            <w:vAlign w:val="bottom"/>
            <w:tcBorders>
              <w:bottom w:val="single" w:sz="8" w:color="DBE5F1"/>
            </w:tcBorders>
            <w:shd w:val="clear" w:color="auto" w:fill="DBE5F1"/>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6"/>
                <w:szCs w:val="16"/>
                <w:color w:val="auto"/>
              </w:rPr>
              <w:t>Marriott International</w:t>
            </w:r>
          </w:p>
        </w:tc>
        <w:tc>
          <w:tcPr>
            <w:tcW w:w="0" w:type="dxa"/>
            <w:vAlign w:val="bottom"/>
          </w:tcPr>
          <w:p>
            <w:pPr>
              <w:spacing w:after="0"/>
              <w:rPr>
                <w:sz w:val="1"/>
                <w:szCs w:val="1"/>
                <w:color w:val="auto"/>
              </w:rPr>
            </w:pPr>
          </w:p>
        </w:tc>
      </w:tr>
      <w:tr>
        <w:trPr>
          <w:trHeight w:val="234"/>
        </w:trPr>
        <w:tc>
          <w:tcPr>
            <w:tcW w:w="2180" w:type="dxa"/>
            <w:vAlign w:val="bottom"/>
          </w:tcPr>
          <w:p>
            <w:pPr>
              <w:ind w:left="80"/>
              <w:spacing w:after="0"/>
              <w:rPr>
                <w:sz w:val="20"/>
                <w:szCs w:val="20"/>
                <w:color w:val="auto"/>
              </w:rPr>
            </w:pPr>
            <w:r>
              <w:rPr>
                <w:rFonts w:ascii="Arial" w:cs="Arial" w:eastAsia="Arial" w:hAnsi="Arial"/>
                <w:sz w:val="16"/>
                <w:szCs w:val="16"/>
                <w:color w:val="auto"/>
              </w:rPr>
              <w:t>Mark McClellan</w:t>
            </w:r>
          </w:p>
        </w:tc>
        <w:tc>
          <w:tcPr>
            <w:tcW w:w="740" w:type="dxa"/>
            <w:vAlign w:val="bottom"/>
          </w:tcPr>
          <w:p>
            <w:pPr>
              <w:jc w:val="center"/>
              <w:spacing w:after="0"/>
              <w:rPr>
                <w:sz w:val="20"/>
                <w:szCs w:val="20"/>
                <w:color w:val="auto"/>
              </w:rPr>
            </w:pPr>
            <w:r>
              <w:rPr>
                <w:rFonts w:ascii="Arial" w:cs="Arial" w:eastAsia="Arial" w:hAnsi="Arial"/>
                <w:sz w:val="16"/>
                <w:szCs w:val="16"/>
                <w:color w:val="auto"/>
              </w:rPr>
              <w:t>61</w:t>
            </w:r>
          </w:p>
        </w:tc>
        <w:tc>
          <w:tcPr>
            <w:tcW w:w="1520" w:type="dxa"/>
            <w:vAlign w:val="bottom"/>
          </w:tcPr>
          <w:p>
            <w:pPr>
              <w:jc w:val="center"/>
              <w:spacing w:after="0"/>
              <w:rPr>
                <w:sz w:val="20"/>
                <w:szCs w:val="20"/>
                <w:color w:val="auto"/>
              </w:rPr>
            </w:pPr>
            <w:r>
              <w:rPr>
                <w:rFonts w:ascii="Arial" w:cs="Arial" w:eastAsia="Arial" w:hAnsi="Arial"/>
                <w:sz w:val="16"/>
                <w:szCs w:val="16"/>
                <w:color w:val="auto"/>
              </w:rPr>
              <w:t>2014</w:t>
            </w:r>
          </w:p>
        </w:tc>
        <w:tc>
          <w:tcPr>
            <w:tcW w:w="1420" w:type="dxa"/>
            <w:vAlign w:val="bottom"/>
          </w:tcPr>
          <w:p>
            <w:pPr>
              <w:jc w:val="center"/>
              <w:spacing w:after="0"/>
              <w:rPr>
                <w:sz w:val="20"/>
                <w:szCs w:val="20"/>
                <w:color w:val="auto"/>
              </w:rPr>
            </w:pPr>
            <w:r>
              <w:rPr>
                <w:rFonts w:ascii="Arial" w:cs="Arial" w:eastAsia="Arial" w:hAnsi="Arial"/>
                <w:sz w:val="16"/>
                <w:szCs w:val="16"/>
                <w:color w:val="auto"/>
                <w:w w:val="94"/>
              </w:rPr>
              <w:t>Yes</w:t>
            </w:r>
          </w:p>
        </w:tc>
        <w:tc>
          <w:tcPr>
            <w:tcW w:w="1600" w:type="dxa"/>
            <w:vAlign w:val="bottom"/>
          </w:tcPr>
          <w:p>
            <w:pPr>
              <w:ind w:left="220"/>
              <w:spacing w:after="0"/>
              <w:rPr>
                <w:sz w:val="20"/>
                <w:szCs w:val="20"/>
                <w:color w:val="auto"/>
              </w:rPr>
            </w:pPr>
            <w:r>
              <w:rPr>
                <w:rFonts w:ascii="Arial" w:cs="Arial" w:eastAsia="Arial" w:hAnsi="Arial"/>
                <w:sz w:val="16"/>
                <w:szCs w:val="16"/>
                <w:color w:val="auto"/>
              </w:rPr>
              <w:t>NCGCC</w:t>
            </w:r>
          </w:p>
        </w:tc>
        <w:tc>
          <w:tcPr>
            <w:tcW w:w="3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Cigna Corporation</w:t>
            </w: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500" w:type="dxa"/>
            <w:vAlign w:val="bottom"/>
            <w:gridSpan w:val="2"/>
          </w:tcPr>
          <w:p>
            <w:pPr>
              <w:ind w:left="340"/>
              <w:spacing w:after="0"/>
              <w:rPr>
                <w:sz w:val="20"/>
                <w:szCs w:val="20"/>
                <w:color w:val="auto"/>
              </w:rPr>
            </w:pPr>
            <w:r>
              <w:rPr>
                <w:rFonts w:ascii="Arial" w:cs="Arial" w:eastAsia="Arial" w:hAnsi="Arial"/>
                <w:sz w:val="16"/>
                <w:szCs w:val="16"/>
                <w:color w:val="auto"/>
              </w:rPr>
              <w:t>• Johnson &amp; Johnson</w:t>
            </w:r>
          </w:p>
        </w:tc>
        <w:tc>
          <w:tcPr>
            <w:tcW w:w="0" w:type="dxa"/>
            <w:vAlign w:val="bottom"/>
          </w:tcPr>
          <w:p>
            <w:pPr>
              <w:spacing w:after="0"/>
              <w:rPr>
                <w:sz w:val="1"/>
                <w:szCs w:val="1"/>
                <w:color w:val="auto"/>
              </w:rPr>
            </w:pPr>
          </w:p>
        </w:tc>
      </w:tr>
      <w:tr>
        <w:trPr>
          <w:trHeight w:val="216"/>
        </w:trPr>
        <w:tc>
          <w:tcPr>
            <w:tcW w:w="2180" w:type="dxa"/>
            <w:vAlign w:val="bottom"/>
            <w:tcBorders>
              <w:bottom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Robbert Vorhoff</w:t>
            </w:r>
          </w:p>
        </w:tc>
        <w:tc>
          <w:tcPr>
            <w:tcW w:w="740" w:type="dxa"/>
            <w:vAlign w:val="bottom"/>
            <w:tcBorders>
              <w:bottom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46</w:t>
            </w:r>
          </w:p>
        </w:tc>
        <w:tc>
          <w:tcPr>
            <w:tcW w:w="1520" w:type="dxa"/>
            <w:vAlign w:val="bottom"/>
            <w:tcBorders>
              <w:bottom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2014</w:t>
            </w:r>
          </w:p>
        </w:tc>
        <w:tc>
          <w:tcPr>
            <w:tcW w:w="1420" w:type="dxa"/>
            <w:vAlign w:val="bottom"/>
            <w:tcBorders>
              <w:bottom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w w:val="94"/>
              </w:rPr>
              <w:t>Yes</w:t>
            </w:r>
          </w:p>
        </w:tc>
        <w:tc>
          <w:tcPr>
            <w:tcW w:w="1600" w:type="dxa"/>
            <w:vAlign w:val="bottom"/>
            <w:tcBorders>
              <w:bottom w:val="single" w:sz="8" w:color="95B3D7"/>
            </w:tcBorders>
            <w:shd w:val="clear" w:color="auto" w:fill="DBE5F1"/>
          </w:tcPr>
          <w:p>
            <w:pPr>
              <w:ind w:left="220"/>
              <w:spacing w:after="0"/>
              <w:rPr>
                <w:sz w:val="20"/>
                <w:szCs w:val="20"/>
                <w:color w:val="auto"/>
              </w:rPr>
            </w:pPr>
            <w:r>
              <w:rPr>
                <w:rFonts w:ascii="Arial" w:cs="Arial" w:eastAsia="Arial" w:hAnsi="Arial"/>
                <w:sz w:val="16"/>
                <w:szCs w:val="16"/>
                <w:color w:val="auto"/>
              </w:rPr>
              <w:t>Compensation</w:t>
            </w:r>
          </w:p>
        </w:tc>
        <w:tc>
          <w:tcPr>
            <w:tcW w:w="440" w:type="dxa"/>
            <w:vAlign w:val="bottom"/>
            <w:tcBorders>
              <w:bottom w:val="single" w:sz="8" w:color="95B3D7"/>
            </w:tcBorders>
            <w:shd w:val="clear" w:color="auto" w:fill="DBE5F1"/>
          </w:tcPr>
          <w:p>
            <w:pPr>
              <w:spacing w:after="0"/>
              <w:rPr>
                <w:sz w:val="18"/>
                <w:szCs w:val="18"/>
                <w:color w:val="auto"/>
              </w:rPr>
            </w:pPr>
          </w:p>
        </w:tc>
        <w:tc>
          <w:tcPr>
            <w:tcW w:w="3060" w:type="dxa"/>
            <w:vAlign w:val="bottom"/>
            <w:tcBorders>
              <w:bottom w:val="single" w:sz="8" w:color="95B3D7"/>
            </w:tcBorders>
            <w:shd w:val="clear" w:color="auto" w:fill="DBE5F1"/>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Each nominee was recommended for re-election by the NCGCC for consideration by the Board and our stockholders. If, before the Annual Meeting, any nominee becomes unable to serve, or chooses not to serve, the Board may nominate a substitute. If that happens, the persons named as proxies on the proxy card will vote for the substitute. Alternatively, the Board may either let the vacancy stay unfilled until an appropriate candidate is identified or reduce the size of the Board to eliminate the unfilled seat, subject to the Stockholders Agreement (as defined below).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Director Nominees to Serve for a Three-Year Term Expiring at the 2028 Annual Meeting</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120" w:type="dxa"/>
            <w:vAlign w:val="bottom"/>
          </w:tcPr>
          <w:p>
            <w:pPr>
              <w:spacing w:after="0"/>
              <w:rPr>
                <w:sz w:val="17"/>
                <w:szCs w:val="17"/>
                <w:color w:val="auto"/>
              </w:rPr>
            </w:pPr>
          </w:p>
        </w:tc>
        <w:tc>
          <w:tcPr>
            <w:tcW w:w="9060" w:type="dxa"/>
            <w:vAlign w:val="bottom"/>
          </w:tcPr>
          <w:p>
            <w:pPr>
              <w:ind w:left="460"/>
              <w:spacing w:after="0"/>
              <w:rPr>
                <w:sz w:val="20"/>
                <w:szCs w:val="20"/>
                <w:color w:val="auto"/>
              </w:rPr>
            </w:pPr>
            <w:r>
              <w:rPr>
                <w:rFonts w:ascii="Arial" w:cs="Arial" w:eastAsia="Arial" w:hAnsi="Arial"/>
                <w:sz w:val="18"/>
                <w:szCs w:val="18"/>
                <w:color w:val="auto"/>
              </w:rPr>
              <w:t>Ms. McCarthy has served as a member of our Board since December 2020 and as our Lead Independent</w:t>
            </w:r>
          </w:p>
        </w:tc>
        <w:tc>
          <w:tcPr>
            <w:tcW w:w="0" w:type="dxa"/>
            <w:vAlign w:val="bottom"/>
          </w:tcPr>
          <w:p>
            <w:pPr>
              <w:spacing w:after="0"/>
              <w:rPr>
                <w:sz w:val="1"/>
                <w:szCs w:val="1"/>
                <w:color w:val="auto"/>
              </w:rPr>
            </w:pPr>
          </w:p>
        </w:tc>
      </w:tr>
      <w:tr>
        <w:trPr>
          <w:trHeight w:val="184"/>
        </w:trPr>
        <w:tc>
          <w:tcPr>
            <w:tcW w:w="2120" w:type="dxa"/>
            <w:vAlign w:val="bottom"/>
          </w:tcPr>
          <w:p>
            <w:pPr>
              <w:spacing w:after="0"/>
              <w:rPr>
                <w:sz w:val="15"/>
                <w:szCs w:val="15"/>
                <w:color w:val="auto"/>
              </w:rPr>
            </w:pPr>
          </w:p>
        </w:tc>
        <w:tc>
          <w:tcPr>
            <w:tcW w:w="9060" w:type="dxa"/>
            <w:vAlign w:val="bottom"/>
          </w:tcPr>
          <w:p>
            <w:pPr>
              <w:ind w:left="460"/>
              <w:spacing w:after="0" w:line="183" w:lineRule="exact"/>
              <w:rPr>
                <w:sz w:val="20"/>
                <w:szCs w:val="20"/>
                <w:color w:val="auto"/>
              </w:rPr>
            </w:pPr>
            <w:r>
              <w:rPr>
                <w:rFonts w:ascii="Arial" w:cs="Arial" w:eastAsia="Arial" w:hAnsi="Arial"/>
                <w:sz w:val="18"/>
                <w:szCs w:val="18"/>
                <w:color w:val="auto"/>
              </w:rPr>
              <w:t>Director in October 2022. Ms. McCarthy retired in June 2019 as executive vice president of CVS Health</w:t>
            </w:r>
          </w:p>
        </w:tc>
        <w:tc>
          <w:tcPr>
            <w:tcW w:w="0" w:type="dxa"/>
            <w:vAlign w:val="bottom"/>
          </w:tcPr>
          <w:p>
            <w:pPr>
              <w:spacing w:after="0"/>
              <w:rPr>
                <w:sz w:val="1"/>
                <w:szCs w:val="1"/>
                <w:color w:val="auto"/>
              </w:rPr>
            </w:pPr>
          </w:p>
        </w:tc>
      </w:tr>
      <w:tr>
        <w:trPr>
          <w:trHeight w:val="181"/>
        </w:trPr>
        <w:tc>
          <w:tcPr>
            <w:tcW w:w="2120" w:type="dxa"/>
            <w:vAlign w:val="bottom"/>
          </w:tcPr>
          <w:p>
            <w:pPr>
              <w:spacing w:after="0"/>
              <w:rPr>
                <w:sz w:val="15"/>
                <w:szCs w:val="15"/>
                <w:color w:val="auto"/>
              </w:rPr>
            </w:pPr>
          </w:p>
        </w:tc>
        <w:tc>
          <w:tcPr>
            <w:tcW w:w="9060" w:type="dxa"/>
            <w:vAlign w:val="bottom"/>
          </w:tcPr>
          <w:p>
            <w:pPr>
              <w:ind w:left="460"/>
              <w:spacing w:after="0" w:line="181" w:lineRule="exact"/>
              <w:rPr>
                <w:sz w:val="20"/>
                <w:szCs w:val="20"/>
                <w:color w:val="auto"/>
              </w:rPr>
            </w:pPr>
            <w:r>
              <w:rPr>
                <w:rFonts w:ascii="Arial" w:cs="Arial" w:eastAsia="Arial" w:hAnsi="Arial"/>
                <w:sz w:val="18"/>
                <w:szCs w:val="18"/>
                <w:color w:val="auto"/>
              </w:rPr>
              <w:t>following the completion of CVS Health’s acquisition of Aetna in 2018. She served as Executive Vice</w:t>
            </w: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9060" w:type="dxa"/>
            <w:vAlign w:val="bottom"/>
          </w:tcPr>
          <w:p>
            <w:pPr>
              <w:ind w:left="460"/>
              <w:spacing w:after="0" w:line="176" w:lineRule="exact"/>
              <w:rPr>
                <w:sz w:val="20"/>
                <w:szCs w:val="20"/>
                <w:color w:val="auto"/>
              </w:rPr>
            </w:pPr>
            <w:r>
              <w:rPr>
                <w:rFonts w:ascii="Arial" w:cs="Arial" w:eastAsia="Arial" w:hAnsi="Arial"/>
                <w:sz w:val="18"/>
                <w:szCs w:val="18"/>
                <w:color w:val="auto"/>
              </w:rPr>
              <w:t>President of Operations and Technology for Aetna from 2010 until 2018, where she was responsible for</w:t>
            </w:r>
          </w:p>
        </w:tc>
        <w:tc>
          <w:tcPr>
            <w:tcW w:w="0" w:type="dxa"/>
            <w:vAlign w:val="bottom"/>
          </w:tcPr>
          <w:p>
            <w:pPr>
              <w:spacing w:after="0"/>
              <w:rPr>
                <w:sz w:val="1"/>
                <w:szCs w:val="1"/>
                <w:color w:val="auto"/>
              </w:rPr>
            </w:pPr>
          </w:p>
        </w:tc>
      </w:tr>
      <w:tr>
        <w:trPr>
          <w:trHeight w:val="184"/>
        </w:trPr>
        <w:tc>
          <w:tcPr>
            <w:tcW w:w="2120" w:type="dxa"/>
            <w:vAlign w:val="bottom"/>
          </w:tcPr>
          <w:p>
            <w:pPr>
              <w:spacing w:after="0"/>
              <w:rPr>
                <w:sz w:val="15"/>
                <w:szCs w:val="15"/>
                <w:color w:val="auto"/>
              </w:rPr>
            </w:pPr>
          </w:p>
        </w:tc>
        <w:tc>
          <w:tcPr>
            <w:tcW w:w="9060" w:type="dxa"/>
            <w:vAlign w:val="bottom"/>
          </w:tcPr>
          <w:p>
            <w:pPr>
              <w:ind w:left="460"/>
              <w:spacing w:after="0" w:line="183" w:lineRule="exact"/>
              <w:rPr>
                <w:sz w:val="20"/>
                <w:szCs w:val="20"/>
                <w:color w:val="auto"/>
              </w:rPr>
            </w:pPr>
            <w:r>
              <w:rPr>
                <w:rFonts w:ascii="Arial" w:cs="Arial" w:eastAsia="Arial" w:hAnsi="Arial"/>
                <w:sz w:val="18"/>
                <w:szCs w:val="18"/>
                <w:color w:val="auto"/>
                <w:w w:val="99"/>
              </w:rPr>
              <w:t>innovation, technology, data security, procurement, real estate and service operations. Prior to joining Aetna</w:t>
            </w:r>
          </w:p>
        </w:tc>
        <w:tc>
          <w:tcPr>
            <w:tcW w:w="0" w:type="dxa"/>
            <w:vAlign w:val="bottom"/>
          </w:tcPr>
          <w:p>
            <w:pPr>
              <w:spacing w:after="0"/>
              <w:rPr>
                <w:sz w:val="1"/>
                <w:szCs w:val="1"/>
                <w:color w:val="auto"/>
              </w:rPr>
            </w:pPr>
          </w:p>
        </w:tc>
      </w:tr>
      <w:tr>
        <w:trPr>
          <w:trHeight w:val="181"/>
        </w:trPr>
        <w:tc>
          <w:tcPr>
            <w:tcW w:w="2120" w:type="dxa"/>
            <w:vAlign w:val="bottom"/>
          </w:tcPr>
          <w:p>
            <w:pPr>
              <w:spacing w:after="0"/>
              <w:rPr>
                <w:sz w:val="15"/>
                <w:szCs w:val="15"/>
                <w:color w:val="auto"/>
              </w:rPr>
            </w:pPr>
          </w:p>
        </w:tc>
        <w:tc>
          <w:tcPr>
            <w:tcW w:w="9060" w:type="dxa"/>
            <w:vAlign w:val="bottom"/>
          </w:tcPr>
          <w:p>
            <w:pPr>
              <w:ind w:left="460"/>
              <w:spacing w:after="0" w:line="181" w:lineRule="exact"/>
              <w:rPr>
                <w:sz w:val="20"/>
                <w:szCs w:val="20"/>
                <w:color w:val="auto"/>
              </w:rPr>
            </w:pPr>
            <w:r>
              <w:rPr>
                <w:rFonts w:ascii="Arial" w:cs="Arial" w:eastAsia="Arial" w:hAnsi="Arial"/>
                <w:sz w:val="18"/>
                <w:szCs w:val="18"/>
                <w:color w:val="auto"/>
              </w:rPr>
              <w:t>in 2003, she served in information technology-related roles at Cigna and Catholic Health Initiatives, among</w:t>
            </w: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9060" w:type="dxa"/>
            <w:vAlign w:val="bottom"/>
          </w:tcPr>
          <w:p>
            <w:pPr>
              <w:ind w:left="460"/>
              <w:spacing w:after="0" w:line="176" w:lineRule="exact"/>
              <w:rPr>
                <w:sz w:val="20"/>
                <w:szCs w:val="20"/>
                <w:color w:val="auto"/>
              </w:rPr>
            </w:pPr>
            <w:r>
              <w:rPr>
                <w:rFonts w:ascii="Arial" w:cs="Arial" w:eastAsia="Arial" w:hAnsi="Arial"/>
                <w:sz w:val="18"/>
                <w:szCs w:val="18"/>
                <w:color w:val="auto"/>
              </w:rPr>
              <w:t>others. Ms. McCarthy also worked in technology consulting at Accenture and was a consulting partner at</w:t>
            </w:r>
          </w:p>
        </w:tc>
        <w:tc>
          <w:tcPr>
            <w:tcW w:w="0" w:type="dxa"/>
            <w:vAlign w:val="bottom"/>
          </w:tcPr>
          <w:p>
            <w:pPr>
              <w:spacing w:after="0"/>
              <w:rPr>
                <w:sz w:val="1"/>
                <w:szCs w:val="1"/>
                <w:color w:val="auto"/>
              </w:rPr>
            </w:pPr>
          </w:p>
        </w:tc>
      </w:tr>
      <w:tr>
        <w:trPr>
          <w:trHeight w:val="184"/>
        </w:trPr>
        <w:tc>
          <w:tcPr>
            <w:tcW w:w="2120" w:type="dxa"/>
            <w:vAlign w:val="bottom"/>
          </w:tcPr>
          <w:p>
            <w:pPr>
              <w:spacing w:after="0"/>
              <w:rPr>
                <w:sz w:val="15"/>
                <w:szCs w:val="15"/>
                <w:color w:val="auto"/>
              </w:rPr>
            </w:pPr>
          </w:p>
        </w:tc>
        <w:tc>
          <w:tcPr>
            <w:tcW w:w="9060" w:type="dxa"/>
            <w:vAlign w:val="bottom"/>
          </w:tcPr>
          <w:p>
            <w:pPr>
              <w:ind w:left="460"/>
              <w:spacing w:after="0" w:line="183" w:lineRule="exact"/>
              <w:rPr>
                <w:sz w:val="20"/>
                <w:szCs w:val="20"/>
                <w:color w:val="auto"/>
              </w:rPr>
            </w:pPr>
            <w:r>
              <w:rPr>
                <w:rFonts w:ascii="Arial" w:cs="Arial" w:eastAsia="Arial" w:hAnsi="Arial"/>
                <w:sz w:val="18"/>
                <w:szCs w:val="18"/>
                <w:color w:val="auto"/>
              </w:rPr>
              <w:t>Ernst &amp; Young. She has served as a director of Marriott International since March 2019, of First American</w:t>
            </w:r>
          </w:p>
        </w:tc>
        <w:tc>
          <w:tcPr>
            <w:tcW w:w="0" w:type="dxa"/>
            <w:vAlign w:val="bottom"/>
          </w:tcPr>
          <w:p>
            <w:pPr>
              <w:spacing w:after="0"/>
              <w:rPr>
                <w:sz w:val="1"/>
                <w:szCs w:val="1"/>
                <w:color w:val="auto"/>
              </w:rPr>
            </w:pPr>
          </w:p>
        </w:tc>
      </w:tr>
      <w:tr>
        <w:trPr>
          <w:trHeight w:val="181"/>
        </w:trPr>
        <w:tc>
          <w:tcPr>
            <w:tcW w:w="2120" w:type="dxa"/>
            <w:vAlign w:val="bottom"/>
          </w:tcPr>
          <w:p>
            <w:pPr>
              <w:spacing w:after="0"/>
              <w:rPr>
                <w:sz w:val="15"/>
                <w:szCs w:val="15"/>
                <w:color w:val="auto"/>
              </w:rPr>
            </w:pPr>
          </w:p>
        </w:tc>
        <w:tc>
          <w:tcPr>
            <w:tcW w:w="9060" w:type="dxa"/>
            <w:vAlign w:val="bottom"/>
          </w:tcPr>
          <w:p>
            <w:pPr>
              <w:ind w:left="460"/>
              <w:spacing w:after="0" w:line="181" w:lineRule="exact"/>
              <w:rPr>
                <w:sz w:val="20"/>
                <w:szCs w:val="20"/>
                <w:color w:val="auto"/>
              </w:rPr>
            </w:pPr>
            <w:r>
              <w:rPr>
                <w:rFonts w:ascii="Arial" w:cs="Arial" w:eastAsia="Arial" w:hAnsi="Arial"/>
                <w:sz w:val="18"/>
                <w:szCs w:val="18"/>
                <w:color w:val="auto"/>
              </w:rPr>
              <w:t>Financial since June 2015, and of American Electric Power Co. Inc. since April 2019. She was director at</w:t>
            </w:r>
          </w:p>
        </w:tc>
        <w:tc>
          <w:tcPr>
            <w:tcW w:w="0" w:type="dxa"/>
            <w:vAlign w:val="bottom"/>
          </w:tcPr>
          <w:p>
            <w:pPr>
              <w:spacing w:after="0"/>
              <w:rPr>
                <w:sz w:val="1"/>
                <w:szCs w:val="1"/>
                <w:color w:val="auto"/>
              </w:rPr>
            </w:pPr>
          </w:p>
        </w:tc>
      </w:tr>
      <w:tr>
        <w:trPr>
          <w:trHeight w:val="175"/>
        </w:trPr>
        <w:tc>
          <w:tcPr>
            <w:tcW w:w="2120" w:type="dxa"/>
            <w:vAlign w:val="bottom"/>
            <w:vMerge w:val="restart"/>
          </w:tcPr>
          <w:p>
            <w:pPr>
              <w:spacing w:after="0"/>
              <w:rPr>
                <w:sz w:val="20"/>
                <w:szCs w:val="20"/>
                <w:color w:val="auto"/>
              </w:rPr>
            </w:pPr>
            <w:r>
              <w:rPr>
                <w:rFonts w:ascii="Arial" w:cs="Arial" w:eastAsia="Arial" w:hAnsi="Arial"/>
                <w:sz w:val="18"/>
                <w:szCs w:val="18"/>
                <w:b w:val="1"/>
                <w:bCs w:val="1"/>
                <w:i w:val="1"/>
                <w:iCs w:val="1"/>
                <w:color w:val="1F497D"/>
              </w:rPr>
              <w:t>Margaret McCarthy</w:t>
            </w:r>
          </w:p>
        </w:tc>
        <w:tc>
          <w:tcPr>
            <w:tcW w:w="9060" w:type="dxa"/>
            <w:vAlign w:val="bottom"/>
          </w:tcPr>
          <w:p>
            <w:pPr>
              <w:ind w:left="460"/>
              <w:spacing w:after="0" w:line="176" w:lineRule="exact"/>
              <w:rPr>
                <w:sz w:val="20"/>
                <w:szCs w:val="20"/>
                <w:color w:val="auto"/>
              </w:rPr>
            </w:pPr>
            <w:r>
              <w:rPr>
                <w:rFonts w:ascii="Arial" w:cs="Arial" w:eastAsia="Arial" w:hAnsi="Arial"/>
                <w:sz w:val="18"/>
                <w:szCs w:val="18"/>
                <w:color w:val="auto"/>
              </w:rPr>
              <w:t>Brighthouse Financial from November 2018 until June 2021. She also served on various advisory boards,</w:t>
            </w:r>
          </w:p>
        </w:tc>
        <w:tc>
          <w:tcPr>
            <w:tcW w:w="0" w:type="dxa"/>
            <w:vAlign w:val="bottom"/>
          </w:tcPr>
          <w:p>
            <w:pPr>
              <w:spacing w:after="0"/>
              <w:rPr>
                <w:sz w:val="1"/>
                <w:szCs w:val="1"/>
                <w:color w:val="auto"/>
              </w:rPr>
            </w:pPr>
          </w:p>
        </w:tc>
      </w:tr>
      <w:tr>
        <w:trPr>
          <w:trHeight w:val="184"/>
        </w:trPr>
        <w:tc>
          <w:tcPr>
            <w:tcW w:w="2120" w:type="dxa"/>
            <w:vAlign w:val="bottom"/>
            <w:vMerge w:val="continue"/>
          </w:tcPr>
          <w:p>
            <w:pPr>
              <w:spacing w:after="0"/>
              <w:rPr>
                <w:sz w:val="15"/>
                <w:szCs w:val="15"/>
                <w:color w:val="auto"/>
              </w:rPr>
            </w:pPr>
          </w:p>
        </w:tc>
        <w:tc>
          <w:tcPr>
            <w:tcW w:w="9060" w:type="dxa"/>
            <w:vAlign w:val="bottom"/>
          </w:tcPr>
          <w:p>
            <w:pPr>
              <w:ind w:left="460"/>
              <w:spacing w:after="0" w:line="183" w:lineRule="exact"/>
              <w:rPr>
                <w:sz w:val="20"/>
                <w:szCs w:val="20"/>
                <w:color w:val="auto"/>
              </w:rPr>
            </w:pPr>
            <w:r>
              <w:rPr>
                <w:rFonts w:ascii="Arial" w:cs="Arial" w:eastAsia="Arial" w:hAnsi="Arial"/>
                <w:sz w:val="18"/>
                <w:szCs w:val="18"/>
                <w:color w:val="auto"/>
              </w:rPr>
              <w:t>councils and private-company boards. Ms. McCarthy holds a bachelor’s degree from Providence College</w:t>
            </w:r>
          </w:p>
        </w:tc>
        <w:tc>
          <w:tcPr>
            <w:tcW w:w="0" w:type="dxa"/>
            <w:vAlign w:val="bottom"/>
          </w:tcPr>
          <w:p>
            <w:pPr>
              <w:spacing w:after="0"/>
              <w:rPr>
                <w:sz w:val="1"/>
                <w:szCs w:val="1"/>
                <w:color w:val="auto"/>
              </w:rPr>
            </w:pPr>
          </w:p>
        </w:tc>
      </w:tr>
      <w:tr>
        <w:trPr>
          <w:trHeight w:val="181"/>
        </w:trPr>
        <w:tc>
          <w:tcPr>
            <w:tcW w:w="2120" w:type="dxa"/>
            <w:vAlign w:val="bottom"/>
          </w:tcPr>
          <w:p>
            <w:pPr>
              <w:spacing w:after="0"/>
              <w:rPr>
                <w:sz w:val="15"/>
                <w:szCs w:val="15"/>
                <w:color w:val="auto"/>
              </w:rPr>
            </w:pPr>
          </w:p>
        </w:tc>
        <w:tc>
          <w:tcPr>
            <w:tcW w:w="9060" w:type="dxa"/>
            <w:vAlign w:val="bottom"/>
          </w:tcPr>
          <w:p>
            <w:pPr>
              <w:ind w:left="460"/>
              <w:spacing w:after="0" w:line="181" w:lineRule="exact"/>
              <w:rPr>
                <w:sz w:val="20"/>
                <w:szCs w:val="20"/>
                <w:color w:val="auto"/>
              </w:rPr>
            </w:pPr>
            <w:r>
              <w:rPr>
                <w:rFonts w:ascii="Arial" w:cs="Arial" w:eastAsia="Arial" w:hAnsi="Arial"/>
                <w:sz w:val="18"/>
                <w:szCs w:val="18"/>
                <w:color w:val="auto"/>
              </w:rPr>
              <w:t>and a master’s degree in public health, hospital administration from Yale University. Given her extensive</w:t>
            </w: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9060" w:type="dxa"/>
            <w:vAlign w:val="bottom"/>
          </w:tcPr>
          <w:p>
            <w:pPr>
              <w:ind w:left="460"/>
              <w:spacing w:after="0" w:line="176" w:lineRule="exact"/>
              <w:rPr>
                <w:sz w:val="20"/>
                <w:szCs w:val="20"/>
                <w:color w:val="auto"/>
              </w:rPr>
            </w:pPr>
            <w:r>
              <w:rPr>
                <w:rFonts w:ascii="Arial" w:cs="Arial" w:eastAsia="Arial" w:hAnsi="Arial"/>
                <w:sz w:val="18"/>
                <w:szCs w:val="18"/>
                <w:color w:val="auto"/>
                <w:w w:val="99"/>
              </w:rPr>
              <w:t>experience managing large groups of employees, complex processes and enterprise-critical technology, Ms.</w:t>
            </w:r>
          </w:p>
        </w:tc>
        <w:tc>
          <w:tcPr>
            <w:tcW w:w="0" w:type="dxa"/>
            <w:vAlign w:val="bottom"/>
          </w:tcPr>
          <w:p>
            <w:pPr>
              <w:spacing w:after="0"/>
              <w:rPr>
                <w:sz w:val="1"/>
                <w:szCs w:val="1"/>
                <w:color w:val="auto"/>
              </w:rPr>
            </w:pPr>
          </w:p>
        </w:tc>
      </w:tr>
      <w:tr>
        <w:trPr>
          <w:trHeight w:val="239"/>
        </w:trPr>
        <w:tc>
          <w:tcPr>
            <w:tcW w:w="2120" w:type="dxa"/>
            <w:vAlign w:val="bottom"/>
          </w:tcPr>
          <w:p>
            <w:pPr>
              <w:spacing w:after="0"/>
              <w:rPr>
                <w:sz w:val="20"/>
                <w:szCs w:val="20"/>
                <w:color w:val="auto"/>
              </w:rPr>
            </w:pPr>
          </w:p>
        </w:tc>
        <w:tc>
          <w:tcPr>
            <w:tcW w:w="9060" w:type="dxa"/>
            <w:vAlign w:val="bottom"/>
          </w:tcPr>
          <w:p>
            <w:pPr>
              <w:ind w:left="460"/>
              <w:spacing w:after="0"/>
              <w:rPr>
                <w:sz w:val="20"/>
                <w:szCs w:val="20"/>
                <w:color w:val="auto"/>
              </w:rPr>
            </w:pPr>
            <w:r>
              <w:rPr>
                <w:rFonts w:ascii="Arial" w:cs="Arial" w:eastAsia="Arial" w:hAnsi="Arial"/>
                <w:sz w:val="18"/>
                <w:szCs w:val="18"/>
                <w:color w:val="auto"/>
              </w:rPr>
              <w:t>McCarthy brings to the board valuable insights into areas of critical import to our operations.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-1616710</wp:posOffset>
            </wp:positionV>
            <wp:extent cx="1148715" cy="10801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4871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 w:name="page22"/>
    <w:bookmarkEnd w:id="21"/>
    <w:p>
      <w:pPr>
        <w:spacing w:after="0" w:line="18" w:lineRule="exact"/>
        <w:rPr>
          <w:sz w:val="20"/>
          <w:szCs w:val="20"/>
          <w:color w:val="auto"/>
        </w:rPr>
      </w:pPr>
    </w:p>
    <w:p>
      <w:pPr>
        <w:ind w:left="2580" w:right="600"/>
        <w:spacing w:after="0" w:line="234" w:lineRule="auto"/>
        <w:rPr>
          <w:sz w:val="20"/>
          <w:szCs w:val="20"/>
          <w:color w:val="auto"/>
        </w:rPr>
      </w:pPr>
      <w:r>
        <w:rPr>
          <w:rFonts w:ascii="Arial" w:cs="Arial" w:eastAsia="Arial" w:hAnsi="Arial"/>
          <w:sz w:val="17"/>
          <w:szCs w:val="17"/>
          <w:color w:val="auto"/>
        </w:rPr>
        <w:t>Dr. McClellan has served as a member of our Board since 2014. Dr. McClellan became the inaugural Director of the Duke-Robert J. Margolis, MD, Center for Health Policy and the Margolis Professor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-220980</wp:posOffset>
            </wp:positionV>
            <wp:extent cx="1148715" cy="10801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48715" cy="1080135"/>
                    </a:xfrm>
                    <a:prstGeom prst="rect">
                      <a:avLst/>
                    </a:prstGeom>
                    <a:noFill/>
                  </pic:spPr>
                </pic:pic>
              </a:graphicData>
            </a:graphic>
          </wp:anchor>
        </w:drawing>
      </w:r>
    </w:p>
    <w:p>
      <w:pPr>
        <w:ind w:left="2580" w:right="160"/>
        <w:spacing w:after="0" w:line="221" w:lineRule="auto"/>
        <w:rPr>
          <w:sz w:val="20"/>
          <w:szCs w:val="20"/>
          <w:color w:val="auto"/>
        </w:rPr>
      </w:pPr>
      <w:r>
        <w:rPr>
          <w:rFonts w:ascii="Arial" w:cs="Arial" w:eastAsia="Arial" w:hAnsi="Arial"/>
          <w:sz w:val="17"/>
          <w:szCs w:val="17"/>
          <w:color w:val="auto"/>
        </w:rPr>
        <w:t>Business, Medicine and Policy at Duke University in January 2016. He is also a faculty member at Dell Medical School at The University of Texas in Austin. Previously, he served from 2007 to 2015 as a Senior Fellow in Economic Studies and as Director of the Initiatives on Value and Innovation in Health Care at the</w:t>
      </w:r>
    </w:p>
    <w:p>
      <w:pPr>
        <w:ind w:left="2580" w:right="100"/>
        <w:spacing w:after="0" w:line="221" w:lineRule="auto"/>
        <w:rPr>
          <w:sz w:val="20"/>
          <w:szCs w:val="20"/>
          <w:color w:val="auto"/>
        </w:rPr>
      </w:pPr>
      <w:r>
        <w:rPr>
          <w:rFonts w:ascii="Arial" w:cs="Arial" w:eastAsia="Arial" w:hAnsi="Arial"/>
          <w:sz w:val="17"/>
          <w:szCs w:val="17"/>
          <w:color w:val="auto"/>
        </w:rPr>
        <w:t>Brookings Institution. Dr. McClellan served as Administrator of the Centers for Medicare &amp; Medicaid Services (“CMS”) for the U.S. Department of Health and Human Services from 2004 to 2006 and as Commissioner of the U.S. Food and Drug Administration from 2002 to 2004. He served as a Member of the</w:t>
      </w:r>
    </w:p>
    <w:p>
      <w:pPr>
        <w:ind w:left="2580" w:right="40"/>
        <w:spacing w:after="0" w:line="215" w:lineRule="auto"/>
        <w:rPr>
          <w:sz w:val="20"/>
          <w:szCs w:val="20"/>
          <w:color w:val="auto"/>
        </w:rPr>
      </w:pPr>
      <w:r>
        <w:rPr>
          <w:rFonts w:ascii="Arial" w:cs="Arial" w:eastAsia="Arial" w:hAnsi="Arial"/>
          <w:sz w:val="17"/>
          <w:szCs w:val="17"/>
          <w:color w:val="auto"/>
        </w:rPr>
        <w:t>President’s Council of Economic Advisers and as Senior Director for Healthcare Policy at the White House from 2001 to 2002 and, during the Clinton administration, held the position of Deputy Assistant Secretary for</w:t>
      </w:r>
    </w:p>
    <w:p>
      <w:pPr>
        <w:spacing w:after="0" w:line="233" w:lineRule="auto"/>
        <w:tabs>
          <w:tab w:leader="none" w:pos="2560" w:val="left"/>
        </w:tabs>
        <w:rPr>
          <w:sz w:val="20"/>
          <w:szCs w:val="20"/>
          <w:color w:val="auto"/>
        </w:rPr>
      </w:pPr>
      <w:r>
        <w:rPr>
          <w:rFonts w:ascii="Arial" w:cs="Arial" w:eastAsia="Arial" w:hAnsi="Arial"/>
          <w:sz w:val="18"/>
          <w:szCs w:val="18"/>
          <w:b w:val="1"/>
          <w:bCs w:val="1"/>
          <w:i w:val="1"/>
          <w:iCs w:val="1"/>
          <w:color w:val="1F497D"/>
        </w:rPr>
        <w:t>Dr. Mark McClellan, M.D.</w:t>
      </w:r>
      <w:r>
        <w:rPr>
          <w:sz w:val="20"/>
          <w:szCs w:val="20"/>
          <w:color w:val="auto"/>
        </w:rPr>
        <w:tab/>
      </w:r>
      <w:r>
        <w:rPr>
          <w:rFonts w:ascii="Arial" w:cs="Arial" w:eastAsia="Arial" w:hAnsi="Arial"/>
          <w:sz w:val="17"/>
          <w:szCs w:val="17"/>
          <w:color w:val="auto"/>
        </w:rPr>
        <w:t>Economic Policy for the Department of the Treasury. Dr. McClellan previously served as an Associate</w:t>
      </w:r>
    </w:p>
    <w:p>
      <w:pPr>
        <w:ind w:left="2580" w:right="120"/>
        <w:spacing w:after="0" w:line="208" w:lineRule="auto"/>
        <w:rPr>
          <w:sz w:val="20"/>
          <w:szCs w:val="20"/>
          <w:color w:val="auto"/>
        </w:rPr>
      </w:pPr>
      <w:r>
        <w:rPr>
          <w:rFonts w:ascii="Arial" w:cs="Arial" w:eastAsia="Arial" w:hAnsi="Arial"/>
          <w:sz w:val="18"/>
          <w:szCs w:val="18"/>
          <w:color w:val="auto"/>
        </w:rPr>
        <w:t>Professor of Economics and Medicine with tenure at Stanford University, where he also directed the Program on Health Outcomes Research. Dr. McClellan was the founding chair and currently serves as an advisor to the Reagan-Udall Foundation. He is also a member of the National Academy of Medicine, chairs</w:t>
      </w:r>
    </w:p>
    <w:p>
      <w:pPr>
        <w:spacing w:after="0" w:line="2" w:lineRule="exact"/>
        <w:rPr>
          <w:sz w:val="20"/>
          <w:szCs w:val="20"/>
          <w:color w:val="auto"/>
        </w:rPr>
      </w:pPr>
    </w:p>
    <w:p>
      <w:pPr>
        <w:ind w:left="2580" w:right="220"/>
        <w:spacing w:after="0" w:line="208" w:lineRule="auto"/>
        <w:rPr>
          <w:sz w:val="20"/>
          <w:szCs w:val="20"/>
          <w:color w:val="auto"/>
        </w:rPr>
      </w:pPr>
      <w:r>
        <w:rPr>
          <w:rFonts w:ascii="Arial" w:cs="Arial" w:eastAsia="Arial" w:hAnsi="Arial"/>
          <w:sz w:val="18"/>
          <w:szCs w:val="18"/>
          <w:color w:val="auto"/>
        </w:rPr>
        <w:t>the Academy’s Leadership Consortium: Collaboration for a Value and Science-Driven Learning Health System, and co-chairs the Guiding Committee of the Health Care Payment Learning and Action Network. He sits on the boards of directors of various nonprofit organizations including ResearchAmerica!, National</w:t>
      </w:r>
    </w:p>
    <w:p>
      <w:pPr>
        <w:spacing w:after="0" w:line="2" w:lineRule="exact"/>
        <w:rPr>
          <w:sz w:val="20"/>
          <w:szCs w:val="20"/>
          <w:color w:val="auto"/>
        </w:rPr>
      </w:pPr>
    </w:p>
    <w:p>
      <w:pPr>
        <w:ind w:left="2580"/>
        <w:spacing w:after="0" w:line="221" w:lineRule="auto"/>
        <w:rPr>
          <w:sz w:val="20"/>
          <w:szCs w:val="20"/>
          <w:color w:val="auto"/>
        </w:rPr>
      </w:pPr>
      <w:r>
        <w:rPr>
          <w:rFonts w:ascii="Arial" w:cs="Arial" w:eastAsia="Arial" w:hAnsi="Arial"/>
          <w:sz w:val="17"/>
          <w:szCs w:val="17"/>
          <w:color w:val="auto"/>
        </w:rPr>
        <w:t>Alliance for Hispanic Health, Institute for Accountable Care, PrognomIQ and United States of Care, as well as two public companies, Cigna Corporation and Johnson &amp; Johnson. Dr. McClellan received his Bachelor of Arts degree from the University of Texas, his Masters of Public Administration and Medical Doctorate from</w:t>
      </w:r>
    </w:p>
    <w:p>
      <w:pPr>
        <w:ind w:left="2580"/>
        <w:spacing w:after="0" w:line="221" w:lineRule="auto"/>
        <w:rPr>
          <w:sz w:val="20"/>
          <w:szCs w:val="20"/>
          <w:color w:val="auto"/>
        </w:rPr>
      </w:pPr>
      <w:r>
        <w:rPr>
          <w:rFonts w:ascii="Arial" w:cs="Arial" w:eastAsia="Arial" w:hAnsi="Arial"/>
          <w:sz w:val="18"/>
          <w:szCs w:val="18"/>
          <w:color w:val="auto"/>
        </w:rPr>
        <w:t>Harvard University and his Doctor of Philosophy in Economics from Massachusetts Institute of Technology. Dr. McClellan is a valuable member of our Board because of his extensive experience in public health policy, his academic experience and background as both a regulator and government advisor.</w:t>
      </w:r>
    </w:p>
    <w:p>
      <w:pPr>
        <w:spacing w:after="0" w:line="200" w:lineRule="exact"/>
        <w:rPr>
          <w:sz w:val="20"/>
          <w:szCs w:val="20"/>
          <w:color w:val="auto"/>
        </w:rPr>
      </w:pPr>
    </w:p>
    <w:p>
      <w:pPr>
        <w:spacing w:after="0" w:line="331" w:lineRule="exact"/>
        <w:rPr>
          <w:sz w:val="20"/>
          <w:szCs w:val="20"/>
          <w:color w:val="auto"/>
        </w:rPr>
      </w:pPr>
    </w:p>
    <w:p>
      <w:pPr>
        <w:ind w:left="2580" w:right="360"/>
        <w:spacing w:after="0" w:line="234" w:lineRule="auto"/>
        <w:rPr>
          <w:sz w:val="20"/>
          <w:szCs w:val="20"/>
          <w:color w:val="auto"/>
        </w:rPr>
      </w:pPr>
      <w:r>
        <w:rPr>
          <w:rFonts w:ascii="Arial" w:cs="Arial" w:eastAsia="Arial" w:hAnsi="Arial"/>
          <w:sz w:val="17"/>
          <w:szCs w:val="17"/>
          <w:color w:val="auto"/>
        </w:rPr>
        <w:t>Mr. Vorhoff has been a member of our Board since 2014. Mr. Vorhoff is a Managing Director, Investment Committee member and the Global Head of Global Healthcare at General Atlantic, an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-220980</wp:posOffset>
            </wp:positionV>
            <wp:extent cx="1148715" cy="10801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48715" cy="1080135"/>
                    </a:xfrm>
                    <a:prstGeom prst="rect">
                      <a:avLst/>
                    </a:prstGeom>
                    <a:noFill/>
                  </pic:spPr>
                </pic:pic>
              </a:graphicData>
            </a:graphic>
          </wp:anchor>
        </w:drawing>
      </w:r>
    </w:p>
    <w:p>
      <w:pPr>
        <w:ind w:left="2580"/>
        <w:spacing w:after="0" w:line="205" w:lineRule="auto"/>
        <w:rPr>
          <w:sz w:val="20"/>
          <w:szCs w:val="20"/>
          <w:color w:val="auto"/>
        </w:rPr>
      </w:pPr>
      <w:r>
        <w:rPr>
          <w:rFonts w:ascii="Arial" w:cs="Arial" w:eastAsia="Arial" w:hAnsi="Arial"/>
          <w:sz w:val="18"/>
          <w:szCs w:val="18"/>
          <w:color w:val="auto"/>
        </w:rPr>
        <w:t>management firm, in New York City. Before joining General Atlantic in 2003, Mr. Vorhoff worked at Greenhill</w:t>
      </w:r>
    </w:p>
    <w:p>
      <w:pPr>
        <w:ind w:left="2580" w:right="20" w:firstLine="4"/>
        <w:spacing w:after="0" w:line="207" w:lineRule="auto"/>
        <w:tabs>
          <w:tab w:leader="none" w:pos="27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 an investment bank, first in the mergers &amp; acquisitions and restructuring advisory group, then in the private equity group, Greenhill Capital Partners. Mr. Vorhoff is currently a board member of several private health care companies, including Equality Health, Included Health, Marathon Health, NationsBenefits, Suvida Helathcare, Eventus Whole Health, and Author Health, as well as several other private companies and nonprofit organizations. Mr. Vorhoff previously was a member of the boards of Align Networks, Alternate Solutions Health Network, A Place for Mom, eviCore Healthcare, Landmark Health, Oak Street Health, WelbeHealth, OneOncology and MedExpress. Mr. Vorhoff received a B.S. in Commerce with a</w:t>
      </w:r>
    </w:p>
    <w:p>
      <w:pPr>
        <w:spacing w:after="0"/>
        <w:tabs>
          <w:tab w:leader="none" w:pos="2560" w:val="left"/>
        </w:tabs>
        <w:rPr>
          <w:sz w:val="20"/>
          <w:szCs w:val="20"/>
          <w:color w:val="auto"/>
        </w:rPr>
      </w:pPr>
      <w:r>
        <w:rPr>
          <w:rFonts w:ascii="Arial" w:cs="Arial" w:eastAsia="Arial" w:hAnsi="Arial"/>
          <w:sz w:val="18"/>
          <w:szCs w:val="18"/>
          <w:b w:val="1"/>
          <w:bCs w:val="1"/>
          <w:i w:val="1"/>
          <w:iCs w:val="1"/>
          <w:color w:val="1F497D"/>
        </w:rPr>
        <w:t>Robbert Vorhoff</w:t>
      </w:r>
      <w:r>
        <w:rPr>
          <w:sz w:val="20"/>
          <w:szCs w:val="20"/>
          <w:color w:val="auto"/>
        </w:rPr>
        <w:tab/>
      </w:r>
      <w:r>
        <w:rPr>
          <w:rFonts w:ascii="Arial" w:cs="Arial" w:eastAsia="Arial" w:hAnsi="Arial"/>
          <w:sz w:val="17"/>
          <w:szCs w:val="17"/>
          <w:color w:val="auto"/>
        </w:rPr>
        <w:t>concentration in Finance from the McIntire School of Commerce at the University of Virginia. Mr. Vorhoff is a</w:t>
      </w:r>
    </w:p>
    <w:p>
      <w:pPr>
        <w:ind w:left="2580" w:right="120"/>
        <w:spacing w:after="0" w:line="229" w:lineRule="auto"/>
        <w:rPr>
          <w:sz w:val="20"/>
          <w:szCs w:val="20"/>
          <w:color w:val="auto"/>
        </w:rPr>
      </w:pPr>
      <w:r>
        <w:rPr>
          <w:rFonts w:ascii="Arial" w:cs="Arial" w:eastAsia="Arial" w:hAnsi="Arial"/>
          <w:sz w:val="18"/>
          <w:szCs w:val="18"/>
          <w:color w:val="auto"/>
        </w:rPr>
        <w:t>valuable member of our Board because of his private equity experience and his experience on other health care companies’ boards.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1F497D"/>
        </w:rPr>
        <w:t>Vote Required and Recommendation of the Board of Directors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plurality of the votes cast by the shares of common stock present in person or represented by proxy at the Annual Meeting and</w:t>
      </w:r>
    </w:p>
    <w:p>
      <w:pPr>
        <w:spacing w:after="0" w:line="221" w:lineRule="auto"/>
        <w:rPr>
          <w:sz w:val="20"/>
          <w:szCs w:val="20"/>
          <w:color w:val="auto"/>
        </w:rPr>
      </w:pPr>
      <w:r>
        <w:rPr>
          <w:rFonts w:ascii="Arial" w:cs="Arial" w:eastAsia="Arial" w:hAnsi="Arial"/>
          <w:sz w:val="18"/>
          <w:szCs w:val="18"/>
          <w:color w:val="auto"/>
        </w:rPr>
        <w:t>entitled to vote thereon is required to elect each nominee named herein. This means that the four nominees receiving the highest number of votes at the Annual Meeting will be elected, even if those votes do not constitute a majority of the votes cast. Shares not present at the Annual Meeting and broker non-votes have no effect on the election of directors. Abstentions are not applicable to this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40575" cy="283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0575" cy="283210"/>
                    </a:xfrm>
                    <a:prstGeom prst="rect">
                      <a:avLst/>
                    </a:prstGeom>
                    <a:noFill/>
                  </pic:spPr>
                </pic:pic>
              </a:graphicData>
            </a:graphic>
          </wp:anchor>
        </w:drawing>
      </w:r>
    </w:p>
    <w:p>
      <w:pPr>
        <w:spacing w:after="0" w:line="200"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THE BOARD OF DIRECTORS RECOMMENDS THAT YOU VOTE</w:t>
      </w:r>
    </w:p>
    <w:p>
      <w:pPr>
        <w:ind w:left="3340"/>
        <w:spacing w:after="0"/>
        <w:rPr>
          <w:sz w:val="20"/>
          <w:szCs w:val="20"/>
          <w:color w:val="auto"/>
        </w:rPr>
      </w:pPr>
      <w:r>
        <w:rPr>
          <w:rFonts w:ascii="Arial" w:cs="Arial" w:eastAsia="Arial" w:hAnsi="Arial"/>
          <w:sz w:val="18"/>
          <w:szCs w:val="18"/>
          <w:b w:val="1"/>
          <w:bCs w:val="1"/>
          <w:color w:val="auto"/>
        </w:rPr>
        <w:t>“FOR” EACH OF THE ABOVE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5" w:right="459" w:bottom="1440" w:gutter="0" w:footer="0" w:header="0"/>
        </w:sectPr>
      </w:pPr>
    </w:p>
    <w:bookmarkStart w:id="23" w:name="page24"/>
    <w:bookmarkEnd w:id="23"/>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Continuing Directors</w:t>
      </w:r>
    </w:p>
    <w:p>
      <w:pPr>
        <w:spacing w:after="0" w:line="225" w:lineRule="exact"/>
        <w:rPr>
          <w:sz w:val="20"/>
          <w:szCs w:val="20"/>
          <w:color w:val="auto"/>
        </w:rPr>
      </w:pPr>
    </w:p>
    <w:p>
      <w:pPr>
        <w:ind w:right="720" w:firstLine="486"/>
        <w:spacing w:after="0" w:line="287" w:lineRule="auto"/>
        <w:rPr>
          <w:sz w:val="20"/>
          <w:szCs w:val="20"/>
          <w:color w:val="auto"/>
        </w:rPr>
      </w:pPr>
      <w:r>
        <w:rPr>
          <w:rFonts w:ascii="Arial" w:cs="Arial" w:eastAsia="Arial" w:hAnsi="Arial"/>
          <w:sz w:val="18"/>
          <w:szCs w:val="18"/>
          <w:color w:val="auto"/>
        </w:rPr>
        <w:t>The following table summarizes key facts regarding the members of our Board whose terms are continuing beyond the Annual Meeting:</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Name</w:t>
            </w: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Class</w:t>
            </w:r>
          </w:p>
        </w:tc>
        <w:tc>
          <w:tcPr>
            <w:tcW w:w="6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Age</w:t>
            </w:r>
          </w:p>
        </w:tc>
        <w:tc>
          <w:tcPr>
            <w:tcW w:w="1320" w:type="dxa"/>
            <w:vAlign w:val="bottom"/>
            <w:vMerge w:val="restart"/>
          </w:tcPr>
          <w:p>
            <w:pPr>
              <w:jc w:val="center"/>
              <w:ind w:left="19"/>
              <w:spacing w:after="0"/>
              <w:rPr>
                <w:sz w:val="20"/>
                <w:szCs w:val="20"/>
                <w:color w:val="auto"/>
              </w:rPr>
            </w:pPr>
            <w:r>
              <w:rPr>
                <w:rFonts w:ascii="Arial" w:cs="Arial" w:eastAsia="Arial" w:hAnsi="Arial"/>
                <w:sz w:val="16"/>
                <w:szCs w:val="16"/>
                <w:b w:val="1"/>
                <w:bCs w:val="1"/>
                <w:color w:val="auto"/>
              </w:rPr>
              <w:t>Director Since</w:t>
            </w: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Term Expires</w:t>
            </w:r>
          </w:p>
        </w:tc>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Independent</w:t>
            </w:r>
          </w:p>
        </w:tc>
        <w:tc>
          <w:tcPr>
            <w:tcW w:w="194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Committees</w:t>
            </w:r>
          </w:p>
        </w:tc>
        <w:tc>
          <w:tcPr>
            <w:tcW w:w="210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 Public Company</w:t>
            </w:r>
          </w:p>
        </w:tc>
        <w:tc>
          <w:tcPr>
            <w:tcW w:w="0" w:type="dxa"/>
            <w:vAlign w:val="bottom"/>
          </w:tcPr>
          <w:p>
            <w:pPr>
              <w:spacing w:after="0"/>
              <w:rPr>
                <w:sz w:val="1"/>
                <w:szCs w:val="1"/>
                <w:color w:val="auto"/>
              </w:rPr>
            </w:pPr>
          </w:p>
        </w:tc>
      </w:tr>
      <w:tr>
        <w:trPr>
          <w:trHeight w:val="216"/>
        </w:trPr>
        <w:tc>
          <w:tcPr>
            <w:tcW w:w="15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940" w:type="dxa"/>
            <w:vAlign w:val="bottom"/>
            <w:tcBorders>
              <w:bottom w:val="single" w:sz="8" w:color="auto"/>
            </w:tcBorders>
            <w:vMerge w:val="continue"/>
          </w:tcPr>
          <w:p>
            <w:pPr>
              <w:spacing w:after="0"/>
              <w:rPr>
                <w:sz w:val="18"/>
                <w:szCs w:val="18"/>
                <w:color w:val="auto"/>
              </w:rPr>
            </w:pPr>
          </w:p>
        </w:tc>
        <w:tc>
          <w:tcPr>
            <w:tcW w:w="21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Boards</w:t>
            </w:r>
          </w:p>
        </w:tc>
        <w:tc>
          <w:tcPr>
            <w:tcW w:w="0" w:type="dxa"/>
            <w:vAlign w:val="bottom"/>
          </w:tcPr>
          <w:p>
            <w:pPr>
              <w:spacing w:after="0"/>
              <w:rPr>
                <w:sz w:val="1"/>
                <w:szCs w:val="1"/>
                <w:color w:val="auto"/>
              </w:rPr>
            </w:pPr>
          </w:p>
        </w:tc>
      </w:tr>
      <w:tr>
        <w:trPr>
          <w:trHeight w:val="222"/>
        </w:trPr>
        <w:tc>
          <w:tcPr>
            <w:tcW w:w="1580" w:type="dxa"/>
            <w:vAlign w:val="bottom"/>
            <w:shd w:val="clear" w:color="auto" w:fill="DBE5F1"/>
          </w:tcPr>
          <w:p>
            <w:pPr>
              <w:ind w:left="80"/>
              <w:spacing w:after="0"/>
              <w:rPr>
                <w:sz w:val="20"/>
                <w:szCs w:val="20"/>
                <w:color w:val="auto"/>
              </w:rPr>
            </w:pPr>
            <w:r>
              <w:rPr>
                <w:rFonts w:ascii="Arial" w:cs="Arial" w:eastAsia="Arial" w:hAnsi="Arial"/>
                <w:sz w:val="16"/>
                <w:szCs w:val="16"/>
                <w:color w:val="auto"/>
              </w:rPr>
              <w:t>Jody Bilney</w:t>
            </w:r>
          </w:p>
        </w:tc>
        <w:tc>
          <w:tcPr>
            <w:tcW w:w="820" w:type="dxa"/>
            <w:vAlign w:val="bottom"/>
            <w:vMerge w:val="restart"/>
            <w:shd w:val="clear" w:color="auto" w:fill="DBE5F1"/>
          </w:tcPr>
          <w:p>
            <w:pPr>
              <w:jc w:val="center"/>
              <w:spacing w:after="0"/>
              <w:rPr>
                <w:sz w:val="20"/>
                <w:szCs w:val="20"/>
                <w:color w:val="auto"/>
              </w:rPr>
            </w:pPr>
            <w:r>
              <w:rPr>
                <w:rFonts w:ascii="Arial" w:cs="Arial" w:eastAsia="Arial" w:hAnsi="Arial"/>
                <w:sz w:val="16"/>
                <w:szCs w:val="16"/>
                <w:color w:val="auto"/>
                <w:w w:val="89"/>
              </w:rPr>
              <w:t>II</w:t>
            </w:r>
          </w:p>
        </w:tc>
        <w:tc>
          <w:tcPr>
            <w:tcW w:w="680" w:type="dxa"/>
            <w:vAlign w:val="bottom"/>
            <w:shd w:val="clear" w:color="auto" w:fill="DBE5F1"/>
          </w:tcPr>
          <w:p>
            <w:pPr>
              <w:jc w:val="center"/>
              <w:ind w:left="19"/>
              <w:spacing w:after="0"/>
              <w:rPr>
                <w:sz w:val="20"/>
                <w:szCs w:val="20"/>
                <w:color w:val="auto"/>
              </w:rPr>
            </w:pPr>
            <w:r>
              <w:rPr>
                <w:rFonts w:ascii="Arial" w:cs="Arial" w:eastAsia="Arial" w:hAnsi="Arial"/>
                <w:sz w:val="16"/>
                <w:szCs w:val="16"/>
                <w:color w:val="auto"/>
              </w:rPr>
              <w:t>63</w:t>
            </w:r>
          </w:p>
        </w:tc>
        <w:tc>
          <w:tcPr>
            <w:tcW w:w="1320" w:type="dxa"/>
            <w:vAlign w:val="bottom"/>
            <w:shd w:val="clear" w:color="auto" w:fill="DBE5F1"/>
          </w:tcPr>
          <w:p>
            <w:pPr>
              <w:jc w:val="center"/>
              <w:spacing w:after="0"/>
              <w:rPr>
                <w:sz w:val="20"/>
                <w:szCs w:val="20"/>
                <w:color w:val="auto"/>
              </w:rPr>
            </w:pPr>
            <w:r>
              <w:rPr>
                <w:rFonts w:ascii="Arial" w:cs="Arial" w:eastAsia="Arial" w:hAnsi="Arial"/>
                <w:sz w:val="16"/>
                <w:szCs w:val="16"/>
                <w:color w:val="auto"/>
              </w:rPr>
              <w:t>2022</w:t>
            </w:r>
          </w:p>
        </w:tc>
        <w:tc>
          <w:tcPr>
            <w:tcW w:w="1340" w:type="dxa"/>
            <w:vAlign w:val="bottom"/>
            <w:shd w:val="clear" w:color="auto" w:fill="DBE5F1"/>
          </w:tcPr>
          <w:p>
            <w:pPr>
              <w:jc w:val="center"/>
              <w:ind w:right="99"/>
              <w:spacing w:after="0"/>
              <w:rPr>
                <w:sz w:val="20"/>
                <w:szCs w:val="20"/>
                <w:color w:val="auto"/>
              </w:rPr>
            </w:pPr>
            <w:r>
              <w:rPr>
                <w:rFonts w:ascii="Arial" w:cs="Arial" w:eastAsia="Arial" w:hAnsi="Arial"/>
                <w:sz w:val="16"/>
                <w:szCs w:val="16"/>
                <w:color w:val="auto"/>
              </w:rPr>
              <w:t>2026</w:t>
            </w:r>
          </w:p>
        </w:tc>
        <w:tc>
          <w:tcPr>
            <w:tcW w:w="146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4"/>
              </w:rPr>
              <w:t>Yes</w:t>
            </w:r>
          </w:p>
        </w:tc>
        <w:tc>
          <w:tcPr>
            <w:tcW w:w="1940" w:type="dxa"/>
            <w:vAlign w:val="bottom"/>
            <w:shd w:val="clear" w:color="auto" w:fill="DBE5F1"/>
          </w:tcPr>
          <w:p>
            <w:pPr>
              <w:ind w:left="240"/>
              <w:spacing w:after="0"/>
              <w:rPr>
                <w:sz w:val="20"/>
                <w:szCs w:val="20"/>
                <w:color w:val="auto"/>
              </w:rPr>
            </w:pPr>
            <w:r>
              <w:rPr>
                <w:rFonts w:ascii="Arial" w:cs="Arial" w:eastAsia="Arial" w:hAnsi="Arial"/>
                <w:sz w:val="16"/>
                <w:szCs w:val="16"/>
                <w:color w:val="auto"/>
              </w:rPr>
              <w:t>Audit</w:t>
            </w:r>
          </w:p>
        </w:tc>
        <w:tc>
          <w:tcPr>
            <w:tcW w:w="240" w:type="dxa"/>
            <w:vAlign w:val="bottom"/>
            <w:shd w:val="clear" w:color="auto" w:fill="DBE5F1"/>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DBE5F1"/>
          </w:tcPr>
          <w:p>
            <w:pPr>
              <w:ind w:left="60"/>
              <w:spacing w:after="0"/>
              <w:rPr>
                <w:sz w:val="20"/>
                <w:szCs w:val="20"/>
                <w:color w:val="auto"/>
              </w:rPr>
            </w:pPr>
            <w:r>
              <w:rPr>
                <w:rFonts w:ascii="Arial" w:cs="Arial" w:eastAsia="Arial" w:hAnsi="Arial"/>
                <w:sz w:val="16"/>
                <w:szCs w:val="16"/>
                <w:color w:val="auto"/>
              </w:rPr>
              <w:t>Cracker Barrel Old</w:t>
            </w:r>
          </w:p>
        </w:tc>
        <w:tc>
          <w:tcPr>
            <w:tcW w:w="0" w:type="dxa"/>
            <w:vAlign w:val="bottom"/>
          </w:tcPr>
          <w:p>
            <w:pPr>
              <w:spacing w:after="0"/>
              <w:rPr>
                <w:sz w:val="1"/>
                <w:szCs w:val="1"/>
                <w:color w:val="auto"/>
              </w:rPr>
            </w:pPr>
          </w:p>
        </w:tc>
      </w:tr>
      <w:tr>
        <w:trPr>
          <w:trHeight w:val="107"/>
        </w:trPr>
        <w:tc>
          <w:tcPr>
            <w:tcW w:w="1580" w:type="dxa"/>
            <w:vAlign w:val="bottom"/>
            <w:shd w:val="clear" w:color="auto" w:fill="DBE5F1"/>
          </w:tcPr>
          <w:p>
            <w:pPr>
              <w:spacing w:after="0"/>
              <w:rPr>
                <w:sz w:val="9"/>
                <w:szCs w:val="9"/>
                <w:color w:val="auto"/>
              </w:rPr>
            </w:pPr>
          </w:p>
        </w:tc>
        <w:tc>
          <w:tcPr>
            <w:tcW w:w="820" w:type="dxa"/>
            <w:vAlign w:val="bottom"/>
            <w:vMerge w:val="continue"/>
            <w:shd w:val="clear" w:color="auto" w:fill="DBE5F1"/>
          </w:tcPr>
          <w:p>
            <w:pPr>
              <w:spacing w:after="0"/>
              <w:rPr>
                <w:sz w:val="9"/>
                <w:szCs w:val="9"/>
                <w:color w:val="auto"/>
              </w:rPr>
            </w:pPr>
          </w:p>
        </w:tc>
        <w:tc>
          <w:tcPr>
            <w:tcW w:w="680" w:type="dxa"/>
            <w:vAlign w:val="bottom"/>
            <w:shd w:val="clear" w:color="auto" w:fill="DBE5F1"/>
          </w:tcPr>
          <w:p>
            <w:pPr>
              <w:spacing w:after="0"/>
              <w:rPr>
                <w:sz w:val="9"/>
                <w:szCs w:val="9"/>
                <w:color w:val="auto"/>
              </w:rPr>
            </w:pPr>
          </w:p>
        </w:tc>
        <w:tc>
          <w:tcPr>
            <w:tcW w:w="1320" w:type="dxa"/>
            <w:vAlign w:val="bottom"/>
            <w:shd w:val="clear" w:color="auto" w:fill="DBE5F1"/>
          </w:tcPr>
          <w:p>
            <w:pPr>
              <w:spacing w:after="0"/>
              <w:rPr>
                <w:sz w:val="9"/>
                <w:szCs w:val="9"/>
                <w:color w:val="auto"/>
              </w:rPr>
            </w:pPr>
          </w:p>
        </w:tc>
        <w:tc>
          <w:tcPr>
            <w:tcW w:w="1340" w:type="dxa"/>
            <w:vAlign w:val="bottom"/>
            <w:shd w:val="clear" w:color="auto" w:fill="DBE5F1"/>
          </w:tcPr>
          <w:p>
            <w:pPr>
              <w:spacing w:after="0"/>
              <w:rPr>
                <w:sz w:val="9"/>
                <w:szCs w:val="9"/>
                <w:color w:val="auto"/>
              </w:rPr>
            </w:pPr>
          </w:p>
        </w:tc>
        <w:tc>
          <w:tcPr>
            <w:tcW w:w="1460" w:type="dxa"/>
            <w:vAlign w:val="bottom"/>
            <w:shd w:val="clear" w:color="auto" w:fill="DBE5F1"/>
          </w:tcPr>
          <w:p>
            <w:pPr>
              <w:spacing w:after="0"/>
              <w:rPr>
                <w:sz w:val="9"/>
                <w:szCs w:val="9"/>
                <w:color w:val="auto"/>
              </w:rPr>
            </w:pPr>
          </w:p>
        </w:tc>
        <w:tc>
          <w:tcPr>
            <w:tcW w:w="1940" w:type="dxa"/>
            <w:vAlign w:val="bottom"/>
            <w:shd w:val="clear" w:color="auto" w:fill="DBE5F1"/>
          </w:tcPr>
          <w:p>
            <w:pPr>
              <w:spacing w:after="0"/>
              <w:rPr>
                <w:sz w:val="9"/>
                <w:szCs w:val="9"/>
                <w:color w:val="auto"/>
              </w:rPr>
            </w:pPr>
          </w:p>
        </w:tc>
        <w:tc>
          <w:tcPr>
            <w:tcW w:w="240" w:type="dxa"/>
            <w:vAlign w:val="bottom"/>
            <w:shd w:val="clear" w:color="auto" w:fill="DBE5F1"/>
          </w:tcPr>
          <w:p>
            <w:pPr>
              <w:spacing w:after="0"/>
              <w:rPr>
                <w:sz w:val="9"/>
                <w:szCs w:val="9"/>
                <w:color w:val="auto"/>
              </w:rPr>
            </w:pPr>
          </w:p>
        </w:tc>
        <w:tc>
          <w:tcPr>
            <w:tcW w:w="1860" w:type="dxa"/>
            <w:vAlign w:val="bottom"/>
            <w:vMerge w:val="restart"/>
            <w:shd w:val="clear" w:color="auto" w:fill="DBE5F1"/>
          </w:tcPr>
          <w:p>
            <w:pPr>
              <w:ind w:left="60"/>
              <w:spacing w:after="0"/>
              <w:rPr>
                <w:sz w:val="20"/>
                <w:szCs w:val="20"/>
                <w:color w:val="auto"/>
              </w:rPr>
            </w:pPr>
            <w:r>
              <w:rPr>
                <w:rFonts w:ascii="Arial" w:cs="Arial" w:eastAsia="Arial" w:hAnsi="Arial"/>
                <w:sz w:val="16"/>
                <w:szCs w:val="16"/>
                <w:color w:val="auto"/>
              </w:rPr>
              <w:t>Country Store, Inc.</w:t>
            </w:r>
          </w:p>
        </w:tc>
        <w:tc>
          <w:tcPr>
            <w:tcW w:w="0" w:type="dxa"/>
            <w:vAlign w:val="bottom"/>
          </w:tcPr>
          <w:p>
            <w:pPr>
              <w:spacing w:after="0"/>
              <w:rPr>
                <w:sz w:val="1"/>
                <w:szCs w:val="1"/>
                <w:color w:val="auto"/>
              </w:rPr>
            </w:pPr>
          </w:p>
        </w:tc>
      </w:tr>
      <w:tr>
        <w:trPr>
          <w:trHeight w:val="108"/>
        </w:trPr>
        <w:tc>
          <w:tcPr>
            <w:tcW w:w="1580" w:type="dxa"/>
            <w:vAlign w:val="bottom"/>
            <w:shd w:val="clear" w:color="auto" w:fill="DBE5F1"/>
          </w:tcPr>
          <w:p>
            <w:pPr>
              <w:spacing w:after="0"/>
              <w:rPr>
                <w:sz w:val="9"/>
                <w:szCs w:val="9"/>
                <w:color w:val="auto"/>
              </w:rPr>
            </w:pPr>
          </w:p>
        </w:tc>
        <w:tc>
          <w:tcPr>
            <w:tcW w:w="820" w:type="dxa"/>
            <w:vAlign w:val="bottom"/>
            <w:shd w:val="clear" w:color="auto" w:fill="DBE5F1"/>
          </w:tcPr>
          <w:p>
            <w:pPr>
              <w:spacing w:after="0"/>
              <w:rPr>
                <w:sz w:val="9"/>
                <w:szCs w:val="9"/>
                <w:color w:val="auto"/>
              </w:rPr>
            </w:pPr>
          </w:p>
        </w:tc>
        <w:tc>
          <w:tcPr>
            <w:tcW w:w="680" w:type="dxa"/>
            <w:vAlign w:val="bottom"/>
            <w:shd w:val="clear" w:color="auto" w:fill="DBE5F1"/>
          </w:tcPr>
          <w:p>
            <w:pPr>
              <w:spacing w:after="0"/>
              <w:rPr>
                <w:sz w:val="9"/>
                <w:szCs w:val="9"/>
                <w:color w:val="auto"/>
              </w:rPr>
            </w:pPr>
          </w:p>
        </w:tc>
        <w:tc>
          <w:tcPr>
            <w:tcW w:w="1320" w:type="dxa"/>
            <w:vAlign w:val="bottom"/>
            <w:shd w:val="clear" w:color="auto" w:fill="DBE5F1"/>
          </w:tcPr>
          <w:p>
            <w:pPr>
              <w:spacing w:after="0"/>
              <w:rPr>
                <w:sz w:val="9"/>
                <w:szCs w:val="9"/>
                <w:color w:val="auto"/>
              </w:rPr>
            </w:pPr>
          </w:p>
        </w:tc>
        <w:tc>
          <w:tcPr>
            <w:tcW w:w="1340" w:type="dxa"/>
            <w:vAlign w:val="bottom"/>
            <w:shd w:val="clear" w:color="auto" w:fill="DBE5F1"/>
          </w:tcPr>
          <w:p>
            <w:pPr>
              <w:spacing w:after="0"/>
              <w:rPr>
                <w:sz w:val="9"/>
                <w:szCs w:val="9"/>
                <w:color w:val="auto"/>
              </w:rPr>
            </w:pPr>
          </w:p>
        </w:tc>
        <w:tc>
          <w:tcPr>
            <w:tcW w:w="1460" w:type="dxa"/>
            <w:vAlign w:val="bottom"/>
            <w:shd w:val="clear" w:color="auto" w:fill="DBE5F1"/>
          </w:tcPr>
          <w:p>
            <w:pPr>
              <w:spacing w:after="0"/>
              <w:rPr>
                <w:sz w:val="9"/>
                <w:szCs w:val="9"/>
                <w:color w:val="auto"/>
              </w:rPr>
            </w:pPr>
          </w:p>
        </w:tc>
        <w:tc>
          <w:tcPr>
            <w:tcW w:w="1940" w:type="dxa"/>
            <w:vAlign w:val="bottom"/>
            <w:shd w:val="clear" w:color="auto" w:fill="DBE5F1"/>
          </w:tcPr>
          <w:p>
            <w:pPr>
              <w:spacing w:after="0"/>
              <w:rPr>
                <w:sz w:val="9"/>
                <w:szCs w:val="9"/>
                <w:color w:val="auto"/>
              </w:rPr>
            </w:pPr>
          </w:p>
        </w:tc>
        <w:tc>
          <w:tcPr>
            <w:tcW w:w="240" w:type="dxa"/>
            <w:vAlign w:val="bottom"/>
            <w:shd w:val="clear" w:color="auto" w:fill="DBE5F1"/>
          </w:tcPr>
          <w:p>
            <w:pPr>
              <w:spacing w:after="0"/>
              <w:rPr>
                <w:sz w:val="9"/>
                <w:szCs w:val="9"/>
                <w:color w:val="auto"/>
              </w:rPr>
            </w:pPr>
          </w:p>
        </w:tc>
        <w:tc>
          <w:tcPr>
            <w:tcW w:w="1860" w:type="dxa"/>
            <w:vAlign w:val="bottom"/>
            <w:vMerge w:val="continue"/>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580" w:type="dxa"/>
            <w:vAlign w:val="bottom"/>
            <w:shd w:val="clear" w:color="auto" w:fill="DBE5F1"/>
          </w:tcPr>
          <w:p>
            <w:pPr>
              <w:spacing w:after="0"/>
              <w:rPr>
                <w:sz w:val="10"/>
                <w:szCs w:val="10"/>
                <w:color w:val="auto"/>
              </w:rPr>
            </w:pPr>
          </w:p>
        </w:tc>
        <w:tc>
          <w:tcPr>
            <w:tcW w:w="820" w:type="dxa"/>
            <w:vAlign w:val="bottom"/>
            <w:shd w:val="clear" w:color="auto" w:fill="DBE5F1"/>
          </w:tcPr>
          <w:p>
            <w:pPr>
              <w:spacing w:after="0"/>
              <w:rPr>
                <w:sz w:val="10"/>
                <w:szCs w:val="10"/>
                <w:color w:val="auto"/>
              </w:rPr>
            </w:pPr>
          </w:p>
        </w:tc>
        <w:tc>
          <w:tcPr>
            <w:tcW w:w="680" w:type="dxa"/>
            <w:vAlign w:val="bottom"/>
            <w:shd w:val="clear" w:color="auto" w:fill="DBE5F1"/>
          </w:tcPr>
          <w:p>
            <w:pPr>
              <w:spacing w:after="0"/>
              <w:rPr>
                <w:sz w:val="10"/>
                <w:szCs w:val="10"/>
                <w:color w:val="auto"/>
              </w:rPr>
            </w:pPr>
          </w:p>
        </w:tc>
        <w:tc>
          <w:tcPr>
            <w:tcW w:w="1320" w:type="dxa"/>
            <w:vAlign w:val="bottom"/>
            <w:shd w:val="clear" w:color="auto" w:fill="DBE5F1"/>
          </w:tcPr>
          <w:p>
            <w:pPr>
              <w:spacing w:after="0"/>
              <w:rPr>
                <w:sz w:val="10"/>
                <w:szCs w:val="10"/>
                <w:color w:val="auto"/>
              </w:rPr>
            </w:pPr>
          </w:p>
        </w:tc>
        <w:tc>
          <w:tcPr>
            <w:tcW w:w="1340" w:type="dxa"/>
            <w:vAlign w:val="bottom"/>
            <w:shd w:val="clear" w:color="auto" w:fill="DBE5F1"/>
          </w:tcPr>
          <w:p>
            <w:pPr>
              <w:spacing w:after="0"/>
              <w:rPr>
                <w:sz w:val="10"/>
                <w:szCs w:val="10"/>
                <w:color w:val="auto"/>
              </w:rPr>
            </w:pPr>
          </w:p>
        </w:tc>
        <w:tc>
          <w:tcPr>
            <w:tcW w:w="1460" w:type="dxa"/>
            <w:vAlign w:val="bottom"/>
            <w:shd w:val="clear" w:color="auto" w:fill="DBE5F1"/>
          </w:tcPr>
          <w:p>
            <w:pPr>
              <w:spacing w:after="0"/>
              <w:rPr>
                <w:sz w:val="10"/>
                <w:szCs w:val="10"/>
                <w:color w:val="auto"/>
              </w:rPr>
            </w:pPr>
          </w:p>
        </w:tc>
        <w:tc>
          <w:tcPr>
            <w:tcW w:w="1940" w:type="dxa"/>
            <w:vAlign w:val="bottom"/>
            <w:shd w:val="clear" w:color="auto" w:fill="DBE5F1"/>
          </w:tcPr>
          <w:p>
            <w:pPr>
              <w:spacing w:after="0"/>
              <w:rPr>
                <w:sz w:val="10"/>
                <w:szCs w:val="10"/>
                <w:color w:val="auto"/>
              </w:rPr>
            </w:pPr>
          </w:p>
        </w:tc>
        <w:tc>
          <w:tcPr>
            <w:tcW w:w="240" w:type="dxa"/>
            <w:vAlign w:val="bottom"/>
            <w:shd w:val="clear" w:color="auto" w:fill="DBE5F1"/>
          </w:tcPr>
          <w:p>
            <w:pPr>
              <w:spacing w:after="0"/>
              <w:rPr>
                <w:sz w:val="10"/>
                <w:szCs w:val="10"/>
                <w:color w:val="auto"/>
              </w:rPr>
            </w:pPr>
          </w:p>
        </w:tc>
        <w:tc>
          <w:tcPr>
            <w:tcW w:w="1860" w:type="dxa"/>
            <w:vAlign w:val="bottom"/>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580" w:type="dxa"/>
            <w:vAlign w:val="bottom"/>
          </w:tcPr>
          <w:p>
            <w:pPr>
              <w:ind w:left="80"/>
              <w:spacing w:after="0"/>
              <w:rPr>
                <w:sz w:val="20"/>
                <w:szCs w:val="20"/>
                <w:color w:val="auto"/>
              </w:rPr>
            </w:pPr>
            <w:r>
              <w:rPr>
                <w:rFonts w:ascii="Arial" w:cs="Arial" w:eastAsia="Arial" w:hAnsi="Arial"/>
                <w:sz w:val="16"/>
                <w:szCs w:val="16"/>
                <w:color w:val="auto"/>
              </w:rPr>
              <w:t>David Hodgson</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w w:val="89"/>
              </w:rPr>
              <w:t>II</w:t>
            </w:r>
          </w:p>
        </w:tc>
        <w:tc>
          <w:tcPr>
            <w:tcW w:w="680" w:type="dxa"/>
            <w:vAlign w:val="bottom"/>
          </w:tcPr>
          <w:p>
            <w:pPr>
              <w:jc w:val="center"/>
              <w:ind w:left="19"/>
              <w:spacing w:after="0"/>
              <w:rPr>
                <w:sz w:val="20"/>
                <w:szCs w:val="20"/>
                <w:color w:val="auto"/>
              </w:rPr>
            </w:pPr>
            <w:r>
              <w:rPr>
                <w:rFonts w:ascii="Arial" w:cs="Arial" w:eastAsia="Arial" w:hAnsi="Arial"/>
                <w:sz w:val="16"/>
                <w:szCs w:val="16"/>
                <w:color w:val="auto"/>
              </w:rPr>
              <w:t>68</w:t>
            </w:r>
          </w:p>
        </w:tc>
        <w:tc>
          <w:tcPr>
            <w:tcW w:w="1320" w:type="dxa"/>
            <w:vAlign w:val="bottom"/>
          </w:tcPr>
          <w:p>
            <w:pPr>
              <w:jc w:val="center"/>
              <w:spacing w:after="0"/>
              <w:rPr>
                <w:sz w:val="20"/>
                <w:szCs w:val="20"/>
                <w:color w:val="auto"/>
              </w:rPr>
            </w:pPr>
            <w:r>
              <w:rPr>
                <w:rFonts w:ascii="Arial" w:cs="Arial" w:eastAsia="Arial" w:hAnsi="Arial"/>
                <w:sz w:val="16"/>
                <w:szCs w:val="16"/>
                <w:color w:val="auto"/>
              </w:rPr>
              <w:t>2014</w:t>
            </w:r>
          </w:p>
        </w:tc>
        <w:tc>
          <w:tcPr>
            <w:tcW w:w="1340" w:type="dxa"/>
            <w:vAlign w:val="bottom"/>
          </w:tcPr>
          <w:p>
            <w:pPr>
              <w:jc w:val="center"/>
              <w:ind w:right="99"/>
              <w:spacing w:after="0"/>
              <w:rPr>
                <w:sz w:val="20"/>
                <w:szCs w:val="20"/>
                <w:color w:val="auto"/>
              </w:rPr>
            </w:pPr>
            <w:r>
              <w:rPr>
                <w:rFonts w:ascii="Arial" w:cs="Arial" w:eastAsia="Arial" w:hAnsi="Arial"/>
                <w:sz w:val="16"/>
                <w:szCs w:val="16"/>
                <w:color w:val="auto"/>
              </w:rPr>
              <w:t>2026</w:t>
            </w:r>
          </w:p>
        </w:tc>
        <w:tc>
          <w:tcPr>
            <w:tcW w:w="1460" w:type="dxa"/>
            <w:vAlign w:val="bottom"/>
          </w:tcPr>
          <w:p>
            <w:pPr>
              <w:jc w:val="center"/>
              <w:spacing w:after="0"/>
              <w:rPr>
                <w:sz w:val="20"/>
                <w:szCs w:val="20"/>
                <w:color w:val="auto"/>
              </w:rPr>
            </w:pPr>
            <w:r>
              <w:rPr>
                <w:rFonts w:ascii="Arial" w:cs="Arial" w:eastAsia="Arial" w:hAnsi="Arial"/>
                <w:sz w:val="16"/>
                <w:szCs w:val="16"/>
                <w:color w:val="auto"/>
                <w:w w:val="94"/>
              </w:rPr>
              <w:t>Yes</w:t>
            </w:r>
          </w:p>
        </w:tc>
        <w:tc>
          <w:tcPr>
            <w:tcW w:w="1940" w:type="dxa"/>
            <w:vAlign w:val="bottom"/>
          </w:tcPr>
          <w:p>
            <w:pPr>
              <w:ind w:left="240"/>
              <w:spacing w:after="0"/>
              <w:rPr>
                <w:sz w:val="20"/>
                <w:szCs w:val="20"/>
                <w:color w:val="auto"/>
              </w:rPr>
            </w:pPr>
            <w:r>
              <w:rPr>
                <w:rFonts w:ascii="Arial" w:cs="Arial" w:eastAsia="Arial" w:hAnsi="Arial"/>
                <w:sz w:val="16"/>
                <w:szCs w:val="16"/>
                <w:color w:val="auto"/>
              </w:rPr>
              <w:t>NCGCC (Chair)</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ind w:left="40"/>
              <w:spacing w:after="0"/>
              <w:rPr>
                <w:sz w:val="20"/>
                <w:szCs w:val="20"/>
                <w:color w:val="auto"/>
              </w:rPr>
            </w:pPr>
            <w:r>
              <w:rPr>
                <w:rFonts w:ascii="Arial" w:cs="Arial" w:eastAsia="Arial" w:hAnsi="Arial"/>
                <w:sz w:val="16"/>
                <w:szCs w:val="16"/>
                <w:color w:val="auto"/>
              </w:rPr>
              <w:t>TriNet Group, Inc.</w:t>
            </w:r>
          </w:p>
        </w:tc>
        <w:tc>
          <w:tcPr>
            <w:tcW w:w="0" w:type="dxa"/>
            <w:vAlign w:val="bottom"/>
          </w:tcPr>
          <w:p>
            <w:pPr>
              <w:spacing w:after="0"/>
              <w:rPr>
                <w:sz w:val="1"/>
                <w:szCs w:val="1"/>
                <w:color w:val="auto"/>
              </w:rPr>
            </w:pPr>
          </w:p>
        </w:tc>
      </w:tr>
      <w:tr>
        <w:trPr>
          <w:trHeight w:val="93"/>
        </w:trPr>
        <w:tc>
          <w:tcPr>
            <w:tcW w:w="15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vMerge w:val="restart"/>
          </w:tcPr>
          <w:p>
            <w:pPr>
              <w:ind w:left="40"/>
              <w:spacing w:after="0"/>
              <w:rPr>
                <w:sz w:val="20"/>
                <w:szCs w:val="20"/>
                <w:color w:val="auto"/>
              </w:rPr>
            </w:pPr>
            <w:r>
              <w:rPr>
                <w:rFonts w:ascii="Arial" w:cs="Arial" w:eastAsia="Arial" w:hAnsi="Arial"/>
                <w:sz w:val="16"/>
                <w:szCs w:val="16"/>
                <w:color w:val="auto"/>
              </w:rPr>
              <w:t>Royalty Pharma plc</w:t>
            </w:r>
          </w:p>
        </w:tc>
        <w:tc>
          <w:tcPr>
            <w:tcW w:w="0" w:type="dxa"/>
            <w:vAlign w:val="bottom"/>
          </w:tcPr>
          <w:p>
            <w:pPr>
              <w:spacing w:after="0"/>
              <w:rPr>
                <w:sz w:val="1"/>
                <w:szCs w:val="1"/>
                <w:color w:val="auto"/>
              </w:rPr>
            </w:pPr>
          </w:p>
        </w:tc>
      </w:tr>
      <w:tr>
        <w:trPr>
          <w:trHeight w:val="178"/>
        </w:trPr>
        <w:tc>
          <w:tcPr>
            <w:tcW w:w="1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580" w:type="dxa"/>
            <w:vAlign w:val="bottom"/>
            <w:shd w:val="clear" w:color="auto" w:fill="DBE5F1"/>
          </w:tcPr>
          <w:p>
            <w:pPr>
              <w:ind w:left="80"/>
              <w:spacing w:after="0"/>
              <w:rPr>
                <w:sz w:val="20"/>
                <w:szCs w:val="20"/>
                <w:color w:val="auto"/>
              </w:rPr>
            </w:pPr>
            <w:r>
              <w:rPr>
                <w:rFonts w:ascii="Arial" w:cs="Arial" w:eastAsia="Arial" w:hAnsi="Arial"/>
                <w:sz w:val="16"/>
                <w:szCs w:val="16"/>
                <w:color w:val="auto"/>
              </w:rPr>
              <w:t>Jacqueline</w:t>
            </w:r>
          </w:p>
        </w:tc>
        <w:tc>
          <w:tcPr>
            <w:tcW w:w="820" w:type="dxa"/>
            <w:vAlign w:val="bottom"/>
            <w:vMerge w:val="restart"/>
            <w:shd w:val="clear" w:color="auto" w:fill="DBE5F1"/>
          </w:tcPr>
          <w:p>
            <w:pPr>
              <w:jc w:val="center"/>
              <w:spacing w:after="0"/>
              <w:rPr>
                <w:sz w:val="20"/>
                <w:szCs w:val="20"/>
                <w:color w:val="auto"/>
              </w:rPr>
            </w:pPr>
            <w:r>
              <w:rPr>
                <w:rFonts w:ascii="Arial" w:cs="Arial" w:eastAsia="Arial" w:hAnsi="Arial"/>
                <w:sz w:val="16"/>
                <w:szCs w:val="16"/>
                <w:color w:val="auto"/>
                <w:w w:val="89"/>
              </w:rPr>
              <w:t>II</w:t>
            </w:r>
          </w:p>
        </w:tc>
        <w:tc>
          <w:tcPr>
            <w:tcW w:w="680" w:type="dxa"/>
            <w:vAlign w:val="bottom"/>
            <w:vMerge w:val="restart"/>
            <w:shd w:val="clear" w:color="auto" w:fill="DBE5F1"/>
          </w:tcPr>
          <w:p>
            <w:pPr>
              <w:jc w:val="center"/>
              <w:ind w:left="19"/>
              <w:spacing w:after="0"/>
              <w:rPr>
                <w:sz w:val="20"/>
                <w:szCs w:val="20"/>
                <w:color w:val="auto"/>
              </w:rPr>
            </w:pPr>
            <w:r>
              <w:rPr>
                <w:rFonts w:ascii="Arial" w:cs="Arial" w:eastAsia="Arial" w:hAnsi="Arial"/>
                <w:sz w:val="16"/>
                <w:szCs w:val="16"/>
                <w:color w:val="auto"/>
              </w:rPr>
              <w:t>75</w:t>
            </w:r>
          </w:p>
        </w:tc>
        <w:tc>
          <w:tcPr>
            <w:tcW w:w="1320" w:type="dxa"/>
            <w:vAlign w:val="bottom"/>
            <w:shd w:val="clear" w:color="auto" w:fill="DBE5F1"/>
          </w:tcPr>
          <w:p>
            <w:pPr>
              <w:jc w:val="center"/>
              <w:spacing w:after="0"/>
              <w:rPr>
                <w:sz w:val="20"/>
                <w:szCs w:val="20"/>
                <w:color w:val="auto"/>
              </w:rPr>
            </w:pPr>
            <w:r>
              <w:rPr>
                <w:rFonts w:ascii="Arial" w:cs="Arial" w:eastAsia="Arial" w:hAnsi="Arial"/>
                <w:sz w:val="16"/>
                <w:szCs w:val="16"/>
                <w:color w:val="auto"/>
              </w:rPr>
              <w:t>2017</w:t>
            </w:r>
          </w:p>
        </w:tc>
        <w:tc>
          <w:tcPr>
            <w:tcW w:w="1340" w:type="dxa"/>
            <w:vAlign w:val="bottom"/>
            <w:shd w:val="clear" w:color="auto" w:fill="DBE5F1"/>
          </w:tcPr>
          <w:p>
            <w:pPr>
              <w:jc w:val="center"/>
              <w:ind w:right="99"/>
              <w:spacing w:after="0"/>
              <w:rPr>
                <w:sz w:val="20"/>
                <w:szCs w:val="20"/>
                <w:color w:val="auto"/>
              </w:rPr>
            </w:pPr>
            <w:r>
              <w:rPr>
                <w:rFonts w:ascii="Arial" w:cs="Arial" w:eastAsia="Arial" w:hAnsi="Arial"/>
                <w:sz w:val="16"/>
                <w:szCs w:val="16"/>
                <w:color w:val="auto"/>
              </w:rPr>
              <w:t>2026</w:t>
            </w:r>
          </w:p>
        </w:tc>
        <w:tc>
          <w:tcPr>
            <w:tcW w:w="146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4"/>
              </w:rPr>
              <w:t>Yes</w:t>
            </w:r>
          </w:p>
        </w:tc>
        <w:tc>
          <w:tcPr>
            <w:tcW w:w="1940" w:type="dxa"/>
            <w:vAlign w:val="bottom"/>
            <w:shd w:val="clear" w:color="auto" w:fill="DBE5F1"/>
          </w:tcPr>
          <w:p>
            <w:pPr>
              <w:ind w:left="240"/>
              <w:spacing w:after="0"/>
              <w:rPr>
                <w:sz w:val="20"/>
                <w:szCs w:val="20"/>
                <w:color w:val="auto"/>
              </w:rPr>
            </w:pPr>
            <w:r>
              <w:rPr>
                <w:rFonts w:ascii="Arial" w:cs="Arial" w:eastAsia="Arial" w:hAnsi="Arial"/>
                <w:sz w:val="16"/>
                <w:szCs w:val="16"/>
                <w:color w:val="auto"/>
              </w:rPr>
              <w:t>Compensation (Chair)</w:t>
            </w:r>
          </w:p>
        </w:tc>
        <w:tc>
          <w:tcPr>
            <w:tcW w:w="240" w:type="dxa"/>
            <w:vAlign w:val="bottom"/>
            <w:shd w:val="clear" w:color="auto" w:fill="DBE5F1"/>
          </w:tcPr>
          <w:p>
            <w:pPr>
              <w:ind w:lef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DBE5F1"/>
          </w:tcPr>
          <w:p>
            <w:pPr>
              <w:ind w:left="40"/>
              <w:spacing w:after="0"/>
              <w:rPr>
                <w:sz w:val="20"/>
                <w:szCs w:val="20"/>
                <w:color w:val="auto"/>
              </w:rPr>
            </w:pPr>
            <w:r>
              <w:rPr>
                <w:rFonts w:ascii="Arial" w:cs="Arial" w:eastAsia="Arial" w:hAnsi="Arial"/>
                <w:sz w:val="16"/>
                <w:szCs w:val="16"/>
                <w:color w:val="auto"/>
              </w:rPr>
              <w:t>Houlihan Lokey, Inc.</w:t>
            </w:r>
          </w:p>
        </w:tc>
        <w:tc>
          <w:tcPr>
            <w:tcW w:w="0" w:type="dxa"/>
            <w:vAlign w:val="bottom"/>
          </w:tcPr>
          <w:p>
            <w:pPr>
              <w:spacing w:after="0"/>
              <w:rPr>
                <w:sz w:val="1"/>
                <w:szCs w:val="1"/>
                <w:color w:val="auto"/>
              </w:rPr>
            </w:pPr>
          </w:p>
        </w:tc>
      </w:tr>
      <w:tr>
        <w:trPr>
          <w:trHeight w:val="215"/>
        </w:trPr>
        <w:tc>
          <w:tcPr>
            <w:tcW w:w="1580" w:type="dxa"/>
            <w:vAlign w:val="bottom"/>
            <w:shd w:val="clear" w:color="auto" w:fill="DBE5F1"/>
          </w:tcPr>
          <w:p>
            <w:pPr>
              <w:ind w:left="80"/>
              <w:spacing w:after="0"/>
              <w:rPr>
                <w:sz w:val="20"/>
                <w:szCs w:val="20"/>
                <w:color w:val="auto"/>
              </w:rPr>
            </w:pPr>
            <w:r>
              <w:rPr>
                <w:rFonts w:ascii="Arial" w:cs="Arial" w:eastAsia="Arial" w:hAnsi="Arial"/>
                <w:sz w:val="16"/>
                <w:szCs w:val="16"/>
                <w:color w:val="auto"/>
              </w:rPr>
              <w:t>Kosecoff</w:t>
            </w:r>
          </w:p>
        </w:tc>
        <w:tc>
          <w:tcPr>
            <w:tcW w:w="820" w:type="dxa"/>
            <w:vAlign w:val="bottom"/>
            <w:vMerge w:val="continue"/>
            <w:shd w:val="clear" w:color="auto" w:fill="DBE5F1"/>
          </w:tcPr>
          <w:p>
            <w:pPr>
              <w:spacing w:after="0"/>
              <w:rPr>
                <w:sz w:val="18"/>
                <w:szCs w:val="18"/>
                <w:color w:val="auto"/>
              </w:rPr>
            </w:pPr>
          </w:p>
        </w:tc>
        <w:tc>
          <w:tcPr>
            <w:tcW w:w="680" w:type="dxa"/>
            <w:vAlign w:val="bottom"/>
            <w:vMerge w:val="continue"/>
            <w:shd w:val="clear" w:color="auto" w:fill="DBE5F1"/>
          </w:tcPr>
          <w:p>
            <w:pPr>
              <w:spacing w:after="0"/>
              <w:rPr>
                <w:sz w:val="18"/>
                <w:szCs w:val="18"/>
                <w:color w:val="auto"/>
              </w:rPr>
            </w:pPr>
          </w:p>
        </w:tc>
        <w:tc>
          <w:tcPr>
            <w:tcW w:w="1320" w:type="dxa"/>
            <w:vAlign w:val="bottom"/>
            <w:shd w:val="clear" w:color="auto" w:fill="DBE5F1"/>
          </w:tcPr>
          <w:p>
            <w:pPr>
              <w:spacing w:after="0"/>
              <w:rPr>
                <w:sz w:val="18"/>
                <w:szCs w:val="18"/>
                <w:color w:val="auto"/>
              </w:rPr>
            </w:pPr>
          </w:p>
        </w:tc>
        <w:tc>
          <w:tcPr>
            <w:tcW w:w="1340" w:type="dxa"/>
            <w:vAlign w:val="bottom"/>
            <w:shd w:val="clear" w:color="auto" w:fill="DBE5F1"/>
          </w:tcPr>
          <w:p>
            <w:pPr>
              <w:spacing w:after="0"/>
              <w:rPr>
                <w:sz w:val="18"/>
                <w:szCs w:val="18"/>
                <w:color w:val="auto"/>
              </w:rPr>
            </w:pPr>
          </w:p>
        </w:tc>
        <w:tc>
          <w:tcPr>
            <w:tcW w:w="1460" w:type="dxa"/>
            <w:vAlign w:val="bottom"/>
            <w:shd w:val="clear" w:color="auto" w:fill="DBE5F1"/>
          </w:tcPr>
          <w:p>
            <w:pPr>
              <w:spacing w:after="0"/>
              <w:rPr>
                <w:sz w:val="18"/>
                <w:szCs w:val="18"/>
                <w:color w:val="auto"/>
              </w:rPr>
            </w:pPr>
          </w:p>
        </w:tc>
        <w:tc>
          <w:tcPr>
            <w:tcW w:w="1940" w:type="dxa"/>
            <w:vAlign w:val="bottom"/>
            <w:shd w:val="clear" w:color="auto" w:fill="DBE5F1"/>
          </w:tcPr>
          <w:p>
            <w:pPr>
              <w:spacing w:after="0"/>
              <w:rPr>
                <w:sz w:val="18"/>
                <w:szCs w:val="18"/>
                <w:color w:val="auto"/>
              </w:rPr>
            </w:pPr>
          </w:p>
        </w:tc>
        <w:tc>
          <w:tcPr>
            <w:tcW w:w="240" w:type="dxa"/>
            <w:vAlign w:val="bottom"/>
            <w:vMerge w:val="restart"/>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vMerge w:val="restart"/>
            <w:shd w:val="clear" w:color="auto" w:fill="DBE5F1"/>
          </w:tcPr>
          <w:p>
            <w:pPr>
              <w:ind w:left="40"/>
              <w:spacing w:after="0"/>
              <w:rPr>
                <w:sz w:val="20"/>
                <w:szCs w:val="20"/>
                <w:color w:val="auto"/>
              </w:rPr>
            </w:pPr>
            <w:r>
              <w:rPr>
                <w:rFonts w:ascii="Arial" w:cs="Arial" w:eastAsia="Arial" w:hAnsi="Arial"/>
                <w:sz w:val="16"/>
                <w:szCs w:val="16"/>
                <w:color w:val="auto"/>
              </w:rPr>
              <w:t>Steris plc</w:t>
            </w:r>
          </w:p>
        </w:tc>
        <w:tc>
          <w:tcPr>
            <w:tcW w:w="0" w:type="dxa"/>
            <w:vAlign w:val="bottom"/>
          </w:tcPr>
          <w:p>
            <w:pPr>
              <w:spacing w:after="0"/>
              <w:rPr>
                <w:sz w:val="1"/>
                <w:szCs w:val="1"/>
                <w:color w:val="auto"/>
              </w:rPr>
            </w:pPr>
          </w:p>
        </w:tc>
      </w:tr>
      <w:tr>
        <w:trPr>
          <w:trHeight w:val="109"/>
        </w:trPr>
        <w:tc>
          <w:tcPr>
            <w:tcW w:w="1580" w:type="dxa"/>
            <w:vAlign w:val="bottom"/>
            <w:shd w:val="clear" w:color="auto" w:fill="DBE5F1"/>
          </w:tcPr>
          <w:p>
            <w:pPr>
              <w:spacing w:after="0"/>
              <w:rPr>
                <w:sz w:val="9"/>
                <w:szCs w:val="9"/>
                <w:color w:val="auto"/>
              </w:rPr>
            </w:pPr>
          </w:p>
        </w:tc>
        <w:tc>
          <w:tcPr>
            <w:tcW w:w="820" w:type="dxa"/>
            <w:vAlign w:val="bottom"/>
            <w:shd w:val="clear" w:color="auto" w:fill="DBE5F1"/>
          </w:tcPr>
          <w:p>
            <w:pPr>
              <w:spacing w:after="0"/>
              <w:rPr>
                <w:sz w:val="9"/>
                <w:szCs w:val="9"/>
                <w:color w:val="auto"/>
              </w:rPr>
            </w:pPr>
          </w:p>
        </w:tc>
        <w:tc>
          <w:tcPr>
            <w:tcW w:w="680" w:type="dxa"/>
            <w:vAlign w:val="bottom"/>
            <w:shd w:val="clear" w:color="auto" w:fill="DBE5F1"/>
          </w:tcPr>
          <w:p>
            <w:pPr>
              <w:spacing w:after="0"/>
              <w:rPr>
                <w:sz w:val="9"/>
                <w:szCs w:val="9"/>
                <w:color w:val="auto"/>
              </w:rPr>
            </w:pPr>
          </w:p>
        </w:tc>
        <w:tc>
          <w:tcPr>
            <w:tcW w:w="1320" w:type="dxa"/>
            <w:vAlign w:val="bottom"/>
            <w:shd w:val="clear" w:color="auto" w:fill="DBE5F1"/>
          </w:tcPr>
          <w:p>
            <w:pPr>
              <w:spacing w:after="0"/>
              <w:rPr>
                <w:sz w:val="9"/>
                <w:szCs w:val="9"/>
                <w:color w:val="auto"/>
              </w:rPr>
            </w:pPr>
          </w:p>
        </w:tc>
        <w:tc>
          <w:tcPr>
            <w:tcW w:w="1340" w:type="dxa"/>
            <w:vAlign w:val="bottom"/>
            <w:shd w:val="clear" w:color="auto" w:fill="DBE5F1"/>
          </w:tcPr>
          <w:p>
            <w:pPr>
              <w:spacing w:after="0"/>
              <w:rPr>
                <w:sz w:val="9"/>
                <w:szCs w:val="9"/>
                <w:color w:val="auto"/>
              </w:rPr>
            </w:pPr>
          </w:p>
        </w:tc>
        <w:tc>
          <w:tcPr>
            <w:tcW w:w="1460" w:type="dxa"/>
            <w:vAlign w:val="bottom"/>
            <w:shd w:val="clear" w:color="auto" w:fill="DBE5F1"/>
          </w:tcPr>
          <w:p>
            <w:pPr>
              <w:spacing w:after="0"/>
              <w:rPr>
                <w:sz w:val="9"/>
                <w:szCs w:val="9"/>
                <w:color w:val="auto"/>
              </w:rPr>
            </w:pPr>
          </w:p>
        </w:tc>
        <w:tc>
          <w:tcPr>
            <w:tcW w:w="1940" w:type="dxa"/>
            <w:vAlign w:val="bottom"/>
            <w:shd w:val="clear" w:color="auto" w:fill="DBE5F1"/>
          </w:tcPr>
          <w:p>
            <w:pPr>
              <w:spacing w:after="0"/>
              <w:rPr>
                <w:sz w:val="9"/>
                <w:szCs w:val="9"/>
                <w:color w:val="auto"/>
              </w:rPr>
            </w:pPr>
          </w:p>
        </w:tc>
        <w:tc>
          <w:tcPr>
            <w:tcW w:w="240" w:type="dxa"/>
            <w:vAlign w:val="bottom"/>
            <w:vMerge w:val="continue"/>
            <w:shd w:val="clear" w:color="auto" w:fill="DBE5F1"/>
          </w:tcPr>
          <w:p>
            <w:pPr>
              <w:spacing w:after="0"/>
              <w:rPr>
                <w:sz w:val="9"/>
                <w:szCs w:val="9"/>
                <w:color w:val="auto"/>
              </w:rPr>
            </w:pPr>
          </w:p>
        </w:tc>
        <w:tc>
          <w:tcPr>
            <w:tcW w:w="1860" w:type="dxa"/>
            <w:vAlign w:val="bottom"/>
            <w:vMerge w:val="continue"/>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580" w:type="dxa"/>
            <w:vAlign w:val="bottom"/>
            <w:tcBorders>
              <w:bottom w:val="single" w:sz="8" w:color="DBE5F1"/>
            </w:tcBorders>
            <w:shd w:val="clear" w:color="auto" w:fill="DBE5F1"/>
          </w:tcPr>
          <w:p>
            <w:pPr>
              <w:spacing w:after="0"/>
              <w:rPr>
                <w:sz w:val="24"/>
                <w:szCs w:val="24"/>
                <w:color w:val="auto"/>
              </w:rPr>
            </w:pPr>
          </w:p>
        </w:tc>
        <w:tc>
          <w:tcPr>
            <w:tcW w:w="820" w:type="dxa"/>
            <w:vAlign w:val="bottom"/>
            <w:tcBorders>
              <w:bottom w:val="single" w:sz="8" w:color="DBE5F1"/>
            </w:tcBorders>
            <w:shd w:val="clear" w:color="auto" w:fill="DBE5F1"/>
          </w:tcPr>
          <w:p>
            <w:pPr>
              <w:spacing w:after="0"/>
              <w:rPr>
                <w:sz w:val="24"/>
                <w:szCs w:val="24"/>
                <w:color w:val="auto"/>
              </w:rPr>
            </w:pPr>
          </w:p>
        </w:tc>
        <w:tc>
          <w:tcPr>
            <w:tcW w:w="680" w:type="dxa"/>
            <w:vAlign w:val="bottom"/>
            <w:tcBorders>
              <w:bottom w:val="single" w:sz="8" w:color="DBE5F1"/>
            </w:tcBorders>
            <w:shd w:val="clear" w:color="auto" w:fill="DBE5F1"/>
          </w:tcPr>
          <w:p>
            <w:pPr>
              <w:spacing w:after="0"/>
              <w:rPr>
                <w:sz w:val="24"/>
                <w:szCs w:val="24"/>
                <w:color w:val="auto"/>
              </w:rPr>
            </w:pPr>
          </w:p>
        </w:tc>
        <w:tc>
          <w:tcPr>
            <w:tcW w:w="1320" w:type="dxa"/>
            <w:vAlign w:val="bottom"/>
            <w:tcBorders>
              <w:bottom w:val="single" w:sz="8" w:color="DBE5F1"/>
            </w:tcBorders>
            <w:shd w:val="clear" w:color="auto" w:fill="DBE5F1"/>
          </w:tcPr>
          <w:p>
            <w:pPr>
              <w:spacing w:after="0"/>
              <w:rPr>
                <w:sz w:val="24"/>
                <w:szCs w:val="24"/>
                <w:color w:val="auto"/>
              </w:rPr>
            </w:pPr>
          </w:p>
        </w:tc>
        <w:tc>
          <w:tcPr>
            <w:tcW w:w="1340" w:type="dxa"/>
            <w:vAlign w:val="bottom"/>
            <w:tcBorders>
              <w:bottom w:val="single" w:sz="8" w:color="DBE5F1"/>
            </w:tcBorders>
            <w:shd w:val="clear" w:color="auto" w:fill="DBE5F1"/>
          </w:tcPr>
          <w:p>
            <w:pPr>
              <w:spacing w:after="0"/>
              <w:rPr>
                <w:sz w:val="24"/>
                <w:szCs w:val="24"/>
                <w:color w:val="auto"/>
              </w:rPr>
            </w:pPr>
          </w:p>
        </w:tc>
        <w:tc>
          <w:tcPr>
            <w:tcW w:w="1460" w:type="dxa"/>
            <w:vAlign w:val="bottom"/>
            <w:tcBorders>
              <w:bottom w:val="single" w:sz="8" w:color="DBE5F1"/>
            </w:tcBorders>
            <w:shd w:val="clear" w:color="auto" w:fill="DBE5F1"/>
          </w:tcPr>
          <w:p>
            <w:pPr>
              <w:spacing w:after="0"/>
              <w:rPr>
                <w:sz w:val="24"/>
                <w:szCs w:val="24"/>
                <w:color w:val="auto"/>
              </w:rPr>
            </w:pPr>
          </w:p>
        </w:tc>
        <w:tc>
          <w:tcPr>
            <w:tcW w:w="1940" w:type="dxa"/>
            <w:vAlign w:val="bottom"/>
            <w:tcBorders>
              <w:bottom w:val="single" w:sz="8" w:color="DBE5F1"/>
            </w:tcBorders>
            <w:shd w:val="clear" w:color="auto" w:fill="DBE5F1"/>
          </w:tcPr>
          <w:p>
            <w:pPr>
              <w:spacing w:after="0"/>
              <w:rPr>
                <w:sz w:val="24"/>
                <w:szCs w:val="24"/>
                <w:color w:val="auto"/>
              </w:rPr>
            </w:pPr>
          </w:p>
        </w:tc>
        <w:tc>
          <w:tcPr>
            <w:tcW w:w="240" w:type="dxa"/>
            <w:vAlign w:val="bottom"/>
            <w:tcBorders>
              <w:bottom w:val="single" w:sz="8" w:color="DBE5F1"/>
            </w:tcBorders>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6"/>
                <w:szCs w:val="16"/>
                <w:color w:val="auto"/>
              </w:rPr>
              <w:t>TriNet Group, Inc.</w:t>
            </w:r>
          </w:p>
        </w:tc>
        <w:tc>
          <w:tcPr>
            <w:tcW w:w="0" w:type="dxa"/>
            <w:vAlign w:val="bottom"/>
          </w:tcPr>
          <w:p>
            <w:pPr>
              <w:spacing w:after="0"/>
              <w:rPr>
                <w:sz w:val="1"/>
                <w:szCs w:val="1"/>
                <w:color w:val="auto"/>
              </w:rPr>
            </w:pPr>
          </w:p>
        </w:tc>
      </w:tr>
      <w:tr>
        <w:trPr>
          <w:trHeight w:val="243"/>
        </w:trPr>
        <w:tc>
          <w:tcPr>
            <w:tcW w:w="1580" w:type="dxa"/>
            <w:vAlign w:val="bottom"/>
          </w:tcPr>
          <w:p>
            <w:pPr>
              <w:ind w:left="80"/>
              <w:spacing w:after="0"/>
              <w:rPr>
                <w:sz w:val="20"/>
                <w:szCs w:val="20"/>
                <w:color w:val="auto"/>
              </w:rPr>
            </w:pPr>
            <w:r>
              <w:rPr>
                <w:rFonts w:ascii="Arial" w:cs="Arial" w:eastAsia="Arial" w:hAnsi="Arial"/>
                <w:sz w:val="16"/>
                <w:szCs w:val="16"/>
                <w:color w:val="auto"/>
              </w:rPr>
              <w:t>Yon Jorden</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w w:val="89"/>
              </w:rPr>
              <w:t>III</w:t>
            </w:r>
          </w:p>
        </w:tc>
        <w:tc>
          <w:tcPr>
            <w:tcW w:w="680" w:type="dxa"/>
            <w:vAlign w:val="bottom"/>
            <w:vMerge w:val="restart"/>
          </w:tcPr>
          <w:p>
            <w:pPr>
              <w:jc w:val="center"/>
              <w:ind w:left="19"/>
              <w:spacing w:after="0"/>
              <w:rPr>
                <w:sz w:val="20"/>
                <w:szCs w:val="20"/>
                <w:color w:val="auto"/>
              </w:rPr>
            </w:pPr>
            <w:r>
              <w:rPr>
                <w:rFonts w:ascii="Arial" w:cs="Arial" w:eastAsia="Arial" w:hAnsi="Arial"/>
                <w:sz w:val="16"/>
                <w:szCs w:val="16"/>
                <w:color w:val="auto"/>
              </w:rPr>
              <w:t>70</w:t>
            </w:r>
          </w:p>
        </w:tc>
        <w:tc>
          <w:tcPr>
            <w:tcW w:w="1320" w:type="dxa"/>
            <w:vAlign w:val="bottom"/>
          </w:tcPr>
          <w:p>
            <w:pPr>
              <w:jc w:val="center"/>
              <w:spacing w:after="0"/>
              <w:rPr>
                <w:sz w:val="20"/>
                <w:szCs w:val="20"/>
                <w:color w:val="auto"/>
              </w:rPr>
            </w:pPr>
            <w:r>
              <w:rPr>
                <w:rFonts w:ascii="Arial" w:cs="Arial" w:eastAsia="Arial" w:hAnsi="Arial"/>
                <w:sz w:val="16"/>
                <w:szCs w:val="16"/>
                <w:color w:val="auto"/>
              </w:rPr>
              <w:t>2022</w:t>
            </w:r>
          </w:p>
        </w:tc>
        <w:tc>
          <w:tcPr>
            <w:tcW w:w="1340" w:type="dxa"/>
            <w:vAlign w:val="bottom"/>
          </w:tcPr>
          <w:p>
            <w:pPr>
              <w:jc w:val="center"/>
              <w:ind w:right="99"/>
              <w:spacing w:after="0"/>
              <w:rPr>
                <w:sz w:val="20"/>
                <w:szCs w:val="20"/>
                <w:color w:val="auto"/>
              </w:rPr>
            </w:pPr>
            <w:r>
              <w:rPr>
                <w:rFonts w:ascii="Arial" w:cs="Arial" w:eastAsia="Arial" w:hAnsi="Arial"/>
                <w:sz w:val="16"/>
                <w:szCs w:val="16"/>
                <w:color w:val="auto"/>
              </w:rPr>
              <w:t>2027</w:t>
            </w:r>
          </w:p>
        </w:tc>
        <w:tc>
          <w:tcPr>
            <w:tcW w:w="1460" w:type="dxa"/>
            <w:vAlign w:val="bottom"/>
          </w:tcPr>
          <w:p>
            <w:pPr>
              <w:jc w:val="center"/>
              <w:spacing w:after="0"/>
              <w:rPr>
                <w:sz w:val="20"/>
                <w:szCs w:val="20"/>
                <w:color w:val="auto"/>
              </w:rPr>
            </w:pPr>
            <w:r>
              <w:rPr>
                <w:rFonts w:ascii="Arial" w:cs="Arial" w:eastAsia="Arial" w:hAnsi="Arial"/>
                <w:sz w:val="16"/>
                <w:szCs w:val="16"/>
                <w:color w:val="auto"/>
                <w:w w:val="94"/>
              </w:rPr>
              <w:t>Yes</w:t>
            </w:r>
          </w:p>
        </w:tc>
        <w:tc>
          <w:tcPr>
            <w:tcW w:w="1940" w:type="dxa"/>
            <w:vAlign w:val="bottom"/>
            <w:vMerge w:val="restart"/>
          </w:tcPr>
          <w:p>
            <w:pPr>
              <w:ind w:left="240"/>
              <w:spacing w:after="0"/>
              <w:rPr>
                <w:sz w:val="20"/>
                <w:szCs w:val="20"/>
                <w:color w:val="auto"/>
              </w:rPr>
            </w:pPr>
            <w:r>
              <w:rPr>
                <w:rFonts w:ascii="Arial" w:cs="Arial" w:eastAsia="Arial" w:hAnsi="Arial"/>
                <w:sz w:val="16"/>
                <w:szCs w:val="16"/>
                <w:color w:val="auto"/>
              </w:rPr>
              <w:t>Audit (Chair)</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ind w:left="40"/>
              <w:spacing w:after="0"/>
              <w:rPr>
                <w:sz w:val="20"/>
                <w:szCs w:val="20"/>
                <w:color w:val="auto"/>
              </w:rPr>
            </w:pPr>
            <w:r>
              <w:rPr>
                <w:rFonts w:ascii="Arial" w:cs="Arial" w:eastAsia="Arial" w:hAnsi="Arial"/>
                <w:sz w:val="16"/>
                <w:szCs w:val="16"/>
                <w:color w:val="auto"/>
              </w:rPr>
              <w:t>Cohu, Inc.</w:t>
            </w:r>
          </w:p>
        </w:tc>
        <w:tc>
          <w:tcPr>
            <w:tcW w:w="0" w:type="dxa"/>
            <w:vAlign w:val="bottom"/>
          </w:tcPr>
          <w:p>
            <w:pPr>
              <w:spacing w:after="0"/>
              <w:rPr>
                <w:sz w:val="1"/>
                <w:szCs w:val="1"/>
                <w:color w:val="auto"/>
              </w:rPr>
            </w:pPr>
          </w:p>
        </w:tc>
      </w:tr>
      <w:tr>
        <w:trPr>
          <w:trHeight w:val="93"/>
        </w:trPr>
        <w:tc>
          <w:tcPr>
            <w:tcW w:w="15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3"/>
        </w:trPr>
        <w:tc>
          <w:tcPr>
            <w:tcW w:w="1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580" w:type="dxa"/>
            <w:vAlign w:val="bottom"/>
            <w:shd w:val="clear" w:color="auto" w:fill="DBE5F1"/>
          </w:tcPr>
          <w:p>
            <w:pPr>
              <w:ind w:left="80"/>
              <w:spacing w:after="0"/>
              <w:rPr>
                <w:sz w:val="20"/>
                <w:szCs w:val="20"/>
                <w:color w:val="auto"/>
              </w:rPr>
            </w:pPr>
            <w:r>
              <w:rPr>
                <w:rFonts w:ascii="Arial" w:cs="Arial" w:eastAsia="Arial" w:hAnsi="Arial"/>
                <w:sz w:val="16"/>
                <w:szCs w:val="16"/>
                <w:color w:val="auto"/>
              </w:rPr>
              <w:t>John Kao</w:t>
            </w:r>
          </w:p>
        </w:tc>
        <w:tc>
          <w:tcPr>
            <w:tcW w:w="820" w:type="dxa"/>
            <w:vAlign w:val="bottom"/>
            <w:vMerge w:val="restart"/>
            <w:shd w:val="clear" w:color="auto" w:fill="DBE5F1"/>
          </w:tcPr>
          <w:p>
            <w:pPr>
              <w:jc w:val="center"/>
              <w:spacing w:after="0"/>
              <w:rPr>
                <w:sz w:val="20"/>
                <w:szCs w:val="20"/>
                <w:color w:val="auto"/>
              </w:rPr>
            </w:pPr>
            <w:r>
              <w:rPr>
                <w:rFonts w:ascii="Arial" w:cs="Arial" w:eastAsia="Arial" w:hAnsi="Arial"/>
                <w:sz w:val="16"/>
                <w:szCs w:val="16"/>
                <w:color w:val="auto"/>
                <w:w w:val="89"/>
              </w:rPr>
              <w:t>III</w:t>
            </w:r>
          </w:p>
        </w:tc>
        <w:tc>
          <w:tcPr>
            <w:tcW w:w="680" w:type="dxa"/>
            <w:vAlign w:val="bottom"/>
            <w:vMerge w:val="restart"/>
            <w:shd w:val="clear" w:color="auto" w:fill="DBE5F1"/>
          </w:tcPr>
          <w:p>
            <w:pPr>
              <w:jc w:val="center"/>
              <w:ind w:left="59"/>
              <w:spacing w:after="0"/>
              <w:rPr>
                <w:sz w:val="20"/>
                <w:szCs w:val="20"/>
                <w:color w:val="auto"/>
              </w:rPr>
            </w:pPr>
            <w:r>
              <w:rPr>
                <w:rFonts w:ascii="Arial" w:cs="Arial" w:eastAsia="Arial" w:hAnsi="Arial"/>
                <w:sz w:val="16"/>
                <w:szCs w:val="16"/>
                <w:color w:val="auto"/>
              </w:rPr>
              <w:t>63</w:t>
            </w:r>
          </w:p>
        </w:tc>
        <w:tc>
          <w:tcPr>
            <w:tcW w:w="1320" w:type="dxa"/>
            <w:vAlign w:val="bottom"/>
            <w:shd w:val="clear" w:color="auto" w:fill="DBE5F1"/>
          </w:tcPr>
          <w:p>
            <w:pPr>
              <w:jc w:val="center"/>
              <w:spacing w:after="0"/>
              <w:rPr>
                <w:sz w:val="20"/>
                <w:szCs w:val="20"/>
                <w:color w:val="auto"/>
              </w:rPr>
            </w:pPr>
            <w:r>
              <w:rPr>
                <w:rFonts w:ascii="Arial" w:cs="Arial" w:eastAsia="Arial" w:hAnsi="Arial"/>
                <w:sz w:val="16"/>
                <w:szCs w:val="16"/>
                <w:color w:val="auto"/>
              </w:rPr>
              <w:t>2014</w:t>
            </w:r>
          </w:p>
        </w:tc>
        <w:tc>
          <w:tcPr>
            <w:tcW w:w="1340" w:type="dxa"/>
            <w:vAlign w:val="bottom"/>
            <w:shd w:val="clear" w:color="auto" w:fill="DBE5F1"/>
          </w:tcPr>
          <w:p>
            <w:pPr>
              <w:jc w:val="center"/>
              <w:ind w:right="99"/>
              <w:spacing w:after="0"/>
              <w:rPr>
                <w:sz w:val="20"/>
                <w:szCs w:val="20"/>
                <w:color w:val="auto"/>
              </w:rPr>
            </w:pPr>
            <w:r>
              <w:rPr>
                <w:rFonts w:ascii="Arial" w:cs="Arial" w:eastAsia="Arial" w:hAnsi="Arial"/>
                <w:sz w:val="16"/>
                <w:szCs w:val="16"/>
                <w:color w:val="auto"/>
              </w:rPr>
              <w:t>2027</w:t>
            </w:r>
          </w:p>
        </w:tc>
        <w:tc>
          <w:tcPr>
            <w:tcW w:w="146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7"/>
              </w:rPr>
              <w:t>No</w:t>
            </w:r>
          </w:p>
        </w:tc>
        <w:tc>
          <w:tcPr>
            <w:tcW w:w="1940" w:type="dxa"/>
            <w:vAlign w:val="bottom"/>
            <w:shd w:val="clear" w:color="auto" w:fill="DBE5F1"/>
          </w:tcPr>
          <w:p>
            <w:pPr>
              <w:ind w:left="100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E5F1"/>
          </w:tcPr>
          <w:p>
            <w:pPr>
              <w:spacing w:after="0"/>
              <w:rPr>
                <w:sz w:val="18"/>
                <w:szCs w:val="18"/>
                <w:color w:val="auto"/>
              </w:rPr>
            </w:pPr>
          </w:p>
        </w:tc>
        <w:tc>
          <w:tcPr>
            <w:tcW w:w="1860" w:type="dxa"/>
            <w:vAlign w:val="bottom"/>
            <w:shd w:val="clear" w:color="auto" w:fill="DBE5F1"/>
          </w:tcPr>
          <w:p>
            <w:pPr>
              <w:jc w:val="center"/>
              <w:ind w:right="98"/>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21"/>
        </w:trPr>
        <w:tc>
          <w:tcPr>
            <w:tcW w:w="1580" w:type="dxa"/>
            <w:vAlign w:val="bottom"/>
            <w:shd w:val="clear" w:color="auto" w:fill="DBE5F1"/>
          </w:tcPr>
          <w:p>
            <w:pPr>
              <w:spacing w:after="0"/>
              <w:rPr>
                <w:sz w:val="10"/>
                <w:szCs w:val="10"/>
                <w:color w:val="auto"/>
              </w:rPr>
            </w:pPr>
          </w:p>
        </w:tc>
        <w:tc>
          <w:tcPr>
            <w:tcW w:w="820" w:type="dxa"/>
            <w:vAlign w:val="bottom"/>
            <w:vMerge w:val="continue"/>
            <w:shd w:val="clear" w:color="auto" w:fill="DBE5F1"/>
          </w:tcPr>
          <w:p>
            <w:pPr>
              <w:spacing w:after="0"/>
              <w:rPr>
                <w:sz w:val="10"/>
                <w:szCs w:val="10"/>
                <w:color w:val="auto"/>
              </w:rPr>
            </w:pPr>
          </w:p>
        </w:tc>
        <w:tc>
          <w:tcPr>
            <w:tcW w:w="680" w:type="dxa"/>
            <w:vAlign w:val="bottom"/>
            <w:vMerge w:val="continue"/>
            <w:shd w:val="clear" w:color="auto" w:fill="DBE5F1"/>
          </w:tcPr>
          <w:p>
            <w:pPr>
              <w:spacing w:after="0"/>
              <w:rPr>
                <w:sz w:val="10"/>
                <w:szCs w:val="10"/>
                <w:color w:val="auto"/>
              </w:rPr>
            </w:pPr>
          </w:p>
        </w:tc>
        <w:tc>
          <w:tcPr>
            <w:tcW w:w="1320" w:type="dxa"/>
            <w:vAlign w:val="bottom"/>
            <w:shd w:val="clear" w:color="auto" w:fill="DBE5F1"/>
          </w:tcPr>
          <w:p>
            <w:pPr>
              <w:spacing w:after="0"/>
              <w:rPr>
                <w:sz w:val="10"/>
                <w:szCs w:val="10"/>
                <w:color w:val="auto"/>
              </w:rPr>
            </w:pPr>
          </w:p>
        </w:tc>
        <w:tc>
          <w:tcPr>
            <w:tcW w:w="1340" w:type="dxa"/>
            <w:vAlign w:val="bottom"/>
            <w:shd w:val="clear" w:color="auto" w:fill="DBE5F1"/>
          </w:tcPr>
          <w:p>
            <w:pPr>
              <w:spacing w:after="0"/>
              <w:rPr>
                <w:sz w:val="10"/>
                <w:szCs w:val="10"/>
                <w:color w:val="auto"/>
              </w:rPr>
            </w:pPr>
          </w:p>
        </w:tc>
        <w:tc>
          <w:tcPr>
            <w:tcW w:w="1460" w:type="dxa"/>
            <w:vAlign w:val="bottom"/>
            <w:shd w:val="clear" w:color="auto" w:fill="DBE5F1"/>
          </w:tcPr>
          <w:p>
            <w:pPr>
              <w:spacing w:after="0"/>
              <w:rPr>
                <w:sz w:val="10"/>
                <w:szCs w:val="10"/>
                <w:color w:val="auto"/>
              </w:rPr>
            </w:pPr>
          </w:p>
        </w:tc>
        <w:tc>
          <w:tcPr>
            <w:tcW w:w="1940" w:type="dxa"/>
            <w:vAlign w:val="bottom"/>
            <w:shd w:val="clear" w:color="auto" w:fill="DBE5F1"/>
          </w:tcPr>
          <w:p>
            <w:pPr>
              <w:spacing w:after="0"/>
              <w:rPr>
                <w:sz w:val="10"/>
                <w:szCs w:val="10"/>
                <w:color w:val="auto"/>
              </w:rPr>
            </w:pPr>
          </w:p>
        </w:tc>
        <w:tc>
          <w:tcPr>
            <w:tcW w:w="240" w:type="dxa"/>
            <w:vAlign w:val="bottom"/>
            <w:shd w:val="clear" w:color="auto" w:fill="DBE5F1"/>
          </w:tcPr>
          <w:p>
            <w:pPr>
              <w:spacing w:after="0"/>
              <w:rPr>
                <w:sz w:val="10"/>
                <w:szCs w:val="10"/>
                <w:color w:val="auto"/>
              </w:rPr>
            </w:pPr>
          </w:p>
        </w:tc>
        <w:tc>
          <w:tcPr>
            <w:tcW w:w="1860" w:type="dxa"/>
            <w:vAlign w:val="bottom"/>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580" w:type="dxa"/>
            <w:vAlign w:val="bottom"/>
            <w:shd w:val="clear" w:color="auto" w:fill="DBE5F1"/>
          </w:tcPr>
          <w:p>
            <w:pPr>
              <w:spacing w:after="0"/>
              <w:rPr>
                <w:sz w:val="10"/>
                <w:szCs w:val="10"/>
                <w:color w:val="auto"/>
              </w:rPr>
            </w:pPr>
          </w:p>
        </w:tc>
        <w:tc>
          <w:tcPr>
            <w:tcW w:w="820" w:type="dxa"/>
            <w:vAlign w:val="bottom"/>
            <w:shd w:val="clear" w:color="auto" w:fill="DBE5F1"/>
          </w:tcPr>
          <w:p>
            <w:pPr>
              <w:spacing w:after="0"/>
              <w:rPr>
                <w:sz w:val="10"/>
                <w:szCs w:val="10"/>
                <w:color w:val="auto"/>
              </w:rPr>
            </w:pPr>
          </w:p>
        </w:tc>
        <w:tc>
          <w:tcPr>
            <w:tcW w:w="680" w:type="dxa"/>
            <w:vAlign w:val="bottom"/>
            <w:shd w:val="clear" w:color="auto" w:fill="DBE5F1"/>
          </w:tcPr>
          <w:p>
            <w:pPr>
              <w:spacing w:after="0"/>
              <w:rPr>
                <w:sz w:val="10"/>
                <w:szCs w:val="10"/>
                <w:color w:val="auto"/>
              </w:rPr>
            </w:pPr>
          </w:p>
        </w:tc>
        <w:tc>
          <w:tcPr>
            <w:tcW w:w="1320" w:type="dxa"/>
            <w:vAlign w:val="bottom"/>
            <w:shd w:val="clear" w:color="auto" w:fill="DBE5F1"/>
          </w:tcPr>
          <w:p>
            <w:pPr>
              <w:spacing w:after="0"/>
              <w:rPr>
                <w:sz w:val="10"/>
                <w:szCs w:val="10"/>
                <w:color w:val="auto"/>
              </w:rPr>
            </w:pPr>
          </w:p>
        </w:tc>
        <w:tc>
          <w:tcPr>
            <w:tcW w:w="1340" w:type="dxa"/>
            <w:vAlign w:val="bottom"/>
            <w:shd w:val="clear" w:color="auto" w:fill="DBE5F1"/>
          </w:tcPr>
          <w:p>
            <w:pPr>
              <w:spacing w:after="0"/>
              <w:rPr>
                <w:sz w:val="10"/>
                <w:szCs w:val="10"/>
                <w:color w:val="auto"/>
              </w:rPr>
            </w:pPr>
          </w:p>
        </w:tc>
        <w:tc>
          <w:tcPr>
            <w:tcW w:w="1460" w:type="dxa"/>
            <w:vAlign w:val="bottom"/>
            <w:shd w:val="clear" w:color="auto" w:fill="DBE5F1"/>
          </w:tcPr>
          <w:p>
            <w:pPr>
              <w:spacing w:after="0"/>
              <w:rPr>
                <w:sz w:val="10"/>
                <w:szCs w:val="10"/>
                <w:color w:val="auto"/>
              </w:rPr>
            </w:pPr>
          </w:p>
        </w:tc>
        <w:tc>
          <w:tcPr>
            <w:tcW w:w="1940" w:type="dxa"/>
            <w:vAlign w:val="bottom"/>
            <w:shd w:val="clear" w:color="auto" w:fill="DBE5F1"/>
          </w:tcPr>
          <w:p>
            <w:pPr>
              <w:spacing w:after="0"/>
              <w:rPr>
                <w:sz w:val="10"/>
                <w:szCs w:val="10"/>
                <w:color w:val="auto"/>
              </w:rPr>
            </w:pPr>
          </w:p>
        </w:tc>
        <w:tc>
          <w:tcPr>
            <w:tcW w:w="240" w:type="dxa"/>
            <w:vAlign w:val="bottom"/>
            <w:shd w:val="clear" w:color="auto" w:fill="DBE5F1"/>
          </w:tcPr>
          <w:p>
            <w:pPr>
              <w:spacing w:after="0"/>
              <w:rPr>
                <w:sz w:val="10"/>
                <w:szCs w:val="10"/>
                <w:color w:val="auto"/>
              </w:rPr>
            </w:pPr>
          </w:p>
        </w:tc>
        <w:tc>
          <w:tcPr>
            <w:tcW w:w="1860" w:type="dxa"/>
            <w:vAlign w:val="bottom"/>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6"/>
                <w:szCs w:val="16"/>
                <w:color w:val="auto"/>
              </w:rPr>
              <w:t>Joseph Konowiecki</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w w:val="89"/>
              </w:rPr>
              <w:t>III</w:t>
            </w:r>
          </w:p>
        </w:tc>
        <w:tc>
          <w:tcPr>
            <w:tcW w:w="680" w:type="dxa"/>
            <w:vAlign w:val="bottom"/>
            <w:vMerge w:val="restart"/>
          </w:tcPr>
          <w:p>
            <w:pPr>
              <w:jc w:val="center"/>
              <w:ind w:left="19"/>
              <w:spacing w:after="0"/>
              <w:rPr>
                <w:sz w:val="20"/>
                <w:szCs w:val="20"/>
                <w:color w:val="auto"/>
              </w:rPr>
            </w:pPr>
            <w:r>
              <w:rPr>
                <w:rFonts w:ascii="Arial" w:cs="Arial" w:eastAsia="Arial" w:hAnsi="Arial"/>
                <w:sz w:val="16"/>
                <w:szCs w:val="16"/>
                <w:color w:val="auto"/>
              </w:rPr>
              <w:t>71</w:t>
            </w:r>
          </w:p>
        </w:tc>
        <w:tc>
          <w:tcPr>
            <w:tcW w:w="1320" w:type="dxa"/>
            <w:vAlign w:val="bottom"/>
          </w:tcPr>
          <w:p>
            <w:pPr>
              <w:jc w:val="center"/>
              <w:spacing w:after="0"/>
              <w:rPr>
                <w:sz w:val="20"/>
                <w:szCs w:val="20"/>
                <w:color w:val="auto"/>
              </w:rPr>
            </w:pPr>
            <w:r>
              <w:rPr>
                <w:rFonts w:ascii="Arial" w:cs="Arial" w:eastAsia="Arial" w:hAnsi="Arial"/>
                <w:sz w:val="16"/>
                <w:szCs w:val="16"/>
                <w:color w:val="auto"/>
              </w:rPr>
              <w:t>2014</w:t>
            </w:r>
          </w:p>
        </w:tc>
        <w:tc>
          <w:tcPr>
            <w:tcW w:w="1340" w:type="dxa"/>
            <w:vAlign w:val="bottom"/>
          </w:tcPr>
          <w:p>
            <w:pPr>
              <w:jc w:val="center"/>
              <w:ind w:right="99"/>
              <w:spacing w:after="0"/>
              <w:rPr>
                <w:sz w:val="20"/>
                <w:szCs w:val="20"/>
                <w:color w:val="auto"/>
              </w:rPr>
            </w:pPr>
            <w:r>
              <w:rPr>
                <w:rFonts w:ascii="Arial" w:cs="Arial" w:eastAsia="Arial" w:hAnsi="Arial"/>
                <w:sz w:val="16"/>
                <w:szCs w:val="16"/>
                <w:color w:val="auto"/>
              </w:rPr>
              <w:t>2027</w:t>
            </w:r>
          </w:p>
        </w:tc>
        <w:tc>
          <w:tcPr>
            <w:tcW w:w="1460" w:type="dxa"/>
            <w:vAlign w:val="bottom"/>
          </w:tcPr>
          <w:p>
            <w:pPr>
              <w:jc w:val="center"/>
              <w:spacing w:after="0"/>
              <w:rPr>
                <w:sz w:val="20"/>
                <w:szCs w:val="20"/>
                <w:color w:val="auto"/>
              </w:rPr>
            </w:pPr>
            <w:r>
              <w:rPr>
                <w:rFonts w:ascii="Arial" w:cs="Arial" w:eastAsia="Arial" w:hAnsi="Arial"/>
                <w:sz w:val="16"/>
                <w:szCs w:val="16"/>
                <w:color w:val="auto"/>
                <w:w w:val="97"/>
              </w:rPr>
              <w:t>No</w:t>
            </w:r>
          </w:p>
        </w:tc>
        <w:tc>
          <w:tcPr>
            <w:tcW w:w="1940" w:type="dxa"/>
            <w:vAlign w:val="bottom"/>
            <w:vMerge w:val="restart"/>
          </w:tcPr>
          <w:p>
            <w:pPr>
              <w:ind w:left="10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860" w:type="dxa"/>
            <w:vAlign w:val="bottom"/>
          </w:tcPr>
          <w:p>
            <w:pPr>
              <w:jc w:val="center"/>
              <w:ind w:right="78"/>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92"/>
        </w:trPr>
        <w:tc>
          <w:tcPr>
            <w:tcW w:w="15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580" w:type="dxa"/>
            <w:vAlign w:val="bottom"/>
            <w:tcBorders>
              <w:bottom w:val="single" w:sz="8" w:color="95B3D7"/>
            </w:tcBorders>
          </w:tcPr>
          <w:p>
            <w:pPr>
              <w:spacing w:after="0"/>
              <w:rPr>
                <w:sz w:val="10"/>
                <w:szCs w:val="10"/>
                <w:color w:val="auto"/>
              </w:rPr>
            </w:pPr>
          </w:p>
        </w:tc>
        <w:tc>
          <w:tcPr>
            <w:tcW w:w="820" w:type="dxa"/>
            <w:vAlign w:val="bottom"/>
            <w:tcBorders>
              <w:bottom w:val="single" w:sz="8" w:color="95B3D7"/>
            </w:tcBorders>
          </w:tcPr>
          <w:p>
            <w:pPr>
              <w:spacing w:after="0"/>
              <w:rPr>
                <w:sz w:val="10"/>
                <w:szCs w:val="10"/>
                <w:color w:val="auto"/>
              </w:rPr>
            </w:pPr>
          </w:p>
        </w:tc>
        <w:tc>
          <w:tcPr>
            <w:tcW w:w="680" w:type="dxa"/>
            <w:vAlign w:val="bottom"/>
            <w:tcBorders>
              <w:bottom w:val="single" w:sz="8" w:color="95B3D7"/>
            </w:tcBorders>
          </w:tcPr>
          <w:p>
            <w:pPr>
              <w:spacing w:after="0"/>
              <w:rPr>
                <w:sz w:val="10"/>
                <w:szCs w:val="10"/>
                <w:color w:val="auto"/>
              </w:rPr>
            </w:pPr>
          </w:p>
        </w:tc>
        <w:tc>
          <w:tcPr>
            <w:tcW w:w="1320" w:type="dxa"/>
            <w:vAlign w:val="bottom"/>
            <w:tcBorders>
              <w:bottom w:val="single" w:sz="8" w:color="95B3D7"/>
            </w:tcBorders>
          </w:tcPr>
          <w:p>
            <w:pPr>
              <w:spacing w:after="0"/>
              <w:rPr>
                <w:sz w:val="10"/>
                <w:szCs w:val="10"/>
                <w:color w:val="auto"/>
              </w:rPr>
            </w:pPr>
          </w:p>
        </w:tc>
        <w:tc>
          <w:tcPr>
            <w:tcW w:w="1340" w:type="dxa"/>
            <w:vAlign w:val="bottom"/>
            <w:tcBorders>
              <w:bottom w:val="single" w:sz="8" w:color="95B3D7"/>
            </w:tcBorders>
          </w:tcPr>
          <w:p>
            <w:pPr>
              <w:spacing w:after="0"/>
              <w:rPr>
                <w:sz w:val="10"/>
                <w:szCs w:val="10"/>
                <w:color w:val="auto"/>
              </w:rPr>
            </w:pPr>
          </w:p>
        </w:tc>
        <w:tc>
          <w:tcPr>
            <w:tcW w:w="1460" w:type="dxa"/>
            <w:vAlign w:val="bottom"/>
            <w:tcBorders>
              <w:bottom w:val="single" w:sz="8" w:color="95B3D7"/>
            </w:tcBorders>
          </w:tcPr>
          <w:p>
            <w:pPr>
              <w:spacing w:after="0"/>
              <w:rPr>
                <w:sz w:val="10"/>
                <w:szCs w:val="10"/>
                <w:color w:val="auto"/>
              </w:rPr>
            </w:pPr>
          </w:p>
        </w:tc>
        <w:tc>
          <w:tcPr>
            <w:tcW w:w="1940" w:type="dxa"/>
            <w:vAlign w:val="bottom"/>
            <w:tcBorders>
              <w:bottom w:val="single" w:sz="8" w:color="95B3D7"/>
            </w:tcBorders>
          </w:tcPr>
          <w:p>
            <w:pPr>
              <w:spacing w:after="0"/>
              <w:rPr>
                <w:sz w:val="10"/>
                <w:szCs w:val="10"/>
                <w:color w:val="auto"/>
              </w:rPr>
            </w:pPr>
          </w:p>
        </w:tc>
        <w:tc>
          <w:tcPr>
            <w:tcW w:w="240" w:type="dxa"/>
            <w:vAlign w:val="bottom"/>
            <w:tcBorders>
              <w:bottom w:val="single" w:sz="8" w:color="95B3D7"/>
            </w:tcBorders>
          </w:tcPr>
          <w:p>
            <w:pPr>
              <w:spacing w:after="0"/>
              <w:rPr>
                <w:sz w:val="10"/>
                <w:szCs w:val="10"/>
                <w:color w:val="auto"/>
              </w:rPr>
            </w:pPr>
          </w:p>
        </w:tc>
        <w:tc>
          <w:tcPr>
            <w:tcW w:w="1860" w:type="dxa"/>
            <w:vAlign w:val="bottom"/>
            <w:tcBorders>
              <w:bottom w:val="single" w:sz="8" w:color="95B3D7"/>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1220470</wp:posOffset>
            </wp:positionV>
            <wp:extent cx="1148715" cy="10801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Jody Bilney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453390</wp:posOffset>
            </wp:positionV>
            <wp:extent cx="1148715" cy="10801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4871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David Hodgson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453390</wp:posOffset>
            </wp:positionV>
            <wp:extent cx="1148715" cy="10801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4871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Jacqueline Kosecoff</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right="400"/>
        <w:spacing w:after="0" w:line="234" w:lineRule="auto"/>
        <w:rPr>
          <w:sz w:val="20"/>
          <w:szCs w:val="20"/>
          <w:color w:val="auto"/>
        </w:rPr>
      </w:pPr>
      <w:r>
        <w:rPr>
          <w:rFonts w:ascii="Arial" w:cs="Arial" w:eastAsia="Arial" w:hAnsi="Arial"/>
          <w:sz w:val="17"/>
          <w:szCs w:val="17"/>
          <w:color w:val="auto"/>
        </w:rPr>
        <w:t>Ms. Bilney has served as a member of our Board since January 2022. Ms. Bilney served as the Chief Consumer Officer of Humana, Inc., a health insurance provider, from April 2013 until her retirement in</w:t>
      </w:r>
    </w:p>
    <w:p>
      <w:pPr>
        <w:spacing w:after="0" w:line="1" w:lineRule="exact"/>
        <w:rPr>
          <w:sz w:val="20"/>
          <w:szCs w:val="20"/>
          <w:color w:val="auto"/>
        </w:rPr>
      </w:pPr>
    </w:p>
    <w:p>
      <w:pPr>
        <w:jc w:val="both"/>
        <w:ind w:right="200"/>
        <w:spacing w:after="0" w:line="221" w:lineRule="auto"/>
        <w:rPr>
          <w:sz w:val="20"/>
          <w:szCs w:val="20"/>
          <w:color w:val="auto"/>
        </w:rPr>
      </w:pPr>
      <w:r>
        <w:rPr>
          <w:rFonts w:ascii="Arial" w:cs="Arial" w:eastAsia="Arial" w:hAnsi="Arial"/>
          <w:sz w:val="17"/>
          <w:szCs w:val="17"/>
          <w:color w:val="auto"/>
        </w:rPr>
        <w:t>March 2020. Prior to that, she served in various senior executive marketing roles with Bloomin’ Brands, Inc. from 2006 through March 2013, most recently serving as Executive Vice President and Chief Brand Officer. Prior to joining Bloomin’ Brands, she held senior executive positions with Openwave Systems,</w:t>
      </w:r>
    </w:p>
    <w:p>
      <w:pPr>
        <w:ind w:right="100"/>
        <w:spacing w:after="0" w:line="221" w:lineRule="auto"/>
        <w:rPr>
          <w:sz w:val="20"/>
          <w:szCs w:val="20"/>
          <w:color w:val="auto"/>
        </w:rPr>
      </w:pPr>
      <w:r>
        <w:rPr>
          <w:rFonts w:ascii="Arial" w:cs="Arial" w:eastAsia="Arial" w:hAnsi="Arial"/>
          <w:sz w:val="17"/>
          <w:szCs w:val="17"/>
          <w:color w:val="auto"/>
        </w:rPr>
        <w:t>Inc., Charles Schwab &amp; Co., Inc., and Verizon Communications, Inc. Ms. Bilney has served as a director of Cracker Barrel Old Country Store, Inc. since 2022. She previously served as a director of Chuy’s Holdings, Inc. from 2021 to 2024 and of Masonite International Corp. from 2014 to 2024. She also serves</w:t>
      </w:r>
    </w:p>
    <w:p>
      <w:pPr>
        <w:jc w:val="both"/>
        <w:ind w:right="220"/>
        <w:spacing w:after="0" w:line="221" w:lineRule="auto"/>
        <w:rPr>
          <w:sz w:val="20"/>
          <w:szCs w:val="20"/>
          <w:color w:val="auto"/>
        </w:rPr>
      </w:pPr>
      <w:r>
        <w:rPr>
          <w:rFonts w:ascii="Arial" w:cs="Arial" w:eastAsia="Arial" w:hAnsi="Arial"/>
          <w:sz w:val="17"/>
          <w:szCs w:val="17"/>
          <w:color w:val="auto"/>
        </w:rPr>
        <w:t>on various private-company boards in the health care and fitness industries and serves as an advisor to private equity firms. She earned a Bachelor of Science degree in Economics, with a minor in Marketing, from Clemson University. Ms. Bilney is a valuable member of our Board because of her leadership and</w:t>
      </w:r>
    </w:p>
    <w:p>
      <w:pPr>
        <w:spacing w:after="0"/>
        <w:rPr>
          <w:sz w:val="20"/>
          <w:szCs w:val="20"/>
          <w:color w:val="auto"/>
        </w:rPr>
      </w:pPr>
      <w:r>
        <w:rPr>
          <w:rFonts w:ascii="Arial" w:cs="Arial" w:eastAsia="Arial" w:hAnsi="Arial"/>
          <w:sz w:val="18"/>
          <w:szCs w:val="18"/>
          <w:color w:val="auto"/>
        </w:rPr>
        <w:t>industry-specific and marketing experience.</w:t>
      </w:r>
    </w:p>
    <w:p>
      <w:pPr>
        <w:spacing w:after="0" w:line="200" w:lineRule="exact"/>
        <w:rPr>
          <w:sz w:val="20"/>
          <w:szCs w:val="20"/>
          <w:color w:val="auto"/>
        </w:rPr>
      </w:pPr>
    </w:p>
    <w:p>
      <w:pPr>
        <w:spacing w:after="0" w:line="29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Mr. Hodgson has served as a member of our Board since 2014. Mr. Hodgson is a Managing Director, Vice Chairman, and a member of the Partnership Committee of General Atlantic. He joined General Atlantic in</w:t>
      </w:r>
    </w:p>
    <w:p>
      <w:pPr>
        <w:spacing w:after="0" w:line="1" w:lineRule="exact"/>
        <w:rPr>
          <w:sz w:val="20"/>
          <w:szCs w:val="20"/>
          <w:color w:val="auto"/>
        </w:rPr>
      </w:pPr>
    </w:p>
    <w:p>
      <w:pPr>
        <w:ind w:right="40"/>
        <w:spacing w:after="0" w:line="221" w:lineRule="auto"/>
        <w:rPr>
          <w:sz w:val="20"/>
          <w:szCs w:val="20"/>
          <w:color w:val="auto"/>
        </w:rPr>
      </w:pPr>
      <w:r>
        <w:rPr>
          <w:rFonts w:ascii="Arial" w:cs="Arial" w:eastAsia="Arial" w:hAnsi="Arial"/>
          <w:sz w:val="17"/>
          <w:szCs w:val="17"/>
          <w:color w:val="auto"/>
        </w:rPr>
        <w:t>1982 and has over 40 years of experience identifying and assisting portfolio companies worldwide in all areas of their development. Currently, Mr. Hodgson is Chair of the board of directors of TriNet Group, Inc., a public human resources provider, and is a member of the board of directors of Royalty Pharma plc, a</w:t>
      </w:r>
    </w:p>
    <w:p>
      <w:pPr>
        <w:ind w:right="100"/>
        <w:spacing w:after="0" w:line="221" w:lineRule="auto"/>
        <w:rPr>
          <w:sz w:val="20"/>
          <w:szCs w:val="20"/>
          <w:color w:val="auto"/>
        </w:rPr>
      </w:pPr>
      <w:r>
        <w:rPr>
          <w:rFonts w:ascii="Arial" w:cs="Arial" w:eastAsia="Arial" w:hAnsi="Arial"/>
          <w:sz w:val="17"/>
          <w:szCs w:val="17"/>
          <w:color w:val="auto"/>
        </w:rPr>
        <w:t>public pharmaceutical company. Mr. Hodgson has an MBA from Stanford Graduate School of Business (1982) and a Bachelor of Arts in Mathematics and Social Sciences from Dartmouth College (1978). Mr. Hodgson is a valuable member of our Board because of his private equity experience and his experience</w:t>
      </w:r>
    </w:p>
    <w:p>
      <w:pPr>
        <w:spacing w:after="0"/>
        <w:rPr>
          <w:sz w:val="20"/>
          <w:szCs w:val="20"/>
          <w:color w:val="auto"/>
        </w:rPr>
      </w:pPr>
      <w:r>
        <w:rPr>
          <w:rFonts w:ascii="Arial" w:cs="Arial" w:eastAsia="Arial" w:hAnsi="Arial"/>
          <w:sz w:val="18"/>
          <w:szCs w:val="18"/>
          <w:color w:val="auto"/>
        </w:rPr>
        <w:t>on other health care companies’ boards.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Dr. Kosecoff has served as a member of our Board since 2017. Since 2012, Dr. Kosecoff has served as a Managing Partner of Moriah Partners and also a Senior Advisor of Warburg Pincus. From 2002 to 2012,</w:t>
      </w:r>
    </w:p>
    <w:p>
      <w:pPr>
        <w:spacing w:after="0" w:line="1" w:lineRule="exact"/>
        <w:rPr>
          <w:sz w:val="20"/>
          <w:szCs w:val="20"/>
          <w:color w:val="auto"/>
        </w:rPr>
      </w:pPr>
    </w:p>
    <w:p>
      <w:pPr>
        <w:ind w:right="20"/>
        <w:spacing w:after="0" w:line="221" w:lineRule="auto"/>
        <w:rPr>
          <w:sz w:val="20"/>
          <w:szCs w:val="20"/>
          <w:color w:val="auto"/>
        </w:rPr>
      </w:pPr>
      <w:r>
        <w:rPr>
          <w:rFonts w:ascii="Arial" w:cs="Arial" w:eastAsia="Arial" w:hAnsi="Arial"/>
          <w:sz w:val="17"/>
          <w:szCs w:val="17"/>
          <w:color w:val="auto"/>
        </w:rPr>
        <w:t>Dr. Kosecoff was a senior executive inside UnitedHealth Group-PacifiCare, which she joined as part of the acquisition of PacifiCare Health Systems in 2005, where she served as Executive Vice President. Upon joining UnitedHealth Group, Dr. Kosecoff was appointed Chief Executive Officer of OptumRx. Prior to</w:t>
      </w:r>
    </w:p>
    <w:p>
      <w:pPr>
        <w:spacing w:after="0" w:line="208" w:lineRule="auto"/>
        <w:rPr>
          <w:sz w:val="20"/>
          <w:szCs w:val="20"/>
          <w:color w:val="auto"/>
        </w:rPr>
      </w:pPr>
      <w:r>
        <w:rPr>
          <w:rFonts w:ascii="Arial" w:cs="Arial" w:eastAsia="Arial" w:hAnsi="Arial"/>
          <w:sz w:val="18"/>
          <w:szCs w:val="18"/>
          <w:color w:val="auto"/>
        </w:rPr>
        <w:t>joining UnitedHealth Group-PacifiCare, Dr. Kosecoff was founder, President and Chief Operating Officer of Protocare. Currently Dr. Kosecoff sits on the board of directors of Steris, plc, TriNet Group, Inc. and Houlihan Lokey, Inc. Additionally, Dr. Kosecoff served on the boards of directors of GoodRx Holdings, Inc.</w:t>
      </w:r>
    </w:p>
    <w:p>
      <w:pPr>
        <w:spacing w:after="0" w:line="2"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from May 2016 to June 2023; of Sealed Air Corporation from May 2005 to May 2021; and of athenahealth, Inc. from July 2012 to February 2019. Dr. Kosecoff holds a B.A. from the University of California, Los Angeles, an M.S. in Applied Mathematics from Brown University, and a doctorate from the University of</w:t>
      </w:r>
    </w:p>
    <w:p>
      <w:pPr>
        <w:ind w:right="40"/>
        <w:spacing w:after="0" w:line="221" w:lineRule="auto"/>
        <w:rPr>
          <w:sz w:val="20"/>
          <w:szCs w:val="20"/>
          <w:color w:val="auto"/>
        </w:rPr>
      </w:pPr>
      <w:r>
        <w:rPr>
          <w:rFonts w:ascii="Arial" w:cs="Arial" w:eastAsia="Arial" w:hAnsi="Arial"/>
          <w:sz w:val="18"/>
          <w:szCs w:val="18"/>
          <w:color w:val="auto"/>
        </w:rPr>
        <w:t>California, Los Angeles. Dr. Kosecoff was appointed to serve on our board of directors because of her knowledge of Medicare Advantage and Medicare Part D, extensive experience in managing organizations and her experience serving on public company boards.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920" w:space="720"/>
            <w:col w:w="8440"/>
          </w:cols>
          <w:pgMar w:left="440" w:top="1440" w:right="37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1220470</wp:posOffset>
            </wp:positionV>
            <wp:extent cx="1148715" cy="10801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F497D"/>
        </w:rPr>
        <w:t>Yon Jorden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1524000</wp:posOffset>
            </wp:positionV>
            <wp:extent cx="1148715" cy="11658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4871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John Kao</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right="300"/>
        <w:spacing w:after="0" w:line="234" w:lineRule="auto"/>
        <w:rPr>
          <w:sz w:val="20"/>
          <w:szCs w:val="20"/>
          <w:color w:val="auto"/>
        </w:rPr>
      </w:pPr>
      <w:r>
        <w:rPr>
          <w:rFonts w:ascii="Arial" w:cs="Arial" w:eastAsia="Arial" w:hAnsi="Arial"/>
          <w:sz w:val="17"/>
          <w:szCs w:val="17"/>
          <w:color w:val="auto"/>
        </w:rPr>
        <w:t>Ms. Jorden has served as a member of our Board since January 2022. Ms. Jorden has served as a director, audit committee member and nominating and governance committee member of Cohu, Inc., a</w:t>
      </w:r>
    </w:p>
    <w:p>
      <w:pPr>
        <w:spacing w:after="0" w:line="1" w:lineRule="exact"/>
        <w:rPr>
          <w:sz w:val="20"/>
          <w:szCs w:val="20"/>
          <w:color w:val="auto"/>
        </w:rPr>
      </w:pPr>
    </w:p>
    <w:p>
      <w:pPr>
        <w:spacing w:after="0" w:line="208" w:lineRule="auto"/>
        <w:rPr>
          <w:sz w:val="20"/>
          <w:szCs w:val="20"/>
          <w:color w:val="auto"/>
        </w:rPr>
      </w:pPr>
      <w:r>
        <w:rPr>
          <w:rFonts w:ascii="Arial" w:cs="Arial" w:eastAsia="Arial" w:hAnsi="Arial"/>
          <w:sz w:val="18"/>
          <w:szCs w:val="18"/>
          <w:color w:val="auto"/>
        </w:rPr>
        <w:t>manufacturer of semiconductor equipment, since May 2021. Additionally, she has served as a director and finance committee member of Methodist Health System, a not-for-profit Texas-based hospital system, since 2008. Prior to her current roles, Ms. Jorden served as a director, audit committee chair and</w:t>
      </w:r>
    </w:p>
    <w:p>
      <w:pPr>
        <w:spacing w:after="0" w:line="2" w:lineRule="exact"/>
        <w:rPr>
          <w:sz w:val="20"/>
          <w:szCs w:val="20"/>
          <w:color w:val="auto"/>
        </w:rPr>
      </w:pPr>
    </w:p>
    <w:p>
      <w:pPr>
        <w:jc w:val="both"/>
        <w:ind w:right="260"/>
        <w:spacing w:after="0" w:line="221" w:lineRule="auto"/>
        <w:rPr>
          <w:sz w:val="20"/>
          <w:szCs w:val="20"/>
          <w:color w:val="auto"/>
        </w:rPr>
      </w:pPr>
      <w:r>
        <w:rPr>
          <w:rFonts w:ascii="Arial" w:cs="Arial" w:eastAsia="Arial" w:hAnsi="Arial"/>
          <w:sz w:val="17"/>
          <w:szCs w:val="17"/>
          <w:color w:val="auto"/>
        </w:rPr>
        <w:t>compensation committee member of Capstone Green Energy Corp., a microturbine manufacturer, from April 2017 to February 2025, and as director, audit committee member, compensation committee chair and nominating and governance committee chair for Maxwell Technologies, a manufacturer of energy</w:t>
      </w:r>
    </w:p>
    <w:p>
      <w:pPr>
        <w:spacing w:after="0" w:line="208" w:lineRule="auto"/>
        <w:rPr>
          <w:sz w:val="20"/>
          <w:szCs w:val="20"/>
          <w:color w:val="auto"/>
        </w:rPr>
      </w:pPr>
      <w:r>
        <w:rPr>
          <w:rFonts w:ascii="Arial" w:cs="Arial" w:eastAsia="Arial" w:hAnsi="Arial"/>
          <w:sz w:val="18"/>
          <w:szCs w:val="18"/>
          <w:color w:val="auto"/>
        </w:rPr>
        <w:t>storage and power delivery solutions, from 2008 to 2017. In addition, she also served as director and audit committee chair of Magnatek, Inc., a manufacturer of digital power control systems, U.S. Oncology, a privately held oncology services company, and BioScrip, a national provider of infusion and home care</w:t>
      </w:r>
    </w:p>
    <w:p>
      <w:pPr>
        <w:spacing w:after="0" w:line="2" w:lineRule="exact"/>
        <w:rPr>
          <w:sz w:val="20"/>
          <w:szCs w:val="20"/>
          <w:color w:val="auto"/>
        </w:rPr>
      </w:pPr>
    </w:p>
    <w:p>
      <w:pPr>
        <w:ind w:right="40"/>
        <w:spacing w:after="0" w:line="221" w:lineRule="auto"/>
        <w:rPr>
          <w:sz w:val="20"/>
          <w:szCs w:val="20"/>
          <w:color w:val="auto"/>
        </w:rPr>
      </w:pPr>
      <w:r>
        <w:rPr>
          <w:rFonts w:ascii="Arial" w:cs="Arial" w:eastAsia="Arial" w:hAnsi="Arial"/>
          <w:sz w:val="17"/>
          <w:szCs w:val="17"/>
          <w:color w:val="auto"/>
        </w:rPr>
        <w:t>management solutions. During her business career, she served as chief financial officer of four publicly traded companies, including as Executive Vice President and Chief Financial Officer of AdvancePCS, a pharmacy benefits management company, from 2002 to 2004. Previously she was chief financial officer of</w:t>
      </w:r>
    </w:p>
    <w:p>
      <w:pPr>
        <w:ind w:right="60"/>
        <w:spacing w:after="0" w:line="221" w:lineRule="auto"/>
        <w:rPr>
          <w:sz w:val="20"/>
          <w:szCs w:val="20"/>
          <w:color w:val="auto"/>
        </w:rPr>
      </w:pPr>
      <w:r>
        <w:rPr>
          <w:rFonts w:ascii="Arial" w:cs="Arial" w:eastAsia="Arial" w:hAnsi="Arial"/>
          <w:sz w:val="17"/>
          <w:szCs w:val="17"/>
          <w:color w:val="auto"/>
        </w:rPr>
        <w:t>Informix Corp. (now Ascential Software Corp.), a provider of information management software, Oxford Health Plans, a provider of managed health care services, and WellPoint, Inc., a managed care company. Earlier in her career, she was a senior auditor with Arthur Andersen &amp; Co., where she became a Certified</w:t>
      </w:r>
    </w:p>
    <w:p>
      <w:pPr>
        <w:ind w:right="60"/>
        <w:spacing w:after="0" w:line="221" w:lineRule="auto"/>
        <w:rPr>
          <w:sz w:val="20"/>
          <w:szCs w:val="20"/>
          <w:color w:val="auto"/>
        </w:rPr>
      </w:pPr>
      <w:r>
        <w:rPr>
          <w:rFonts w:ascii="Arial" w:cs="Arial" w:eastAsia="Arial" w:hAnsi="Arial"/>
          <w:sz w:val="17"/>
          <w:szCs w:val="17"/>
          <w:color w:val="auto"/>
        </w:rPr>
        <w:t>Public Accountant (inactive) in the State of California. Ms. Jorden is a Board Leadership Fellow of the National Association of Corporate Directors. She received her Bachelor of Science degree in Accounting from the California State University, Los Angeles. Ms. Jorden is a valuable member of our Board because</w:t>
      </w:r>
    </w:p>
    <w:p>
      <w:pPr>
        <w:ind w:right="360"/>
        <w:spacing w:after="0" w:line="229" w:lineRule="auto"/>
        <w:rPr>
          <w:sz w:val="20"/>
          <w:szCs w:val="20"/>
          <w:color w:val="auto"/>
        </w:rPr>
      </w:pPr>
      <w:r>
        <w:rPr>
          <w:rFonts w:ascii="Arial" w:cs="Arial" w:eastAsia="Arial" w:hAnsi="Arial"/>
          <w:sz w:val="18"/>
          <w:szCs w:val="18"/>
          <w:color w:val="auto"/>
        </w:rPr>
        <w:t>of her extensive experience as a chief financial officer, her financial expertise and her experience as a director of multiple public and private companies.</w:t>
      </w:r>
    </w:p>
    <w:p>
      <w:pPr>
        <w:spacing w:after="0" w:line="357"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Mr. Kao has served as our Chief Executive Officer and as a member of our Board since 2014. Mr. Kao is our founder, and he was appointed as our Chief Executive Officer and to serve on our board of directors</w:t>
      </w:r>
    </w:p>
    <w:p>
      <w:pPr>
        <w:spacing w:after="0" w:line="1"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because of his extensive experience in managing organizations in the health care industry. Mr. Kao previously served as president of CareMore Medical Enterprises, Inc. (“CareMore”), which Mr. Kao and his partners acquired in 2006. In August 2011, CareMore was acquired by Wellpoint, Inc. Mr. Kao has also</w:t>
      </w:r>
    </w:p>
    <w:p>
      <w:pPr>
        <w:ind w:right="20"/>
        <w:spacing w:after="0" w:line="221" w:lineRule="auto"/>
        <w:rPr>
          <w:sz w:val="20"/>
          <w:szCs w:val="20"/>
          <w:color w:val="auto"/>
        </w:rPr>
      </w:pPr>
      <w:r>
        <w:rPr>
          <w:rFonts w:ascii="Arial" w:cs="Arial" w:eastAsia="Arial" w:hAnsi="Arial"/>
          <w:sz w:val="17"/>
          <w:szCs w:val="17"/>
          <w:color w:val="auto"/>
        </w:rPr>
        <w:t>served as executive vice president at The TriZetto Group, and has served as president and CEO of the Ventures Division of PacifiCare Health Systems. While at PacifiCare, Mr. Kao was the chief financial officer at Secure Horizons USA. His earlier work included mergers and acquisitions with FHP International</w:t>
      </w:r>
    </w:p>
    <w:p>
      <w:pPr>
        <w:ind w:right="380"/>
        <w:spacing w:after="0" w:line="221" w:lineRule="auto"/>
        <w:rPr>
          <w:sz w:val="20"/>
          <w:szCs w:val="20"/>
          <w:color w:val="auto"/>
        </w:rPr>
      </w:pPr>
      <w:r>
        <w:rPr>
          <w:rFonts w:ascii="Arial" w:cs="Arial" w:eastAsia="Arial" w:hAnsi="Arial"/>
          <w:sz w:val="17"/>
          <w:szCs w:val="17"/>
          <w:color w:val="auto"/>
        </w:rPr>
        <w:t>and investment banking with BancAmerica Securities, Inc. Mr. Kao received his Bachelor of Science degree from Santa Clara University and his MBA from the UCLA Anderson Graduate School of Management, where he was honored as a Venture Capital Fellow. Mr. Kao is qualified to serve on our</w:t>
      </w:r>
    </w:p>
    <w:p>
      <w:pPr>
        <w:ind w:right="340"/>
        <w:spacing w:after="0" w:line="229" w:lineRule="auto"/>
        <w:rPr>
          <w:sz w:val="20"/>
          <w:szCs w:val="20"/>
          <w:color w:val="auto"/>
        </w:rPr>
      </w:pPr>
      <w:r>
        <w:rPr>
          <w:rFonts w:ascii="Arial" w:cs="Arial" w:eastAsia="Arial" w:hAnsi="Arial"/>
          <w:sz w:val="18"/>
          <w:szCs w:val="18"/>
          <w:color w:val="auto"/>
        </w:rPr>
        <w:t>Board because of his executive leadership experience and his extensive experience in the health care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920" w:space="720"/>
            <w:col w:w="8440"/>
          </w:cols>
          <w:pgMar w:left="440" w:top="1440" w:right="379" w:bottom="1440" w:gutter="0" w:footer="0" w:header="0"/>
        </w:sectPr>
      </w:pPr>
    </w:p>
    <w:bookmarkStart w:id="26" w:name="page27"/>
    <w:bookmarkEnd w:id="26"/>
    <w:tbl>
      <w:tblPr>
        <w:tblLayout w:type="fixed"/>
        <w:tblInd w:w="12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8920" w:type="dxa"/>
            <w:vAlign w:val="bottom"/>
          </w:tcPr>
          <w:p>
            <w:pPr>
              <w:ind w:left="480"/>
              <w:spacing w:after="0"/>
              <w:rPr>
                <w:sz w:val="20"/>
                <w:szCs w:val="20"/>
                <w:color w:val="auto"/>
              </w:rPr>
            </w:pPr>
            <w:r>
              <w:rPr>
                <w:rFonts w:ascii="Arial" w:cs="Arial" w:eastAsia="Arial" w:hAnsi="Arial"/>
                <w:sz w:val="18"/>
                <w:szCs w:val="18"/>
                <w:color w:val="auto"/>
              </w:rPr>
              <w:t>Mr. Konowiecki has served as chairman of the Board since 2014. From October 2022 to December 2023,</w:t>
            </w:r>
          </w:p>
        </w:tc>
      </w:tr>
      <w:tr>
        <w:trPr>
          <w:trHeight w:val="184"/>
        </w:trPr>
        <w:tc>
          <w:tcPr>
            <w:tcW w:w="2160" w:type="dxa"/>
            <w:vAlign w:val="bottom"/>
          </w:tcPr>
          <w:p>
            <w:pPr>
              <w:spacing w:after="0"/>
              <w:rPr>
                <w:sz w:val="15"/>
                <w:szCs w:val="15"/>
                <w:color w:val="auto"/>
              </w:rPr>
            </w:pPr>
          </w:p>
        </w:tc>
        <w:tc>
          <w:tcPr>
            <w:tcW w:w="8920" w:type="dxa"/>
            <w:vAlign w:val="bottom"/>
          </w:tcPr>
          <w:p>
            <w:pPr>
              <w:ind w:left="480"/>
              <w:spacing w:after="0" w:line="183" w:lineRule="exact"/>
              <w:rPr>
                <w:sz w:val="20"/>
                <w:szCs w:val="20"/>
                <w:color w:val="auto"/>
              </w:rPr>
            </w:pPr>
            <w:r>
              <w:rPr>
                <w:rFonts w:ascii="Arial" w:cs="Arial" w:eastAsia="Arial" w:hAnsi="Arial"/>
                <w:sz w:val="18"/>
                <w:szCs w:val="18"/>
                <w:color w:val="auto"/>
              </w:rPr>
              <w:t>he served in an executive role with the Company, leading strategic network and business development.</w:t>
            </w:r>
          </w:p>
        </w:tc>
      </w:tr>
      <w:tr>
        <w:trPr>
          <w:trHeight w:val="181"/>
        </w:trPr>
        <w:tc>
          <w:tcPr>
            <w:tcW w:w="2160" w:type="dxa"/>
            <w:vAlign w:val="bottom"/>
          </w:tcPr>
          <w:p>
            <w:pPr>
              <w:spacing w:after="0"/>
              <w:rPr>
                <w:sz w:val="15"/>
                <w:szCs w:val="15"/>
                <w:color w:val="auto"/>
              </w:rPr>
            </w:pPr>
          </w:p>
        </w:tc>
        <w:tc>
          <w:tcPr>
            <w:tcW w:w="8920" w:type="dxa"/>
            <w:vAlign w:val="bottom"/>
          </w:tcPr>
          <w:p>
            <w:pPr>
              <w:ind w:left="480"/>
              <w:spacing w:after="0" w:line="181" w:lineRule="exact"/>
              <w:rPr>
                <w:sz w:val="20"/>
                <w:szCs w:val="20"/>
                <w:color w:val="auto"/>
              </w:rPr>
            </w:pPr>
            <w:r>
              <w:rPr>
                <w:rFonts w:ascii="Arial" w:cs="Arial" w:eastAsia="Arial" w:hAnsi="Arial"/>
                <w:sz w:val="18"/>
                <w:szCs w:val="18"/>
                <w:color w:val="auto"/>
              </w:rPr>
              <w:t>Since 2009, Mr. Konowiecki has served as managing partner of Moriah Partners, LLC and is the founder</w:t>
            </w:r>
          </w:p>
        </w:tc>
      </w:tr>
      <w:tr>
        <w:trPr>
          <w:trHeight w:val="176"/>
        </w:trPr>
        <w:tc>
          <w:tcPr>
            <w:tcW w:w="2160" w:type="dxa"/>
            <w:vAlign w:val="bottom"/>
          </w:tcPr>
          <w:p>
            <w:pPr>
              <w:spacing w:after="0"/>
              <w:rPr>
                <w:sz w:val="15"/>
                <w:szCs w:val="15"/>
                <w:color w:val="auto"/>
              </w:rPr>
            </w:pPr>
          </w:p>
        </w:tc>
        <w:tc>
          <w:tcPr>
            <w:tcW w:w="8920" w:type="dxa"/>
            <w:vAlign w:val="bottom"/>
          </w:tcPr>
          <w:p>
            <w:pPr>
              <w:ind w:left="480"/>
              <w:spacing w:after="0" w:line="176" w:lineRule="exact"/>
              <w:rPr>
                <w:sz w:val="20"/>
                <w:szCs w:val="20"/>
                <w:color w:val="auto"/>
              </w:rPr>
            </w:pPr>
            <w:r>
              <w:rPr>
                <w:rFonts w:ascii="Arial" w:cs="Arial" w:eastAsia="Arial" w:hAnsi="Arial"/>
                <w:sz w:val="18"/>
                <w:szCs w:val="18"/>
                <w:color w:val="auto"/>
              </w:rPr>
              <w:t>and CEO of Advanced Sports Media Group. Mr. Konowiecki previously served as Chairman and CEO of</w:t>
            </w:r>
          </w:p>
        </w:tc>
      </w:tr>
      <w:tr>
        <w:trPr>
          <w:trHeight w:val="184"/>
        </w:trPr>
        <w:tc>
          <w:tcPr>
            <w:tcW w:w="2160" w:type="dxa"/>
            <w:vAlign w:val="bottom"/>
          </w:tcPr>
          <w:p>
            <w:pPr>
              <w:spacing w:after="0"/>
              <w:rPr>
                <w:sz w:val="15"/>
                <w:szCs w:val="15"/>
                <w:color w:val="auto"/>
              </w:rPr>
            </w:pPr>
          </w:p>
        </w:tc>
        <w:tc>
          <w:tcPr>
            <w:tcW w:w="8920" w:type="dxa"/>
            <w:vAlign w:val="bottom"/>
          </w:tcPr>
          <w:p>
            <w:pPr>
              <w:ind w:left="480"/>
              <w:spacing w:after="0" w:line="183" w:lineRule="exact"/>
              <w:rPr>
                <w:sz w:val="20"/>
                <w:szCs w:val="20"/>
                <w:color w:val="auto"/>
              </w:rPr>
            </w:pPr>
            <w:r>
              <w:rPr>
                <w:rFonts w:ascii="Arial" w:cs="Arial" w:eastAsia="Arial" w:hAnsi="Arial"/>
                <w:sz w:val="18"/>
                <w:szCs w:val="18"/>
                <w:color w:val="auto"/>
              </w:rPr>
              <w:t>Apollo Enterprise Solutions, Inc. Mr. Konowiecki was previously CEO of Future Solutions with</w:t>
            </w:r>
          </w:p>
        </w:tc>
      </w:tr>
      <w:tr>
        <w:trPr>
          <w:trHeight w:val="181"/>
        </w:trPr>
        <w:tc>
          <w:tcPr>
            <w:tcW w:w="2160" w:type="dxa"/>
            <w:vAlign w:val="bottom"/>
          </w:tcPr>
          <w:p>
            <w:pPr>
              <w:spacing w:after="0"/>
              <w:rPr>
                <w:sz w:val="15"/>
                <w:szCs w:val="15"/>
                <w:color w:val="auto"/>
              </w:rPr>
            </w:pPr>
          </w:p>
        </w:tc>
        <w:tc>
          <w:tcPr>
            <w:tcW w:w="8920" w:type="dxa"/>
            <w:vAlign w:val="bottom"/>
          </w:tcPr>
          <w:p>
            <w:pPr>
              <w:ind w:left="480"/>
              <w:spacing w:after="0" w:line="181" w:lineRule="exact"/>
              <w:rPr>
                <w:sz w:val="20"/>
                <w:szCs w:val="20"/>
                <w:color w:val="auto"/>
              </w:rPr>
            </w:pPr>
            <w:r>
              <w:rPr>
                <w:rFonts w:ascii="Arial" w:cs="Arial" w:eastAsia="Arial" w:hAnsi="Arial"/>
                <w:sz w:val="18"/>
                <w:szCs w:val="18"/>
                <w:color w:val="auto"/>
              </w:rPr>
              <w:t>UnitedHealth Group’s Ovations division. Mr. Konowiecki has also held the positions of general counsel</w:t>
            </w:r>
          </w:p>
        </w:tc>
      </w:tr>
      <w:tr>
        <w:trPr>
          <w:trHeight w:val="176"/>
        </w:trPr>
        <w:tc>
          <w:tcPr>
            <w:tcW w:w="2160" w:type="dxa"/>
            <w:vAlign w:val="bottom"/>
          </w:tcPr>
          <w:p>
            <w:pPr>
              <w:spacing w:after="0"/>
              <w:rPr>
                <w:sz w:val="15"/>
                <w:szCs w:val="15"/>
                <w:color w:val="auto"/>
              </w:rPr>
            </w:pPr>
          </w:p>
        </w:tc>
        <w:tc>
          <w:tcPr>
            <w:tcW w:w="8920" w:type="dxa"/>
            <w:vAlign w:val="bottom"/>
          </w:tcPr>
          <w:p>
            <w:pPr>
              <w:ind w:left="480"/>
              <w:spacing w:after="0" w:line="176" w:lineRule="exact"/>
              <w:rPr>
                <w:sz w:val="20"/>
                <w:szCs w:val="20"/>
                <w:color w:val="auto"/>
              </w:rPr>
            </w:pPr>
            <w:r>
              <w:rPr>
                <w:rFonts w:ascii="Arial" w:cs="Arial" w:eastAsia="Arial" w:hAnsi="Arial"/>
                <w:sz w:val="18"/>
                <w:szCs w:val="18"/>
                <w:color w:val="auto"/>
              </w:rPr>
              <w:t>and executive vice president corporate affairs at PacifiCare Health Systems, Inc. In addition, he is a</w:t>
            </w:r>
          </w:p>
        </w:tc>
      </w:tr>
      <w:tr>
        <w:trPr>
          <w:trHeight w:val="184"/>
        </w:trPr>
        <w:tc>
          <w:tcPr>
            <w:tcW w:w="2160" w:type="dxa"/>
            <w:vAlign w:val="bottom"/>
          </w:tcPr>
          <w:p>
            <w:pPr>
              <w:spacing w:after="0"/>
              <w:rPr>
                <w:sz w:val="15"/>
                <w:szCs w:val="15"/>
                <w:color w:val="auto"/>
              </w:rPr>
            </w:pPr>
          </w:p>
        </w:tc>
        <w:tc>
          <w:tcPr>
            <w:tcW w:w="8920" w:type="dxa"/>
            <w:vAlign w:val="bottom"/>
          </w:tcPr>
          <w:p>
            <w:pPr>
              <w:ind w:left="480"/>
              <w:spacing w:after="0" w:line="183" w:lineRule="exact"/>
              <w:rPr>
                <w:sz w:val="20"/>
                <w:szCs w:val="20"/>
                <w:color w:val="auto"/>
              </w:rPr>
            </w:pPr>
            <w:r>
              <w:rPr>
                <w:rFonts w:ascii="Arial" w:cs="Arial" w:eastAsia="Arial" w:hAnsi="Arial"/>
                <w:sz w:val="18"/>
                <w:szCs w:val="18"/>
                <w:color w:val="auto"/>
              </w:rPr>
              <w:t>founding partner of the law firm Konowiecki &amp; Rank and served as a member of the RAND Healthcare</w:t>
            </w:r>
          </w:p>
        </w:tc>
      </w:tr>
      <w:tr>
        <w:trPr>
          <w:trHeight w:val="181"/>
        </w:trPr>
        <w:tc>
          <w:tcPr>
            <w:tcW w:w="2160" w:type="dxa"/>
            <w:vAlign w:val="bottom"/>
          </w:tcPr>
          <w:p>
            <w:pPr>
              <w:spacing w:after="0"/>
              <w:rPr>
                <w:sz w:val="15"/>
                <w:szCs w:val="15"/>
                <w:color w:val="auto"/>
              </w:rPr>
            </w:pPr>
          </w:p>
        </w:tc>
        <w:tc>
          <w:tcPr>
            <w:tcW w:w="8920" w:type="dxa"/>
            <w:vAlign w:val="bottom"/>
          </w:tcPr>
          <w:p>
            <w:pPr>
              <w:ind w:left="480"/>
              <w:spacing w:after="0" w:line="181" w:lineRule="exact"/>
              <w:rPr>
                <w:sz w:val="20"/>
                <w:szCs w:val="20"/>
                <w:color w:val="auto"/>
              </w:rPr>
            </w:pPr>
            <w:r>
              <w:rPr>
                <w:rFonts w:ascii="Arial" w:cs="Arial" w:eastAsia="Arial" w:hAnsi="Arial"/>
                <w:sz w:val="18"/>
                <w:szCs w:val="18"/>
                <w:color w:val="auto"/>
                <w:w w:val="99"/>
              </w:rPr>
              <w:t>Advisory Board. Mr. Konowiecki received a Bachelor of Arts degree in Political Science from the University</w:t>
            </w:r>
          </w:p>
        </w:tc>
      </w:tr>
      <w:tr>
        <w:trPr>
          <w:trHeight w:val="176"/>
        </w:trPr>
        <w:tc>
          <w:tcPr>
            <w:tcW w:w="2160" w:type="dxa"/>
            <w:vAlign w:val="bottom"/>
          </w:tcPr>
          <w:p>
            <w:pPr>
              <w:spacing w:after="0"/>
              <w:rPr>
                <w:sz w:val="15"/>
                <w:szCs w:val="15"/>
                <w:color w:val="auto"/>
              </w:rPr>
            </w:pPr>
          </w:p>
        </w:tc>
        <w:tc>
          <w:tcPr>
            <w:tcW w:w="8920" w:type="dxa"/>
            <w:vAlign w:val="bottom"/>
          </w:tcPr>
          <w:p>
            <w:pPr>
              <w:ind w:left="480"/>
              <w:spacing w:after="0" w:line="176" w:lineRule="exact"/>
              <w:rPr>
                <w:sz w:val="20"/>
                <w:szCs w:val="20"/>
                <w:color w:val="auto"/>
              </w:rPr>
            </w:pPr>
            <w:r>
              <w:rPr>
                <w:rFonts w:ascii="Arial" w:cs="Arial" w:eastAsia="Arial" w:hAnsi="Arial"/>
                <w:sz w:val="18"/>
                <w:szCs w:val="18"/>
                <w:color w:val="auto"/>
                <w:w w:val="99"/>
              </w:rPr>
              <w:t>of California, Los Angeles and a JD from Hastings College. Mr. Konowiecki was appointed to serve on our</w:t>
            </w:r>
          </w:p>
        </w:tc>
      </w:tr>
      <w:tr>
        <w:trPr>
          <w:trHeight w:val="184"/>
        </w:trPr>
        <w:tc>
          <w:tcPr>
            <w:tcW w:w="2160" w:type="dxa"/>
            <w:vAlign w:val="bottom"/>
          </w:tcPr>
          <w:p>
            <w:pPr>
              <w:spacing w:after="0"/>
              <w:rPr>
                <w:sz w:val="15"/>
                <w:szCs w:val="15"/>
                <w:color w:val="auto"/>
              </w:rPr>
            </w:pPr>
          </w:p>
        </w:tc>
        <w:tc>
          <w:tcPr>
            <w:tcW w:w="8920" w:type="dxa"/>
            <w:vAlign w:val="bottom"/>
          </w:tcPr>
          <w:p>
            <w:pPr>
              <w:ind w:left="480"/>
              <w:spacing w:after="0" w:line="183" w:lineRule="exact"/>
              <w:rPr>
                <w:sz w:val="20"/>
                <w:szCs w:val="20"/>
                <w:color w:val="auto"/>
              </w:rPr>
            </w:pPr>
            <w:r>
              <w:rPr>
                <w:rFonts w:ascii="Arial" w:cs="Arial" w:eastAsia="Arial" w:hAnsi="Arial"/>
                <w:sz w:val="18"/>
                <w:szCs w:val="18"/>
                <w:color w:val="auto"/>
              </w:rPr>
              <w:t>board of directors because of his extensive experience in managing organizations as an executive officer</w:t>
            </w:r>
          </w:p>
        </w:tc>
      </w:tr>
      <w:tr>
        <w:trPr>
          <w:trHeight w:val="287"/>
        </w:trPr>
        <w:tc>
          <w:tcPr>
            <w:tcW w:w="2160" w:type="dxa"/>
            <w:vAlign w:val="bottom"/>
          </w:tcPr>
          <w:p>
            <w:pPr>
              <w:spacing w:after="0"/>
              <w:rPr>
                <w:sz w:val="20"/>
                <w:szCs w:val="20"/>
                <w:color w:val="auto"/>
              </w:rPr>
            </w:pPr>
            <w:r>
              <w:rPr>
                <w:rFonts w:ascii="Arial" w:cs="Arial" w:eastAsia="Arial" w:hAnsi="Arial"/>
                <w:sz w:val="18"/>
                <w:szCs w:val="18"/>
                <w:b w:val="1"/>
                <w:bCs w:val="1"/>
                <w:i w:val="1"/>
                <w:iCs w:val="1"/>
                <w:color w:val="1F497D"/>
              </w:rPr>
              <w:t>Joseph Konowiecki</w:t>
            </w:r>
          </w:p>
        </w:tc>
        <w:tc>
          <w:tcPr>
            <w:tcW w:w="8920" w:type="dxa"/>
            <w:vAlign w:val="bottom"/>
          </w:tcPr>
          <w:p>
            <w:pPr>
              <w:ind w:left="480"/>
              <w:spacing w:after="0"/>
              <w:rPr>
                <w:sz w:val="20"/>
                <w:szCs w:val="20"/>
                <w:color w:val="auto"/>
              </w:rPr>
            </w:pPr>
            <w:r>
              <w:rPr>
                <w:rFonts w:ascii="Arial" w:cs="Arial" w:eastAsia="Arial" w:hAnsi="Arial"/>
                <w:sz w:val="18"/>
                <w:szCs w:val="18"/>
                <w:color w:val="auto"/>
              </w:rPr>
              <w:t>and representing organizations in the health care industry.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-1284605</wp:posOffset>
            </wp:positionV>
            <wp:extent cx="1148715" cy="10801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48715" cy="108013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Nomination Criteria and Director Experience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Identifying Nominees for Directors</w:t>
      </w:r>
    </w:p>
    <w:p>
      <w:pPr>
        <w:spacing w:after="0" w:line="223" w:lineRule="exact"/>
        <w:rPr>
          <w:sz w:val="20"/>
          <w:szCs w:val="20"/>
          <w:color w:val="auto"/>
        </w:rPr>
      </w:pPr>
    </w:p>
    <w:p>
      <w:pPr>
        <w:ind w:right="100" w:firstLine="405"/>
        <w:spacing w:after="0" w:line="268" w:lineRule="auto"/>
        <w:rPr>
          <w:sz w:val="20"/>
          <w:szCs w:val="20"/>
          <w:color w:val="auto"/>
        </w:rPr>
      </w:pPr>
      <w:r>
        <w:rPr>
          <w:rFonts w:ascii="Arial" w:cs="Arial" w:eastAsia="Arial" w:hAnsi="Arial"/>
          <w:sz w:val="18"/>
          <w:szCs w:val="18"/>
          <w:color w:val="auto"/>
        </w:rPr>
        <w:t>The Board has delegated an established screening process for director nominees to the NCGCC, with counsel from our Chairman, our Lead Independent Director, our Chief Executive Officer, and outside consultants as appropriate. The goal of the screening process is to assemble a group of potential board members with deep, varied experience, sound judgment, and commitment to the Company’s success.</w:t>
      </w:r>
    </w:p>
    <w:p>
      <w:pPr>
        <w:spacing w:after="0" w:line="17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NCGCC regularly assesses the appropriate size of the Board, the areas of expertise required to effectively contribute to the Board process, and whether any vacancies are anticipated. It also annually assesses the director qualification criteria to ensure the Board has appropriate skill composition consistent with the Company’s long-term business, operations goals, growth strategy and risks. This includes (i) qualifications or characteristics that are expected and befitting of all directors and (ii) specific skills, experience or qualifications that should be represented collectively on our Board. As a result of its analysis, the NCGCC may recommend to the Board a need for an additional director, Board refreshment for certain requisite skills and qualifications, and/or the replacement of an existing director for other credible reasons. The self-identification process may also incorporate responses, as appropriate, from the Board’s annual individual self-evaluations. Such evaluations require each director to honestly reflect upon and recount their personal contributions to the Board in the prior year and to provide feedback regarding their performance, the overall Board performance and the performance of certain other key Board positions. See “</w:t>
      </w:r>
      <w:r>
        <w:rPr>
          <w:rFonts w:ascii="Arial" w:cs="Arial" w:eastAsia="Arial" w:hAnsi="Arial"/>
          <w:sz w:val="18"/>
          <w:szCs w:val="18"/>
          <w:i w:val="1"/>
          <w:iCs w:val="1"/>
          <w:color w:val="auto"/>
        </w:rPr>
        <w:t>Corporate Governance—Board Evaluation Practices</w:t>
      </w:r>
      <w:r>
        <w:rPr>
          <w:rFonts w:ascii="Arial" w:cs="Arial" w:eastAsia="Arial" w:hAnsi="Arial"/>
          <w:sz w:val="18"/>
          <w:szCs w:val="18"/>
          <w:color w:val="auto"/>
        </w:rPr>
        <w:t>.”</w:t>
      </w:r>
    </w:p>
    <w:p>
      <w:pPr>
        <w:spacing w:after="0" w:line="185"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The NCGCC will consider qualified candidates for director nominees suggested by the Company’s stockholders. Stockholders can suggest qualified candidates for director nominees by writing to the Chief Legal &amp; Administrative Officer of the Company at 1100 W. Town &amp; Country Rd., Suite 1600, Orange, CA 92868. Submissions should include the information about the director candidate and the stockholder making the submission that would otherwise be required by Article II, Section 11(b) of our Bylaws if the stockholder was nominating the individual for election to our Board. Submissions received that include such information, and provided that the recommended candidate meets the criteria described above, are forwarded to the NCGCC for further review and consideration. The committee may also request additional information concerning the director candidate that it deems reasonably required to determine the eligibility and qualification of the director candidate to serve on our Board. Stockholders suggesting director candidates for consideration by our Board in connection with the 2026 annual meeting of stockholders should provide their submission pursuant to the deadlines described above under “</w:t>
      </w:r>
      <w:r>
        <w:rPr>
          <w:rFonts w:ascii="Arial" w:cs="Arial" w:eastAsia="Arial" w:hAnsi="Arial"/>
          <w:sz w:val="18"/>
          <w:szCs w:val="18"/>
          <w:i w:val="1"/>
          <w:iCs w:val="1"/>
          <w:color w:val="auto"/>
        </w:rPr>
        <w:t>Commonly Asked</w:t>
      </w:r>
      <w:r>
        <w:rPr>
          <w:rFonts w:ascii="Arial" w:cs="Arial" w:eastAsia="Arial" w:hAnsi="Arial"/>
          <w:sz w:val="18"/>
          <w:szCs w:val="18"/>
          <w:color w:val="auto"/>
        </w:rPr>
        <w:t xml:space="preserve"> </w:t>
      </w:r>
      <w:r>
        <w:rPr>
          <w:rFonts w:ascii="Arial" w:cs="Arial" w:eastAsia="Arial" w:hAnsi="Arial"/>
          <w:sz w:val="18"/>
          <w:szCs w:val="18"/>
          <w:i w:val="1"/>
          <w:iCs w:val="1"/>
          <w:color w:val="auto"/>
        </w:rPr>
        <w:t>Questions and Answers About the Annual Meeting</w:t>
      </w:r>
      <w:r>
        <w:rPr>
          <w:rFonts w:ascii="Arial" w:cs="Arial" w:eastAsia="Arial" w:hAnsi="Arial"/>
          <w:sz w:val="18"/>
          <w:szCs w:val="18"/>
          <w:color w:val="auto"/>
        </w:rPr>
        <w:t>.” The NCGCC does not intend to evaluate candidates proposed by stockholders any</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differently from other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31" w:right="379" w:bottom="1440" w:gutter="0" w:footer="0" w:header="0"/>
        </w:sectPr>
      </w:pPr>
    </w:p>
    <w:bookmarkStart w:id="27" w:name="page28"/>
    <w:bookmarkEnd w:id="27"/>
    <w:p>
      <w:pPr>
        <w:spacing w:after="0" w:line="193"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As part of the process of identifying appropriate director candidates, the NCGCC formally reviews each director’s continuation on the Board every three years. As part of its formal review of directors, the NCGCC considers all factors which it deems appropriate, including director performance, any other directorships held by the director, whether the director undertook continuing director education and any other criteria approved by the Board.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Director Skills and Qualifications</w:t>
      </w:r>
    </w:p>
    <w:p>
      <w:pPr>
        <w:spacing w:after="0" w:line="22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NCGCC has identified qualifications, attributes, skills and experience that are important to be represented on the Board as a whole, in light of the Company’s current needs and business priorities. The NCGCC recognizes that our Board should represent a diverse group of experience, skills and other qualities, and as a collective group should have expertise in certain substantive areas including: corporate governance, finance/capital markets, board of directors experience, health care industry experience, clinical practice, CEO or other C-suite experience with significant business acumen, direct to consumer marketing, diversity, experience with complex organizations, technology/business processes, government relations and/or public policy and regulatory knowledge and other skills and expertise that are likely to enhance the Board’s ability to manage and direct the affairs and business of the Company. Certain directors or director nominees may possess expertise in the designated areas, however a director or director nominee need not individually possess the experience, skill or other requisite qualification in all areas. Among other key areas, the NCGCC seeks directors with the following types of experience:</w:t>
      </w:r>
    </w:p>
    <w:p>
      <w:pPr>
        <w:spacing w:after="0" w:line="181" w:lineRule="exact"/>
        <w:rPr>
          <w:sz w:val="20"/>
          <w:szCs w:val="20"/>
          <w:color w:val="auto"/>
        </w:rPr>
      </w:pPr>
    </w:p>
    <w:p>
      <w:pPr>
        <w:ind w:left="1300" w:right="80" w:hanging="644"/>
        <w:spacing w:after="0" w:line="262" w:lineRule="auto"/>
        <w:tabs>
          <w:tab w:leader="none" w:pos="1295"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Leadership experience</w:t>
      </w:r>
      <w:r>
        <w:rPr>
          <w:rFonts w:ascii="Arial" w:cs="Arial" w:eastAsia="Arial" w:hAnsi="Arial"/>
          <w:sz w:val="18"/>
          <w:szCs w:val="18"/>
          <w:color w:val="auto"/>
        </w:rPr>
        <w:t>. We believe that directors who have held significant leadership positions over an extended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the Company with unique insights. We believe such people have the ability to identify and develop leadership qualities in others. They demonstrate a practical understanding of organizations, processes, strategy and risk management, and they know how to drive change and growth.</w:t>
      </w:r>
    </w:p>
    <w:p>
      <w:pPr>
        <w:spacing w:after="0" w:line="175" w:lineRule="exact"/>
        <w:rPr>
          <w:rFonts w:ascii="Times New Roman" w:cs="Times New Roman" w:eastAsia="Times New Roman" w:hAnsi="Times New Roman"/>
          <w:sz w:val="18"/>
          <w:szCs w:val="18"/>
          <w:color w:val="auto"/>
        </w:rPr>
      </w:pPr>
    </w:p>
    <w:p>
      <w:pPr>
        <w:ind w:left="1300" w:right="220" w:hanging="644"/>
        <w:spacing w:after="0" w:line="259" w:lineRule="auto"/>
        <w:tabs>
          <w:tab w:leader="none" w:pos="1295"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Technology and business processes experience</w:t>
      </w:r>
      <w:r>
        <w:rPr>
          <w:rFonts w:ascii="Arial" w:cs="Arial" w:eastAsia="Arial" w:hAnsi="Arial"/>
          <w:sz w:val="18"/>
          <w:szCs w:val="18"/>
          <w:color w:val="auto"/>
        </w:rPr>
        <w:t>. As a technology-enabled Medicare Advantage platform, we seek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with backgrounds in technology because our success depends on developing our platform and introducing it into new markets. We also value expertise in business processes as we continue to build into new markets and scale our operations, as well as expertise in data privacy and cybersecurity matters which represent important elements of our risk management strategy.</w:t>
      </w:r>
    </w:p>
    <w:p>
      <w:pPr>
        <w:spacing w:after="0" w:line="178" w:lineRule="exact"/>
        <w:rPr>
          <w:rFonts w:ascii="Times New Roman" w:cs="Times New Roman" w:eastAsia="Times New Roman" w:hAnsi="Times New Roman"/>
          <w:sz w:val="18"/>
          <w:szCs w:val="18"/>
          <w:color w:val="auto"/>
        </w:rPr>
      </w:pPr>
    </w:p>
    <w:p>
      <w:pPr>
        <w:ind w:left="1300" w:right="80" w:hanging="644"/>
        <w:spacing w:after="0" w:line="259" w:lineRule="auto"/>
        <w:tabs>
          <w:tab w:leader="none" w:pos="1295"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Financial experience</w:t>
      </w:r>
      <w:r>
        <w:rPr>
          <w:rFonts w:ascii="Arial" w:cs="Arial" w:eastAsia="Arial" w:hAnsi="Arial"/>
          <w:sz w:val="18"/>
          <w:szCs w:val="18"/>
          <w:color w:val="auto"/>
        </w:rPr>
        <w:t>. We believe that an understanding of finance and financial reporting processes is important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as we measure our operating performance by reference to certain financial goals, including non-GAAP measures. Accurate financial reporting and robust auditing are critical to our success. We seek to have a number of directors who qualify as audit committee financial experts and we expect that all of our directors will be financially knowledgeable. As part of this qualification, we also seek directors who have relevant risk management experience.</w:t>
      </w:r>
    </w:p>
    <w:p>
      <w:pPr>
        <w:spacing w:after="0" w:line="178" w:lineRule="exact"/>
        <w:rPr>
          <w:rFonts w:ascii="Times New Roman" w:cs="Times New Roman" w:eastAsia="Times New Roman" w:hAnsi="Times New Roman"/>
          <w:sz w:val="18"/>
          <w:szCs w:val="18"/>
          <w:color w:val="auto"/>
        </w:rPr>
      </w:pPr>
    </w:p>
    <w:p>
      <w:pPr>
        <w:ind w:left="1300" w:right="60" w:hanging="644"/>
        <w:spacing w:after="0" w:line="268" w:lineRule="auto"/>
        <w:tabs>
          <w:tab w:leader="none" w:pos="1295"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Industry experience</w:t>
      </w:r>
      <w:r>
        <w:rPr>
          <w:rFonts w:ascii="Arial" w:cs="Arial" w:eastAsia="Arial" w:hAnsi="Arial"/>
          <w:sz w:val="18"/>
          <w:szCs w:val="18"/>
          <w:color w:val="auto"/>
        </w:rPr>
        <w:t>. We seek to have directors with experience as executives or directors or in other leadership positions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Medicare Advantage space. We believe that this experience will help us effectively enhance our product offerings and successfully enter new markets.</w:t>
      </w:r>
    </w:p>
    <w:p>
      <w:pPr>
        <w:spacing w:after="0" w:line="169" w:lineRule="exact"/>
        <w:rPr>
          <w:rFonts w:ascii="Times New Roman" w:cs="Times New Roman" w:eastAsia="Times New Roman" w:hAnsi="Times New Roman"/>
          <w:sz w:val="18"/>
          <w:szCs w:val="18"/>
          <w:color w:val="auto"/>
        </w:rPr>
      </w:pPr>
    </w:p>
    <w:p>
      <w:pPr>
        <w:ind w:left="1300" w:right="100" w:hanging="644"/>
        <w:spacing w:after="0" w:line="286" w:lineRule="auto"/>
        <w:tabs>
          <w:tab w:leader="none" w:pos="1295"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Regulatory experience</w:t>
      </w:r>
      <w:r>
        <w:rPr>
          <w:rFonts w:ascii="Arial" w:cs="Arial" w:eastAsia="Arial" w:hAnsi="Arial"/>
          <w:sz w:val="18"/>
          <w:szCs w:val="18"/>
          <w:color w:val="auto"/>
        </w:rPr>
        <w:t>. Because we operate in a heavily regulated industry, we seek directors with significant government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regulatory experience.</w:t>
      </w:r>
    </w:p>
    <w:p>
      <w:pPr>
        <w:spacing w:after="0" w:line="153" w:lineRule="exact"/>
        <w:rPr>
          <w:rFonts w:ascii="Times New Roman" w:cs="Times New Roman" w:eastAsia="Times New Roman" w:hAnsi="Times New Roman"/>
          <w:sz w:val="18"/>
          <w:szCs w:val="18"/>
          <w:color w:val="auto"/>
        </w:rPr>
      </w:pPr>
    </w:p>
    <w:p>
      <w:pPr>
        <w:ind w:left="1300" w:right="280" w:hanging="644"/>
        <w:spacing w:after="0" w:line="286" w:lineRule="auto"/>
        <w:tabs>
          <w:tab w:leader="none" w:pos="1295"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Marketing experience</w:t>
      </w:r>
      <w:r>
        <w:rPr>
          <w:rFonts w:ascii="Arial" w:cs="Arial" w:eastAsia="Arial" w:hAnsi="Arial"/>
          <w:sz w:val="18"/>
          <w:szCs w:val="18"/>
          <w:color w:val="auto"/>
        </w:rPr>
        <w:t>. As a consumer-facing business that is seeking to grow organically through new product offerings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 new markets, having directors with significant marketing experience is important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8" w:name="page29"/>
    <w:bookmarkEnd w:id="28"/>
    <w:p>
      <w:pPr>
        <w:spacing w:after="0" w:line="19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Additionally, director nominees must possess high integrity and ethical standards; standing and reputation in the individual’s field; risk oversight ability with respect to the particular skills of the individual director; understanding of and experience with complex public companies or like organizations; and ability to work collegially and collaboratively with other directors and management. The NCGCC charter requires that candidates are to be selected for, among other things, their independence, diversity of experience, demonstrated leadership and the ability to exercise sound judgment.</w:t>
      </w:r>
    </w:p>
    <w:p>
      <w:pPr>
        <w:spacing w:after="0" w:line="179" w:lineRule="exact"/>
        <w:rPr>
          <w:sz w:val="20"/>
          <w:szCs w:val="20"/>
          <w:color w:val="auto"/>
        </w:rPr>
      </w:pPr>
    </w:p>
    <w:p>
      <w:pPr>
        <w:ind w:right="360" w:firstLine="405"/>
        <w:spacing w:after="0" w:line="287" w:lineRule="auto"/>
        <w:rPr>
          <w:sz w:val="20"/>
          <w:szCs w:val="20"/>
          <w:color w:val="auto"/>
        </w:rPr>
      </w:pPr>
      <w:r>
        <w:rPr>
          <w:rFonts w:ascii="Arial" w:cs="Arial" w:eastAsia="Arial" w:hAnsi="Arial"/>
          <w:sz w:val="18"/>
          <w:szCs w:val="18"/>
          <w:color w:val="auto"/>
        </w:rPr>
        <w:t>Our director nominations are subject to an agreement with our Lead Sponsor (defined below). See “</w:t>
      </w:r>
      <w:r>
        <w:rPr>
          <w:rFonts w:ascii="Arial" w:cs="Arial" w:eastAsia="Arial" w:hAnsi="Arial"/>
          <w:sz w:val="18"/>
          <w:szCs w:val="18"/>
          <w:i w:val="1"/>
          <w:iCs w:val="1"/>
          <w:color w:val="auto"/>
        </w:rPr>
        <w:t>Corporate Governance—Board</w:t>
      </w:r>
      <w:r>
        <w:rPr>
          <w:rFonts w:ascii="Arial" w:cs="Arial" w:eastAsia="Arial" w:hAnsi="Arial"/>
          <w:sz w:val="18"/>
          <w:szCs w:val="18"/>
          <w:color w:val="auto"/>
        </w:rPr>
        <w:t xml:space="preserve"> </w:t>
      </w:r>
      <w:r>
        <w:rPr>
          <w:rFonts w:ascii="Arial" w:cs="Arial" w:eastAsia="Arial" w:hAnsi="Arial"/>
          <w:sz w:val="18"/>
          <w:szCs w:val="18"/>
          <w:i w:val="1"/>
          <w:iCs w:val="1"/>
          <w:color w:val="auto"/>
        </w:rPr>
        <w:t>Composition and Director Independence</w:t>
      </w:r>
      <w:r>
        <w:rPr>
          <w:rFonts w:ascii="Arial" w:cs="Arial" w:eastAsia="Arial" w:hAnsi="Arial"/>
          <w:sz w:val="18"/>
          <w:szCs w:val="18"/>
          <w:color w:val="auto"/>
        </w:rPr>
        <w:t>.”</w:t>
      </w:r>
    </w:p>
    <w:p>
      <w:pPr>
        <w:spacing w:after="0" w:line="15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NCGCC developed and maintains a skills matrix to assist in considering the appropriate balance of experience, skills and attributes required of a director and to be represented on the Board as a whole. The skills matrix is consistent with the Company's long-term strategic plan and is regularly reviewed and updated by the NCGCC. The NCGCC evaluates Board candidates against the skills matrix on an annual basis to determine whether to recommend candidates for initial election to the Board and whether to recommend currently serving directors for reelection to the Board. The NCGCC has determined that our Board collectively satisfies all of the above criteria, complementing each other’s skills, background and perspectives to create a collection of diverse, knowledgeable and experienced directors.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chart represents the skills matrix as currently constituted by the NCGCC: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172085</wp:posOffset>
            </wp:positionV>
            <wp:extent cx="3780155" cy="40544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780155" cy="405447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Board and Corporate Governance Highlights</w:t>
      </w:r>
    </w:p>
    <w:p>
      <w:pPr>
        <w:spacing w:after="0" w:line="185" w:lineRule="exact"/>
        <w:rPr>
          <w:sz w:val="20"/>
          <w:szCs w:val="20"/>
          <w:color w:val="auto"/>
        </w:rPr>
      </w:pPr>
    </w:p>
    <w:p>
      <w:pPr>
        <w:ind w:firstLine="401"/>
        <w:spacing w:after="0" w:line="268" w:lineRule="auto"/>
        <w:rPr>
          <w:sz w:val="20"/>
          <w:szCs w:val="20"/>
          <w:color w:val="auto"/>
        </w:rPr>
      </w:pPr>
      <w:r>
        <w:rPr>
          <w:rFonts w:ascii="Arial" w:cs="Arial" w:eastAsia="Arial" w:hAnsi="Arial"/>
          <w:sz w:val="18"/>
          <w:szCs w:val="18"/>
          <w:color w:val="auto"/>
        </w:rPr>
        <w:t>We are committed to governance practices that promote the long-term interests of our stockholders, strengthen Board and management accountability and continue to build trust in our Company. Our governance framework is described throughout this proxy statement and includes the following highlights: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60" w:type="dxa"/>
            <w:vAlign w:val="bottom"/>
            <w:tcBorders>
              <w:top w:val="single" w:sz="8" w:color="auto"/>
            </w:tcBorders>
            <w:shd w:val="clear" w:color="auto" w:fill="DBE5F1"/>
          </w:tcPr>
          <w:p>
            <w:pPr>
              <w:ind w:left="80"/>
              <w:spacing w:after="0"/>
              <w:rPr>
                <w:sz w:val="20"/>
                <w:szCs w:val="20"/>
                <w:color w:val="auto"/>
              </w:rPr>
            </w:pPr>
            <w:r>
              <w:rPr>
                <w:rFonts w:ascii="Arial" w:cs="Arial" w:eastAsia="Arial" w:hAnsi="Arial"/>
                <w:sz w:val="16"/>
                <w:szCs w:val="16"/>
                <w:b w:val="1"/>
                <w:bCs w:val="1"/>
                <w:i w:val="1"/>
                <w:iCs w:val="1"/>
                <w:color w:val="auto"/>
              </w:rPr>
              <w:t>Board Structure &amp; Composition</w:t>
            </w:r>
          </w:p>
        </w:tc>
        <w:tc>
          <w:tcPr>
            <w:tcW w:w="3520" w:type="dxa"/>
            <w:vAlign w:val="bottom"/>
            <w:tcBorders>
              <w:top w:val="single" w:sz="8" w:color="auto"/>
            </w:tcBorders>
            <w:shd w:val="clear" w:color="auto" w:fill="DBE5F1"/>
          </w:tcPr>
          <w:p>
            <w:pPr>
              <w:spacing w:after="0"/>
              <w:rPr>
                <w:sz w:val="20"/>
                <w:szCs w:val="20"/>
                <w:color w:val="auto"/>
              </w:rPr>
            </w:pPr>
          </w:p>
        </w:tc>
        <w:tc>
          <w:tcPr>
            <w:tcW w:w="3660" w:type="dxa"/>
            <w:vAlign w:val="bottom"/>
            <w:tcBorders>
              <w:top w:val="single" w:sz="8" w:color="auto"/>
            </w:tcBorders>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960" w:type="dxa"/>
            <w:vAlign w:val="bottom"/>
            <w:shd w:val="clear" w:color="auto" w:fill="DBE5F1"/>
          </w:tcPr>
          <w:p>
            <w:pPr>
              <w:ind w:left="22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7 of 9 Directors, and all Board Committee</w:t>
            </w:r>
          </w:p>
        </w:tc>
        <w:tc>
          <w:tcPr>
            <w:tcW w:w="3520" w:type="dxa"/>
            <w:vAlign w:val="bottom"/>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Lead Independent Director empowered</w:t>
            </w:r>
          </w:p>
        </w:tc>
        <w:tc>
          <w:tcPr>
            <w:tcW w:w="3660" w:type="dxa"/>
            <w:vAlign w:val="bottom"/>
            <w:shd w:val="clear" w:color="auto" w:fill="DBE5F1"/>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Annual assessment and determination of</w:t>
            </w:r>
          </w:p>
        </w:tc>
        <w:tc>
          <w:tcPr>
            <w:tcW w:w="0" w:type="dxa"/>
            <w:vAlign w:val="bottom"/>
          </w:tcPr>
          <w:p>
            <w:pPr>
              <w:spacing w:after="0"/>
              <w:rPr>
                <w:sz w:val="1"/>
                <w:szCs w:val="1"/>
                <w:color w:val="auto"/>
              </w:rPr>
            </w:pPr>
          </w:p>
        </w:tc>
      </w:tr>
      <w:tr>
        <w:trPr>
          <w:trHeight w:val="242"/>
        </w:trPr>
        <w:tc>
          <w:tcPr>
            <w:tcW w:w="3960" w:type="dxa"/>
            <w:vAlign w:val="bottom"/>
            <w:shd w:val="clear" w:color="auto" w:fill="DBE5F1"/>
          </w:tcPr>
          <w:p>
            <w:pPr>
              <w:ind w:left="540"/>
              <w:spacing w:after="0"/>
              <w:rPr>
                <w:sz w:val="20"/>
                <w:szCs w:val="20"/>
                <w:color w:val="auto"/>
              </w:rPr>
            </w:pPr>
            <w:r>
              <w:rPr>
                <w:rFonts w:ascii="Arial" w:cs="Arial" w:eastAsia="Arial" w:hAnsi="Arial"/>
                <w:sz w:val="16"/>
                <w:szCs w:val="16"/>
                <w:color w:val="auto"/>
              </w:rPr>
              <w:t>members, are independent</w:t>
            </w:r>
          </w:p>
        </w:tc>
        <w:tc>
          <w:tcPr>
            <w:tcW w:w="3520" w:type="dxa"/>
            <w:vAlign w:val="bottom"/>
            <w:shd w:val="clear" w:color="auto" w:fill="DBE5F1"/>
          </w:tcPr>
          <w:p>
            <w:pPr>
              <w:ind w:left="460"/>
              <w:spacing w:after="0"/>
              <w:rPr>
                <w:sz w:val="20"/>
                <w:szCs w:val="20"/>
                <w:color w:val="auto"/>
              </w:rPr>
            </w:pPr>
            <w:r>
              <w:rPr>
                <w:rFonts w:ascii="Arial" w:cs="Arial" w:eastAsia="Arial" w:hAnsi="Arial"/>
                <w:sz w:val="16"/>
                <w:szCs w:val="16"/>
                <w:color w:val="auto"/>
              </w:rPr>
              <w:t>with agenda-setting authority and active</w:t>
            </w:r>
          </w:p>
        </w:tc>
        <w:tc>
          <w:tcPr>
            <w:tcW w:w="3660" w:type="dxa"/>
            <w:vAlign w:val="bottom"/>
            <w:shd w:val="clear" w:color="auto" w:fill="DBE5F1"/>
          </w:tcPr>
          <w:p>
            <w:pPr>
              <w:ind w:left="420"/>
              <w:spacing w:after="0"/>
              <w:rPr>
                <w:sz w:val="20"/>
                <w:szCs w:val="20"/>
                <w:color w:val="auto"/>
              </w:rPr>
            </w:pPr>
            <w:r>
              <w:rPr>
                <w:rFonts w:ascii="Arial" w:cs="Arial" w:eastAsia="Arial" w:hAnsi="Arial"/>
                <w:sz w:val="16"/>
                <w:szCs w:val="16"/>
                <w:color w:val="auto"/>
              </w:rPr>
              <w:t>optimal Board leadership structure</w:t>
            </w:r>
          </w:p>
        </w:tc>
        <w:tc>
          <w:tcPr>
            <w:tcW w:w="0" w:type="dxa"/>
            <w:vAlign w:val="bottom"/>
          </w:tcPr>
          <w:p>
            <w:pPr>
              <w:spacing w:after="0"/>
              <w:rPr>
                <w:sz w:val="1"/>
                <w:szCs w:val="1"/>
                <w:color w:val="auto"/>
              </w:rPr>
            </w:pPr>
          </w:p>
        </w:tc>
      </w:tr>
      <w:tr>
        <w:trPr>
          <w:trHeight w:val="190"/>
        </w:trPr>
        <w:tc>
          <w:tcPr>
            <w:tcW w:w="3960" w:type="dxa"/>
            <w:vAlign w:val="bottom"/>
            <w:shd w:val="clear" w:color="auto" w:fill="DBE5F1"/>
          </w:tcPr>
          <w:p>
            <w:pPr>
              <w:ind w:left="22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Board composed of a mix of long-tenured and</w:t>
            </w:r>
          </w:p>
        </w:tc>
        <w:tc>
          <w:tcPr>
            <w:tcW w:w="3520" w:type="dxa"/>
            <w:vAlign w:val="bottom"/>
            <w:shd w:val="clear" w:color="auto" w:fill="DBE5F1"/>
          </w:tcPr>
          <w:p>
            <w:pPr>
              <w:ind w:left="460"/>
              <w:spacing w:after="0"/>
              <w:rPr>
                <w:sz w:val="20"/>
                <w:szCs w:val="20"/>
                <w:color w:val="auto"/>
              </w:rPr>
            </w:pPr>
            <w:r>
              <w:rPr>
                <w:rFonts w:ascii="Arial" w:cs="Arial" w:eastAsia="Arial" w:hAnsi="Arial"/>
                <w:sz w:val="16"/>
                <w:szCs w:val="16"/>
                <w:color w:val="auto"/>
              </w:rPr>
              <w:t>involvement in oversight of Board</w:t>
            </w:r>
          </w:p>
        </w:tc>
        <w:tc>
          <w:tcPr>
            <w:tcW w:w="3660" w:type="dxa"/>
            <w:vAlign w:val="bottom"/>
            <w:vMerge w:val="restart"/>
            <w:shd w:val="clear" w:color="auto" w:fill="DBE5F1"/>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Commitment to Board diversity of</w:t>
            </w:r>
          </w:p>
        </w:tc>
        <w:tc>
          <w:tcPr>
            <w:tcW w:w="0" w:type="dxa"/>
            <w:vAlign w:val="bottom"/>
          </w:tcPr>
          <w:p>
            <w:pPr>
              <w:spacing w:after="0"/>
              <w:rPr>
                <w:sz w:val="1"/>
                <w:szCs w:val="1"/>
                <w:color w:val="auto"/>
              </w:rPr>
            </w:pPr>
          </w:p>
        </w:tc>
      </w:tr>
      <w:tr>
        <w:trPr>
          <w:trHeight w:val="107"/>
        </w:trPr>
        <w:tc>
          <w:tcPr>
            <w:tcW w:w="3960" w:type="dxa"/>
            <w:vAlign w:val="bottom"/>
            <w:vMerge w:val="restart"/>
            <w:shd w:val="clear" w:color="auto" w:fill="DBE5F1"/>
          </w:tcPr>
          <w:p>
            <w:pPr>
              <w:ind w:left="540"/>
              <w:spacing w:after="0"/>
              <w:rPr>
                <w:sz w:val="20"/>
                <w:szCs w:val="20"/>
                <w:color w:val="auto"/>
              </w:rPr>
            </w:pPr>
            <w:r>
              <w:rPr>
                <w:rFonts w:ascii="Arial" w:cs="Arial" w:eastAsia="Arial" w:hAnsi="Arial"/>
                <w:sz w:val="16"/>
                <w:szCs w:val="16"/>
                <w:color w:val="auto"/>
              </w:rPr>
              <w:t>new directors</w:t>
            </w:r>
          </w:p>
        </w:tc>
        <w:tc>
          <w:tcPr>
            <w:tcW w:w="3520" w:type="dxa"/>
            <w:vAlign w:val="bottom"/>
            <w:vMerge w:val="restart"/>
            <w:shd w:val="clear" w:color="auto" w:fill="DBE5F1"/>
          </w:tcPr>
          <w:p>
            <w:pPr>
              <w:ind w:left="460"/>
              <w:spacing w:after="0"/>
              <w:rPr>
                <w:sz w:val="20"/>
                <w:szCs w:val="20"/>
                <w:color w:val="auto"/>
              </w:rPr>
            </w:pPr>
            <w:r>
              <w:rPr>
                <w:rFonts w:ascii="Arial" w:cs="Arial" w:eastAsia="Arial" w:hAnsi="Arial"/>
                <w:sz w:val="16"/>
                <w:szCs w:val="16"/>
                <w:color w:val="auto"/>
              </w:rPr>
              <w:t>functions, elected annually by the</w:t>
            </w:r>
          </w:p>
        </w:tc>
        <w:tc>
          <w:tcPr>
            <w:tcW w:w="3660" w:type="dxa"/>
            <w:vAlign w:val="bottom"/>
            <w:vMerge w:val="continue"/>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960" w:type="dxa"/>
            <w:vAlign w:val="bottom"/>
            <w:vMerge w:val="continue"/>
            <w:shd w:val="clear" w:color="auto" w:fill="DBE5F1"/>
          </w:tcPr>
          <w:p>
            <w:pPr>
              <w:spacing w:after="0"/>
              <w:rPr>
                <w:sz w:val="8"/>
                <w:szCs w:val="8"/>
                <w:color w:val="auto"/>
              </w:rPr>
            </w:pPr>
          </w:p>
        </w:tc>
        <w:tc>
          <w:tcPr>
            <w:tcW w:w="3520" w:type="dxa"/>
            <w:vAlign w:val="bottom"/>
            <w:vMerge w:val="continue"/>
            <w:shd w:val="clear" w:color="auto" w:fill="DBE5F1"/>
          </w:tcPr>
          <w:p>
            <w:pPr>
              <w:spacing w:after="0"/>
              <w:rPr>
                <w:sz w:val="8"/>
                <w:szCs w:val="8"/>
                <w:color w:val="auto"/>
              </w:rPr>
            </w:pPr>
          </w:p>
        </w:tc>
        <w:tc>
          <w:tcPr>
            <w:tcW w:w="3660" w:type="dxa"/>
            <w:vAlign w:val="bottom"/>
            <w:vMerge w:val="restart"/>
            <w:shd w:val="clear" w:color="auto" w:fill="DBE5F1"/>
          </w:tcPr>
          <w:p>
            <w:pPr>
              <w:ind w:left="420"/>
              <w:spacing w:after="0"/>
              <w:rPr>
                <w:sz w:val="20"/>
                <w:szCs w:val="20"/>
                <w:color w:val="auto"/>
              </w:rPr>
            </w:pPr>
            <w:r>
              <w:rPr>
                <w:rFonts w:ascii="Arial" w:cs="Arial" w:eastAsia="Arial" w:hAnsi="Arial"/>
                <w:sz w:val="16"/>
                <w:szCs w:val="16"/>
                <w:color w:val="auto"/>
              </w:rPr>
              <w:t>perspective, gender, and race or ethnicity</w:t>
            </w:r>
          </w:p>
        </w:tc>
        <w:tc>
          <w:tcPr>
            <w:tcW w:w="0" w:type="dxa"/>
            <w:vAlign w:val="bottom"/>
          </w:tcPr>
          <w:p>
            <w:pPr>
              <w:spacing w:after="0"/>
              <w:rPr>
                <w:sz w:val="1"/>
                <w:szCs w:val="1"/>
                <w:color w:val="auto"/>
              </w:rPr>
            </w:pPr>
          </w:p>
        </w:tc>
      </w:tr>
      <w:tr>
        <w:trPr>
          <w:trHeight w:val="119"/>
        </w:trPr>
        <w:tc>
          <w:tcPr>
            <w:tcW w:w="3960" w:type="dxa"/>
            <w:vAlign w:val="bottom"/>
            <w:vMerge w:val="restart"/>
            <w:shd w:val="clear" w:color="auto" w:fill="DBE5F1"/>
          </w:tcPr>
          <w:p>
            <w:pPr>
              <w:ind w:left="22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Directors reflect a variety of experiences and</w:t>
            </w:r>
          </w:p>
        </w:tc>
        <w:tc>
          <w:tcPr>
            <w:tcW w:w="3520" w:type="dxa"/>
            <w:vAlign w:val="bottom"/>
            <w:vMerge w:val="restart"/>
            <w:shd w:val="clear" w:color="auto" w:fill="DBE5F1"/>
          </w:tcPr>
          <w:p>
            <w:pPr>
              <w:ind w:left="460"/>
              <w:spacing w:after="0"/>
              <w:rPr>
                <w:sz w:val="20"/>
                <w:szCs w:val="20"/>
                <w:color w:val="auto"/>
              </w:rPr>
            </w:pPr>
            <w:r>
              <w:rPr>
                <w:rFonts w:ascii="Arial" w:cs="Arial" w:eastAsia="Arial" w:hAnsi="Arial"/>
                <w:sz w:val="16"/>
                <w:szCs w:val="16"/>
                <w:color w:val="auto"/>
              </w:rPr>
              <w:t>independent directors</w:t>
            </w:r>
          </w:p>
        </w:tc>
        <w:tc>
          <w:tcPr>
            <w:tcW w:w="3660" w:type="dxa"/>
            <w:vAlign w:val="bottom"/>
            <w:vMerge w:val="continue"/>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960" w:type="dxa"/>
            <w:vAlign w:val="bottom"/>
            <w:vMerge w:val="continue"/>
            <w:shd w:val="clear" w:color="auto" w:fill="DBE5F1"/>
          </w:tcPr>
          <w:p>
            <w:pPr>
              <w:spacing w:after="0"/>
              <w:rPr>
                <w:sz w:val="8"/>
                <w:szCs w:val="8"/>
                <w:color w:val="auto"/>
              </w:rPr>
            </w:pPr>
          </w:p>
        </w:tc>
        <w:tc>
          <w:tcPr>
            <w:tcW w:w="3520" w:type="dxa"/>
            <w:vAlign w:val="bottom"/>
            <w:vMerge w:val="continue"/>
            <w:shd w:val="clear" w:color="auto" w:fill="DBE5F1"/>
          </w:tcPr>
          <w:p>
            <w:pPr>
              <w:spacing w:after="0"/>
              <w:rPr>
                <w:sz w:val="8"/>
                <w:szCs w:val="8"/>
                <w:color w:val="auto"/>
              </w:rPr>
            </w:pPr>
          </w:p>
        </w:tc>
        <w:tc>
          <w:tcPr>
            <w:tcW w:w="3660" w:type="dxa"/>
            <w:vAlign w:val="bottom"/>
            <w:vMerge w:val="restart"/>
            <w:shd w:val="clear" w:color="auto" w:fill="DBE5F1"/>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Directors attended about 93% of Board and</w:t>
            </w:r>
          </w:p>
        </w:tc>
        <w:tc>
          <w:tcPr>
            <w:tcW w:w="0" w:type="dxa"/>
            <w:vAlign w:val="bottom"/>
          </w:tcPr>
          <w:p>
            <w:pPr>
              <w:spacing w:after="0"/>
              <w:rPr>
                <w:sz w:val="1"/>
                <w:szCs w:val="1"/>
                <w:color w:val="auto"/>
              </w:rPr>
            </w:pPr>
          </w:p>
        </w:tc>
      </w:tr>
      <w:tr>
        <w:trPr>
          <w:trHeight w:val="122"/>
        </w:trPr>
        <w:tc>
          <w:tcPr>
            <w:tcW w:w="3960" w:type="dxa"/>
            <w:vAlign w:val="bottom"/>
            <w:vMerge w:val="continue"/>
            <w:shd w:val="clear" w:color="auto" w:fill="DBE5F1"/>
          </w:tcPr>
          <w:p>
            <w:pPr>
              <w:spacing w:after="0"/>
              <w:rPr>
                <w:sz w:val="10"/>
                <w:szCs w:val="10"/>
                <w:color w:val="auto"/>
              </w:rPr>
            </w:pPr>
          </w:p>
        </w:tc>
        <w:tc>
          <w:tcPr>
            <w:tcW w:w="3520" w:type="dxa"/>
            <w:vAlign w:val="bottom"/>
            <w:vMerge w:val="restart"/>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Active and empowered committee chairs,</w:t>
            </w:r>
          </w:p>
        </w:tc>
        <w:tc>
          <w:tcPr>
            <w:tcW w:w="3660" w:type="dxa"/>
            <w:vAlign w:val="bottom"/>
            <w:vMerge w:val="continue"/>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960" w:type="dxa"/>
            <w:vAlign w:val="bottom"/>
            <w:vMerge w:val="restart"/>
            <w:shd w:val="clear" w:color="auto" w:fill="DBE5F1"/>
          </w:tcPr>
          <w:p>
            <w:pPr>
              <w:ind w:left="540"/>
              <w:spacing w:after="0" w:line="163" w:lineRule="exact"/>
              <w:rPr>
                <w:sz w:val="20"/>
                <w:szCs w:val="20"/>
                <w:color w:val="auto"/>
              </w:rPr>
            </w:pPr>
            <w:r>
              <w:rPr>
                <w:rFonts w:ascii="Arial" w:cs="Arial" w:eastAsia="Arial" w:hAnsi="Arial"/>
                <w:sz w:val="16"/>
                <w:szCs w:val="16"/>
                <w:color w:val="auto"/>
              </w:rPr>
              <w:t>skills that give the Board the collective</w:t>
            </w:r>
          </w:p>
        </w:tc>
        <w:tc>
          <w:tcPr>
            <w:tcW w:w="3520" w:type="dxa"/>
            <w:vAlign w:val="bottom"/>
            <w:vMerge w:val="continue"/>
            <w:shd w:val="clear" w:color="auto" w:fill="DBE5F1"/>
          </w:tcPr>
          <w:p>
            <w:pPr>
              <w:spacing w:after="0"/>
              <w:rPr>
                <w:sz w:val="5"/>
                <w:szCs w:val="5"/>
                <w:color w:val="auto"/>
              </w:rPr>
            </w:pPr>
          </w:p>
        </w:tc>
        <w:tc>
          <w:tcPr>
            <w:tcW w:w="3660" w:type="dxa"/>
            <w:vAlign w:val="bottom"/>
            <w:vMerge w:val="continue"/>
            <w:shd w:val="clear" w:color="auto" w:fill="DBE5F1"/>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960" w:type="dxa"/>
            <w:vAlign w:val="bottom"/>
            <w:vMerge w:val="continue"/>
            <w:shd w:val="clear" w:color="auto" w:fill="DBE5F1"/>
          </w:tcPr>
          <w:p>
            <w:pPr>
              <w:spacing w:after="0"/>
              <w:rPr>
                <w:sz w:val="8"/>
                <w:szCs w:val="8"/>
                <w:color w:val="auto"/>
              </w:rPr>
            </w:pPr>
          </w:p>
        </w:tc>
        <w:tc>
          <w:tcPr>
            <w:tcW w:w="3520" w:type="dxa"/>
            <w:vAlign w:val="bottom"/>
            <w:vMerge w:val="continue"/>
            <w:shd w:val="clear" w:color="auto" w:fill="DBE5F1"/>
          </w:tcPr>
          <w:p>
            <w:pPr>
              <w:spacing w:after="0"/>
              <w:rPr>
                <w:sz w:val="8"/>
                <w:szCs w:val="8"/>
                <w:color w:val="auto"/>
              </w:rPr>
            </w:pPr>
          </w:p>
        </w:tc>
        <w:tc>
          <w:tcPr>
            <w:tcW w:w="3660" w:type="dxa"/>
            <w:vAlign w:val="bottom"/>
            <w:vMerge w:val="restart"/>
            <w:shd w:val="clear" w:color="auto" w:fill="DBE5F1"/>
          </w:tcPr>
          <w:p>
            <w:pPr>
              <w:ind w:left="420"/>
              <w:spacing w:after="0"/>
              <w:rPr>
                <w:sz w:val="20"/>
                <w:szCs w:val="20"/>
                <w:color w:val="auto"/>
              </w:rPr>
            </w:pPr>
            <w:r>
              <w:rPr>
                <w:rFonts w:ascii="Arial" w:cs="Arial" w:eastAsia="Arial" w:hAnsi="Arial"/>
                <w:sz w:val="16"/>
                <w:szCs w:val="16"/>
                <w:color w:val="auto"/>
              </w:rPr>
              <w:t>Committee meetings combined in 2024</w:t>
            </w:r>
          </w:p>
        </w:tc>
        <w:tc>
          <w:tcPr>
            <w:tcW w:w="0" w:type="dxa"/>
            <w:vAlign w:val="bottom"/>
          </w:tcPr>
          <w:p>
            <w:pPr>
              <w:spacing w:after="0"/>
              <w:rPr>
                <w:sz w:val="1"/>
                <w:szCs w:val="1"/>
                <w:color w:val="auto"/>
              </w:rPr>
            </w:pPr>
          </w:p>
        </w:tc>
      </w:tr>
      <w:tr>
        <w:trPr>
          <w:trHeight w:val="119"/>
        </w:trPr>
        <w:tc>
          <w:tcPr>
            <w:tcW w:w="3960" w:type="dxa"/>
            <w:vAlign w:val="bottom"/>
            <w:vMerge w:val="restart"/>
            <w:shd w:val="clear" w:color="auto" w:fill="DBE5F1"/>
          </w:tcPr>
          <w:p>
            <w:pPr>
              <w:ind w:left="540"/>
              <w:spacing w:after="0"/>
              <w:rPr>
                <w:sz w:val="20"/>
                <w:szCs w:val="20"/>
                <w:color w:val="auto"/>
              </w:rPr>
            </w:pPr>
            <w:r>
              <w:rPr>
                <w:rFonts w:ascii="Arial" w:cs="Arial" w:eastAsia="Arial" w:hAnsi="Arial"/>
                <w:sz w:val="16"/>
                <w:szCs w:val="16"/>
                <w:color w:val="auto"/>
              </w:rPr>
              <w:t>capability necessary to oversee the</w:t>
            </w:r>
          </w:p>
        </w:tc>
        <w:tc>
          <w:tcPr>
            <w:tcW w:w="3520" w:type="dxa"/>
            <w:vAlign w:val="bottom"/>
            <w:vMerge w:val="restart"/>
            <w:shd w:val="clear" w:color="auto" w:fill="DBE5F1"/>
          </w:tcPr>
          <w:p>
            <w:pPr>
              <w:ind w:left="460"/>
              <w:spacing w:after="0"/>
              <w:rPr>
                <w:sz w:val="20"/>
                <w:szCs w:val="20"/>
                <w:color w:val="auto"/>
              </w:rPr>
            </w:pPr>
            <w:r>
              <w:rPr>
                <w:rFonts w:ascii="Arial" w:cs="Arial" w:eastAsia="Arial" w:hAnsi="Arial"/>
                <w:sz w:val="16"/>
                <w:szCs w:val="16"/>
                <w:color w:val="auto"/>
              </w:rPr>
              <w:t>all of whom are independent</w:t>
            </w:r>
          </w:p>
        </w:tc>
        <w:tc>
          <w:tcPr>
            <w:tcW w:w="3660" w:type="dxa"/>
            <w:vAlign w:val="bottom"/>
            <w:vMerge w:val="continue"/>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960" w:type="dxa"/>
            <w:vAlign w:val="bottom"/>
            <w:vMerge w:val="continue"/>
            <w:shd w:val="clear" w:color="auto" w:fill="DBE5F1"/>
          </w:tcPr>
          <w:p>
            <w:pPr>
              <w:spacing w:after="0"/>
              <w:rPr>
                <w:sz w:val="9"/>
                <w:szCs w:val="9"/>
                <w:color w:val="auto"/>
              </w:rPr>
            </w:pPr>
          </w:p>
        </w:tc>
        <w:tc>
          <w:tcPr>
            <w:tcW w:w="3520" w:type="dxa"/>
            <w:vAlign w:val="bottom"/>
            <w:vMerge w:val="continue"/>
            <w:shd w:val="clear" w:color="auto" w:fill="DBE5F1"/>
          </w:tcPr>
          <w:p>
            <w:pPr>
              <w:spacing w:after="0"/>
              <w:rPr>
                <w:sz w:val="9"/>
                <w:szCs w:val="9"/>
                <w:color w:val="auto"/>
              </w:rPr>
            </w:pPr>
          </w:p>
        </w:tc>
        <w:tc>
          <w:tcPr>
            <w:tcW w:w="3660" w:type="dxa"/>
            <w:vAlign w:val="bottom"/>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960" w:type="dxa"/>
            <w:vAlign w:val="bottom"/>
            <w:shd w:val="clear" w:color="auto" w:fill="DBE5F1"/>
          </w:tcPr>
          <w:p>
            <w:pPr>
              <w:ind w:left="540"/>
              <w:spacing w:after="0"/>
              <w:rPr>
                <w:sz w:val="20"/>
                <w:szCs w:val="20"/>
                <w:color w:val="auto"/>
              </w:rPr>
            </w:pPr>
            <w:r>
              <w:rPr>
                <w:rFonts w:ascii="Arial" w:cs="Arial" w:eastAsia="Arial" w:hAnsi="Arial"/>
                <w:sz w:val="16"/>
                <w:szCs w:val="16"/>
                <w:color w:val="auto"/>
              </w:rPr>
              <w:t>Company’s activities</w:t>
            </w:r>
          </w:p>
        </w:tc>
        <w:tc>
          <w:tcPr>
            <w:tcW w:w="3520" w:type="dxa"/>
            <w:vAlign w:val="bottom"/>
            <w:shd w:val="clear" w:color="auto" w:fill="DBE5F1"/>
          </w:tcPr>
          <w:p>
            <w:pPr>
              <w:spacing w:after="0"/>
              <w:rPr>
                <w:sz w:val="18"/>
                <w:szCs w:val="18"/>
                <w:color w:val="auto"/>
              </w:rPr>
            </w:pPr>
          </w:p>
        </w:tc>
        <w:tc>
          <w:tcPr>
            <w:tcW w:w="366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3960" w:type="dxa"/>
            <w:vAlign w:val="bottom"/>
            <w:tcBorders>
              <w:bottom w:val="single" w:sz="8" w:color="auto"/>
            </w:tcBorders>
            <w:shd w:val="clear" w:color="auto" w:fill="DBE5F1"/>
          </w:tcPr>
          <w:p>
            <w:pPr>
              <w:spacing w:after="0"/>
              <w:rPr>
                <w:sz w:val="10"/>
                <w:szCs w:val="10"/>
                <w:color w:val="auto"/>
              </w:rPr>
            </w:pPr>
          </w:p>
        </w:tc>
        <w:tc>
          <w:tcPr>
            <w:tcW w:w="3520" w:type="dxa"/>
            <w:vAlign w:val="bottom"/>
            <w:tcBorders>
              <w:bottom w:val="single" w:sz="8" w:color="auto"/>
            </w:tcBorders>
            <w:shd w:val="clear" w:color="auto" w:fill="DBE5F1"/>
          </w:tcPr>
          <w:p>
            <w:pPr>
              <w:spacing w:after="0"/>
              <w:rPr>
                <w:sz w:val="10"/>
                <w:szCs w:val="10"/>
                <w:color w:val="auto"/>
              </w:rPr>
            </w:pPr>
          </w:p>
        </w:tc>
        <w:tc>
          <w:tcPr>
            <w:tcW w:w="3660" w:type="dxa"/>
            <w:vAlign w:val="bottom"/>
            <w:tcBorders>
              <w:bottom w:val="single" w:sz="8" w:color="auto"/>
            </w:tcBorders>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Good Governance Practices</w:t>
            </w:r>
          </w:p>
        </w:tc>
        <w:tc>
          <w:tcPr>
            <w:tcW w:w="35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ectPr>
          <w:pgSz w:w="11900" w:h="16838" w:orient="portrait"/>
          <w:cols w:equalWidth="0" w:num="1">
            <w:col w:w="11220"/>
          </w:cols>
          <w:pgMar w:left="320" w:top="1417" w:right="359" w:bottom="1440" w:gutter="0" w:footer="0" w:header="0"/>
        </w:sectPr>
      </w:pPr>
    </w:p>
    <w:p>
      <w:pPr>
        <w:spacing w:after="0" w:line="17" w:lineRule="exact"/>
        <w:rPr>
          <w:sz w:val="20"/>
          <w:szCs w:val="20"/>
          <w:color w:val="auto"/>
        </w:rPr>
      </w:pPr>
    </w:p>
    <w:p>
      <w:pPr>
        <w:ind w:left="460" w:right="200" w:hanging="320"/>
        <w:spacing w:after="0" w:line="274" w:lineRule="auto"/>
        <w:tabs>
          <w:tab w:leader="none" w:pos="455"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6"/>
          <w:szCs w:val="16"/>
          <w:color w:val="auto"/>
        </w:rPr>
        <w:t>Ongoing Board assessment and refreshment led by the NCGCC</w:t>
      </w:r>
    </w:p>
    <w:p>
      <w:pPr>
        <w:spacing w:after="0" w:line="53" w:lineRule="exact"/>
        <w:rPr>
          <w:rFonts w:ascii="Times New Roman" w:cs="Times New Roman" w:eastAsia="Times New Roman" w:hAnsi="Times New Roman"/>
          <w:sz w:val="18"/>
          <w:szCs w:val="18"/>
          <w:color w:val="auto"/>
        </w:rPr>
      </w:pPr>
    </w:p>
    <w:p>
      <w:pPr>
        <w:ind w:left="460" w:hanging="320"/>
        <w:spacing w:after="0"/>
        <w:tabs>
          <w:tab w:leader="none" w:pos="4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6"/>
          <w:szCs w:val="16"/>
          <w:color w:val="auto"/>
        </w:rPr>
        <w:t>Annual Board and Committee self-assessments</w:t>
      </w:r>
    </w:p>
    <w:p>
      <w:pPr>
        <w:spacing w:after="0" w:line="103" w:lineRule="exact"/>
        <w:rPr>
          <w:rFonts w:ascii="Times New Roman" w:cs="Times New Roman" w:eastAsia="Times New Roman" w:hAnsi="Times New Roman"/>
          <w:sz w:val="18"/>
          <w:szCs w:val="18"/>
          <w:color w:val="auto"/>
        </w:rPr>
      </w:pPr>
    </w:p>
    <w:p>
      <w:pPr>
        <w:ind w:left="460" w:right="120" w:hanging="320"/>
        <w:spacing w:after="0" w:line="274" w:lineRule="auto"/>
        <w:tabs>
          <w:tab w:leader="none" w:pos="455"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6"/>
          <w:szCs w:val="16"/>
          <w:color w:val="auto"/>
        </w:rPr>
        <w:t>Insider trading policy, including prohibitions on pledging and short-sales</w:t>
      </w:r>
    </w:p>
    <w:p>
      <w:pPr>
        <w:spacing w:after="0" w:line="53" w:lineRule="exact"/>
        <w:rPr>
          <w:rFonts w:ascii="Times New Roman" w:cs="Times New Roman" w:eastAsia="Times New Roman" w:hAnsi="Times New Roman"/>
          <w:sz w:val="18"/>
          <w:szCs w:val="18"/>
          <w:color w:val="auto"/>
        </w:rPr>
      </w:pPr>
    </w:p>
    <w:p>
      <w:pPr>
        <w:ind w:left="460" w:hanging="320"/>
        <w:spacing w:after="0"/>
        <w:tabs>
          <w:tab w:leader="none" w:pos="4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6"/>
          <w:szCs w:val="16"/>
          <w:color w:val="auto"/>
        </w:rPr>
        <w:t>Incentive-based compensation clawback policy</w:t>
      </w:r>
    </w:p>
    <w:p>
      <w:pPr>
        <w:spacing w:after="0" w:line="20" w:lineRule="exact"/>
        <w:rPr>
          <w:sz w:val="20"/>
          <w:szCs w:val="20"/>
          <w:color w:val="auto"/>
        </w:rPr>
      </w:pPr>
      <w:r>
        <w:rPr>
          <w:sz w:val="20"/>
          <w:szCs w:val="20"/>
          <w:color w:val="auto"/>
        </w:rPr>
        <w:br w:type="column"/>
      </w:r>
    </w:p>
    <w:p>
      <w:pPr>
        <w:spacing w:after="0"/>
        <w:tabs>
          <w:tab w:leader="none" w:pos="300" w:val="left"/>
          <w:tab w:leader="none" w:pos="3520" w:val="left"/>
          <w:tab w:leader="none" w:pos="38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6"/>
          <w:szCs w:val="16"/>
          <w:color w:val="auto"/>
        </w:rPr>
        <w:t>Regular executive sessions of the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6"/>
          <w:szCs w:val="16"/>
          <w:color w:val="auto"/>
        </w:rPr>
        <w:t>Robust stockholder engagement program,</w:t>
      </w:r>
    </w:p>
    <w:p>
      <w:pPr>
        <w:spacing w:after="0" w:line="27" w:lineRule="exact"/>
        <w:rPr>
          <w:sz w:val="20"/>
          <w:szCs w:val="20"/>
          <w:color w:val="auto"/>
        </w:rPr>
      </w:pPr>
    </w:p>
    <w:p>
      <w:pPr>
        <w:ind w:left="320"/>
        <w:spacing w:after="0"/>
        <w:tabs>
          <w:tab w:leader="none" w:pos="3840" w:val="left"/>
        </w:tabs>
        <w:rPr>
          <w:sz w:val="20"/>
          <w:szCs w:val="20"/>
          <w:color w:val="auto"/>
        </w:rPr>
      </w:pPr>
      <w:r>
        <w:rPr>
          <w:rFonts w:ascii="Arial" w:cs="Arial" w:eastAsia="Arial" w:hAnsi="Arial"/>
          <w:sz w:val="16"/>
          <w:szCs w:val="16"/>
          <w:color w:val="auto"/>
        </w:rPr>
        <w:t>independent directors at meetings of the</w:t>
      </w:r>
      <w:r>
        <w:rPr>
          <w:sz w:val="20"/>
          <w:szCs w:val="20"/>
          <w:color w:val="auto"/>
        </w:rPr>
        <w:tab/>
      </w:r>
      <w:r>
        <w:rPr>
          <w:rFonts w:ascii="Arial" w:cs="Arial" w:eastAsia="Arial" w:hAnsi="Arial"/>
          <w:sz w:val="16"/>
          <w:szCs w:val="16"/>
          <w:color w:val="auto"/>
        </w:rPr>
        <w:t>with the participation of our Chairman, to</w:t>
      </w:r>
    </w:p>
    <w:p>
      <w:pPr>
        <w:spacing w:after="0" w:line="17" w:lineRule="exact"/>
        <w:rPr>
          <w:sz w:val="20"/>
          <w:szCs w:val="20"/>
          <w:color w:val="auto"/>
        </w:rPr>
      </w:pPr>
    </w:p>
    <w:p>
      <w:pPr>
        <w:ind w:left="320"/>
        <w:spacing w:after="0"/>
        <w:tabs>
          <w:tab w:leader="none" w:pos="3840" w:val="left"/>
        </w:tabs>
        <w:rPr>
          <w:sz w:val="20"/>
          <w:szCs w:val="20"/>
          <w:color w:val="auto"/>
        </w:rPr>
      </w:pPr>
      <w:r>
        <w:rPr>
          <w:rFonts w:ascii="Arial" w:cs="Arial" w:eastAsia="Arial" w:hAnsi="Arial"/>
          <w:sz w:val="16"/>
          <w:szCs w:val="16"/>
          <w:color w:val="auto"/>
        </w:rPr>
        <w:t>Board, without management present</w:t>
      </w:r>
      <w:r>
        <w:rPr>
          <w:sz w:val="20"/>
          <w:szCs w:val="20"/>
          <w:color w:val="auto"/>
        </w:rPr>
        <w:tab/>
      </w:r>
      <w:r>
        <w:rPr>
          <w:rFonts w:ascii="Arial" w:cs="Arial" w:eastAsia="Arial" w:hAnsi="Arial"/>
          <w:sz w:val="16"/>
          <w:szCs w:val="16"/>
          <w:color w:val="auto"/>
        </w:rPr>
        <w:t>share our perspectives and solicit feedback</w:t>
      </w:r>
    </w:p>
    <w:p>
      <w:pPr>
        <w:spacing w:after="0" w:line="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6"/>
          <w:szCs w:val="16"/>
          <w:color w:val="auto"/>
        </w:rPr>
        <w:t>Officer and director stock ownership</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requirements</w:t>
      </w:r>
    </w:p>
    <w:p>
      <w:pPr>
        <w:spacing w:after="0" w:line="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6"/>
          <w:szCs w:val="16"/>
          <w:color w:val="auto"/>
        </w:rPr>
        <w:t>Code of Conduct overseen by Board</w:t>
      </w:r>
    </w:p>
    <w:p>
      <w:pPr>
        <w:spacing w:after="0" w:line="236" w:lineRule="exact"/>
        <w:rPr>
          <w:sz w:val="20"/>
          <w:szCs w:val="20"/>
          <w:color w:val="auto"/>
        </w:rPr>
      </w:pPr>
    </w:p>
    <w:p>
      <w:pPr>
        <w:sectPr>
          <w:pgSz w:w="11900" w:h="16838" w:orient="portrait"/>
          <w:cols w:equalWidth="0" w:num="2">
            <w:col w:w="3880" w:space="220"/>
            <w:col w:w="7120"/>
          </w:cols>
          <w:pgMar w:left="320" w:top="1417" w:right="35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3920" w:type="dxa"/>
            <w:vAlign w:val="bottom"/>
            <w:tcBorders>
              <w:top w:val="single" w:sz="8" w:color="auto"/>
            </w:tcBorders>
            <w:gridSpan w:val="2"/>
            <w:shd w:val="clear" w:color="auto" w:fill="DBE5F1"/>
          </w:tcPr>
          <w:p>
            <w:pPr>
              <w:ind w:left="80"/>
              <w:spacing w:after="0"/>
              <w:rPr>
                <w:sz w:val="20"/>
                <w:szCs w:val="20"/>
                <w:color w:val="auto"/>
              </w:rPr>
            </w:pPr>
            <w:r>
              <w:rPr>
                <w:rFonts w:ascii="Arial" w:cs="Arial" w:eastAsia="Arial" w:hAnsi="Arial"/>
                <w:sz w:val="16"/>
                <w:szCs w:val="16"/>
                <w:b w:val="1"/>
                <w:bCs w:val="1"/>
                <w:i w:val="1"/>
                <w:iCs w:val="1"/>
                <w:color w:val="auto"/>
              </w:rPr>
              <w:t>Board Operations and Oversight</w:t>
            </w:r>
          </w:p>
        </w:tc>
        <w:tc>
          <w:tcPr>
            <w:tcW w:w="3560" w:type="dxa"/>
            <w:vAlign w:val="bottom"/>
            <w:tcBorders>
              <w:top w:val="single" w:sz="8" w:color="auto"/>
            </w:tcBorders>
            <w:shd w:val="clear" w:color="auto" w:fill="DBE5F1"/>
          </w:tcPr>
          <w:p>
            <w:pPr>
              <w:spacing w:after="0"/>
              <w:rPr>
                <w:sz w:val="20"/>
                <w:szCs w:val="20"/>
                <w:color w:val="auto"/>
              </w:rPr>
            </w:pPr>
          </w:p>
        </w:tc>
        <w:tc>
          <w:tcPr>
            <w:tcW w:w="3660" w:type="dxa"/>
            <w:vAlign w:val="bottom"/>
            <w:tcBorders>
              <w:top w:val="single" w:sz="8" w:color="auto"/>
            </w:tcBorders>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40" w:type="dxa"/>
            <w:vAlign w:val="bottom"/>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shd w:val="clear" w:color="auto" w:fill="DBE5F1"/>
          </w:tcPr>
          <w:p>
            <w:pPr>
              <w:ind w:left="120"/>
              <w:spacing w:after="0"/>
              <w:rPr>
                <w:sz w:val="20"/>
                <w:szCs w:val="20"/>
                <w:color w:val="auto"/>
              </w:rPr>
            </w:pPr>
            <w:r>
              <w:rPr>
                <w:rFonts w:ascii="Arial" w:cs="Arial" w:eastAsia="Arial" w:hAnsi="Arial"/>
                <w:sz w:val="16"/>
                <w:szCs w:val="16"/>
                <w:color w:val="auto"/>
              </w:rPr>
              <w:t>Active board oversight of strategic planning</w:t>
            </w:r>
          </w:p>
        </w:tc>
        <w:tc>
          <w:tcPr>
            <w:tcW w:w="3560" w:type="dxa"/>
            <w:vAlign w:val="bottom"/>
            <w:shd w:val="clear" w:color="auto" w:fill="DBE5F1"/>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Audit Committee oversight of financial</w:t>
            </w:r>
          </w:p>
        </w:tc>
        <w:tc>
          <w:tcPr>
            <w:tcW w:w="366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Direct access by the Board to members of</w:t>
            </w:r>
          </w:p>
        </w:tc>
        <w:tc>
          <w:tcPr>
            <w:tcW w:w="0" w:type="dxa"/>
            <w:vAlign w:val="bottom"/>
          </w:tcPr>
          <w:p>
            <w:pPr>
              <w:spacing w:after="0"/>
              <w:rPr>
                <w:sz w:val="1"/>
                <w:szCs w:val="1"/>
                <w:color w:val="auto"/>
              </w:rPr>
            </w:pPr>
          </w:p>
        </w:tc>
      </w:tr>
      <w:tr>
        <w:trPr>
          <w:trHeight w:val="203"/>
        </w:trPr>
        <w:tc>
          <w:tcPr>
            <w:tcW w:w="340" w:type="dxa"/>
            <w:vAlign w:val="bottom"/>
            <w:vMerge w:val="restart"/>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vMerge w:val="restart"/>
            <w:shd w:val="clear" w:color="auto" w:fill="DBE5F1"/>
          </w:tcPr>
          <w:p>
            <w:pPr>
              <w:ind w:left="120"/>
              <w:spacing w:after="0"/>
              <w:rPr>
                <w:sz w:val="20"/>
                <w:szCs w:val="20"/>
                <w:color w:val="auto"/>
              </w:rPr>
            </w:pPr>
            <w:r>
              <w:rPr>
                <w:rFonts w:ascii="Arial" w:cs="Arial" w:eastAsia="Arial" w:hAnsi="Arial"/>
                <w:sz w:val="16"/>
                <w:szCs w:val="16"/>
                <w:color w:val="auto"/>
              </w:rPr>
              <w:t>Robust oversight framework to assess and</w:t>
            </w:r>
          </w:p>
        </w:tc>
        <w:tc>
          <w:tcPr>
            <w:tcW w:w="3560" w:type="dxa"/>
            <w:vAlign w:val="bottom"/>
            <w:shd w:val="clear" w:color="auto" w:fill="DBE5F1"/>
          </w:tcPr>
          <w:p>
            <w:pPr>
              <w:ind w:left="500"/>
              <w:spacing w:after="0"/>
              <w:rPr>
                <w:sz w:val="20"/>
                <w:szCs w:val="20"/>
                <w:color w:val="auto"/>
              </w:rPr>
            </w:pPr>
            <w:r>
              <w:rPr>
                <w:rFonts w:ascii="Arial" w:cs="Arial" w:eastAsia="Arial" w:hAnsi="Arial"/>
                <w:sz w:val="16"/>
                <w:szCs w:val="16"/>
                <w:color w:val="auto"/>
              </w:rPr>
              <w:t>risks, cybersecurity</w:t>
            </w:r>
          </w:p>
        </w:tc>
        <w:tc>
          <w:tcPr>
            <w:tcW w:w="3660" w:type="dxa"/>
            <w:vAlign w:val="bottom"/>
            <w:shd w:val="clear" w:color="auto" w:fill="DBE5F1"/>
          </w:tcPr>
          <w:p>
            <w:pPr>
              <w:ind w:left="480"/>
              <w:spacing w:after="0"/>
              <w:rPr>
                <w:sz w:val="20"/>
                <w:szCs w:val="20"/>
                <w:color w:val="auto"/>
              </w:rPr>
            </w:pPr>
            <w:r>
              <w:rPr>
                <w:rFonts w:ascii="Arial" w:cs="Arial" w:eastAsia="Arial" w:hAnsi="Arial"/>
                <w:sz w:val="16"/>
                <w:szCs w:val="16"/>
                <w:color w:val="auto"/>
              </w:rPr>
              <w:t>management, including Chief Compliance</w:t>
            </w:r>
          </w:p>
        </w:tc>
        <w:tc>
          <w:tcPr>
            <w:tcW w:w="0" w:type="dxa"/>
            <w:vAlign w:val="bottom"/>
          </w:tcPr>
          <w:p>
            <w:pPr>
              <w:spacing w:after="0"/>
              <w:rPr>
                <w:sz w:val="1"/>
                <w:szCs w:val="1"/>
                <w:color w:val="auto"/>
              </w:rPr>
            </w:pPr>
          </w:p>
        </w:tc>
      </w:tr>
      <w:tr>
        <w:trPr>
          <w:trHeight w:val="108"/>
        </w:trPr>
        <w:tc>
          <w:tcPr>
            <w:tcW w:w="340" w:type="dxa"/>
            <w:vAlign w:val="bottom"/>
            <w:vMerge w:val="continue"/>
            <w:shd w:val="clear" w:color="auto" w:fill="DBE5F1"/>
          </w:tcPr>
          <w:p>
            <w:pPr>
              <w:spacing w:after="0"/>
              <w:rPr>
                <w:sz w:val="9"/>
                <w:szCs w:val="9"/>
                <w:color w:val="auto"/>
              </w:rPr>
            </w:pPr>
          </w:p>
        </w:tc>
        <w:tc>
          <w:tcPr>
            <w:tcW w:w="3580" w:type="dxa"/>
            <w:vAlign w:val="bottom"/>
            <w:vMerge w:val="continue"/>
            <w:shd w:val="clear" w:color="auto" w:fill="DBE5F1"/>
          </w:tcPr>
          <w:p>
            <w:pPr>
              <w:spacing w:after="0"/>
              <w:rPr>
                <w:sz w:val="9"/>
                <w:szCs w:val="9"/>
                <w:color w:val="auto"/>
              </w:rPr>
            </w:pPr>
          </w:p>
        </w:tc>
        <w:tc>
          <w:tcPr>
            <w:tcW w:w="3560" w:type="dxa"/>
            <w:vAlign w:val="bottom"/>
            <w:vMerge w:val="restart"/>
            <w:shd w:val="clear" w:color="auto" w:fill="DBE5F1"/>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NCGCC oversight of nominating process</w:t>
            </w:r>
          </w:p>
        </w:tc>
        <w:tc>
          <w:tcPr>
            <w:tcW w:w="366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Officer</w:t>
            </w:r>
          </w:p>
        </w:tc>
        <w:tc>
          <w:tcPr>
            <w:tcW w:w="0" w:type="dxa"/>
            <w:vAlign w:val="bottom"/>
          </w:tcPr>
          <w:p>
            <w:pPr>
              <w:spacing w:after="0"/>
              <w:rPr>
                <w:sz w:val="1"/>
                <w:szCs w:val="1"/>
                <w:color w:val="auto"/>
              </w:rPr>
            </w:pPr>
          </w:p>
        </w:tc>
      </w:tr>
      <w:tr>
        <w:trPr>
          <w:trHeight w:val="107"/>
        </w:trPr>
        <w:tc>
          <w:tcPr>
            <w:tcW w:w="340" w:type="dxa"/>
            <w:vAlign w:val="bottom"/>
            <w:shd w:val="clear" w:color="auto" w:fill="DBE5F1"/>
          </w:tcPr>
          <w:p>
            <w:pPr>
              <w:spacing w:after="0"/>
              <w:rPr>
                <w:sz w:val="9"/>
                <w:szCs w:val="9"/>
                <w:color w:val="auto"/>
              </w:rPr>
            </w:pPr>
          </w:p>
        </w:tc>
        <w:tc>
          <w:tcPr>
            <w:tcW w:w="3580" w:type="dxa"/>
            <w:vAlign w:val="bottom"/>
            <w:vMerge w:val="restart"/>
            <w:shd w:val="clear" w:color="auto" w:fill="DBE5F1"/>
          </w:tcPr>
          <w:p>
            <w:pPr>
              <w:ind w:left="120"/>
              <w:spacing w:after="0"/>
              <w:rPr>
                <w:sz w:val="20"/>
                <w:szCs w:val="20"/>
                <w:color w:val="auto"/>
              </w:rPr>
            </w:pPr>
            <w:r>
              <w:rPr>
                <w:rFonts w:ascii="Arial" w:cs="Arial" w:eastAsia="Arial" w:hAnsi="Arial"/>
                <w:sz w:val="16"/>
                <w:szCs w:val="16"/>
                <w:color w:val="auto"/>
              </w:rPr>
              <w:t>manage risks</w:t>
            </w:r>
          </w:p>
        </w:tc>
        <w:tc>
          <w:tcPr>
            <w:tcW w:w="3560" w:type="dxa"/>
            <w:vAlign w:val="bottom"/>
            <w:vMerge w:val="continue"/>
            <w:shd w:val="clear" w:color="auto" w:fill="DBE5F1"/>
          </w:tcPr>
          <w:p>
            <w:pPr>
              <w:spacing w:after="0"/>
              <w:rPr>
                <w:sz w:val="9"/>
                <w:szCs w:val="9"/>
                <w:color w:val="auto"/>
              </w:rPr>
            </w:pPr>
          </w:p>
        </w:tc>
        <w:tc>
          <w:tcPr>
            <w:tcW w:w="3660" w:type="dxa"/>
            <w:vAlign w:val="bottom"/>
            <w:vMerge w:val="continue"/>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340" w:type="dxa"/>
            <w:vAlign w:val="bottom"/>
            <w:shd w:val="clear" w:color="auto" w:fill="DBE5F1"/>
          </w:tcPr>
          <w:p>
            <w:pPr>
              <w:spacing w:after="0"/>
              <w:rPr>
                <w:sz w:val="7"/>
                <w:szCs w:val="7"/>
                <w:color w:val="auto"/>
              </w:rPr>
            </w:pPr>
          </w:p>
        </w:tc>
        <w:tc>
          <w:tcPr>
            <w:tcW w:w="3580" w:type="dxa"/>
            <w:vAlign w:val="bottom"/>
            <w:vMerge w:val="continue"/>
            <w:shd w:val="clear" w:color="auto" w:fill="DBE5F1"/>
          </w:tcPr>
          <w:p>
            <w:pPr>
              <w:spacing w:after="0"/>
              <w:rPr>
                <w:sz w:val="7"/>
                <w:szCs w:val="7"/>
                <w:color w:val="auto"/>
              </w:rPr>
            </w:pPr>
          </w:p>
        </w:tc>
        <w:tc>
          <w:tcPr>
            <w:tcW w:w="3560" w:type="dxa"/>
            <w:vAlign w:val="bottom"/>
            <w:vMerge w:val="continue"/>
            <w:shd w:val="clear" w:color="auto" w:fill="DBE5F1"/>
          </w:tcPr>
          <w:p>
            <w:pPr>
              <w:spacing w:after="0"/>
              <w:rPr>
                <w:sz w:val="7"/>
                <w:szCs w:val="7"/>
                <w:color w:val="auto"/>
              </w:rPr>
            </w:pPr>
          </w:p>
        </w:tc>
        <w:tc>
          <w:tcPr>
            <w:tcW w:w="3660" w:type="dxa"/>
            <w:vAlign w:val="bottom"/>
            <w:vMerge w:val="restart"/>
            <w:shd w:val="clear" w:color="auto" w:fill="DBE5F1"/>
          </w:tcPr>
          <w:p>
            <w:pPr>
              <w:ind w:left="16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Regular briefings on corporate governance</w:t>
            </w:r>
          </w:p>
        </w:tc>
        <w:tc>
          <w:tcPr>
            <w:tcW w:w="0" w:type="dxa"/>
            <w:vAlign w:val="bottom"/>
          </w:tcPr>
          <w:p>
            <w:pPr>
              <w:spacing w:after="0"/>
              <w:rPr>
                <w:sz w:val="1"/>
                <w:szCs w:val="1"/>
                <w:color w:val="auto"/>
              </w:rPr>
            </w:pPr>
          </w:p>
        </w:tc>
      </w:tr>
      <w:tr>
        <w:trPr>
          <w:trHeight w:val="203"/>
        </w:trPr>
        <w:tc>
          <w:tcPr>
            <w:tcW w:w="340" w:type="dxa"/>
            <w:vAlign w:val="bottom"/>
            <w:vMerge w:val="restart"/>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vMerge w:val="restart"/>
            <w:shd w:val="clear" w:color="auto" w:fill="DBE5F1"/>
          </w:tcPr>
          <w:p>
            <w:pPr>
              <w:ind w:left="120"/>
              <w:spacing w:after="0"/>
              <w:rPr>
                <w:sz w:val="20"/>
                <w:szCs w:val="20"/>
                <w:color w:val="auto"/>
              </w:rPr>
            </w:pPr>
            <w:r>
              <w:rPr>
                <w:rFonts w:ascii="Arial" w:cs="Arial" w:eastAsia="Arial" w:hAnsi="Arial"/>
                <w:sz w:val="16"/>
                <w:szCs w:val="16"/>
                <w:color w:val="auto"/>
              </w:rPr>
              <w:t>Committee charters provide clear allocation of</w:t>
            </w:r>
          </w:p>
        </w:tc>
        <w:tc>
          <w:tcPr>
            <w:tcW w:w="3560" w:type="dxa"/>
            <w:vAlign w:val="bottom"/>
            <w:shd w:val="clear" w:color="auto" w:fill="DBE5F1"/>
          </w:tcPr>
          <w:p>
            <w:pPr>
              <w:ind w:left="500"/>
              <w:spacing w:after="0"/>
              <w:rPr>
                <w:sz w:val="20"/>
                <w:szCs w:val="20"/>
                <w:color w:val="auto"/>
              </w:rPr>
            </w:pPr>
            <w:r>
              <w:rPr>
                <w:rFonts w:ascii="Arial" w:cs="Arial" w:eastAsia="Arial" w:hAnsi="Arial"/>
                <w:sz w:val="16"/>
                <w:szCs w:val="16"/>
                <w:color w:val="auto"/>
              </w:rPr>
              <w:t>and criteria, legal and regulatory</w:t>
            </w:r>
          </w:p>
        </w:tc>
        <w:tc>
          <w:tcPr>
            <w:tcW w:w="3660" w:type="dxa"/>
            <w:vAlign w:val="bottom"/>
            <w:vMerge w:val="continue"/>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40" w:type="dxa"/>
            <w:vAlign w:val="bottom"/>
            <w:vMerge w:val="continue"/>
            <w:shd w:val="clear" w:color="auto" w:fill="DBE5F1"/>
          </w:tcPr>
          <w:p>
            <w:pPr>
              <w:spacing w:after="0"/>
              <w:rPr>
                <w:sz w:val="9"/>
                <w:szCs w:val="9"/>
                <w:color w:val="auto"/>
              </w:rPr>
            </w:pPr>
          </w:p>
        </w:tc>
        <w:tc>
          <w:tcPr>
            <w:tcW w:w="3580" w:type="dxa"/>
            <w:vAlign w:val="bottom"/>
            <w:vMerge w:val="continue"/>
            <w:shd w:val="clear" w:color="auto" w:fill="DBE5F1"/>
          </w:tcPr>
          <w:p>
            <w:pPr>
              <w:spacing w:after="0"/>
              <w:rPr>
                <w:sz w:val="9"/>
                <w:szCs w:val="9"/>
                <w:color w:val="auto"/>
              </w:rPr>
            </w:pPr>
          </w:p>
        </w:tc>
        <w:tc>
          <w:tcPr>
            <w:tcW w:w="3560" w:type="dxa"/>
            <w:vAlign w:val="bottom"/>
            <w:vMerge w:val="restart"/>
            <w:shd w:val="clear" w:color="auto" w:fill="DBE5F1"/>
          </w:tcPr>
          <w:p>
            <w:pPr>
              <w:ind w:left="500"/>
              <w:spacing w:after="0"/>
              <w:rPr>
                <w:sz w:val="20"/>
                <w:szCs w:val="20"/>
                <w:color w:val="auto"/>
              </w:rPr>
            </w:pPr>
            <w:r>
              <w:rPr>
                <w:rFonts w:ascii="Arial" w:cs="Arial" w:eastAsia="Arial" w:hAnsi="Arial"/>
                <w:sz w:val="16"/>
                <w:szCs w:val="16"/>
                <w:color w:val="auto"/>
              </w:rPr>
              <w:t>compliance</w:t>
            </w:r>
          </w:p>
        </w:tc>
        <w:tc>
          <w:tcPr>
            <w:tcW w:w="366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practices and emerging corporate</w:t>
            </w:r>
          </w:p>
        </w:tc>
        <w:tc>
          <w:tcPr>
            <w:tcW w:w="0" w:type="dxa"/>
            <w:vAlign w:val="bottom"/>
          </w:tcPr>
          <w:p>
            <w:pPr>
              <w:spacing w:after="0"/>
              <w:rPr>
                <w:sz w:val="1"/>
                <w:szCs w:val="1"/>
                <w:color w:val="auto"/>
              </w:rPr>
            </w:pPr>
          </w:p>
        </w:tc>
      </w:tr>
      <w:tr>
        <w:trPr>
          <w:trHeight w:val="81"/>
        </w:trPr>
        <w:tc>
          <w:tcPr>
            <w:tcW w:w="340" w:type="dxa"/>
            <w:vAlign w:val="bottom"/>
            <w:shd w:val="clear" w:color="auto" w:fill="DBE5F1"/>
          </w:tcPr>
          <w:p>
            <w:pPr>
              <w:spacing w:after="0"/>
              <w:rPr>
                <w:sz w:val="7"/>
                <w:szCs w:val="7"/>
                <w:color w:val="auto"/>
              </w:rPr>
            </w:pPr>
          </w:p>
        </w:tc>
        <w:tc>
          <w:tcPr>
            <w:tcW w:w="3580" w:type="dxa"/>
            <w:vAlign w:val="bottom"/>
            <w:vMerge w:val="restart"/>
            <w:shd w:val="clear" w:color="auto" w:fill="DBE5F1"/>
          </w:tcPr>
          <w:p>
            <w:pPr>
              <w:ind w:left="120"/>
              <w:spacing w:after="0"/>
              <w:rPr>
                <w:sz w:val="20"/>
                <w:szCs w:val="20"/>
                <w:color w:val="auto"/>
              </w:rPr>
            </w:pPr>
            <w:r>
              <w:rPr>
                <w:rFonts w:ascii="Arial" w:cs="Arial" w:eastAsia="Arial" w:hAnsi="Arial"/>
                <w:sz w:val="16"/>
                <w:szCs w:val="16"/>
                <w:color w:val="auto"/>
              </w:rPr>
              <w:t>committee and full Board oversight roles</w:t>
            </w:r>
          </w:p>
        </w:tc>
        <w:tc>
          <w:tcPr>
            <w:tcW w:w="3560" w:type="dxa"/>
            <w:vAlign w:val="bottom"/>
            <w:vMerge w:val="continue"/>
            <w:shd w:val="clear" w:color="auto" w:fill="DBE5F1"/>
          </w:tcPr>
          <w:p>
            <w:pPr>
              <w:spacing w:after="0"/>
              <w:rPr>
                <w:sz w:val="7"/>
                <w:szCs w:val="7"/>
                <w:color w:val="auto"/>
              </w:rPr>
            </w:pPr>
          </w:p>
        </w:tc>
        <w:tc>
          <w:tcPr>
            <w:tcW w:w="3660" w:type="dxa"/>
            <w:vAlign w:val="bottom"/>
            <w:vMerge w:val="continue"/>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shd w:val="clear" w:color="auto" w:fill="DBE5F1"/>
          </w:tcPr>
          <w:p>
            <w:pPr>
              <w:spacing w:after="0"/>
              <w:rPr>
                <w:sz w:val="11"/>
                <w:szCs w:val="11"/>
                <w:color w:val="auto"/>
              </w:rPr>
            </w:pPr>
          </w:p>
        </w:tc>
        <w:tc>
          <w:tcPr>
            <w:tcW w:w="3580" w:type="dxa"/>
            <w:vAlign w:val="bottom"/>
            <w:vMerge w:val="continue"/>
            <w:shd w:val="clear" w:color="auto" w:fill="DBE5F1"/>
          </w:tcPr>
          <w:p>
            <w:pPr>
              <w:spacing w:after="0"/>
              <w:rPr>
                <w:sz w:val="11"/>
                <w:szCs w:val="11"/>
                <w:color w:val="auto"/>
              </w:rPr>
            </w:pPr>
          </w:p>
        </w:tc>
        <w:tc>
          <w:tcPr>
            <w:tcW w:w="3560" w:type="dxa"/>
            <w:vAlign w:val="bottom"/>
            <w:vMerge w:val="restart"/>
            <w:shd w:val="clear" w:color="auto" w:fill="DBE5F1"/>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Compensation Committee oversight of</w:t>
            </w:r>
          </w:p>
        </w:tc>
        <w:tc>
          <w:tcPr>
            <w:tcW w:w="366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governance issues</w:t>
            </w:r>
          </w:p>
        </w:tc>
        <w:tc>
          <w:tcPr>
            <w:tcW w:w="0" w:type="dxa"/>
            <w:vAlign w:val="bottom"/>
          </w:tcPr>
          <w:p>
            <w:pPr>
              <w:spacing w:after="0"/>
              <w:rPr>
                <w:sz w:val="1"/>
                <w:szCs w:val="1"/>
                <w:color w:val="auto"/>
              </w:rPr>
            </w:pPr>
          </w:p>
        </w:tc>
      </w:tr>
      <w:tr>
        <w:trPr>
          <w:trHeight w:val="81"/>
        </w:trPr>
        <w:tc>
          <w:tcPr>
            <w:tcW w:w="340" w:type="dxa"/>
            <w:vAlign w:val="bottom"/>
            <w:vMerge w:val="restart"/>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shd w:val="clear" w:color="auto" w:fill="DBE5F1"/>
          </w:tcPr>
          <w:p>
            <w:pPr>
              <w:spacing w:after="0"/>
              <w:rPr>
                <w:sz w:val="7"/>
                <w:szCs w:val="7"/>
                <w:color w:val="auto"/>
              </w:rPr>
            </w:pPr>
          </w:p>
        </w:tc>
        <w:tc>
          <w:tcPr>
            <w:tcW w:w="3560" w:type="dxa"/>
            <w:vAlign w:val="bottom"/>
            <w:vMerge w:val="continue"/>
            <w:shd w:val="clear" w:color="auto" w:fill="DBE5F1"/>
          </w:tcPr>
          <w:p>
            <w:pPr>
              <w:spacing w:after="0"/>
              <w:rPr>
                <w:sz w:val="7"/>
                <w:szCs w:val="7"/>
                <w:color w:val="auto"/>
              </w:rPr>
            </w:pPr>
          </w:p>
        </w:tc>
        <w:tc>
          <w:tcPr>
            <w:tcW w:w="3660" w:type="dxa"/>
            <w:vAlign w:val="bottom"/>
            <w:vMerge w:val="continue"/>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340" w:type="dxa"/>
            <w:vAlign w:val="bottom"/>
            <w:vMerge w:val="continue"/>
            <w:shd w:val="clear" w:color="auto" w:fill="DBE5F1"/>
          </w:tcPr>
          <w:p>
            <w:pPr>
              <w:spacing w:after="0"/>
              <w:rPr>
                <w:sz w:val="8"/>
                <w:szCs w:val="8"/>
                <w:color w:val="auto"/>
              </w:rPr>
            </w:pPr>
          </w:p>
        </w:tc>
        <w:tc>
          <w:tcPr>
            <w:tcW w:w="3580" w:type="dxa"/>
            <w:vAlign w:val="bottom"/>
            <w:vMerge w:val="restart"/>
            <w:shd w:val="clear" w:color="auto" w:fill="DBE5F1"/>
          </w:tcPr>
          <w:p>
            <w:pPr>
              <w:ind w:left="120"/>
              <w:spacing w:after="0"/>
              <w:rPr>
                <w:sz w:val="20"/>
                <w:szCs w:val="20"/>
                <w:color w:val="auto"/>
              </w:rPr>
            </w:pPr>
            <w:r>
              <w:rPr>
                <w:rFonts w:ascii="Arial" w:cs="Arial" w:eastAsia="Arial" w:hAnsi="Arial"/>
                <w:sz w:val="16"/>
                <w:szCs w:val="16"/>
                <w:color w:val="auto"/>
              </w:rPr>
              <w:t>Regular talent and succession planning</w:t>
            </w:r>
          </w:p>
        </w:tc>
        <w:tc>
          <w:tcPr>
            <w:tcW w:w="3560" w:type="dxa"/>
            <w:vAlign w:val="bottom"/>
            <w:vMerge w:val="continue"/>
            <w:shd w:val="clear" w:color="auto" w:fill="DBE5F1"/>
          </w:tcPr>
          <w:p>
            <w:pPr>
              <w:spacing w:after="0"/>
              <w:rPr>
                <w:sz w:val="8"/>
                <w:szCs w:val="8"/>
                <w:color w:val="auto"/>
              </w:rPr>
            </w:pPr>
          </w:p>
        </w:tc>
        <w:tc>
          <w:tcPr>
            <w:tcW w:w="3660" w:type="dxa"/>
            <w:vAlign w:val="bottom"/>
            <w:vMerge w:val="restart"/>
            <w:shd w:val="clear" w:color="auto" w:fill="DBE5F1"/>
          </w:tcPr>
          <w:p>
            <w:pPr>
              <w:ind w:left="16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Monthly “teach-ins” addressing key</w:t>
            </w:r>
          </w:p>
        </w:tc>
        <w:tc>
          <w:tcPr>
            <w:tcW w:w="0" w:type="dxa"/>
            <w:vAlign w:val="bottom"/>
          </w:tcPr>
          <w:p>
            <w:pPr>
              <w:spacing w:after="0"/>
              <w:rPr>
                <w:sz w:val="1"/>
                <w:szCs w:val="1"/>
                <w:color w:val="auto"/>
              </w:rPr>
            </w:pPr>
          </w:p>
        </w:tc>
      </w:tr>
      <w:tr>
        <w:trPr>
          <w:trHeight w:val="108"/>
        </w:trPr>
        <w:tc>
          <w:tcPr>
            <w:tcW w:w="340" w:type="dxa"/>
            <w:vAlign w:val="bottom"/>
            <w:vMerge w:val="continue"/>
            <w:shd w:val="clear" w:color="auto" w:fill="DBE5F1"/>
          </w:tcPr>
          <w:p>
            <w:pPr>
              <w:spacing w:after="0"/>
              <w:rPr>
                <w:sz w:val="9"/>
                <w:szCs w:val="9"/>
                <w:color w:val="auto"/>
              </w:rPr>
            </w:pPr>
          </w:p>
        </w:tc>
        <w:tc>
          <w:tcPr>
            <w:tcW w:w="3580" w:type="dxa"/>
            <w:vAlign w:val="bottom"/>
            <w:vMerge w:val="continue"/>
            <w:shd w:val="clear" w:color="auto" w:fill="DBE5F1"/>
          </w:tcPr>
          <w:p>
            <w:pPr>
              <w:spacing w:after="0"/>
              <w:rPr>
                <w:sz w:val="9"/>
                <w:szCs w:val="9"/>
                <w:color w:val="auto"/>
              </w:rPr>
            </w:pPr>
          </w:p>
        </w:tc>
        <w:tc>
          <w:tcPr>
            <w:tcW w:w="3560" w:type="dxa"/>
            <w:vAlign w:val="bottom"/>
            <w:vMerge w:val="restart"/>
            <w:shd w:val="clear" w:color="auto" w:fill="DBE5F1"/>
          </w:tcPr>
          <w:p>
            <w:pPr>
              <w:ind w:left="500"/>
              <w:spacing w:after="0"/>
              <w:rPr>
                <w:sz w:val="20"/>
                <w:szCs w:val="20"/>
                <w:color w:val="auto"/>
              </w:rPr>
            </w:pPr>
            <w:r>
              <w:rPr>
                <w:rFonts w:ascii="Arial" w:cs="Arial" w:eastAsia="Arial" w:hAnsi="Arial"/>
                <w:sz w:val="16"/>
                <w:szCs w:val="16"/>
                <w:color w:val="auto"/>
              </w:rPr>
              <w:t>compensation program, annual CEO</w:t>
            </w:r>
          </w:p>
        </w:tc>
        <w:tc>
          <w:tcPr>
            <w:tcW w:w="3660" w:type="dxa"/>
            <w:vAlign w:val="bottom"/>
            <w:vMerge w:val="continue"/>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40" w:type="dxa"/>
            <w:vAlign w:val="bottom"/>
            <w:shd w:val="clear" w:color="auto" w:fill="DBE5F1"/>
          </w:tcPr>
          <w:p>
            <w:pPr>
              <w:spacing w:after="0"/>
              <w:rPr>
                <w:sz w:val="7"/>
                <w:szCs w:val="7"/>
                <w:color w:val="auto"/>
              </w:rPr>
            </w:pPr>
          </w:p>
        </w:tc>
        <w:tc>
          <w:tcPr>
            <w:tcW w:w="3580" w:type="dxa"/>
            <w:vAlign w:val="bottom"/>
            <w:vMerge w:val="restart"/>
            <w:shd w:val="clear" w:color="auto" w:fill="DBE5F1"/>
          </w:tcPr>
          <w:p>
            <w:pPr>
              <w:ind w:left="120"/>
              <w:spacing w:after="0"/>
              <w:rPr>
                <w:sz w:val="20"/>
                <w:szCs w:val="20"/>
                <w:color w:val="auto"/>
              </w:rPr>
            </w:pPr>
            <w:r>
              <w:rPr>
                <w:rFonts w:ascii="Arial" w:cs="Arial" w:eastAsia="Arial" w:hAnsi="Arial"/>
                <w:sz w:val="16"/>
                <w:szCs w:val="16"/>
                <w:color w:val="auto"/>
              </w:rPr>
              <w:t>discussions</w:t>
            </w:r>
          </w:p>
        </w:tc>
        <w:tc>
          <w:tcPr>
            <w:tcW w:w="3560" w:type="dxa"/>
            <w:vAlign w:val="bottom"/>
            <w:vMerge w:val="continue"/>
            <w:shd w:val="clear" w:color="auto" w:fill="DBE5F1"/>
          </w:tcPr>
          <w:p>
            <w:pPr>
              <w:spacing w:after="0"/>
              <w:rPr>
                <w:sz w:val="7"/>
                <w:szCs w:val="7"/>
                <w:color w:val="auto"/>
              </w:rPr>
            </w:pPr>
          </w:p>
        </w:tc>
        <w:tc>
          <w:tcPr>
            <w:tcW w:w="3660" w:type="dxa"/>
            <w:vAlign w:val="bottom"/>
            <w:vMerge w:val="continue"/>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shd w:val="clear" w:color="auto" w:fill="DBE5F1"/>
          </w:tcPr>
          <w:p>
            <w:pPr>
              <w:spacing w:after="0"/>
              <w:rPr>
                <w:sz w:val="11"/>
                <w:szCs w:val="11"/>
                <w:color w:val="auto"/>
              </w:rPr>
            </w:pPr>
          </w:p>
        </w:tc>
        <w:tc>
          <w:tcPr>
            <w:tcW w:w="3580" w:type="dxa"/>
            <w:vAlign w:val="bottom"/>
            <w:vMerge w:val="continue"/>
            <w:shd w:val="clear" w:color="auto" w:fill="DBE5F1"/>
          </w:tcPr>
          <w:p>
            <w:pPr>
              <w:spacing w:after="0"/>
              <w:rPr>
                <w:sz w:val="11"/>
                <w:szCs w:val="11"/>
                <w:color w:val="auto"/>
              </w:rPr>
            </w:pPr>
          </w:p>
        </w:tc>
        <w:tc>
          <w:tcPr>
            <w:tcW w:w="3560" w:type="dxa"/>
            <w:vAlign w:val="bottom"/>
            <w:vMerge w:val="restart"/>
            <w:shd w:val="clear" w:color="auto" w:fill="DBE5F1"/>
          </w:tcPr>
          <w:p>
            <w:pPr>
              <w:ind w:left="500"/>
              <w:spacing w:after="0"/>
              <w:rPr>
                <w:sz w:val="20"/>
                <w:szCs w:val="20"/>
                <w:color w:val="auto"/>
              </w:rPr>
            </w:pPr>
            <w:r>
              <w:rPr>
                <w:rFonts w:ascii="Arial" w:cs="Arial" w:eastAsia="Arial" w:hAnsi="Arial"/>
                <w:sz w:val="16"/>
                <w:szCs w:val="16"/>
                <w:color w:val="auto"/>
              </w:rPr>
              <w:t>evaluation</w:t>
            </w:r>
          </w:p>
        </w:tc>
        <w:tc>
          <w:tcPr>
            <w:tcW w:w="366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strategic areas</w:t>
            </w:r>
          </w:p>
        </w:tc>
        <w:tc>
          <w:tcPr>
            <w:tcW w:w="0" w:type="dxa"/>
            <w:vAlign w:val="bottom"/>
          </w:tcPr>
          <w:p>
            <w:pPr>
              <w:spacing w:after="0"/>
              <w:rPr>
                <w:sz w:val="1"/>
                <w:szCs w:val="1"/>
                <w:color w:val="auto"/>
              </w:rPr>
            </w:pPr>
          </w:p>
        </w:tc>
      </w:tr>
      <w:tr>
        <w:trPr>
          <w:trHeight w:val="81"/>
        </w:trPr>
        <w:tc>
          <w:tcPr>
            <w:tcW w:w="340" w:type="dxa"/>
            <w:vAlign w:val="bottom"/>
            <w:shd w:val="clear" w:color="auto" w:fill="DBE5F1"/>
          </w:tcPr>
          <w:p>
            <w:pPr>
              <w:spacing w:after="0"/>
              <w:rPr>
                <w:sz w:val="7"/>
                <w:szCs w:val="7"/>
                <w:color w:val="auto"/>
              </w:rPr>
            </w:pPr>
          </w:p>
        </w:tc>
        <w:tc>
          <w:tcPr>
            <w:tcW w:w="3580" w:type="dxa"/>
            <w:vAlign w:val="bottom"/>
            <w:shd w:val="clear" w:color="auto" w:fill="DBE5F1"/>
          </w:tcPr>
          <w:p>
            <w:pPr>
              <w:spacing w:after="0"/>
              <w:rPr>
                <w:sz w:val="7"/>
                <w:szCs w:val="7"/>
                <w:color w:val="auto"/>
              </w:rPr>
            </w:pPr>
          </w:p>
        </w:tc>
        <w:tc>
          <w:tcPr>
            <w:tcW w:w="3560" w:type="dxa"/>
            <w:vAlign w:val="bottom"/>
            <w:vMerge w:val="continue"/>
            <w:shd w:val="clear" w:color="auto" w:fill="DBE5F1"/>
          </w:tcPr>
          <w:p>
            <w:pPr>
              <w:spacing w:after="0"/>
              <w:rPr>
                <w:sz w:val="7"/>
                <w:szCs w:val="7"/>
                <w:color w:val="auto"/>
              </w:rPr>
            </w:pPr>
          </w:p>
        </w:tc>
        <w:tc>
          <w:tcPr>
            <w:tcW w:w="3660" w:type="dxa"/>
            <w:vAlign w:val="bottom"/>
            <w:vMerge w:val="continue"/>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340" w:type="dxa"/>
            <w:vAlign w:val="bottom"/>
            <w:tcBorders>
              <w:bottom w:val="single" w:sz="8" w:color="auto"/>
            </w:tcBorders>
            <w:shd w:val="clear" w:color="auto" w:fill="DBE5F1"/>
          </w:tcPr>
          <w:p>
            <w:pPr>
              <w:spacing w:after="0"/>
              <w:rPr>
                <w:sz w:val="10"/>
                <w:szCs w:val="10"/>
                <w:color w:val="auto"/>
              </w:rPr>
            </w:pPr>
          </w:p>
        </w:tc>
        <w:tc>
          <w:tcPr>
            <w:tcW w:w="3580" w:type="dxa"/>
            <w:vAlign w:val="bottom"/>
            <w:tcBorders>
              <w:bottom w:val="single" w:sz="8" w:color="auto"/>
            </w:tcBorders>
            <w:shd w:val="clear" w:color="auto" w:fill="DBE5F1"/>
          </w:tcPr>
          <w:p>
            <w:pPr>
              <w:spacing w:after="0"/>
              <w:rPr>
                <w:sz w:val="10"/>
                <w:szCs w:val="10"/>
                <w:color w:val="auto"/>
              </w:rPr>
            </w:pPr>
          </w:p>
        </w:tc>
        <w:tc>
          <w:tcPr>
            <w:tcW w:w="3560" w:type="dxa"/>
            <w:vAlign w:val="bottom"/>
            <w:tcBorders>
              <w:bottom w:val="single" w:sz="8" w:color="auto"/>
            </w:tcBorders>
            <w:shd w:val="clear" w:color="auto" w:fill="DBE5F1"/>
          </w:tcPr>
          <w:p>
            <w:pPr>
              <w:spacing w:after="0"/>
              <w:rPr>
                <w:sz w:val="10"/>
                <w:szCs w:val="10"/>
                <w:color w:val="auto"/>
              </w:rPr>
            </w:pPr>
          </w:p>
        </w:tc>
        <w:tc>
          <w:tcPr>
            <w:tcW w:w="3660" w:type="dxa"/>
            <w:vAlign w:val="bottom"/>
            <w:tcBorders>
              <w:bottom w:val="single" w:sz="8" w:color="auto"/>
            </w:tcBorders>
            <w:shd w:val="clear" w:color="auto" w:fill="DBE5F1"/>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30" w:name="page31"/>
    <w:bookmarkEnd w:id="30"/>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Board Composition and Director Independence</w:t>
      </w:r>
    </w:p>
    <w:p>
      <w:pPr>
        <w:spacing w:after="0" w:line="171" w:lineRule="exact"/>
        <w:rPr>
          <w:sz w:val="20"/>
          <w:szCs w:val="20"/>
          <w:color w:val="auto"/>
        </w:rPr>
      </w:pPr>
    </w:p>
    <w:p>
      <w:pPr>
        <w:ind w:right="20" w:firstLine="441"/>
        <w:spacing w:after="0" w:line="247" w:lineRule="auto"/>
        <w:rPr>
          <w:sz w:val="20"/>
          <w:szCs w:val="20"/>
          <w:color w:val="auto"/>
        </w:rPr>
      </w:pPr>
      <w:r>
        <w:rPr>
          <w:rFonts w:ascii="Arial" w:cs="Arial" w:eastAsia="Arial" w:hAnsi="Arial"/>
          <w:sz w:val="18"/>
          <w:szCs w:val="18"/>
          <w:color w:val="auto"/>
        </w:rPr>
        <w:t>Our business and affairs are managed under the direction of our Board, which is composed of nine directors. Our certificate of incorporation provides that the authorized number of directors may be changed only by resolution of our Board. Our certificate of incorporation also provides that our Board will be divided into three classes of directors, with the classes as nearly equal in number as possible. Subject to any earlier resignation or removal in accordance with the terms of our certificate of incorporation and bylaws, our Class I directors are Ms. McCarthy, Dr. McClellan and Mr. Vorhoff, who are nominees for election at the Annual Meeting to a three-year term ending at our annual meeting of stockholders in 2028, our Class II directors are Ms. Bilney, Mr. Hodgson and Dr. Kosecoff, who will serve until our 2026 annual meeting of stockholders, and our Class III directors are Ms. Jorden, Mr. Kao and Mr. Konowiecki, who will serve until our 2027 annual meeting of stockholders. This classification of our Board could have the effect of increasing the length of time necessary to change the composition of a majority of the Board. In general, at least two annual meetings of stockholders will be necessary for stockholders to effect a change in a majority of the members of the Board. In addition, our certificate of incorporation provides that directors may be removed for cause and only upon the affirmative vote of stockholders representing at least sixty-six and two-thirds percent (66</w:t>
      </w:r>
      <w:r>
        <w:rPr>
          <w:rFonts w:ascii="Arial" w:cs="Arial" w:eastAsia="Arial" w:hAnsi="Arial"/>
          <w:sz w:val="23"/>
          <w:szCs w:val="23"/>
          <w:color w:val="auto"/>
          <w:vertAlign w:val="superscript"/>
        </w:rPr>
        <w:t>2⁄3</w:t>
      </w:r>
      <w:r>
        <w:rPr>
          <w:rFonts w:ascii="Arial" w:cs="Arial" w:eastAsia="Arial" w:hAnsi="Arial"/>
          <w:sz w:val="18"/>
          <w:szCs w:val="18"/>
          <w:color w:val="auto"/>
        </w:rPr>
        <w:t>%) of the voting power of the then-outstanding shares of voting stock, at a meeting of our stockholders called for that purpose.</w:t>
      </w:r>
    </w:p>
    <w:p>
      <w:pPr>
        <w:spacing w:after="0" w:line="139"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Our Board has also determined that all directors (except Mr. Kao and Mr. Konowiecki, who both serve or previously served as employees of the Company) meet the requirements to be independent directors. In making this determination, our Board considered the relationships that each non-employee director has with the Company and all other facts and circumstances that our Board deemed relevant in determining their independence, including beneficial ownership of our common stock and affiliations with General Atlantic (our "Lead Sponsor").</w:t>
      </w:r>
    </w:p>
    <w:p>
      <w:pPr>
        <w:spacing w:after="0" w:line="125"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The Stockholders Agreement by and between us and our Lead Sponsor provides the Lead Sponsor with the right to designate: (i) four of the nominees for election to our Board for so long as its beneficially owns at least 35% of our common stock then outstanding; (ii) three of the nominees for election to our Board for so long as it beneficially owns less than 35% but at least 25% of our common stock then outstanding; (iii) two of the nominees for election to our Board for so long as it beneficially owns less than 25% but at least 15% of our common stock then outstanding; and (iv) one of the nominees for election to our Board for so long as it beneficially owns less than 15% but at least 5% of our common stock then outstanding.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Board Leadership Structure</w:t>
      </w:r>
    </w:p>
    <w:p>
      <w:pPr>
        <w:spacing w:after="0" w:line="225" w:lineRule="exact"/>
        <w:rPr>
          <w:sz w:val="20"/>
          <w:szCs w:val="20"/>
          <w:color w:val="auto"/>
        </w:rPr>
      </w:pPr>
    </w:p>
    <w:p>
      <w:pPr>
        <w:jc w:val="both"/>
        <w:ind w:right="520" w:firstLine="492"/>
        <w:spacing w:after="0" w:line="268" w:lineRule="auto"/>
        <w:rPr>
          <w:sz w:val="20"/>
          <w:szCs w:val="20"/>
          <w:color w:val="auto"/>
        </w:rPr>
      </w:pPr>
      <w:r>
        <w:rPr>
          <w:rFonts w:ascii="Arial" w:cs="Arial" w:eastAsia="Arial" w:hAnsi="Arial"/>
          <w:sz w:val="18"/>
          <w:szCs w:val="18"/>
          <w:color w:val="auto"/>
        </w:rPr>
        <w:t>We structure leadership of our Board in a manner that we believe is best suited to benefit the Company and its performance. We separate our chair of the Board (the “Board Chair”) and Chief Executive Officer to ensure that the Board maintains robust, independent processes with respect to oversight of our business and affairs. The Board Chair has the following duties: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60" w:type="dxa"/>
            <w:vAlign w:val="bottom"/>
            <w:tcBorders>
              <w:top w:val="single" w:sz="8" w:color="auto"/>
            </w:tcBorders>
            <w:shd w:val="clear" w:color="auto" w:fill="DBE5F1"/>
          </w:tcPr>
          <w:p>
            <w:pPr>
              <w:ind w:left="80"/>
              <w:spacing w:after="0"/>
              <w:rPr>
                <w:sz w:val="20"/>
                <w:szCs w:val="20"/>
                <w:color w:val="auto"/>
              </w:rPr>
            </w:pPr>
            <w:r>
              <w:rPr>
                <w:rFonts w:ascii="Arial" w:cs="Arial" w:eastAsia="Arial" w:hAnsi="Arial"/>
                <w:sz w:val="16"/>
                <w:szCs w:val="16"/>
                <w:b w:val="1"/>
                <w:bCs w:val="1"/>
                <w:i w:val="1"/>
                <w:iCs w:val="1"/>
                <w:color w:val="auto"/>
              </w:rPr>
              <w:t>Duties of our Board Chair</w:t>
            </w:r>
          </w:p>
        </w:tc>
        <w:tc>
          <w:tcPr>
            <w:tcW w:w="3660" w:type="dxa"/>
            <w:vAlign w:val="bottom"/>
            <w:tcBorders>
              <w:top w:val="single" w:sz="8" w:color="auto"/>
            </w:tcBorders>
            <w:shd w:val="clear" w:color="auto" w:fill="DBE5F1"/>
          </w:tcPr>
          <w:p>
            <w:pPr>
              <w:spacing w:after="0"/>
              <w:rPr>
                <w:sz w:val="20"/>
                <w:szCs w:val="20"/>
                <w:color w:val="auto"/>
              </w:rPr>
            </w:pPr>
          </w:p>
        </w:tc>
        <w:tc>
          <w:tcPr>
            <w:tcW w:w="3700" w:type="dxa"/>
            <w:vAlign w:val="bottom"/>
            <w:tcBorders>
              <w:top w:val="single" w:sz="8" w:color="auto"/>
            </w:tcBorders>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3860" w:type="dxa"/>
            <w:vAlign w:val="bottom"/>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Presides as chair of regular sessions of the</w:t>
            </w:r>
          </w:p>
        </w:tc>
        <w:tc>
          <w:tcPr>
            <w:tcW w:w="3660" w:type="dxa"/>
            <w:vAlign w:val="bottom"/>
            <w:shd w:val="clear" w:color="auto" w:fill="DBE5F1"/>
          </w:tcPr>
          <w:p>
            <w:pPr>
              <w:ind w:left="2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Meets directly with other members of the</w:t>
            </w:r>
          </w:p>
        </w:tc>
        <w:tc>
          <w:tcPr>
            <w:tcW w:w="370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Engages regularly with stockholders and</w:t>
            </w:r>
          </w:p>
        </w:tc>
        <w:tc>
          <w:tcPr>
            <w:tcW w:w="0" w:type="dxa"/>
            <w:vAlign w:val="bottom"/>
          </w:tcPr>
          <w:p>
            <w:pPr>
              <w:spacing w:after="0"/>
              <w:rPr>
                <w:sz w:val="1"/>
                <w:szCs w:val="1"/>
                <w:color w:val="auto"/>
              </w:rPr>
            </w:pPr>
          </w:p>
        </w:tc>
      </w:tr>
      <w:tr>
        <w:trPr>
          <w:trHeight w:val="189"/>
        </w:trPr>
        <w:tc>
          <w:tcPr>
            <w:tcW w:w="3860" w:type="dxa"/>
            <w:vAlign w:val="bottom"/>
            <w:shd w:val="clear" w:color="auto" w:fill="DBE5F1"/>
          </w:tcPr>
          <w:p>
            <w:pPr>
              <w:ind w:left="460"/>
              <w:spacing w:after="0"/>
              <w:rPr>
                <w:sz w:val="20"/>
                <w:szCs w:val="20"/>
                <w:color w:val="auto"/>
              </w:rPr>
            </w:pPr>
            <w:r>
              <w:rPr>
                <w:rFonts w:ascii="Arial" w:cs="Arial" w:eastAsia="Arial" w:hAnsi="Arial"/>
                <w:sz w:val="16"/>
                <w:szCs w:val="16"/>
                <w:color w:val="auto"/>
              </w:rPr>
              <w:t>Board and manages overall Board process</w:t>
            </w:r>
          </w:p>
        </w:tc>
        <w:tc>
          <w:tcPr>
            <w:tcW w:w="3660" w:type="dxa"/>
            <w:vAlign w:val="bottom"/>
            <w:shd w:val="clear" w:color="auto" w:fill="DBE5F1"/>
          </w:tcPr>
          <w:p>
            <w:pPr>
              <w:ind w:left="580"/>
              <w:spacing w:after="0"/>
              <w:rPr>
                <w:sz w:val="20"/>
                <w:szCs w:val="20"/>
                <w:color w:val="auto"/>
              </w:rPr>
            </w:pPr>
            <w:r>
              <w:rPr>
                <w:rFonts w:ascii="Arial" w:cs="Arial" w:eastAsia="Arial" w:hAnsi="Arial"/>
                <w:sz w:val="16"/>
                <w:szCs w:val="16"/>
                <w:color w:val="auto"/>
              </w:rPr>
              <w:t>Board as needed</w:t>
            </w:r>
          </w:p>
        </w:tc>
        <w:tc>
          <w:tcPr>
            <w:tcW w:w="3700" w:type="dxa"/>
            <w:vAlign w:val="bottom"/>
            <w:shd w:val="clear" w:color="auto" w:fill="DBE5F1"/>
          </w:tcPr>
          <w:p>
            <w:pPr>
              <w:ind w:left="520"/>
              <w:spacing w:after="0"/>
              <w:rPr>
                <w:sz w:val="20"/>
                <w:szCs w:val="20"/>
                <w:color w:val="auto"/>
              </w:rPr>
            </w:pPr>
            <w:r>
              <w:rPr>
                <w:rFonts w:ascii="Arial" w:cs="Arial" w:eastAsia="Arial" w:hAnsi="Arial"/>
                <w:sz w:val="16"/>
                <w:szCs w:val="16"/>
                <w:color w:val="auto"/>
              </w:rPr>
              <w:t>presides over annual meeting of</w:t>
            </w:r>
          </w:p>
        </w:tc>
        <w:tc>
          <w:tcPr>
            <w:tcW w:w="0" w:type="dxa"/>
            <w:vAlign w:val="bottom"/>
          </w:tcPr>
          <w:p>
            <w:pPr>
              <w:spacing w:after="0"/>
              <w:rPr>
                <w:sz w:val="1"/>
                <w:szCs w:val="1"/>
                <w:color w:val="auto"/>
              </w:rPr>
            </w:pPr>
          </w:p>
        </w:tc>
      </w:tr>
      <w:tr>
        <w:trPr>
          <w:trHeight w:val="215"/>
        </w:trPr>
        <w:tc>
          <w:tcPr>
            <w:tcW w:w="3860" w:type="dxa"/>
            <w:vAlign w:val="bottom"/>
            <w:vMerge w:val="restart"/>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Sets Board meeting agendas and approves</w:t>
            </w:r>
          </w:p>
        </w:tc>
        <w:tc>
          <w:tcPr>
            <w:tcW w:w="3660" w:type="dxa"/>
            <w:vAlign w:val="bottom"/>
            <w:vMerge w:val="restart"/>
            <w:shd w:val="clear" w:color="auto" w:fill="DBE5F1"/>
          </w:tcPr>
          <w:p>
            <w:pPr>
              <w:ind w:left="2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Oversees board engagement and</w:t>
            </w:r>
          </w:p>
        </w:tc>
        <w:tc>
          <w:tcPr>
            <w:tcW w:w="3700" w:type="dxa"/>
            <w:vAlign w:val="bottom"/>
            <w:shd w:val="clear" w:color="auto" w:fill="DBE5F1"/>
          </w:tcPr>
          <w:p>
            <w:pPr>
              <w:ind w:left="520"/>
              <w:spacing w:after="0"/>
              <w:rPr>
                <w:sz w:val="20"/>
                <w:szCs w:val="20"/>
                <w:color w:val="auto"/>
              </w:rPr>
            </w:pPr>
            <w:r>
              <w:rPr>
                <w:rFonts w:ascii="Arial" w:cs="Arial" w:eastAsia="Arial" w:hAnsi="Arial"/>
                <w:sz w:val="16"/>
                <w:szCs w:val="16"/>
                <w:color w:val="auto"/>
              </w:rPr>
              <w:t>stockholders</w:t>
            </w:r>
          </w:p>
        </w:tc>
        <w:tc>
          <w:tcPr>
            <w:tcW w:w="0" w:type="dxa"/>
            <w:vAlign w:val="bottom"/>
          </w:tcPr>
          <w:p>
            <w:pPr>
              <w:spacing w:after="0"/>
              <w:rPr>
                <w:sz w:val="1"/>
                <w:szCs w:val="1"/>
                <w:color w:val="auto"/>
              </w:rPr>
            </w:pPr>
          </w:p>
        </w:tc>
      </w:tr>
      <w:tr>
        <w:trPr>
          <w:trHeight w:val="109"/>
        </w:trPr>
        <w:tc>
          <w:tcPr>
            <w:tcW w:w="3860" w:type="dxa"/>
            <w:vAlign w:val="bottom"/>
            <w:vMerge w:val="continue"/>
            <w:shd w:val="clear" w:color="auto" w:fill="DBE5F1"/>
          </w:tcPr>
          <w:p>
            <w:pPr>
              <w:spacing w:after="0"/>
              <w:rPr>
                <w:sz w:val="9"/>
                <w:szCs w:val="9"/>
                <w:color w:val="auto"/>
              </w:rPr>
            </w:pPr>
          </w:p>
        </w:tc>
        <w:tc>
          <w:tcPr>
            <w:tcW w:w="3660" w:type="dxa"/>
            <w:vAlign w:val="bottom"/>
            <w:vMerge w:val="continue"/>
            <w:shd w:val="clear" w:color="auto" w:fill="DBE5F1"/>
          </w:tcPr>
          <w:p>
            <w:pPr>
              <w:spacing w:after="0"/>
              <w:rPr>
                <w:sz w:val="9"/>
                <w:szCs w:val="9"/>
                <w:color w:val="auto"/>
              </w:rPr>
            </w:pPr>
          </w:p>
        </w:tc>
        <w:tc>
          <w:tcPr>
            <w:tcW w:w="3700" w:type="dxa"/>
            <w:vAlign w:val="bottom"/>
            <w:vMerge w:val="restart"/>
            <w:shd w:val="clear" w:color="auto" w:fill="DBE5F1"/>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Partners with the Compensation</w:t>
            </w:r>
          </w:p>
        </w:tc>
        <w:tc>
          <w:tcPr>
            <w:tcW w:w="0" w:type="dxa"/>
            <w:vAlign w:val="bottom"/>
          </w:tcPr>
          <w:p>
            <w:pPr>
              <w:spacing w:after="0"/>
              <w:rPr>
                <w:sz w:val="1"/>
                <w:szCs w:val="1"/>
                <w:color w:val="auto"/>
              </w:rPr>
            </w:pPr>
          </w:p>
        </w:tc>
      </w:tr>
      <w:tr>
        <w:trPr>
          <w:trHeight w:val="189"/>
        </w:trPr>
        <w:tc>
          <w:tcPr>
            <w:tcW w:w="3860" w:type="dxa"/>
            <w:vAlign w:val="bottom"/>
            <w:shd w:val="clear" w:color="auto" w:fill="DBE5F1"/>
          </w:tcPr>
          <w:p>
            <w:pPr>
              <w:ind w:left="460"/>
              <w:spacing w:after="0"/>
              <w:rPr>
                <w:sz w:val="20"/>
                <w:szCs w:val="20"/>
                <w:color w:val="auto"/>
              </w:rPr>
            </w:pPr>
            <w:r>
              <w:rPr>
                <w:rFonts w:ascii="Arial" w:cs="Arial" w:eastAsia="Arial" w:hAnsi="Arial"/>
                <w:sz w:val="16"/>
                <w:szCs w:val="16"/>
                <w:color w:val="auto"/>
              </w:rPr>
              <w:t>materials distributed to Board</w:t>
            </w:r>
          </w:p>
        </w:tc>
        <w:tc>
          <w:tcPr>
            <w:tcW w:w="3660" w:type="dxa"/>
            <w:vAlign w:val="bottom"/>
            <w:shd w:val="clear" w:color="auto" w:fill="DBE5F1"/>
          </w:tcPr>
          <w:p>
            <w:pPr>
              <w:ind w:left="580"/>
              <w:spacing w:after="0"/>
              <w:rPr>
                <w:sz w:val="20"/>
                <w:szCs w:val="20"/>
                <w:color w:val="auto"/>
              </w:rPr>
            </w:pPr>
            <w:r>
              <w:rPr>
                <w:rFonts w:ascii="Arial" w:cs="Arial" w:eastAsia="Arial" w:hAnsi="Arial"/>
                <w:sz w:val="16"/>
                <w:szCs w:val="16"/>
                <w:color w:val="auto"/>
              </w:rPr>
              <w:t>continued education</w:t>
            </w:r>
          </w:p>
        </w:tc>
        <w:tc>
          <w:tcPr>
            <w:tcW w:w="3700" w:type="dxa"/>
            <w:vAlign w:val="bottom"/>
            <w:vMerge w:val="continue"/>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vMerge w:val="restart"/>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Leads response of Board to risks and</w:t>
            </w:r>
          </w:p>
        </w:tc>
        <w:tc>
          <w:tcPr>
            <w:tcW w:w="3660" w:type="dxa"/>
            <w:vAlign w:val="bottom"/>
            <w:vMerge w:val="restart"/>
            <w:shd w:val="clear" w:color="auto" w:fill="DBE5F1"/>
          </w:tcPr>
          <w:p>
            <w:pPr>
              <w:ind w:left="2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Partners with the NCGCC in director</w:t>
            </w:r>
          </w:p>
        </w:tc>
        <w:tc>
          <w:tcPr>
            <w:tcW w:w="3700" w:type="dxa"/>
            <w:vAlign w:val="bottom"/>
            <w:shd w:val="clear" w:color="auto" w:fill="DBE5F1"/>
          </w:tcPr>
          <w:p>
            <w:pPr>
              <w:ind w:left="520"/>
              <w:spacing w:after="0"/>
              <w:rPr>
                <w:sz w:val="20"/>
                <w:szCs w:val="20"/>
                <w:color w:val="auto"/>
              </w:rPr>
            </w:pPr>
            <w:r>
              <w:rPr>
                <w:rFonts w:ascii="Arial" w:cs="Arial" w:eastAsia="Arial" w:hAnsi="Arial"/>
                <w:sz w:val="16"/>
                <w:szCs w:val="16"/>
                <w:color w:val="auto"/>
              </w:rPr>
              <w:t>Committee to structure and implement the</w:t>
            </w:r>
          </w:p>
        </w:tc>
        <w:tc>
          <w:tcPr>
            <w:tcW w:w="0" w:type="dxa"/>
            <w:vAlign w:val="bottom"/>
          </w:tcPr>
          <w:p>
            <w:pPr>
              <w:spacing w:after="0"/>
              <w:rPr>
                <w:sz w:val="1"/>
                <w:szCs w:val="1"/>
                <w:color w:val="auto"/>
              </w:rPr>
            </w:pPr>
          </w:p>
        </w:tc>
      </w:tr>
      <w:tr>
        <w:trPr>
          <w:trHeight w:val="122"/>
        </w:trPr>
        <w:tc>
          <w:tcPr>
            <w:tcW w:w="3860" w:type="dxa"/>
            <w:vAlign w:val="bottom"/>
            <w:vMerge w:val="continue"/>
            <w:shd w:val="clear" w:color="auto" w:fill="DBE5F1"/>
          </w:tcPr>
          <w:p>
            <w:pPr>
              <w:spacing w:after="0"/>
              <w:rPr>
                <w:sz w:val="10"/>
                <w:szCs w:val="10"/>
                <w:color w:val="auto"/>
              </w:rPr>
            </w:pPr>
          </w:p>
        </w:tc>
        <w:tc>
          <w:tcPr>
            <w:tcW w:w="3660" w:type="dxa"/>
            <w:vAlign w:val="bottom"/>
            <w:vMerge w:val="continue"/>
            <w:shd w:val="clear" w:color="auto" w:fill="DBE5F1"/>
          </w:tcPr>
          <w:p>
            <w:pPr>
              <w:spacing w:after="0"/>
              <w:rPr>
                <w:sz w:val="10"/>
                <w:szCs w:val="10"/>
                <w:color w:val="auto"/>
              </w:rPr>
            </w:pPr>
          </w:p>
        </w:tc>
        <w:tc>
          <w:tcPr>
            <w:tcW w:w="3700" w:type="dxa"/>
            <w:vAlign w:val="bottom"/>
            <w:vMerge w:val="restart"/>
            <w:shd w:val="clear" w:color="auto" w:fill="DBE5F1"/>
          </w:tcPr>
          <w:p>
            <w:pPr>
              <w:ind w:left="520"/>
              <w:spacing w:after="0"/>
              <w:rPr>
                <w:sz w:val="20"/>
                <w:szCs w:val="20"/>
                <w:color w:val="auto"/>
              </w:rPr>
            </w:pPr>
            <w:r>
              <w:rPr>
                <w:rFonts w:ascii="Arial" w:cs="Arial" w:eastAsia="Arial" w:hAnsi="Arial"/>
                <w:sz w:val="16"/>
                <w:szCs w:val="16"/>
                <w:color w:val="auto"/>
              </w:rPr>
              <w:t>annual evaluation of our CEO</w:t>
            </w:r>
          </w:p>
        </w:tc>
        <w:tc>
          <w:tcPr>
            <w:tcW w:w="0" w:type="dxa"/>
            <w:vAlign w:val="bottom"/>
          </w:tcPr>
          <w:p>
            <w:pPr>
              <w:spacing w:after="0"/>
              <w:rPr>
                <w:sz w:val="1"/>
                <w:szCs w:val="1"/>
                <w:color w:val="auto"/>
              </w:rPr>
            </w:pPr>
          </w:p>
        </w:tc>
      </w:tr>
      <w:tr>
        <w:trPr>
          <w:trHeight w:val="93"/>
        </w:trPr>
        <w:tc>
          <w:tcPr>
            <w:tcW w:w="3860" w:type="dxa"/>
            <w:vAlign w:val="bottom"/>
            <w:vMerge w:val="restart"/>
            <w:shd w:val="clear" w:color="auto" w:fill="DBE5F1"/>
          </w:tcPr>
          <w:p>
            <w:pPr>
              <w:ind w:left="460"/>
              <w:spacing w:after="0"/>
              <w:rPr>
                <w:sz w:val="20"/>
                <w:szCs w:val="20"/>
                <w:color w:val="auto"/>
              </w:rPr>
            </w:pPr>
            <w:r>
              <w:rPr>
                <w:rFonts w:ascii="Arial" w:cs="Arial" w:eastAsia="Arial" w:hAnsi="Arial"/>
                <w:sz w:val="16"/>
                <w:szCs w:val="16"/>
                <w:color w:val="auto"/>
              </w:rPr>
              <w:t>opportunities and may call special meetings</w:t>
            </w:r>
          </w:p>
        </w:tc>
        <w:tc>
          <w:tcPr>
            <w:tcW w:w="3660" w:type="dxa"/>
            <w:vAlign w:val="bottom"/>
            <w:vMerge w:val="restart"/>
            <w:shd w:val="clear" w:color="auto" w:fill="DBE5F1"/>
          </w:tcPr>
          <w:p>
            <w:pPr>
              <w:ind w:left="580"/>
              <w:spacing w:after="0"/>
              <w:rPr>
                <w:sz w:val="20"/>
                <w:szCs w:val="20"/>
                <w:color w:val="auto"/>
              </w:rPr>
            </w:pPr>
            <w:r>
              <w:rPr>
                <w:rFonts w:ascii="Arial" w:cs="Arial" w:eastAsia="Arial" w:hAnsi="Arial"/>
                <w:sz w:val="16"/>
                <w:szCs w:val="16"/>
                <w:color w:val="auto"/>
              </w:rPr>
              <w:t>selection process and enterprise risk</w:t>
            </w:r>
          </w:p>
        </w:tc>
        <w:tc>
          <w:tcPr>
            <w:tcW w:w="3700" w:type="dxa"/>
            <w:vAlign w:val="bottom"/>
            <w:vMerge w:val="continue"/>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860" w:type="dxa"/>
            <w:vAlign w:val="bottom"/>
            <w:vMerge w:val="continue"/>
            <w:shd w:val="clear" w:color="auto" w:fill="DBE5F1"/>
          </w:tcPr>
          <w:p>
            <w:pPr>
              <w:spacing w:after="0"/>
              <w:rPr>
                <w:sz w:val="9"/>
                <w:szCs w:val="9"/>
                <w:color w:val="auto"/>
              </w:rPr>
            </w:pPr>
          </w:p>
        </w:tc>
        <w:tc>
          <w:tcPr>
            <w:tcW w:w="3660" w:type="dxa"/>
            <w:vAlign w:val="bottom"/>
            <w:vMerge w:val="continue"/>
            <w:shd w:val="clear" w:color="auto" w:fill="DBE5F1"/>
          </w:tcPr>
          <w:p>
            <w:pPr>
              <w:spacing w:after="0"/>
              <w:rPr>
                <w:sz w:val="9"/>
                <w:szCs w:val="9"/>
                <w:color w:val="auto"/>
              </w:rPr>
            </w:pPr>
          </w:p>
        </w:tc>
        <w:tc>
          <w:tcPr>
            <w:tcW w:w="3700" w:type="dxa"/>
            <w:vAlign w:val="bottom"/>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860" w:type="dxa"/>
            <w:vAlign w:val="bottom"/>
            <w:shd w:val="clear" w:color="auto" w:fill="DBE5F1"/>
          </w:tcPr>
          <w:p>
            <w:pPr>
              <w:spacing w:after="0"/>
              <w:rPr>
                <w:sz w:val="18"/>
                <w:szCs w:val="18"/>
                <w:color w:val="auto"/>
              </w:rPr>
            </w:pPr>
          </w:p>
        </w:tc>
        <w:tc>
          <w:tcPr>
            <w:tcW w:w="3660" w:type="dxa"/>
            <w:vAlign w:val="bottom"/>
            <w:shd w:val="clear" w:color="auto" w:fill="DBE5F1"/>
          </w:tcPr>
          <w:p>
            <w:pPr>
              <w:ind w:left="580"/>
              <w:spacing w:after="0"/>
              <w:rPr>
                <w:sz w:val="20"/>
                <w:szCs w:val="20"/>
                <w:color w:val="auto"/>
              </w:rPr>
            </w:pPr>
            <w:r>
              <w:rPr>
                <w:rFonts w:ascii="Arial" w:cs="Arial" w:eastAsia="Arial" w:hAnsi="Arial"/>
                <w:sz w:val="16"/>
                <w:szCs w:val="16"/>
                <w:color w:val="auto"/>
              </w:rPr>
              <w:t>management</w:t>
            </w:r>
          </w:p>
        </w:tc>
        <w:tc>
          <w:tcPr>
            <w:tcW w:w="370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3860" w:type="dxa"/>
            <w:vAlign w:val="bottom"/>
            <w:tcBorders>
              <w:bottom w:val="single" w:sz="8" w:color="auto"/>
            </w:tcBorders>
            <w:shd w:val="clear" w:color="auto" w:fill="DBE5F1"/>
          </w:tcPr>
          <w:p>
            <w:pPr>
              <w:spacing w:after="0"/>
              <w:rPr>
                <w:sz w:val="11"/>
                <w:szCs w:val="11"/>
                <w:color w:val="auto"/>
              </w:rPr>
            </w:pPr>
          </w:p>
        </w:tc>
        <w:tc>
          <w:tcPr>
            <w:tcW w:w="3660" w:type="dxa"/>
            <w:vAlign w:val="bottom"/>
            <w:tcBorders>
              <w:bottom w:val="single" w:sz="8" w:color="auto"/>
            </w:tcBorders>
            <w:shd w:val="clear" w:color="auto" w:fill="DBE5F1"/>
          </w:tcPr>
          <w:p>
            <w:pPr>
              <w:spacing w:after="0"/>
              <w:rPr>
                <w:sz w:val="11"/>
                <w:szCs w:val="11"/>
                <w:color w:val="auto"/>
              </w:rPr>
            </w:pPr>
          </w:p>
        </w:tc>
        <w:tc>
          <w:tcPr>
            <w:tcW w:w="3700" w:type="dxa"/>
            <w:vAlign w:val="bottom"/>
            <w:tcBorders>
              <w:bottom w:val="single" w:sz="8" w:color="auto"/>
            </w:tcBorders>
            <w:shd w:val="clear" w:color="auto" w:fill="DBE5F1"/>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93"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From October 2022 to December 2023, our current Board Chair, Mr. Konowiecki, assumed a role as an executive officer leading our strategic network and business development, and accordingly he is not currently considered an independent director under Nasdaq and SEC rules. Given his longstanding role as Board Chair, his expertise in the health care industry and his strong oversight of the Company’s legal, compliance and risk management functions, among others, the Board determined that it would be appropriate and in the best interests of the Company and its stockholders for Mr. Konowiecki to serve concurrently as the Board Chair during the term of his employment. Upon Mr. Konowiecki’s appointment to the executive role, in order to reinforce the independence of our Board in its guidance of the Company’s strategic direction and its oversight role, the Board also appointed Ms. McCarthy to serve as a lead independent director (“Lead Independent Director”). In considering her appointment, the Board determined that Ms. McCarthy’s expertise, independence and integrity qualified her to serve as Lead Independent Director. The Board intends to maintain the Lead Independent Director role, which will be elected solely by the independent members of the Board, so long as the Chairman is not considered an independent director under Nasdaq and SEC rules. The Board determined that the Lead Independent Director would have the following duties and authority: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40" w:type="dxa"/>
            <w:vAlign w:val="bottom"/>
            <w:tcBorders>
              <w:top w:val="single" w:sz="8" w:color="auto"/>
            </w:tcBorders>
            <w:shd w:val="clear" w:color="auto" w:fill="DBE5F1"/>
          </w:tcPr>
          <w:p>
            <w:pPr>
              <w:ind w:left="80"/>
              <w:spacing w:after="0"/>
              <w:rPr>
                <w:sz w:val="20"/>
                <w:szCs w:val="20"/>
                <w:color w:val="auto"/>
              </w:rPr>
            </w:pPr>
            <w:r>
              <w:rPr>
                <w:rFonts w:ascii="Arial" w:cs="Arial" w:eastAsia="Arial" w:hAnsi="Arial"/>
                <w:sz w:val="16"/>
                <w:szCs w:val="16"/>
                <w:b w:val="1"/>
                <w:bCs w:val="1"/>
                <w:i w:val="1"/>
                <w:iCs w:val="1"/>
                <w:color w:val="auto"/>
              </w:rPr>
              <w:t>Duties of our Lead Independent Director</w:t>
            </w:r>
          </w:p>
        </w:tc>
        <w:tc>
          <w:tcPr>
            <w:tcW w:w="3500" w:type="dxa"/>
            <w:vAlign w:val="bottom"/>
            <w:tcBorders>
              <w:top w:val="single" w:sz="8" w:color="auto"/>
            </w:tcBorders>
            <w:shd w:val="clear" w:color="auto" w:fill="DBE5F1"/>
          </w:tcPr>
          <w:p>
            <w:pPr>
              <w:spacing w:after="0"/>
              <w:rPr>
                <w:sz w:val="20"/>
                <w:szCs w:val="20"/>
                <w:color w:val="auto"/>
              </w:rPr>
            </w:pPr>
          </w:p>
        </w:tc>
        <w:tc>
          <w:tcPr>
            <w:tcW w:w="3700" w:type="dxa"/>
            <w:vAlign w:val="bottom"/>
            <w:tcBorders>
              <w:top w:val="single" w:sz="8" w:color="auto"/>
            </w:tcBorders>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3940" w:type="dxa"/>
            <w:vAlign w:val="bottom"/>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Provides input on Board meeting agendas and</w:t>
            </w:r>
          </w:p>
        </w:tc>
        <w:tc>
          <w:tcPr>
            <w:tcW w:w="350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Serves as a liaison between our Board</w:t>
            </w:r>
          </w:p>
        </w:tc>
        <w:tc>
          <w:tcPr>
            <w:tcW w:w="370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Participates in and oversee the annual</w:t>
            </w:r>
          </w:p>
        </w:tc>
        <w:tc>
          <w:tcPr>
            <w:tcW w:w="0" w:type="dxa"/>
            <w:vAlign w:val="bottom"/>
          </w:tcPr>
          <w:p>
            <w:pPr>
              <w:spacing w:after="0"/>
              <w:rPr>
                <w:sz w:val="1"/>
                <w:szCs w:val="1"/>
                <w:color w:val="auto"/>
              </w:rPr>
            </w:pPr>
          </w:p>
        </w:tc>
      </w:tr>
      <w:tr>
        <w:trPr>
          <w:trHeight w:val="189"/>
        </w:trPr>
        <w:tc>
          <w:tcPr>
            <w:tcW w:w="3940" w:type="dxa"/>
            <w:vAlign w:val="bottom"/>
            <w:shd w:val="clear" w:color="auto" w:fill="DBE5F1"/>
          </w:tcPr>
          <w:p>
            <w:pPr>
              <w:ind w:left="460"/>
              <w:spacing w:after="0"/>
              <w:rPr>
                <w:sz w:val="20"/>
                <w:szCs w:val="20"/>
                <w:color w:val="auto"/>
              </w:rPr>
            </w:pPr>
            <w:r>
              <w:rPr>
                <w:rFonts w:ascii="Arial" w:cs="Arial" w:eastAsia="Arial" w:hAnsi="Arial"/>
                <w:sz w:val="16"/>
                <w:szCs w:val="16"/>
                <w:color w:val="auto"/>
              </w:rPr>
              <w:t>schedules and materials distributed to the</w:t>
            </w:r>
          </w:p>
        </w:tc>
        <w:tc>
          <w:tcPr>
            <w:tcW w:w="3500" w:type="dxa"/>
            <w:vAlign w:val="bottom"/>
            <w:shd w:val="clear" w:color="auto" w:fill="DBE5F1"/>
          </w:tcPr>
          <w:p>
            <w:pPr>
              <w:ind w:left="480"/>
              <w:spacing w:after="0"/>
              <w:rPr>
                <w:sz w:val="20"/>
                <w:szCs w:val="20"/>
                <w:color w:val="auto"/>
              </w:rPr>
            </w:pPr>
            <w:r>
              <w:rPr>
                <w:rFonts w:ascii="Arial" w:cs="Arial" w:eastAsia="Arial" w:hAnsi="Arial"/>
                <w:sz w:val="16"/>
                <w:szCs w:val="16"/>
                <w:color w:val="auto"/>
              </w:rPr>
              <w:t>Chair, CEO and other management, on</w:t>
            </w:r>
          </w:p>
        </w:tc>
        <w:tc>
          <w:tcPr>
            <w:tcW w:w="3700" w:type="dxa"/>
            <w:vAlign w:val="bottom"/>
            <w:shd w:val="clear" w:color="auto" w:fill="DBE5F1"/>
          </w:tcPr>
          <w:p>
            <w:pPr>
              <w:ind w:left="520"/>
              <w:spacing w:after="0"/>
              <w:rPr>
                <w:sz w:val="20"/>
                <w:szCs w:val="20"/>
                <w:color w:val="auto"/>
              </w:rPr>
            </w:pPr>
            <w:r>
              <w:rPr>
                <w:rFonts w:ascii="Arial" w:cs="Arial" w:eastAsia="Arial" w:hAnsi="Arial"/>
                <w:sz w:val="16"/>
                <w:szCs w:val="16"/>
                <w:color w:val="auto"/>
              </w:rPr>
              <w:t>evaluation of our CEO</w:t>
            </w:r>
          </w:p>
        </w:tc>
        <w:tc>
          <w:tcPr>
            <w:tcW w:w="0" w:type="dxa"/>
            <w:vAlign w:val="bottom"/>
          </w:tcPr>
          <w:p>
            <w:pPr>
              <w:spacing w:after="0"/>
              <w:rPr>
                <w:sz w:val="1"/>
                <w:szCs w:val="1"/>
                <w:color w:val="auto"/>
              </w:rPr>
            </w:pPr>
          </w:p>
        </w:tc>
      </w:tr>
      <w:tr>
        <w:trPr>
          <w:trHeight w:val="202"/>
        </w:trPr>
        <w:tc>
          <w:tcPr>
            <w:tcW w:w="3940" w:type="dxa"/>
            <w:vAlign w:val="bottom"/>
            <w:shd w:val="clear" w:color="auto" w:fill="DBE5F1"/>
          </w:tcPr>
          <w:p>
            <w:pPr>
              <w:ind w:left="460"/>
              <w:spacing w:after="0"/>
              <w:rPr>
                <w:sz w:val="20"/>
                <w:szCs w:val="20"/>
                <w:color w:val="auto"/>
              </w:rPr>
            </w:pPr>
            <w:r>
              <w:rPr>
                <w:rFonts w:ascii="Arial" w:cs="Arial" w:eastAsia="Arial" w:hAnsi="Arial"/>
                <w:sz w:val="16"/>
                <w:szCs w:val="16"/>
                <w:color w:val="auto"/>
              </w:rPr>
              <w:t>Board</w:t>
            </w:r>
          </w:p>
        </w:tc>
        <w:tc>
          <w:tcPr>
            <w:tcW w:w="3500" w:type="dxa"/>
            <w:vAlign w:val="bottom"/>
            <w:shd w:val="clear" w:color="auto" w:fill="DBE5F1"/>
          </w:tcPr>
          <w:p>
            <w:pPr>
              <w:ind w:left="480"/>
              <w:spacing w:after="0"/>
              <w:rPr>
                <w:sz w:val="20"/>
                <w:szCs w:val="20"/>
                <w:color w:val="auto"/>
              </w:rPr>
            </w:pPr>
            <w:r>
              <w:rPr>
                <w:rFonts w:ascii="Arial" w:cs="Arial" w:eastAsia="Arial" w:hAnsi="Arial"/>
                <w:sz w:val="16"/>
                <w:szCs w:val="16"/>
                <w:color w:val="auto"/>
              </w:rPr>
              <w:t>the one hand, and the independent</w:t>
            </w:r>
          </w:p>
        </w:tc>
        <w:tc>
          <w:tcPr>
            <w:tcW w:w="3700" w:type="dxa"/>
            <w:vAlign w:val="bottom"/>
            <w:vMerge w:val="restart"/>
            <w:shd w:val="clear" w:color="auto" w:fill="DBE5F1"/>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Consults directly with Company</w:t>
            </w:r>
          </w:p>
        </w:tc>
        <w:tc>
          <w:tcPr>
            <w:tcW w:w="0" w:type="dxa"/>
            <w:vAlign w:val="bottom"/>
          </w:tcPr>
          <w:p>
            <w:pPr>
              <w:spacing w:after="0"/>
              <w:rPr>
                <w:sz w:val="1"/>
                <w:szCs w:val="1"/>
                <w:color w:val="auto"/>
              </w:rPr>
            </w:pPr>
          </w:p>
        </w:tc>
      </w:tr>
      <w:tr>
        <w:trPr>
          <w:trHeight w:val="122"/>
        </w:trPr>
        <w:tc>
          <w:tcPr>
            <w:tcW w:w="3940" w:type="dxa"/>
            <w:vAlign w:val="bottom"/>
            <w:vMerge w:val="restart"/>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Presides over periodic meetings of the</w:t>
            </w:r>
          </w:p>
        </w:tc>
        <w:tc>
          <w:tcPr>
            <w:tcW w:w="350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directors, on the other</w:t>
            </w:r>
          </w:p>
        </w:tc>
        <w:tc>
          <w:tcPr>
            <w:tcW w:w="3700" w:type="dxa"/>
            <w:vAlign w:val="bottom"/>
            <w:vMerge w:val="continue"/>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3940" w:type="dxa"/>
            <w:vAlign w:val="bottom"/>
            <w:vMerge w:val="continue"/>
            <w:shd w:val="clear" w:color="auto" w:fill="DBE5F1"/>
          </w:tcPr>
          <w:p>
            <w:pPr>
              <w:spacing w:after="0"/>
              <w:rPr>
                <w:sz w:val="8"/>
                <w:szCs w:val="8"/>
                <w:color w:val="auto"/>
              </w:rPr>
            </w:pPr>
          </w:p>
        </w:tc>
        <w:tc>
          <w:tcPr>
            <w:tcW w:w="3500" w:type="dxa"/>
            <w:vAlign w:val="bottom"/>
            <w:vMerge w:val="continue"/>
            <w:shd w:val="clear" w:color="auto" w:fill="DBE5F1"/>
          </w:tcPr>
          <w:p>
            <w:pPr>
              <w:spacing w:after="0"/>
              <w:rPr>
                <w:sz w:val="8"/>
                <w:szCs w:val="8"/>
                <w:color w:val="auto"/>
              </w:rPr>
            </w:pPr>
          </w:p>
        </w:tc>
        <w:tc>
          <w:tcPr>
            <w:tcW w:w="3700" w:type="dxa"/>
            <w:vAlign w:val="bottom"/>
            <w:vMerge w:val="restart"/>
            <w:shd w:val="clear" w:color="auto" w:fill="DBE5F1"/>
          </w:tcPr>
          <w:p>
            <w:pPr>
              <w:ind w:left="520"/>
              <w:spacing w:after="0"/>
              <w:rPr>
                <w:sz w:val="20"/>
                <w:szCs w:val="20"/>
                <w:color w:val="auto"/>
              </w:rPr>
            </w:pPr>
            <w:r>
              <w:rPr>
                <w:rFonts w:ascii="Arial" w:cs="Arial" w:eastAsia="Arial" w:hAnsi="Arial"/>
                <w:sz w:val="16"/>
                <w:szCs w:val="16"/>
                <w:color w:val="auto"/>
              </w:rPr>
              <w:t>management as appropriate</w:t>
            </w:r>
          </w:p>
        </w:tc>
        <w:tc>
          <w:tcPr>
            <w:tcW w:w="0" w:type="dxa"/>
            <w:vAlign w:val="bottom"/>
          </w:tcPr>
          <w:p>
            <w:pPr>
              <w:spacing w:after="0"/>
              <w:rPr>
                <w:sz w:val="1"/>
                <w:szCs w:val="1"/>
                <w:color w:val="auto"/>
              </w:rPr>
            </w:pPr>
          </w:p>
        </w:tc>
      </w:tr>
      <w:tr>
        <w:trPr>
          <w:trHeight w:val="109"/>
        </w:trPr>
        <w:tc>
          <w:tcPr>
            <w:tcW w:w="3940" w:type="dxa"/>
            <w:vAlign w:val="bottom"/>
            <w:vMerge w:val="continue"/>
            <w:shd w:val="clear" w:color="auto" w:fill="DBE5F1"/>
          </w:tcPr>
          <w:p>
            <w:pPr>
              <w:spacing w:after="0"/>
              <w:rPr>
                <w:sz w:val="9"/>
                <w:szCs w:val="9"/>
                <w:color w:val="auto"/>
              </w:rPr>
            </w:pPr>
          </w:p>
        </w:tc>
        <w:tc>
          <w:tcPr>
            <w:tcW w:w="3500" w:type="dxa"/>
            <w:vAlign w:val="bottom"/>
            <w:vMerge w:val="restart"/>
            <w:shd w:val="clear" w:color="auto" w:fill="DBE5F1"/>
          </w:tcPr>
          <w:p>
            <w:pPr>
              <w:ind w:left="16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Assumes leadership role in the Board’s</w:t>
            </w:r>
          </w:p>
        </w:tc>
        <w:tc>
          <w:tcPr>
            <w:tcW w:w="3700" w:type="dxa"/>
            <w:vAlign w:val="bottom"/>
            <w:vMerge w:val="continue"/>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940" w:type="dxa"/>
            <w:vAlign w:val="bottom"/>
            <w:shd w:val="clear" w:color="auto" w:fill="DBE5F1"/>
          </w:tcPr>
          <w:p>
            <w:pPr>
              <w:ind w:left="460"/>
              <w:spacing w:after="0"/>
              <w:rPr>
                <w:sz w:val="20"/>
                <w:szCs w:val="20"/>
                <w:color w:val="auto"/>
              </w:rPr>
            </w:pPr>
            <w:r>
              <w:rPr>
                <w:rFonts w:ascii="Arial" w:cs="Arial" w:eastAsia="Arial" w:hAnsi="Arial"/>
                <w:sz w:val="16"/>
                <w:szCs w:val="16"/>
                <w:color w:val="auto"/>
              </w:rPr>
              <w:t>Company’s independent directors</w:t>
            </w:r>
          </w:p>
        </w:tc>
        <w:tc>
          <w:tcPr>
            <w:tcW w:w="3500" w:type="dxa"/>
            <w:vAlign w:val="bottom"/>
            <w:vMerge w:val="continue"/>
            <w:shd w:val="clear" w:color="auto" w:fill="DBE5F1"/>
          </w:tcPr>
          <w:p>
            <w:pPr>
              <w:spacing w:after="0"/>
              <w:rPr>
                <w:sz w:val="16"/>
                <w:szCs w:val="16"/>
                <w:color w:val="auto"/>
              </w:rPr>
            </w:pPr>
          </w:p>
        </w:tc>
        <w:tc>
          <w:tcPr>
            <w:tcW w:w="3700" w:type="dxa"/>
            <w:vAlign w:val="bottom"/>
            <w:vMerge w:val="restart"/>
            <w:shd w:val="clear" w:color="auto" w:fill="DBE5F1"/>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Such additional duties as our Board may</w:t>
            </w:r>
          </w:p>
        </w:tc>
        <w:tc>
          <w:tcPr>
            <w:tcW w:w="0" w:type="dxa"/>
            <w:vAlign w:val="bottom"/>
          </w:tcPr>
          <w:p>
            <w:pPr>
              <w:spacing w:after="0"/>
              <w:rPr>
                <w:sz w:val="1"/>
                <w:szCs w:val="1"/>
                <w:color w:val="auto"/>
              </w:rPr>
            </w:pPr>
          </w:p>
        </w:tc>
      </w:tr>
      <w:tr>
        <w:trPr>
          <w:trHeight w:val="135"/>
        </w:trPr>
        <w:tc>
          <w:tcPr>
            <w:tcW w:w="3940" w:type="dxa"/>
            <w:vAlign w:val="bottom"/>
            <w:vMerge w:val="restart"/>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Consults directly with significant stockholders,</w:t>
            </w:r>
          </w:p>
        </w:tc>
        <w:tc>
          <w:tcPr>
            <w:tcW w:w="350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annual evaluation of its composition,</w:t>
            </w:r>
          </w:p>
        </w:tc>
        <w:tc>
          <w:tcPr>
            <w:tcW w:w="3700" w:type="dxa"/>
            <w:vAlign w:val="bottom"/>
            <w:vMerge w:val="continue"/>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940" w:type="dxa"/>
            <w:vAlign w:val="bottom"/>
            <w:vMerge w:val="continue"/>
            <w:shd w:val="clear" w:color="auto" w:fill="DBE5F1"/>
          </w:tcPr>
          <w:p>
            <w:pPr>
              <w:spacing w:after="0"/>
              <w:rPr>
                <w:sz w:val="5"/>
                <w:szCs w:val="5"/>
                <w:color w:val="auto"/>
              </w:rPr>
            </w:pPr>
          </w:p>
        </w:tc>
        <w:tc>
          <w:tcPr>
            <w:tcW w:w="3500" w:type="dxa"/>
            <w:vAlign w:val="bottom"/>
            <w:vMerge w:val="continue"/>
            <w:shd w:val="clear" w:color="auto" w:fill="DBE5F1"/>
          </w:tcPr>
          <w:p>
            <w:pPr>
              <w:spacing w:after="0"/>
              <w:rPr>
                <w:sz w:val="5"/>
                <w:szCs w:val="5"/>
                <w:color w:val="auto"/>
              </w:rPr>
            </w:pPr>
          </w:p>
        </w:tc>
        <w:tc>
          <w:tcPr>
            <w:tcW w:w="3700" w:type="dxa"/>
            <w:vAlign w:val="bottom"/>
            <w:vMerge w:val="restart"/>
            <w:shd w:val="clear" w:color="auto" w:fill="DBE5F1"/>
          </w:tcPr>
          <w:p>
            <w:pPr>
              <w:ind w:left="520"/>
              <w:spacing w:after="0"/>
              <w:rPr>
                <w:sz w:val="20"/>
                <w:szCs w:val="20"/>
                <w:color w:val="auto"/>
              </w:rPr>
            </w:pPr>
            <w:r>
              <w:rPr>
                <w:rFonts w:ascii="Arial" w:cs="Arial" w:eastAsia="Arial" w:hAnsi="Arial"/>
                <w:sz w:val="16"/>
                <w:szCs w:val="16"/>
                <w:color w:val="auto"/>
              </w:rPr>
              <w:t>otherwise determine and delegate</w:t>
            </w:r>
          </w:p>
        </w:tc>
        <w:tc>
          <w:tcPr>
            <w:tcW w:w="0" w:type="dxa"/>
            <w:vAlign w:val="bottom"/>
          </w:tcPr>
          <w:p>
            <w:pPr>
              <w:spacing w:after="0"/>
              <w:rPr>
                <w:sz w:val="1"/>
                <w:szCs w:val="1"/>
                <w:color w:val="auto"/>
              </w:rPr>
            </w:pPr>
          </w:p>
        </w:tc>
      </w:tr>
      <w:tr>
        <w:trPr>
          <w:trHeight w:val="122"/>
        </w:trPr>
        <w:tc>
          <w:tcPr>
            <w:tcW w:w="3940" w:type="dxa"/>
            <w:vAlign w:val="bottom"/>
            <w:vMerge w:val="continue"/>
            <w:shd w:val="clear" w:color="auto" w:fill="DBE5F1"/>
          </w:tcPr>
          <w:p>
            <w:pPr>
              <w:spacing w:after="0"/>
              <w:rPr>
                <w:sz w:val="10"/>
                <w:szCs w:val="10"/>
                <w:color w:val="auto"/>
              </w:rPr>
            </w:pPr>
          </w:p>
        </w:tc>
        <w:tc>
          <w:tcPr>
            <w:tcW w:w="350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processes and design</w:t>
            </w:r>
          </w:p>
        </w:tc>
        <w:tc>
          <w:tcPr>
            <w:tcW w:w="3700" w:type="dxa"/>
            <w:vAlign w:val="bottom"/>
            <w:vMerge w:val="continue"/>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3940" w:type="dxa"/>
            <w:vAlign w:val="bottom"/>
            <w:vMerge w:val="restart"/>
            <w:shd w:val="clear" w:color="auto" w:fill="DBE5F1"/>
          </w:tcPr>
          <w:p>
            <w:pPr>
              <w:ind w:left="460"/>
              <w:spacing w:after="0"/>
              <w:rPr>
                <w:sz w:val="20"/>
                <w:szCs w:val="20"/>
                <w:color w:val="auto"/>
              </w:rPr>
            </w:pPr>
            <w:r>
              <w:rPr>
                <w:rFonts w:ascii="Arial" w:cs="Arial" w:eastAsia="Arial" w:hAnsi="Arial"/>
                <w:sz w:val="16"/>
                <w:szCs w:val="16"/>
                <w:color w:val="auto"/>
              </w:rPr>
              <w:t>upon request</w:t>
            </w:r>
          </w:p>
        </w:tc>
        <w:tc>
          <w:tcPr>
            <w:tcW w:w="3500" w:type="dxa"/>
            <w:vAlign w:val="bottom"/>
            <w:vMerge w:val="continue"/>
            <w:shd w:val="clear" w:color="auto" w:fill="DBE5F1"/>
          </w:tcPr>
          <w:p>
            <w:pPr>
              <w:spacing w:after="0"/>
              <w:rPr>
                <w:sz w:val="8"/>
                <w:szCs w:val="8"/>
                <w:color w:val="auto"/>
              </w:rPr>
            </w:pPr>
          </w:p>
        </w:tc>
        <w:tc>
          <w:tcPr>
            <w:tcW w:w="3700" w:type="dxa"/>
            <w:vAlign w:val="bottom"/>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940" w:type="dxa"/>
            <w:vAlign w:val="bottom"/>
            <w:vMerge w:val="continue"/>
            <w:shd w:val="clear" w:color="auto" w:fill="DBE5F1"/>
          </w:tcPr>
          <w:p>
            <w:pPr>
              <w:spacing w:after="0"/>
              <w:rPr>
                <w:sz w:val="10"/>
                <w:szCs w:val="10"/>
                <w:color w:val="auto"/>
              </w:rPr>
            </w:pPr>
          </w:p>
        </w:tc>
        <w:tc>
          <w:tcPr>
            <w:tcW w:w="3500" w:type="dxa"/>
            <w:vAlign w:val="bottom"/>
            <w:shd w:val="clear" w:color="auto" w:fill="DBE5F1"/>
          </w:tcPr>
          <w:p>
            <w:pPr>
              <w:spacing w:after="0"/>
              <w:rPr>
                <w:sz w:val="10"/>
                <w:szCs w:val="10"/>
                <w:color w:val="auto"/>
              </w:rPr>
            </w:pPr>
          </w:p>
        </w:tc>
        <w:tc>
          <w:tcPr>
            <w:tcW w:w="3700" w:type="dxa"/>
            <w:vAlign w:val="bottom"/>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940" w:type="dxa"/>
            <w:vAlign w:val="bottom"/>
            <w:tcBorders>
              <w:bottom w:val="single" w:sz="8" w:color="auto"/>
            </w:tcBorders>
            <w:shd w:val="clear" w:color="auto" w:fill="DBE5F1"/>
          </w:tcPr>
          <w:p>
            <w:pPr>
              <w:spacing w:after="0"/>
              <w:rPr>
                <w:sz w:val="11"/>
                <w:szCs w:val="11"/>
                <w:color w:val="auto"/>
              </w:rPr>
            </w:pPr>
          </w:p>
        </w:tc>
        <w:tc>
          <w:tcPr>
            <w:tcW w:w="3500" w:type="dxa"/>
            <w:vAlign w:val="bottom"/>
            <w:tcBorders>
              <w:bottom w:val="single" w:sz="8" w:color="auto"/>
            </w:tcBorders>
            <w:shd w:val="clear" w:color="auto" w:fill="DBE5F1"/>
          </w:tcPr>
          <w:p>
            <w:pPr>
              <w:spacing w:after="0"/>
              <w:rPr>
                <w:sz w:val="11"/>
                <w:szCs w:val="11"/>
                <w:color w:val="auto"/>
              </w:rPr>
            </w:pPr>
          </w:p>
        </w:tc>
        <w:tc>
          <w:tcPr>
            <w:tcW w:w="3700" w:type="dxa"/>
            <w:vAlign w:val="bottom"/>
            <w:tcBorders>
              <w:bottom w:val="single" w:sz="8" w:color="auto"/>
            </w:tcBorders>
            <w:shd w:val="clear" w:color="auto" w:fill="DBE5F1"/>
          </w:tcPr>
          <w:p>
            <w:pPr>
              <w:spacing w:after="0"/>
              <w:rPr>
                <w:sz w:val="11"/>
                <w:szCs w:val="1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Collectively, we believe that our Board Chair and Lead Independent Director are well positioned to objectively evaluate and oversee management’s performance, ensure management accountability, implement and enforce strong corporate governance and align management with the best interests of the Company and its stockholders.</w:t>
      </w:r>
    </w:p>
    <w:p>
      <w:pPr>
        <w:spacing w:after="0" w:line="198" w:lineRule="exact"/>
        <w:rPr>
          <w:sz w:val="20"/>
          <w:szCs w:val="20"/>
          <w:color w:val="auto"/>
        </w:rPr>
      </w:pPr>
    </w:p>
    <w:p>
      <w:pPr>
        <w:ind w:right="220" w:firstLine="567"/>
        <w:spacing w:after="0" w:line="255" w:lineRule="auto"/>
        <w:rPr>
          <w:sz w:val="20"/>
          <w:szCs w:val="20"/>
          <w:color w:val="auto"/>
        </w:rPr>
      </w:pPr>
      <w:r>
        <w:rPr>
          <w:rFonts w:ascii="Arial" w:cs="Arial" w:eastAsia="Arial" w:hAnsi="Arial"/>
          <w:sz w:val="18"/>
          <w:szCs w:val="18"/>
          <w:color w:val="auto"/>
        </w:rPr>
        <w:t>The Board believes the advisability of having separate or combined Board Chair and Chief Executive Officer positions is dependent upon the strengths of the individual or individuals that hold these positions and the most effective means of leveraging these strengths, to lead the Board, set Board agendas, augment the Company’s strategic efforts, support management, and identify and oversee key risks in light of the challenges and circumstances facing the Company, which may change over time. At any time during which the Chief Executive Officer and Board Chair positions are combined, or during which the Board Chair is not independent, the Board would appoint a Lead Independent Director. Our stockholders would be notified promptly upon the occurrence of any changes to our current Board leadership structure. We are continually seeking stockholder input on important matters, including our governance structure, through our stockholder engagement program.</w:t>
      </w:r>
    </w:p>
    <w:p>
      <w:pPr>
        <w:spacing w:after="0" w:line="185"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The independent directors have the opportunity to meet in executive session without members of management as often as they deem appropriate, but at a minimum do so at each regularly scheduled quarterly Board meeting. Our Board leadership structure also includes active and empowered committee chairs, who lead oversight of specific risk areas, regularly provide reports and make recommendations to the Board and who consult directly with members of Company management on a variety of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The Board’s Role in Risk Oversight</w:t>
      </w:r>
    </w:p>
    <w:p>
      <w:pPr>
        <w:spacing w:after="0" w:line="171" w:lineRule="exact"/>
        <w:rPr>
          <w:sz w:val="20"/>
          <w:szCs w:val="20"/>
          <w:color w:val="auto"/>
        </w:rPr>
      </w:pPr>
    </w:p>
    <w:p>
      <w:pPr>
        <w:ind w:right="120" w:firstLine="492"/>
        <w:spacing w:after="0" w:line="259" w:lineRule="auto"/>
        <w:rPr>
          <w:sz w:val="20"/>
          <w:szCs w:val="20"/>
          <w:color w:val="auto"/>
        </w:rPr>
      </w:pPr>
      <w:r>
        <w:rPr>
          <w:rFonts w:ascii="Arial" w:cs="Arial" w:eastAsia="Arial" w:hAnsi="Arial"/>
          <w:sz w:val="18"/>
          <w:szCs w:val="18"/>
          <w:color w:val="auto"/>
        </w:rPr>
        <w:t>One of our Board’s key functions is informed oversight of our risk management process. Our Board administers this oversight function directly as well as through the Board’s standing committees. Our officers are responsible for day-to-day management of the material risks that the Company takes. Management and the Board and committees view their respective risk management roles, and the collaboration amongst them in the identification, oversight, evaluation and management of risk, as paramount to the Company’s short-term viability and long-term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572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Board of Directors</w:t>
      </w:r>
    </w:p>
    <w:p>
      <w:pPr>
        <w:spacing w:after="0" w:line="46" w:lineRule="exact"/>
        <w:rPr>
          <w:sz w:val="20"/>
          <w:szCs w:val="20"/>
          <w:color w:val="auto"/>
        </w:rPr>
      </w:pPr>
    </w:p>
    <w:p>
      <w:pPr>
        <w:ind w:left="80" w:right="120"/>
        <w:spacing w:after="0" w:line="265" w:lineRule="auto"/>
        <w:rPr>
          <w:sz w:val="20"/>
          <w:szCs w:val="20"/>
          <w:color w:val="auto"/>
        </w:rPr>
      </w:pPr>
      <w:r>
        <w:rPr>
          <w:rFonts w:ascii="Arial" w:cs="Arial" w:eastAsia="Arial" w:hAnsi="Arial"/>
          <w:sz w:val="16"/>
          <w:szCs w:val="16"/>
          <w:color w:val="auto"/>
        </w:rPr>
        <w:t>The Board as a whole has overall responsibility for risk oversight. It routinely monitors the nature and severity of significant risk exposures, potential mitigation measures and the quality and effectiveness of our enterprise risk management (“ERM”) program. On at least a quarterly basis and more frequently as needed, our Board and committees assess the Company’s risk environment, consult with management and relevant outside advisors, review and analyze key risk areas, including new business, financial, operations and compliance, and analyze regulatory developments affecting such risks. Oversight includes both short-term operational risks and long-term strategic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0" w:type="dxa"/>
            <w:vAlign w:val="bottom"/>
            <w:tcBorders>
              <w:top w:val="single" w:sz="8" w:color="auto"/>
            </w:tcBorders>
            <w:shd w:val="clear" w:color="auto" w:fill="DBE5F1"/>
          </w:tcPr>
          <w:p>
            <w:pPr>
              <w:spacing w:after="0"/>
              <w:rPr>
                <w:sz w:val="15"/>
                <w:szCs w:val="15"/>
                <w:color w:val="auto"/>
              </w:rPr>
            </w:pPr>
          </w:p>
        </w:tc>
        <w:tc>
          <w:tcPr>
            <w:tcW w:w="3500" w:type="dxa"/>
            <w:vAlign w:val="bottom"/>
            <w:tcBorders>
              <w:top w:val="single" w:sz="8" w:color="auto"/>
            </w:tcBorders>
            <w:shd w:val="clear" w:color="auto" w:fill="DBE5F1"/>
          </w:tcPr>
          <w:p>
            <w:pPr>
              <w:ind w:left="100"/>
              <w:spacing w:after="0" w:line="175" w:lineRule="exact"/>
              <w:rPr>
                <w:sz w:val="20"/>
                <w:szCs w:val="20"/>
                <w:color w:val="auto"/>
              </w:rPr>
            </w:pPr>
            <w:r>
              <w:rPr>
                <w:rFonts w:ascii="Arial" w:cs="Arial" w:eastAsia="Arial" w:hAnsi="Arial"/>
                <w:sz w:val="16"/>
                <w:szCs w:val="16"/>
                <w:b w:val="1"/>
                <w:bCs w:val="1"/>
                <w:color w:val="auto"/>
              </w:rPr>
              <w:t>Nominating, Corporate Governance and</w:t>
            </w:r>
          </w:p>
        </w:tc>
        <w:tc>
          <w:tcPr>
            <w:tcW w:w="3680" w:type="dxa"/>
            <w:vAlign w:val="bottom"/>
            <w:tcBorders>
              <w:top w:val="single" w:sz="8" w:color="auto"/>
            </w:tcBorders>
            <w:vMerge w:val="restart"/>
            <w:shd w:val="clear" w:color="auto" w:fill="DBE5F1"/>
          </w:tcPr>
          <w:p>
            <w:pPr>
              <w:ind w:left="1220"/>
              <w:spacing w:after="0"/>
              <w:rPr>
                <w:sz w:val="20"/>
                <w:szCs w:val="20"/>
                <w:color w:val="auto"/>
              </w:rPr>
            </w:pPr>
            <w:r>
              <w:rPr>
                <w:rFonts w:ascii="Arial" w:cs="Arial" w:eastAsia="Arial" w:hAnsi="Arial"/>
                <w:sz w:val="16"/>
                <w:szCs w:val="16"/>
                <w:b w:val="1"/>
                <w:bCs w:val="1"/>
                <w:color w:val="auto"/>
              </w:rPr>
              <w:t>Audit Committee</w:t>
            </w:r>
          </w:p>
        </w:tc>
        <w:tc>
          <w:tcPr>
            <w:tcW w:w="3820" w:type="dxa"/>
            <w:vAlign w:val="bottom"/>
            <w:tcBorders>
              <w:top w:val="single" w:sz="8" w:color="auto"/>
            </w:tcBorders>
            <w:vMerge w:val="restart"/>
            <w:shd w:val="clear" w:color="auto" w:fill="DBE5F1"/>
          </w:tcPr>
          <w:p>
            <w:pPr>
              <w:ind w:left="940"/>
              <w:spacing w:after="0"/>
              <w:rPr>
                <w:sz w:val="20"/>
                <w:szCs w:val="20"/>
                <w:color w:val="auto"/>
              </w:rPr>
            </w:pPr>
            <w:r>
              <w:rPr>
                <w:rFonts w:ascii="Arial" w:cs="Arial" w:eastAsia="Arial" w:hAnsi="Arial"/>
                <w:sz w:val="16"/>
                <w:szCs w:val="16"/>
                <w:b w:val="1"/>
                <w:bCs w:val="1"/>
                <w:color w:val="auto"/>
              </w:rPr>
              <w:t>Compensation Committee</w:t>
            </w:r>
          </w:p>
        </w:tc>
        <w:tc>
          <w:tcPr>
            <w:tcW w:w="0" w:type="dxa"/>
            <w:vAlign w:val="bottom"/>
          </w:tcPr>
          <w:p>
            <w:pPr>
              <w:spacing w:after="0"/>
              <w:rPr>
                <w:sz w:val="1"/>
                <w:szCs w:val="1"/>
                <w:color w:val="auto"/>
              </w:rPr>
            </w:pPr>
          </w:p>
        </w:tc>
      </w:tr>
      <w:tr>
        <w:trPr>
          <w:trHeight w:val="141"/>
        </w:trPr>
        <w:tc>
          <w:tcPr>
            <w:tcW w:w="240" w:type="dxa"/>
            <w:vAlign w:val="bottom"/>
            <w:shd w:val="clear" w:color="auto" w:fill="DBE5F1"/>
          </w:tcPr>
          <w:p>
            <w:pPr>
              <w:spacing w:after="0"/>
              <w:rPr>
                <w:sz w:val="12"/>
                <w:szCs w:val="12"/>
                <w:color w:val="auto"/>
              </w:rPr>
            </w:pPr>
          </w:p>
        </w:tc>
        <w:tc>
          <w:tcPr>
            <w:tcW w:w="3500" w:type="dxa"/>
            <w:vAlign w:val="bottom"/>
            <w:vMerge w:val="restart"/>
            <w:shd w:val="clear" w:color="auto" w:fill="DBE5F1"/>
          </w:tcPr>
          <w:p>
            <w:pPr>
              <w:ind w:left="740"/>
              <w:spacing w:after="0"/>
              <w:rPr>
                <w:sz w:val="20"/>
                <w:szCs w:val="20"/>
                <w:color w:val="auto"/>
              </w:rPr>
            </w:pPr>
            <w:r>
              <w:rPr>
                <w:rFonts w:ascii="Arial" w:cs="Arial" w:eastAsia="Arial" w:hAnsi="Arial"/>
                <w:sz w:val="16"/>
                <w:szCs w:val="16"/>
                <w:b w:val="1"/>
                <w:bCs w:val="1"/>
                <w:color w:val="auto"/>
              </w:rPr>
              <w:t>Compliance Committee</w:t>
            </w:r>
          </w:p>
        </w:tc>
        <w:tc>
          <w:tcPr>
            <w:tcW w:w="3680" w:type="dxa"/>
            <w:vAlign w:val="bottom"/>
            <w:vMerge w:val="continue"/>
            <w:shd w:val="clear" w:color="auto" w:fill="DBE5F1"/>
          </w:tcPr>
          <w:p>
            <w:pPr>
              <w:spacing w:after="0"/>
              <w:rPr>
                <w:sz w:val="12"/>
                <w:szCs w:val="12"/>
                <w:color w:val="auto"/>
              </w:rPr>
            </w:pPr>
          </w:p>
        </w:tc>
        <w:tc>
          <w:tcPr>
            <w:tcW w:w="3820" w:type="dxa"/>
            <w:vAlign w:val="bottom"/>
            <w:vMerge w:val="continue"/>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40" w:type="dxa"/>
            <w:vAlign w:val="bottom"/>
            <w:shd w:val="clear" w:color="auto" w:fill="DBE5F1"/>
          </w:tcPr>
          <w:p>
            <w:pPr>
              <w:spacing w:after="0"/>
              <w:rPr>
                <w:sz w:val="6"/>
                <w:szCs w:val="6"/>
                <w:color w:val="auto"/>
              </w:rPr>
            </w:pPr>
          </w:p>
        </w:tc>
        <w:tc>
          <w:tcPr>
            <w:tcW w:w="3500" w:type="dxa"/>
            <w:vAlign w:val="bottom"/>
            <w:vMerge w:val="continue"/>
            <w:shd w:val="clear" w:color="auto" w:fill="DBE5F1"/>
          </w:tcPr>
          <w:p>
            <w:pPr>
              <w:spacing w:after="0"/>
              <w:rPr>
                <w:sz w:val="6"/>
                <w:szCs w:val="6"/>
                <w:color w:val="auto"/>
              </w:rPr>
            </w:pPr>
          </w:p>
        </w:tc>
        <w:tc>
          <w:tcPr>
            <w:tcW w:w="3680" w:type="dxa"/>
            <w:vAlign w:val="bottom"/>
            <w:shd w:val="clear" w:color="auto" w:fill="DBE5F1"/>
          </w:tcPr>
          <w:p>
            <w:pPr>
              <w:spacing w:after="0"/>
              <w:rPr>
                <w:sz w:val="6"/>
                <w:szCs w:val="6"/>
                <w:color w:val="auto"/>
              </w:rPr>
            </w:pPr>
          </w:p>
        </w:tc>
        <w:tc>
          <w:tcPr>
            <w:tcW w:w="3820" w:type="dxa"/>
            <w:vAlign w:val="bottom"/>
            <w:shd w:val="clear" w:color="auto" w:fill="DBE5F1"/>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40" w:type="dxa"/>
            <w:vAlign w:val="bottom"/>
            <w:shd w:val="clear" w:color="auto" w:fill="DBE5F1"/>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shd w:val="clear" w:color="auto" w:fill="DBE5F1"/>
          </w:tcPr>
          <w:p>
            <w:pPr>
              <w:ind w:left="160"/>
              <w:spacing w:after="0"/>
              <w:rPr>
                <w:sz w:val="20"/>
                <w:szCs w:val="20"/>
                <w:color w:val="auto"/>
              </w:rPr>
            </w:pPr>
            <w:r>
              <w:rPr>
                <w:rFonts w:ascii="Arial" w:cs="Arial" w:eastAsia="Arial" w:hAnsi="Arial"/>
                <w:sz w:val="16"/>
                <w:szCs w:val="16"/>
                <w:color w:val="auto"/>
              </w:rPr>
              <w:t>Has primary responsibility for oversight of our</w:t>
            </w:r>
          </w:p>
        </w:tc>
        <w:tc>
          <w:tcPr>
            <w:tcW w:w="3680" w:type="dxa"/>
            <w:vAlign w:val="bottom"/>
            <w:shd w:val="clear" w:color="auto" w:fill="DBE5F1"/>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Oversees our major financial risk exposures</w:t>
            </w:r>
          </w:p>
        </w:tc>
        <w:tc>
          <w:tcPr>
            <w:tcW w:w="3820" w:type="dxa"/>
            <w:vAlign w:val="bottom"/>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Assesses and monitors risks related to our</w:t>
            </w:r>
          </w:p>
        </w:tc>
        <w:tc>
          <w:tcPr>
            <w:tcW w:w="0" w:type="dxa"/>
            <w:vAlign w:val="bottom"/>
          </w:tcPr>
          <w:p>
            <w:pPr>
              <w:spacing w:after="0"/>
              <w:rPr>
                <w:sz w:val="1"/>
                <w:szCs w:val="1"/>
                <w:color w:val="auto"/>
              </w:rPr>
            </w:pPr>
          </w:p>
        </w:tc>
      </w:tr>
      <w:tr>
        <w:trPr>
          <w:trHeight w:val="161"/>
        </w:trPr>
        <w:tc>
          <w:tcPr>
            <w:tcW w:w="240" w:type="dxa"/>
            <w:vAlign w:val="bottom"/>
            <w:shd w:val="clear" w:color="auto" w:fill="DBE5F1"/>
          </w:tcPr>
          <w:p>
            <w:pPr>
              <w:spacing w:after="0"/>
              <w:rPr>
                <w:sz w:val="14"/>
                <w:szCs w:val="14"/>
                <w:color w:val="auto"/>
              </w:rPr>
            </w:pPr>
          </w:p>
        </w:tc>
        <w:tc>
          <w:tcPr>
            <w:tcW w:w="3500" w:type="dxa"/>
            <w:vAlign w:val="bottom"/>
            <w:vMerge w:val="restart"/>
            <w:shd w:val="clear" w:color="auto" w:fill="DBE5F1"/>
          </w:tcPr>
          <w:p>
            <w:pPr>
              <w:ind w:left="160"/>
              <w:spacing w:after="0"/>
              <w:rPr>
                <w:sz w:val="20"/>
                <w:szCs w:val="20"/>
                <w:color w:val="auto"/>
              </w:rPr>
            </w:pPr>
            <w:r>
              <w:rPr>
                <w:rFonts w:ascii="Arial" w:cs="Arial" w:eastAsia="Arial" w:hAnsi="Arial"/>
                <w:sz w:val="16"/>
                <w:szCs w:val="16"/>
                <w:color w:val="auto"/>
              </w:rPr>
              <w:t>ERM program, consults with management</w:t>
            </w:r>
          </w:p>
        </w:tc>
        <w:tc>
          <w:tcPr>
            <w:tcW w:w="3680" w:type="dxa"/>
            <w:vAlign w:val="bottom"/>
            <w:shd w:val="clear" w:color="auto" w:fill="DBE5F1"/>
          </w:tcPr>
          <w:p>
            <w:pPr>
              <w:ind w:left="400"/>
              <w:spacing w:after="0" w:line="161" w:lineRule="exact"/>
              <w:rPr>
                <w:sz w:val="20"/>
                <w:szCs w:val="20"/>
                <w:color w:val="auto"/>
              </w:rPr>
            </w:pPr>
            <w:r>
              <w:rPr>
                <w:rFonts w:ascii="Arial" w:cs="Arial" w:eastAsia="Arial" w:hAnsi="Arial"/>
                <w:sz w:val="16"/>
                <w:szCs w:val="16"/>
                <w:color w:val="auto"/>
              </w:rPr>
              <w:t>and management actions to monitor and</w:t>
            </w:r>
          </w:p>
        </w:tc>
        <w:tc>
          <w:tcPr>
            <w:tcW w:w="3820" w:type="dxa"/>
            <w:vAlign w:val="bottom"/>
            <w:shd w:val="clear" w:color="auto" w:fill="DBE5F1"/>
          </w:tcPr>
          <w:p>
            <w:pPr>
              <w:ind w:left="460"/>
              <w:spacing w:after="0" w:line="161" w:lineRule="exact"/>
              <w:rPr>
                <w:sz w:val="20"/>
                <w:szCs w:val="20"/>
                <w:color w:val="auto"/>
              </w:rPr>
            </w:pPr>
            <w:r>
              <w:rPr>
                <w:rFonts w:ascii="Arial" w:cs="Arial" w:eastAsia="Arial" w:hAnsi="Arial"/>
                <w:sz w:val="16"/>
                <w:szCs w:val="16"/>
                <w:color w:val="auto"/>
              </w:rPr>
              <w:t>compensation policies and programs, such</w:t>
            </w:r>
          </w:p>
        </w:tc>
        <w:tc>
          <w:tcPr>
            <w:tcW w:w="0" w:type="dxa"/>
            <w:vAlign w:val="bottom"/>
          </w:tcPr>
          <w:p>
            <w:pPr>
              <w:spacing w:after="0"/>
              <w:rPr>
                <w:sz w:val="1"/>
                <w:szCs w:val="1"/>
                <w:color w:val="auto"/>
              </w:rPr>
            </w:pPr>
          </w:p>
        </w:tc>
      </w:tr>
      <w:tr>
        <w:trPr>
          <w:trHeight w:val="81"/>
        </w:trPr>
        <w:tc>
          <w:tcPr>
            <w:tcW w:w="240" w:type="dxa"/>
            <w:vAlign w:val="bottom"/>
            <w:shd w:val="clear" w:color="auto" w:fill="DBE5F1"/>
          </w:tcPr>
          <w:p>
            <w:pPr>
              <w:spacing w:after="0"/>
              <w:rPr>
                <w:sz w:val="7"/>
                <w:szCs w:val="7"/>
                <w:color w:val="auto"/>
              </w:rPr>
            </w:pPr>
          </w:p>
        </w:tc>
        <w:tc>
          <w:tcPr>
            <w:tcW w:w="3500" w:type="dxa"/>
            <w:vAlign w:val="bottom"/>
            <w:vMerge w:val="continue"/>
            <w:shd w:val="clear" w:color="auto" w:fill="DBE5F1"/>
          </w:tcPr>
          <w:p>
            <w:pPr>
              <w:spacing w:after="0"/>
              <w:rPr>
                <w:sz w:val="7"/>
                <w:szCs w:val="7"/>
                <w:color w:val="auto"/>
              </w:rPr>
            </w:pPr>
          </w:p>
        </w:tc>
        <w:tc>
          <w:tcPr>
            <w:tcW w:w="3680" w:type="dxa"/>
            <w:vAlign w:val="bottom"/>
            <w:vMerge w:val="restart"/>
            <w:shd w:val="clear" w:color="auto" w:fill="DBE5F1"/>
          </w:tcPr>
          <w:p>
            <w:pPr>
              <w:ind w:left="400"/>
              <w:spacing w:after="0"/>
              <w:rPr>
                <w:sz w:val="20"/>
                <w:szCs w:val="20"/>
                <w:color w:val="auto"/>
              </w:rPr>
            </w:pPr>
            <w:r>
              <w:rPr>
                <w:rFonts w:ascii="Arial" w:cs="Arial" w:eastAsia="Arial" w:hAnsi="Arial"/>
                <w:sz w:val="16"/>
                <w:szCs w:val="16"/>
                <w:color w:val="auto"/>
              </w:rPr>
              <w:t>control these exposures.</w:t>
            </w:r>
          </w:p>
        </w:tc>
        <w:tc>
          <w:tcPr>
            <w:tcW w:w="3820" w:type="dxa"/>
            <w:vAlign w:val="bottom"/>
            <w:vMerge w:val="restart"/>
            <w:shd w:val="clear" w:color="auto" w:fill="DBE5F1"/>
          </w:tcPr>
          <w:p>
            <w:pPr>
              <w:ind w:left="460"/>
              <w:spacing w:after="0"/>
              <w:rPr>
                <w:sz w:val="20"/>
                <w:szCs w:val="20"/>
                <w:color w:val="auto"/>
              </w:rPr>
            </w:pPr>
            <w:r>
              <w:rPr>
                <w:rFonts w:ascii="Arial" w:cs="Arial" w:eastAsia="Arial" w:hAnsi="Arial"/>
                <w:sz w:val="16"/>
                <w:szCs w:val="16"/>
                <w:color w:val="auto"/>
              </w:rPr>
              <w:t>as retention risk.</w:t>
            </w:r>
          </w:p>
        </w:tc>
        <w:tc>
          <w:tcPr>
            <w:tcW w:w="0" w:type="dxa"/>
            <w:vAlign w:val="bottom"/>
          </w:tcPr>
          <w:p>
            <w:pPr>
              <w:spacing w:after="0"/>
              <w:rPr>
                <w:sz w:val="1"/>
                <w:szCs w:val="1"/>
                <w:color w:val="auto"/>
              </w:rPr>
            </w:pPr>
          </w:p>
        </w:tc>
      </w:tr>
      <w:tr>
        <w:trPr>
          <w:trHeight w:val="134"/>
        </w:trPr>
        <w:tc>
          <w:tcPr>
            <w:tcW w:w="240" w:type="dxa"/>
            <w:vAlign w:val="bottom"/>
            <w:shd w:val="clear" w:color="auto" w:fill="DBE5F1"/>
          </w:tcPr>
          <w:p>
            <w:pPr>
              <w:spacing w:after="0"/>
              <w:rPr>
                <w:sz w:val="11"/>
                <w:szCs w:val="11"/>
                <w:color w:val="auto"/>
              </w:rPr>
            </w:pPr>
          </w:p>
        </w:tc>
        <w:tc>
          <w:tcPr>
            <w:tcW w:w="3500" w:type="dxa"/>
            <w:vAlign w:val="bottom"/>
            <w:vMerge w:val="restart"/>
            <w:shd w:val="clear" w:color="auto" w:fill="DBE5F1"/>
          </w:tcPr>
          <w:p>
            <w:pPr>
              <w:ind w:left="160"/>
              <w:spacing w:after="0"/>
              <w:rPr>
                <w:sz w:val="20"/>
                <w:szCs w:val="20"/>
                <w:color w:val="auto"/>
              </w:rPr>
            </w:pPr>
            <w:r>
              <w:rPr>
                <w:rFonts w:ascii="Arial" w:cs="Arial" w:eastAsia="Arial" w:hAnsi="Arial"/>
                <w:sz w:val="16"/>
                <w:szCs w:val="16"/>
                <w:color w:val="auto"/>
              </w:rPr>
              <w:t>and other Board committees as needed.</w:t>
            </w:r>
          </w:p>
        </w:tc>
        <w:tc>
          <w:tcPr>
            <w:tcW w:w="3680" w:type="dxa"/>
            <w:vAlign w:val="bottom"/>
            <w:vMerge w:val="continue"/>
            <w:shd w:val="clear" w:color="auto" w:fill="DBE5F1"/>
          </w:tcPr>
          <w:p>
            <w:pPr>
              <w:spacing w:after="0"/>
              <w:rPr>
                <w:sz w:val="11"/>
                <w:szCs w:val="11"/>
                <w:color w:val="auto"/>
              </w:rPr>
            </w:pPr>
          </w:p>
        </w:tc>
        <w:tc>
          <w:tcPr>
            <w:tcW w:w="3820" w:type="dxa"/>
            <w:vAlign w:val="bottom"/>
            <w:vMerge w:val="continue"/>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40" w:type="dxa"/>
            <w:vAlign w:val="bottom"/>
            <w:shd w:val="clear" w:color="auto" w:fill="DBE5F1"/>
          </w:tcPr>
          <w:p>
            <w:pPr>
              <w:spacing w:after="0"/>
              <w:rPr>
                <w:sz w:val="7"/>
                <w:szCs w:val="7"/>
                <w:color w:val="auto"/>
              </w:rPr>
            </w:pPr>
          </w:p>
        </w:tc>
        <w:tc>
          <w:tcPr>
            <w:tcW w:w="3500" w:type="dxa"/>
            <w:vAlign w:val="bottom"/>
            <w:vMerge w:val="continue"/>
            <w:shd w:val="clear" w:color="auto" w:fill="DBE5F1"/>
          </w:tcPr>
          <w:p>
            <w:pPr>
              <w:spacing w:after="0"/>
              <w:rPr>
                <w:sz w:val="7"/>
                <w:szCs w:val="7"/>
                <w:color w:val="auto"/>
              </w:rPr>
            </w:pPr>
          </w:p>
        </w:tc>
        <w:tc>
          <w:tcPr>
            <w:tcW w:w="3680" w:type="dxa"/>
            <w:vAlign w:val="bottom"/>
            <w:vMerge w:val="restart"/>
            <w:shd w:val="clear" w:color="auto" w:fill="DBE5F1"/>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Oversees the performance of our external</w:t>
            </w:r>
          </w:p>
        </w:tc>
        <w:tc>
          <w:tcPr>
            <w:tcW w:w="3820" w:type="dxa"/>
            <w:vAlign w:val="bottom"/>
            <w:vMerge w:val="restart"/>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Oversees management incentives and</w:t>
            </w:r>
          </w:p>
        </w:tc>
        <w:tc>
          <w:tcPr>
            <w:tcW w:w="0" w:type="dxa"/>
            <w:vAlign w:val="bottom"/>
          </w:tcPr>
          <w:p>
            <w:pPr>
              <w:spacing w:after="0"/>
              <w:rPr>
                <w:sz w:val="1"/>
                <w:szCs w:val="1"/>
                <w:color w:val="auto"/>
              </w:rPr>
            </w:pPr>
          </w:p>
        </w:tc>
      </w:tr>
      <w:tr>
        <w:trPr>
          <w:trHeight w:val="190"/>
        </w:trPr>
        <w:tc>
          <w:tcPr>
            <w:tcW w:w="240" w:type="dxa"/>
            <w:vAlign w:val="bottom"/>
            <w:vMerge w:val="restart"/>
            <w:shd w:val="clear" w:color="auto" w:fill="DBE5F1"/>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vMerge w:val="restart"/>
            <w:shd w:val="clear" w:color="auto" w:fill="DBE5F1"/>
          </w:tcPr>
          <w:p>
            <w:pPr>
              <w:ind w:left="160"/>
              <w:spacing w:after="0"/>
              <w:rPr>
                <w:sz w:val="20"/>
                <w:szCs w:val="20"/>
                <w:color w:val="auto"/>
              </w:rPr>
            </w:pPr>
            <w:r>
              <w:rPr>
                <w:rFonts w:ascii="Arial" w:cs="Arial" w:eastAsia="Arial" w:hAnsi="Arial"/>
                <w:sz w:val="16"/>
                <w:szCs w:val="16"/>
                <w:color w:val="auto"/>
              </w:rPr>
              <w:t>Oversees governance risks, such as director</w:t>
            </w:r>
          </w:p>
        </w:tc>
        <w:tc>
          <w:tcPr>
            <w:tcW w:w="3680" w:type="dxa"/>
            <w:vAlign w:val="bottom"/>
            <w:vMerge w:val="continue"/>
            <w:shd w:val="clear" w:color="auto" w:fill="DBE5F1"/>
          </w:tcPr>
          <w:p>
            <w:pPr>
              <w:spacing w:after="0"/>
              <w:rPr>
                <w:sz w:val="16"/>
                <w:szCs w:val="16"/>
                <w:color w:val="auto"/>
              </w:rPr>
            </w:pPr>
          </w:p>
        </w:tc>
        <w:tc>
          <w:tcPr>
            <w:tcW w:w="3820" w:type="dxa"/>
            <w:vAlign w:val="bottom"/>
            <w:vMerge w:val="continue"/>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40" w:type="dxa"/>
            <w:vAlign w:val="bottom"/>
            <w:vMerge w:val="continue"/>
            <w:shd w:val="clear" w:color="auto" w:fill="DBE5F1"/>
          </w:tcPr>
          <w:p>
            <w:pPr>
              <w:spacing w:after="0"/>
              <w:rPr>
                <w:sz w:val="5"/>
                <w:szCs w:val="5"/>
                <w:color w:val="auto"/>
              </w:rPr>
            </w:pPr>
          </w:p>
        </w:tc>
        <w:tc>
          <w:tcPr>
            <w:tcW w:w="3500" w:type="dxa"/>
            <w:vAlign w:val="bottom"/>
            <w:vMerge w:val="continue"/>
            <w:shd w:val="clear" w:color="auto" w:fill="DBE5F1"/>
          </w:tcPr>
          <w:p>
            <w:pPr>
              <w:spacing w:after="0"/>
              <w:rPr>
                <w:sz w:val="5"/>
                <w:szCs w:val="5"/>
                <w:color w:val="auto"/>
              </w:rPr>
            </w:pPr>
          </w:p>
        </w:tc>
        <w:tc>
          <w:tcPr>
            <w:tcW w:w="3680" w:type="dxa"/>
            <w:vAlign w:val="bottom"/>
            <w:vMerge w:val="restart"/>
            <w:shd w:val="clear" w:color="auto" w:fill="DBE5F1"/>
          </w:tcPr>
          <w:p>
            <w:pPr>
              <w:ind w:left="400"/>
              <w:spacing w:after="0"/>
              <w:rPr>
                <w:sz w:val="20"/>
                <w:szCs w:val="20"/>
                <w:color w:val="auto"/>
              </w:rPr>
            </w:pPr>
            <w:r>
              <w:rPr>
                <w:rFonts w:ascii="Arial" w:cs="Arial" w:eastAsia="Arial" w:hAnsi="Arial"/>
                <w:sz w:val="16"/>
                <w:szCs w:val="16"/>
                <w:color w:val="auto"/>
              </w:rPr>
              <w:t>auditors and internal audit function.</w:t>
            </w:r>
          </w:p>
        </w:tc>
        <w:tc>
          <w:tcPr>
            <w:tcW w:w="3820" w:type="dxa"/>
            <w:vAlign w:val="bottom"/>
            <w:vMerge w:val="restart"/>
            <w:shd w:val="clear" w:color="auto" w:fill="DBE5F1"/>
          </w:tcPr>
          <w:p>
            <w:pPr>
              <w:ind w:left="460"/>
              <w:spacing w:after="0"/>
              <w:rPr>
                <w:sz w:val="20"/>
                <w:szCs w:val="20"/>
                <w:color w:val="auto"/>
              </w:rPr>
            </w:pPr>
            <w:r>
              <w:rPr>
                <w:rFonts w:ascii="Arial" w:cs="Arial" w:eastAsia="Arial" w:hAnsi="Arial"/>
                <w:sz w:val="16"/>
                <w:szCs w:val="16"/>
                <w:color w:val="auto"/>
              </w:rPr>
              <w:t>potential for excessive risk taking.</w:t>
            </w:r>
          </w:p>
        </w:tc>
        <w:tc>
          <w:tcPr>
            <w:tcW w:w="0" w:type="dxa"/>
            <w:vAlign w:val="bottom"/>
          </w:tcPr>
          <w:p>
            <w:pPr>
              <w:spacing w:after="0"/>
              <w:rPr>
                <w:sz w:val="1"/>
                <w:szCs w:val="1"/>
                <w:color w:val="auto"/>
              </w:rPr>
            </w:pPr>
          </w:p>
        </w:tc>
      </w:tr>
      <w:tr>
        <w:trPr>
          <w:trHeight w:val="147"/>
        </w:trPr>
        <w:tc>
          <w:tcPr>
            <w:tcW w:w="240" w:type="dxa"/>
            <w:vAlign w:val="bottom"/>
            <w:shd w:val="clear" w:color="auto" w:fill="DBE5F1"/>
          </w:tcPr>
          <w:p>
            <w:pPr>
              <w:spacing w:after="0"/>
              <w:rPr>
                <w:sz w:val="12"/>
                <w:szCs w:val="12"/>
                <w:color w:val="auto"/>
              </w:rPr>
            </w:pPr>
          </w:p>
        </w:tc>
        <w:tc>
          <w:tcPr>
            <w:tcW w:w="3500" w:type="dxa"/>
            <w:vAlign w:val="bottom"/>
            <w:vMerge w:val="restart"/>
            <w:shd w:val="clear" w:color="auto" w:fill="DBE5F1"/>
          </w:tcPr>
          <w:p>
            <w:pPr>
              <w:ind w:left="160"/>
              <w:spacing w:after="0"/>
              <w:rPr>
                <w:sz w:val="20"/>
                <w:szCs w:val="20"/>
                <w:color w:val="auto"/>
              </w:rPr>
            </w:pPr>
            <w:r>
              <w:rPr>
                <w:rFonts w:ascii="Arial" w:cs="Arial" w:eastAsia="Arial" w:hAnsi="Arial"/>
                <w:sz w:val="16"/>
                <w:szCs w:val="16"/>
                <w:color w:val="auto"/>
              </w:rPr>
              <w:t>independence and conflicts of interest.</w:t>
            </w:r>
          </w:p>
        </w:tc>
        <w:tc>
          <w:tcPr>
            <w:tcW w:w="3680" w:type="dxa"/>
            <w:vAlign w:val="bottom"/>
            <w:vMerge w:val="continue"/>
            <w:shd w:val="clear" w:color="auto" w:fill="DBE5F1"/>
          </w:tcPr>
          <w:p>
            <w:pPr>
              <w:spacing w:after="0"/>
              <w:rPr>
                <w:sz w:val="12"/>
                <w:szCs w:val="12"/>
                <w:color w:val="auto"/>
              </w:rPr>
            </w:pPr>
          </w:p>
        </w:tc>
        <w:tc>
          <w:tcPr>
            <w:tcW w:w="3820" w:type="dxa"/>
            <w:vAlign w:val="bottom"/>
            <w:vMerge w:val="continue"/>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40" w:type="dxa"/>
            <w:vAlign w:val="bottom"/>
            <w:shd w:val="clear" w:color="auto" w:fill="DBE5F1"/>
          </w:tcPr>
          <w:p>
            <w:pPr>
              <w:spacing w:after="0"/>
              <w:rPr>
                <w:sz w:val="5"/>
                <w:szCs w:val="5"/>
                <w:color w:val="auto"/>
              </w:rPr>
            </w:pPr>
          </w:p>
        </w:tc>
        <w:tc>
          <w:tcPr>
            <w:tcW w:w="3500" w:type="dxa"/>
            <w:vAlign w:val="bottom"/>
            <w:vMerge w:val="continue"/>
            <w:shd w:val="clear" w:color="auto" w:fill="DBE5F1"/>
          </w:tcPr>
          <w:p>
            <w:pPr>
              <w:spacing w:after="0"/>
              <w:rPr>
                <w:sz w:val="5"/>
                <w:szCs w:val="5"/>
                <w:color w:val="auto"/>
              </w:rPr>
            </w:pPr>
          </w:p>
        </w:tc>
        <w:tc>
          <w:tcPr>
            <w:tcW w:w="3680" w:type="dxa"/>
            <w:vAlign w:val="bottom"/>
            <w:vMerge w:val="restart"/>
            <w:shd w:val="clear" w:color="auto" w:fill="DBE5F1"/>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Monitors risk related to data privacy and</w:t>
            </w:r>
          </w:p>
        </w:tc>
        <w:tc>
          <w:tcPr>
            <w:tcW w:w="3820" w:type="dxa"/>
            <w:vAlign w:val="bottom"/>
            <w:vMerge w:val="restart"/>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Responsible for management succession risk</w:t>
            </w:r>
          </w:p>
        </w:tc>
        <w:tc>
          <w:tcPr>
            <w:tcW w:w="0" w:type="dxa"/>
            <w:vAlign w:val="bottom"/>
          </w:tcPr>
          <w:p>
            <w:pPr>
              <w:spacing w:after="0"/>
              <w:rPr>
                <w:sz w:val="1"/>
                <w:szCs w:val="1"/>
                <w:color w:val="auto"/>
              </w:rPr>
            </w:pPr>
          </w:p>
        </w:tc>
      </w:tr>
      <w:tr>
        <w:trPr>
          <w:trHeight w:val="204"/>
        </w:trPr>
        <w:tc>
          <w:tcPr>
            <w:tcW w:w="240" w:type="dxa"/>
            <w:vAlign w:val="bottom"/>
            <w:vMerge w:val="restart"/>
            <w:shd w:val="clear" w:color="auto" w:fill="DBE5F1"/>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vMerge w:val="restart"/>
            <w:shd w:val="clear" w:color="auto" w:fill="DBE5F1"/>
          </w:tcPr>
          <w:p>
            <w:pPr>
              <w:ind w:left="160"/>
              <w:spacing w:after="0"/>
              <w:rPr>
                <w:sz w:val="20"/>
                <w:szCs w:val="20"/>
                <w:color w:val="auto"/>
              </w:rPr>
            </w:pPr>
            <w:r>
              <w:rPr>
                <w:rFonts w:ascii="Arial" w:cs="Arial" w:eastAsia="Arial" w:hAnsi="Arial"/>
                <w:sz w:val="16"/>
                <w:szCs w:val="16"/>
                <w:color w:val="auto"/>
              </w:rPr>
              <w:t>Monitors our health care and other legal</w:t>
            </w:r>
          </w:p>
        </w:tc>
        <w:tc>
          <w:tcPr>
            <w:tcW w:w="3680" w:type="dxa"/>
            <w:vAlign w:val="bottom"/>
            <w:vMerge w:val="continue"/>
            <w:shd w:val="clear" w:color="auto" w:fill="DBE5F1"/>
          </w:tcPr>
          <w:p>
            <w:pPr>
              <w:spacing w:after="0"/>
              <w:rPr>
                <w:sz w:val="17"/>
                <w:szCs w:val="17"/>
                <w:color w:val="auto"/>
              </w:rPr>
            </w:pPr>
          </w:p>
        </w:tc>
        <w:tc>
          <w:tcPr>
            <w:tcW w:w="3820" w:type="dxa"/>
            <w:vAlign w:val="bottom"/>
            <w:vMerge w:val="continue"/>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40" w:type="dxa"/>
            <w:vAlign w:val="bottom"/>
            <w:vMerge w:val="continue"/>
            <w:shd w:val="clear" w:color="auto" w:fill="DBE5F1"/>
          </w:tcPr>
          <w:p>
            <w:pPr>
              <w:spacing w:after="0"/>
              <w:rPr>
                <w:sz w:val="5"/>
                <w:szCs w:val="5"/>
                <w:color w:val="auto"/>
              </w:rPr>
            </w:pPr>
          </w:p>
        </w:tc>
        <w:tc>
          <w:tcPr>
            <w:tcW w:w="3500" w:type="dxa"/>
            <w:vAlign w:val="bottom"/>
            <w:vMerge w:val="continue"/>
            <w:shd w:val="clear" w:color="auto" w:fill="DBE5F1"/>
          </w:tcPr>
          <w:p>
            <w:pPr>
              <w:spacing w:after="0"/>
              <w:rPr>
                <w:sz w:val="5"/>
                <w:szCs w:val="5"/>
                <w:color w:val="auto"/>
              </w:rPr>
            </w:pPr>
          </w:p>
        </w:tc>
        <w:tc>
          <w:tcPr>
            <w:tcW w:w="3680" w:type="dxa"/>
            <w:vAlign w:val="bottom"/>
            <w:vMerge w:val="restart"/>
            <w:shd w:val="clear" w:color="auto" w:fill="DBE5F1"/>
          </w:tcPr>
          <w:p>
            <w:pPr>
              <w:ind w:left="400"/>
              <w:spacing w:after="0"/>
              <w:rPr>
                <w:sz w:val="20"/>
                <w:szCs w:val="20"/>
                <w:color w:val="auto"/>
              </w:rPr>
            </w:pPr>
            <w:r>
              <w:rPr>
                <w:rFonts w:ascii="Arial" w:cs="Arial" w:eastAsia="Arial" w:hAnsi="Arial"/>
                <w:sz w:val="16"/>
                <w:szCs w:val="16"/>
                <w:color w:val="auto"/>
              </w:rPr>
              <w:t>cybersecurity.</w:t>
            </w:r>
          </w:p>
        </w:tc>
        <w:tc>
          <w:tcPr>
            <w:tcW w:w="3820" w:type="dxa"/>
            <w:vAlign w:val="bottom"/>
            <w:vMerge w:val="restart"/>
            <w:shd w:val="clear" w:color="auto" w:fill="DBE5F1"/>
          </w:tcPr>
          <w:p>
            <w:pPr>
              <w:ind w:left="460"/>
              <w:spacing w:after="0"/>
              <w:rPr>
                <w:sz w:val="20"/>
                <w:szCs w:val="20"/>
                <w:color w:val="auto"/>
              </w:rPr>
            </w:pPr>
            <w:r>
              <w:rPr>
                <w:rFonts w:ascii="Arial" w:cs="Arial" w:eastAsia="Arial" w:hAnsi="Arial"/>
                <w:sz w:val="16"/>
                <w:szCs w:val="16"/>
                <w:color w:val="auto"/>
              </w:rPr>
              <w:t>and planning.</w:t>
            </w:r>
          </w:p>
        </w:tc>
        <w:tc>
          <w:tcPr>
            <w:tcW w:w="0" w:type="dxa"/>
            <w:vAlign w:val="bottom"/>
          </w:tcPr>
          <w:p>
            <w:pPr>
              <w:spacing w:after="0"/>
              <w:rPr>
                <w:sz w:val="1"/>
                <w:szCs w:val="1"/>
                <w:color w:val="auto"/>
              </w:rPr>
            </w:pPr>
          </w:p>
        </w:tc>
      </w:tr>
      <w:tr>
        <w:trPr>
          <w:trHeight w:val="147"/>
        </w:trPr>
        <w:tc>
          <w:tcPr>
            <w:tcW w:w="240" w:type="dxa"/>
            <w:vAlign w:val="bottom"/>
            <w:shd w:val="clear" w:color="auto" w:fill="DBE5F1"/>
          </w:tcPr>
          <w:p>
            <w:pPr>
              <w:spacing w:after="0"/>
              <w:rPr>
                <w:sz w:val="12"/>
                <w:szCs w:val="12"/>
                <w:color w:val="auto"/>
              </w:rPr>
            </w:pPr>
          </w:p>
        </w:tc>
        <w:tc>
          <w:tcPr>
            <w:tcW w:w="3500" w:type="dxa"/>
            <w:vAlign w:val="bottom"/>
            <w:vMerge w:val="restart"/>
            <w:shd w:val="clear" w:color="auto" w:fill="DBE5F1"/>
          </w:tcPr>
          <w:p>
            <w:pPr>
              <w:ind w:left="160"/>
              <w:spacing w:after="0"/>
              <w:rPr>
                <w:sz w:val="20"/>
                <w:szCs w:val="20"/>
                <w:color w:val="auto"/>
              </w:rPr>
            </w:pPr>
            <w:r>
              <w:rPr>
                <w:rFonts w:ascii="Arial" w:cs="Arial" w:eastAsia="Arial" w:hAnsi="Arial"/>
                <w:sz w:val="16"/>
                <w:szCs w:val="16"/>
                <w:color w:val="auto"/>
              </w:rPr>
              <w:t>compliance activities, including regulatory</w:t>
            </w:r>
          </w:p>
        </w:tc>
        <w:tc>
          <w:tcPr>
            <w:tcW w:w="3680" w:type="dxa"/>
            <w:vAlign w:val="bottom"/>
            <w:vMerge w:val="continue"/>
            <w:shd w:val="clear" w:color="auto" w:fill="DBE5F1"/>
          </w:tcPr>
          <w:p>
            <w:pPr>
              <w:spacing w:after="0"/>
              <w:rPr>
                <w:sz w:val="12"/>
                <w:szCs w:val="12"/>
                <w:color w:val="auto"/>
              </w:rPr>
            </w:pPr>
          </w:p>
        </w:tc>
        <w:tc>
          <w:tcPr>
            <w:tcW w:w="3820" w:type="dxa"/>
            <w:vAlign w:val="bottom"/>
            <w:vMerge w:val="continue"/>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240" w:type="dxa"/>
            <w:vAlign w:val="bottom"/>
            <w:shd w:val="clear" w:color="auto" w:fill="DBE5F1"/>
          </w:tcPr>
          <w:p>
            <w:pPr>
              <w:spacing w:after="0"/>
              <w:rPr>
                <w:sz w:val="4"/>
                <w:szCs w:val="4"/>
                <w:color w:val="auto"/>
              </w:rPr>
            </w:pPr>
          </w:p>
        </w:tc>
        <w:tc>
          <w:tcPr>
            <w:tcW w:w="3500" w:type="dxa"/>
            <w:vAlign w:val="bottom"/>
            <w:vMerge w:val="continue"/>
            <w:shd w:val="clear" w:color="auto" w:fill="DBE5F1"/>
          </w:tcPr>
          <w:p>
            <w:pPr>
              <w:spacing w:after="0"/>
              <w:rPr>
                <w:sz w:val="4"/>
                <w:szCs w:val="4"/>
                <w:color w:val="auto"/>
              </w:rPr>
            </w:pPr>
          </w:p>
        </w:tc>
        <w:tc>
          <w:tcPr>
            <w:tcW w:w="3680" w:type="dxa"/>
            <w:vAlign w:val="bottom"/>
            <w:shd w:val="clear" w:color="auto" w:fill="DBE5F1"/>
          </w:tcPr>
          <w:p>
            <w:pPr>
              <w:spacing w:after="0"/>
              <w:rPr>
                <w:sz w:val="4"/>
                <w:szCs w:val="4"/>
                <w:color w:val="auto"/>
              </w:rPr>
            </w:pPr>
          </w:p>
        </w:tc>
        <w:tc>
          <w:tcPr>
            <w:tcW w:w="3820" w:type="dxa"/>
            <w:vAlign w:val="bottom"/>
            <w:shd w:val="clear" w:color="auto" w:fill="DBE5F1"/>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40" w:type="dxa"/>
            <w:vAlign w:val="bottom"/>
            <w:shd w:val="clear" w:color="auto" w:fill="DBE5F1"/>
          </w:tcPr>
          <w:p>
            <w:pPr>
              <w:spacing w:after="0"/>
              <w:rPr>
                <w:sz w:val="18"/>
                <w:szCs w:val="18"/>
                <w:color w:val="auto"/>
              </w:rPr>
            </w:pPr>
          </w:p>
        </w:tc>
        <w:tc>
          <w:tcPr>
            <w:tcW w:w="3500" w:type="dxa"/>
            <w:vAlign w:val="bottom"/>
            <w:shd w:val="clear" w:color="auto" w:fill="DBE5F1"/>
          </w:tcPr>
          <w:p>
            <w:pPr>
              <w:ind w:left="160"/>
              <w:spacing w:after="0"/>
              <w:rPr>
                <w:sz w:val="20"/>
                <w:szCs w:val="20"/>
                <w:color w:val="auto"/>
              </w:rPr>
            </w:pPr>
            <w:r>
              <w:rPr>
                <w:rFonts w:ascii="Arial" w:cs="Arial" w:eastAsia="Arial" w:hAnsi="Arial"/>
                <w:sz w:val="16"/>
                <w:szCs w:val="16"/>
                <w:color w:val="auto"/>
              </w:rPr>
              <w:t>audits and other touchpoints.</w:t>
            </w:r>
          </w:p>
        </w:tc>
        <w:tc>
          <w:tcPr>
            <w:tcW w:w="3680" w:type="dxa"/>
            <w:vAlign w:val="bottom"/>
            <w:shd w:val="clear" w:color="auto" w:fill="DBE5F1"/>
          </w:tcPr>
          <w:p>
            <w:pPr>
              <w:spacing w:after="0"/>
              <w:rPr>
                <w:sz w:val="18"/>
                <w:szCs w:val="18"/>
                <w:color w:val="auto"/>
              </w:rPr>
            </w:pPr>
          </w:p>
        </w:tc>
        <w:tc>
          <w:tcPr>
            <w:tcW w:w="382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40" w:type="dxa"/>
            <w:vAlign w:val="bottom"/>
            <w:tcBorders>
              <w:bottom w:val="single" w:sz="8" w:color="auto"/>
            </w:tcBorders>
            <w:shd w:val="clear" w:color="auto" w:fill="DBE5F1"/>
          </w:tcPr>
          <w:p>
            <w:pPr>
              <w:spacing w:after="0"/>
              <w:rPr>
                <w:sz w:val="7"/>
                <w:szCs w:val="7"/>
                <w:color w:val="auto"/>
              </w:rPr>
            </w:pPr>
          </w:p>
        </w:tc>
        <w:tc>
          <w:tcPr>
            <w:tcW w:w="3500" w:type="dxa"/>
            <w:vAlign w:val="bottom"/>
            <w:tcBorders>
              <w:bottom w:val="single" w:sz="8" w:color="auto"/>
            </w:tcBorders>
            <w:shd w:val="clear" w:color="auto" w:fill="DBE5F1"/>
          </w:tcPr>
          <w:p>
            <w:pPr>
              <w:spacing w:after="0"/>
              <w:rPr>
                <w:sz w:val="7"/>
                <w:szCs w:val="7"/>
                <w:color w:val="auto"/>
              </w:rPr>
            </w:pPr>
          </w:p>
        </w:tc>
        <w:tc>
          <w:tcPr>
            <w:tcW w:w="3680" w:type="dxa"/>
            <w:vAlign w:val="bottom"/>
            <w:tcBorders>
              <w:bottom w:val="single" w:sz="8" w:color="auto"/>
            </w:tcBorders>
            <w:shd w:val="clear" w:color="auto" w:fill="DBE5F1"/>
          </w:tcPr>
          <w:p>
            <w:pPr>
              <w:spacing w:after="0"/>
              <w:rPr>
                <w:sz w:val="7"/>
                <w:szCs w:val="7"/>
                <w:color w:val="auto"/>
              </w:rPr>
            </w:pPr>
          </w:p>
        </w:tc>
        <w:tc>
          <w:tcPr>
            <w:tcW w:w="3820" w:type="dxa"/>
            <w:vAlign w:val="bottom"/>
            <w:tcBorders>
              <w:bottom w:val="single" w:sz="8" w:color="auto"/>
            </w:tcBorders>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4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925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p>
    <w:p>
      <w:pPr>
        <w:spacing w:after="0" w:line="140" w:lineRule="exact"/>
        <w:rPr>
          <w:sz w:val="20"/>
          <w:szCs w:val="20"/>
          <w:color w:val="auto"/>
        </w:rPr>
      </w:pPr>
    </w:p>
    <w:p>
      <w:pPr>
        <w:ind w:left="400" w:hanging="318"/>
        <w:spacing w:after="0"/>
        <w:tabs>
          <w:tab w:leader="none" w:pos="4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6"/>
          <w:szCs w:val="16"/>
          <w:color w:val="auto"/>
        </w:rPr>
        <w:t>Manages day-to-day risk and regularly confers with the Board and committees regarding the risks and risk management processes.</w:t>
      </w:r>
    </w:p>
    <w:p>
      <w:pPr>
        <w:spacing w:after="0" w:line="90" w:lineRule="exact"/>
        <w:rPr>
          <w:rFonts w:ascii="Times New Roman" w:cs="Times New Roman" w:eastAsia="Times New Roman" w:hAnsi="Times New Roman"/>
          <w:sz w:val="18"/>
          <w:szCs w:val="18"/>
          <w:color w:val="auto"/>
        </w:rPr>
      </w:pPr>
    </w:p>
    <w:p>
      <w:pPr>
        <w:ind w:left="400" w:right="360" w:hanging="318"/>
        <w:spacing w:after="0" w:line="259" w:lineRule="auto"/>
        <w:tabs>
          <w:tab w:leader="none" w:pos="395"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6"/>
          <w:szCs w:val="16"/>
          <w:color w:val="auto"/>
        </w:rPr>
        <w:t>Systematically monitors risk exposure and mitigation planning through an ERM committee, a broad, interdepartmental group led by the Company’s Chief Compliance &amp; Privacy Officer and Director, Enterprise Risk Management, and including, among others, our CEO, CFO and at least one independent 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Both our Board and our Board committees receive periodic and incidental reports as matters may arise directly from our Chief Compliance and Privacy Officer, our Chief Legal &amp; Administrative Officer, and our accounting personnel overseeing our internal audit function. Our Chief Compliance and Privacy Officer reports to our President, and our Chief Legal &amp; Administrative Officer reports to our Chief Executive Officer. Such reports include information regarding potential violations of our Code of Conduct, our ethics hotline activity and other complaints we may receive regarding potential ethics violations or our financial controls, accounting and other auditing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3"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Our approach to risk oversight takes into account the immediacy of the risk assessed and its potential severity. Management and our committee chairs are responsible for promptly reporting findings regarding material risk exposures to the Board. Our Board, with leadership from the NCGCC, assesses, at least annually, our committee structure and the appropriateness of delegation of particular areas of risk oversight to such committees.</w:t>
      </w:r>
    </w:p>
    <w:p>
      <w:pPr>
        <w:spacing w:after="0" w:line="176" w:lineRule="exact"/>
        <w:rPr>
          <w:sz w:val="20"/>
          <w:szCs w:val="20"/>
          <w:color w:val="auto"/>
        </w:rPr>
      </w:pPr>
    </w:p>
    <w:p>
      <w:pPr>
        <w:ind w:right="140" w:firstLine="486"/>
        <w:spacing w:after="0" w:line="268" w:lineRule="auto"/>
        <w:rPr>
          <w:sz w:val="20"/>
          <w:szCs w:val="20"/>
          <w:color w:val="auto"/>
        </w:rPr>
      </w:pPr>
      <w:r>
        <w:rPr>
          <w:rFonts w:ascii="Arial" w:cs="Arial" w:eastAsia="Arial" w:hAnsi="Arial"/>
          <w:sz w:val="18"/>
          <w:szCs w:val="18"/>
          <w:color w:val="auto"/>
        </w:rPr>
        <w:t>The Company’s risk oversight process is also integrated into the Company’s disclosure controls and procedures, including risk disclosures contained within our Annual Report on Form 10-K. The Company utilizes a cross-functional enterprise team to review and draft the Company’s disclosures, including a Disclosure Committee that provides reports to executive management and the Board.</w:t>
      </w:r>
    </w:p>
    <w:p>
      <w:pPr>
        <w:spacing w:after="0" w:line="171"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Management and the Board and Board Committees engage outside advisors where appropriate to assist in the identification, oversight, evaluation and management of the risks facing the Company. These outside advisors include the Company’s independent registered public accounting firm, external legal counsel and insurance providers, and the independent compensation consultant retained by the Compensation Committee.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Board Committees</w:t>
      </w:r>
    </w:p>
    <w:p>
      <w:pPr>
        <w:spacing w:after="0" w:line="117" w:lineRule="exact"/>
        <w:rPr>
          <w:sz w:val="20"/>
          <w:szCs w:val="20"/>
          <w:color w:val="auto"/>
        </w:rPr>
      </w:pPr>
    </w:p>
    <w:p>
      <w:pPr>
        <w:ind w:right="420" w:firstLine="441"/>
        <w:spacing w:after="0" w:line="287" w:lineRule="auto"/>
        <w:rPr>
          <w:sz w:val="20"/>
          <w:szCs w:val="20"/>
          <w:color w:val="auto"/>
        </w:rPr>
      </w:pPr>
      <w:r>
        <w:rPr>
          <w:rFonts w:ascii="Arial" w:cs="Arial" w:eastAsia="Arial" w:hAnsi="Arial"/>
          <w:sz w:val="18"/>
          <w:szCs w:val="18"/>
          <w:color w:val="auto"/>
        </w:rPr>
        <w:t>The composition, duties and responsibilities of our committees are as set forth below. In the future, our Board may establish other committees, as it deems appropriate, to assist it with its responsibilities.</w:t>
      </w:r>
    </w:p>
    <w:p>
      <w:pPr>
        <w:spacing w:after="0" w:line="69"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2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rPr>
              <w:t>Nominating, Corporate</w:t>
            </w:r>
          </w:p>
        </w:tc>
        <w:tc>
          <w:tcPr>
            <w:tcW w:w="0" w:type="dxa"/>
            <w:vAlign w:val="bottom"/>
          </w:tcPr>
          <w:p>
            <w:pPr>
              <w:spacing w:after="0"/>
              <w:rPr>
                <w:sz w:val="1"/>
                <w:szCs w:val="1"/>
                <w:color w:val="auto"/>
              </w:rPr>
            </w:pPr>
          </w:p>
        </w:tc>
      </w:tr>
      <w:tr>
        <w:trPr>
          <w:trHeight w:val="162"/>
        </w:trPr>
        <w:tc>
          <w:tcPr>
            <w:tcW w:w="21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Board Member</w:t>
            </w:r>
          </w:p>
        </w:tc>
        <w:tc>
          <w:tcPr>
            <w:tcW w:w="21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Audit Committee</w:t>
            </w:r>
          </w:p>
        </w:tc>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Compensation Committee</w:t>
            </w:r>
          </w:p>
        </w:tc>
        <w:tc>
          <w:tcPr>
            <w:tcW w:w="2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Governance &amp; Compliance</w:t>
            </w:r>
          </w:p>
        </w:tc>
        <w:tc>
          <w:tcPr>
            <w:tcW w:w="0" w:type="dxa"/>
            <w:vAlign w:val="bottom"/>
          </w:tcPr>
          <w:p>
            <w:pPr>
              <w:spacing w:after="0"/>
              <w:rPr>
                <w:sz w:val="1"/>
                <w:szCs w:val="1"/>
                <w:color w:val="auto"/>
              </w:rPr>
            </w:pPr>
          </w:p>
        </w:tc>
      </w:tr>
      <w:tr>
        <w:trPr>
          <w:trHeight w:val="216"/>
        </w:trPr>
        <w:tc>
          <w:tcPr>
            <w:tcW w:w="2100" w:type="dxa"/>
            <w:vAlign w:val="bottom"/>
            <w:tcBorders>
              <w:bottom w:val="single" w:sz="8" w:color="auto"/>
            </w:tcBorders>
            <w:vMerge w:val="continue"/>
          </w:tcPr>
          <w:p>
            <w:pPr>
              <w:spacing w:after="0"/>
              <w:rPr>
                <w:sz w:val="18"/>
                <w:szCs w:val="18"/>
                <w:color w:val="auto"/>
              </w:rPr>
            </w:pPr>
          </w:p>
        </w:tc>
        <w:tc>
          <w:tcPr>
            <w:tcW w:w="2100" w:type="dxa"/>
            <w:vAlign w:val="bottom"/>
            <w:tcBorders>
              <w:bottom w:val="single" w:sz="8" w:color="auto"/>
            </w:tcBorders>
            <w:vMerge w:val="continue"/>
          </w:tcPr>
          <w:p>
            <w:pPr>
              <w:spacing w:after="0"/>
              <w:rPr>
                <w:sz w:val="18"/>
                <w:szCs w:val="18"/>
                <w:color w:val="auto"/>
              </w:rPr>
            </w:pPr>
          </w:p>
        </w:tc>
        <w:tc>
          <w:tcPr>
            <w:tcW w:w="2120" w:type="dxa"/>
            <w:vAlign w:val="bottom"/>
            <w:tcBorders>
              <w:bottom w:val="single" w:sz="8" w:color="auto"/>
            </w:tcBorders>
            <w:vMerge w:val="continue"/>
          </w:tcPr>
          <w:p>
            <w:pPr>
              <w:spacing w:after="0"/>
              <w:rPr>
                <w:sz w:val="18"/>
                <w:szCs w:val="18"/>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Committee</w:t>
            </w:r>
          </w:p>
        </w:tc>
        <w:tc>
          <w:tcPr>
            <w:tcW w:w="0" w:type="dxa"/>
            <w:vAlign w:val="bottom"/>
          </w:tcPr>
          <w:p>
            <w:pPr>
              <w:spacing w:after="0"/>
              <w:rPr>
                <w:sz w:val="1"/>
                <w:szCs w:val="1"/>
                <w:color w:val="auto"/>
              </w:rPr>
            </w:pPr>
          </w:p>
        </w:tc>
      </w:tr>
      <w:tr>
        <w:trPr>
          <w:trHeight w:val="209"/>
        </w:trPr>
        <w:tc>
          <w:tcPr>
            <w:tcW w:w="2100" w:type="dxa"/>
            <w:vAlign w:val="bottom"/>
            <w:tcBorders>
              <w:bottom w:val="single" w:sz="8" w:color="95B3D7"/>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Jody Bilney</w:t>
            </w:r>
          </w:p>
        </w:tc>
        <w:tc>
          <w:tcPr>
            <w:tcW w:w="210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w w:val="89"/>
              </w:rPr>
              <w:t>M</w:t>
            </w:r>
          </w:p>
        </w:tc>
        <w:tc>
          <w:tcPr>
            <w:tcW w:w="2120" w:type="dxa"/>
            <w:vAlign w:val="bottom"/>
            <w:tcBorders>
              <w:bottom w:val="single" w:sz="8" w:color="95B3D7"/>
              <w:right w:val="single" w:sz="8" w:color="95B3D7"/>
            </w:tcBorders>
            <w:shd w:val="clear" w:color="auto" w:fill="DBE5F1"/>
          </w:tcPr>
          <w:p>
            <w:pPr>
              <w:spacing w:after="0"/>
              <w:rPr>
                <w:sz w:val="18"/>
                <w:szCs w:val="18"/>
                <w:color w:val="auto"/>
              </w:rPr>
            </w:pPr>
          </w:p>
        </w:tc>
        <w:tc>
          <w:tcPr>
            <w:tcW w:w="2100" w:type="dxa"/>
            <w:vAlign w:val="bottom"/>
            <w:tcBorders>
              <w:bottom w:val="single" w:sz="8" w:color="95B3D7"/>
            </w:tcBorders>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00" w:type="dxa"/>
            <w:vAlign w:val="bottom"/>
            <w:tcBorders>
              <w:bottom w:val="single" w:sz="8" w:color="95B3D7"/>
              <w:right w:val="single" w:sz="8" w:color="95B3D7"/>
            </w:tcBorders>
          </w:tcPr>
          <w:p>
            <w:pPr>
              <w:ind w:left="60"/>
              <w:spacing w:after="0"/>
              <w:rPr>
                <w:sz w:val="20"/>
                <w:szCs w:val="20"/>
                <w:color w:val="auto"/>
              </w:rPr>
            </w:pPr>
            <w:r>
              <w:rPr>
                <w:rFonts w:ascii="Arial" w:cs="Arial" w:eastAsia="Arial" w:hAnsi="Arial"/>
                <w:sz w:val="16"/>
                <w:szCs w:val="16"/>
                <w:color w:val="auto"/>
              </w:rPr>
              <w:t>David Hodgson</w:t>
            </w:r>
          </w:p>
        </w:tc>
        <w:tc>
          <w:tcPr>
            <w:tcW w:w="2100" w:type="dxa"/>
            <w:vAlign w:val="bottom"/>
            <w:tcBorders>
              <w:bottom w:val="single" w:sz="8" w:color="95B3D7"/>
              <w:right w:val="single" w:sz="8" w:color="95B3D7"/>
            </w:tcBorders>
          </w:tcPr>
          <w:p>
            <w:pPr>
              <w:spacing w:after="0"/>
              <w:rPr>
                <w:sz w:val="18"/>
                <w:szCs w:val="18"/>
                <w:color w:val="auto"/>
              </w:rPr>
            </w:pPr>
          </w:p>
        </w:tc>
        <w:tc>
          <w:tcPr>
            <w:tcW w:w="2120" w:type="dxa"/>
            <w:vAlign w:val="bottom"/>
            <w:tcBorders>
              <w:bottom w:val="single" w:sz="8" w:color="95B3D7"/>
              <w:right w:val="single" w:sz="8" w:color="95B3D7"/>
            </w:tcBorders>
          </w:tcPr>
          <w:p>
            <w:pPr>
              <w:spacing w:after="0"/>
              <w:rPr>
                <w:sz w:val="18"/>
                <w:szCs w:val="18"/>
                <w:color w:val="auto"/>
              </w:rPr>
            </w:pPr>
          </w:p>
        </w:tc>
        <w:tc>
          <w:tcPr>
            <w:tcW w:w="2100" w:type="dxa"/>
            <w:vAlign w:val="bottom"/>
            <w:tcBorders>
              <w:bottom w:val="single" w:sz="8" w:color="95B3D7"/>
            </w:tcBorders>
          </w:tcPr>
          <w:p>
            <w:pPr>
              <w:jc w:val="center"/>
              <w:spacing w:after="0"/>
              <w:rPr>
                <w:sz w:val="20"/>
                <w:szCs w:val="20"/>
                <w:color w:val="auto"/>
              </w:rPr>
            </w:pPr>
            <w:r>
              <w:rPr>
                <w:rFonts w:ascii="Arial" w:cs="Arial" w:eastAsia="Arial" w:hAnsi="Arial"/>
                <w:sz w:val="16"/>
                <w:szCs w:val="16"/>
                <w:color w:val="auto"/>
              </w:rPr>
              <w:t>C</w:t>
            </w:r>
          </w:p>
        </w:tc>
        <w:tc>
          <w:tcPr>
            <w:tcW w:w="0" w:type="dxa"/>
            <w:vAlign w:val="bottom"/>
          </w:tcPr>
          <w:p>
            <w:pPr>
              <w:spacing w:after="0"/>
              <w:rPr>
                <w:sz w:val="1"/>
                <w:szCs w:val="1"/>
                <w:color w:val="auto"/>
              </w:rPr>
            </w:pPr>
          </w:p>
        </w:tc>
      </w:tr>
      <w:tr>
        <w:trPr>
          <w:trHeight w:val="209"/>
        </w:trPr>
        <w:tc>
          <w:tcPr>
            <w:tcW w:w="2100" w:type="dxa"/>
            <w:vAlign w:val="bottom"/>
            <w:tcBorders>
              <w:bottom w:val="single" w:sz="8" w:color="95B3D7"/>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Yon Jorden</w:t>
            </w:r>
          </w:p>
        </w:tc>
        <w:tc>
          <w:tcPr>
            <w:tcW w:w="210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w w:val="97"/>
              </w:rPr>
              <w:t>C#</w:t>
            </w:r>
          </w:p>
        </w:tc>
        <w:tc>
          <w:tcPr>
            <w:tcW w:w="2120" w:type="dxa"/>
            <w:vAlign w:val="bottom"/>
            <w:tcBorders>
              <w:bottom w:val="single" w:sz="8" w:color="95B3D7"/>
              <w:right w:val="single" w:sz="8" w:color="95B3D7"/>
            </w:tcBorders>
            <w:shd w:val="clear" w:color="auto" w:fill="DBE5F1"/>
          </w:tcPr>
          <w:p>
            <w:pPr>
              <w:spacing w:after="0"/>
              <w:rPr>
                <w:sz w:val="18"/>
                <w:szCs w:val="18"/>
                <w:color w:val="auto"/>
              </w:rPr>
            </w:pPr>
          </w:p>
        </w:tc>
        <w:tc>
          <w:tcPr>
            <w:tcW w:w="2100" w:type="dxa"/>
            <w:vAlign w:val="bottom"/>
            <w:tcBorders>
              <w:bottom w:val="single" w:sz="8" w:color="95B3D7"/>
            </w:tcBorders>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00" w:type="dxa"/>
            <w:vAlign w:val="bottom"/>
            <w:tcBorders>
              <w:bottom w:val="single" w:sz="8" w:color="95B3D7"/>
              <w:right w:val="single" w:sz="8" w:color="95B3D7"/>
            </w:tcBorders>
          </w:tcPr>
          <w:p>
            <w:pPr>
              <w:ind w:left="60"/>
              <w:spacing w:after="0"/>
              <w:rPr>
                <w:sz w:val="20"/>
                <w:szCs w:val="20"/>
                <w:color w:val="auto"/>
              </w:rPr>
            </w:pPr>
            <w:r>
              <w:rPr>
                <w:rFonts w:ascii="Arial" w:cs="Arial" w:eastAsia="Arial" w:hAnsi="Arial"/>
                <w:sz w:val="16"/>
                <w:szCs w:val="16"/>
                <w:color w:val="auto"/>
              </w:rPr>
              <w:t>John Kao</w:t>
            </w:r>
          </w:p>
        </w:tc>
        <w:tc>
          <w:tcPr>
            <w:tcW w:w="2100" w:type="dxa"/>
            <w:vAlign w:val="bottom"/>
            <w:tcBorders>
              <w:bottom w:val="single" w:sz="8" w:color="95B3D7"/>
              <w:right w:val="single" w:sz="8" w:color="95B3D7"/>
            </w:tcBorders>
          </w:tcPr>
          <w:p>
            <w:pPr>
              <w:spacing w:after="0"/>
              <w:rPr>
                <w:sz w:val="18"/>
                <w:szCs w:val="18"/>
                <w:color w:val="auto"/>
              </w:rPr>
            </w:pPr>
          </w:p>
        </w:tc>
        <w:tc>
          <w:tcPr>
            <w:tcW w:w="2120" w:type="dxa"/>
            <w:vAlign w:val="bottom"/>
            <w:tcBorders>
              <w:bottom w:val="single" w:sz="8" w:color="95B3D7"/>
              <w:right w:val="single" w:sz="8" w:color="95B3D7"/>
            </w:tcBorders>
          </w:tcPr>
          <w:p>
            <w:pPr>
              <w:spacing w:after="0"/>
              <w:rPr>
                <w:sz w:val="18"/>
                <w:szCs w:val="18"/>
                <w:color w:val="auto"/>
              </w:rPr>
            </w:pPr>
          </w:p>
        </w:tc>
        <w:tc>
          <w:tcPr>
            <w:tcW w:w="2100" w:type="dxa"/>
            <w:vAlign w:val="bottom"/>
            <w:tcBorders>
              <w:bottom w:val="single" w:sz="8" w:color="95B3D7"/>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00" w:type="dxa"/>
            <w:vAlign w:val="bottom"/>
            <w:tcBorders>
              <w:bottom w:val="single" w:sz="8" w:color="95B3D7"/>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Joseph Konowiecki</w:t>
            </w:r>
          </w:p>
        </w:tc>
        <w:tc>
          <w:tcPr>
            <w:tcW w:w="2100" w:type="dxa"/>
            <w:vAlign w:val="bottom"/>
            <w:tcBorders>
              <w:bottom w:val="single" w:sz="8" w:color="95B3D7"/>
              <w:right w:val="single" w:sz="8" w:color="95B3D7"/>
            </w:tcBorders>
            <w:shd w:val="clear" w:color="auto" w:fill="DBE5F1"/>
          </w:tcPr>
          <w:p>
            <w:pPr>
              <w:spacing w:after="0"/>
              <w:rPr>
                <w:sz w:val="18"/>
                <w:szCs w:val="18"/>
                <w:color w:val="auto"/>
              </w:rPr>
            </w:pPr>
          </w:p>
        </w:tc>
        <w:tc>
          <w:tcPr>
            <w:tcW w:w="2120" w:type="dxa"/>
            <w:vAlign w:val="bottom"/>
            <w:tcBorders>
              <w:bottom w:val="single" w:sz="8" w:color="95B3D7"/>
              <w:right w:val="single" w:sz="8" w:color="95B3D7"/>
            </w:tcBorders>
            <w:shd w:val="clear" w:color="auto" w:fill="DBE5F1"/>
          </w:tcPr>
          <w:p>
            <w:pPr>
              <w:spacing w:after="0"/>
              <w:rPr>
                <w:sz w:val="18"/>
                <w:szCs w:val="18"/>
                <w:color w:val="auto"/>
              </w:rPr>
            </w:pPr>
          </w:p>
        </w:tc>
        <w:tc>
          <w:tcPr>
            <w:tcW w:w="2100" w:type="dxa"/>
            <w:vAlign w:val="bottom"/>
            <w:tcBorders>
              <w:bottom w:val="single" w:sz="8" w:color="95B3D7"/>
            </w:tcBorders>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00" w:type="dxa"/>
            <w:vAlign w:val="bottom"/>
            <w:tcBorders>
              <w:bottom w:val="single" w:sz="8" w:color="95B3D7"/>
              <w:right w:val="single" w:sz="8" w:color="95B3D7"/>
            </w:tcBorders>
          </w:tcPr>
          <w:p>
            <w:pPr>
              <w:ind w:left="60"/>
              <w:spacing w:after="0"/>
              <w:rPr>
                <w:sz w:val="20"/>
                <w:szCs w:val="20"/>
                <w:color w:val="auto"/>
              </w:rPr>
            </w:pPr>
            <w:r>
              <w:rPr>
                <w:rFonts w:ascii="Arial" w:cs="Arial" w:eastAsia="Arial" w:hAnsi="Arial"/>
                <w:sz w:val="16"/>
                <w:szCs w:val="16"/>
                <w:color w:val="auto"/>
              </w:rPr>
              <w:t>Jacqueline Kosecoff</w:t>
            </w:r>
          </w:p>
        </w:tc>
        <w:tc>
          <w:tcPr>
            <w:tcW w:w="2100" w:type="dxa"/>
            <w:vAlign w:val="bottom"/>
            <w:tcBorders>
              <w:bottom w:val="single" w:sz="8" w:color="95B3D7"/>
              <w:right w:val="single" w:sz="8" w:color="95B3D7"/>
            </w:tcBorders>
          </w:tcPr>
          <w:p>
            <w:pPr>
              <w:spacing w:after="0"/>
              <w:rPr>
                <w:sz w:val="18"/>
                <w:szCs w:val="18"/>
                <w:color w:val="auto"/>
              </w:rPr>
            </w:pPr>
          </w:p>
        </w:tc>
        <w:tc>
          <w:tcPr>
            <w:tcW w:w="212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6"/>
                <w:szCs w:val="16"/>
                <w:color w:val="auto"/>
              </w:rPr>
              <w:t>C</w:t>
            </w:r>
          </w:p>
        </w:tc>
        <w:tc>
          <w:tcPr>
            <w:tcW w:w="2100" w:type="dxa"/>
            <w:vAlign w:val="bottom"/>
            <w:tcBorders>
              <w:bottom w:val="single" w:sz="8" w:color="95B3D7"/>
            </w:tcBorders>
          </w:tcPr>
          <w:p>
            <w:pPr>
              <w:jc w:val="center"/>
              <w:spacing w:after="0"/>
              <w:rPr>
                <w:sz w:val="20"/>
                <w:szCs w:val="20"/>
                <w:color w:val="auto"/>
              </w:rPr>
            </w:pPr>
            <w:r>
              <w:rPr>
                <w:rFonts w:ascii="Arial" w:cs="Arial" w:eastAsia="Arial" w:hAnsi="Arial"/>
                <w:sz w:val="16"/>
                <w:szCs w:val="16"/>
                <w:color w:val="auto"/>
              </w:rPr>
              <w:t>M</w:t>
            </w:r>
          </w:p>
        </w:tc>
        <w:tc>
          <w:tcPr>
            <w:tcW w:w="0" w:type="dxa"/>
            <w:vAlign w:val="bottom"/>
          </w:tcPr>
          <w:p>
            <w:pPr>
              <w:spacing w:after="0"/>
              <w:rPr>
                <w:sz w:val="1"/>
                <w:szCs w:val="1"/>
                <w:color w:val="auto"/>
              </w:rPr>
            </w:pPr>
          </w:p>
        </w:tc>
      </w:tr>
      <w:tr>
        <w:trPr>
          <w:trHeight w:val="210"/>
        </w:trPr>
        <w:tc>
          <w:tcPr>
            <w:tcW w:w="2100" w:type="dxa"/>
            <w:vAlign w:val="bottom"/>
            <w:tcBorders>
              <w:bottom w:val="single" w:sz="8" w:color="95B3D7"/>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Margaret McCarthy</w:t>
            </w:r>
          </w:p>
        </w:tc>
        <w:tc>
          <w:tcPr>
            <w:tcW w:w="210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w w:val="89"/>
              </w:rPr>
              <w:t>M</w:t>
            </w:r>
          </w:p>
        </w:tc>
        <w:tc>
          <w:tcPr>
            <w:tcW w:w="212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M</w:t>
            </w:r>
          </w:p>
        </w:tc>
        <w:tc>
          <w:tcPr>
            <w:tcW w:w="2100" w:type="dxa"/>
            <w:vAlign w:val="bottom"/>
            <w:tcBorders>
              <w:bottom w:val="single" w:sz="8" w:color="95B3D7"/>
            </w:tcBorders>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00" w:type="dxa"/>
            <w:vAlign w:val="bottom"/>
            <w:tcBorders>
              <w:bottom w:val="single" w:sz="8" w:color="95B3D7"/>
              <w:right w:val="single" w:sz="8" w:color="95B3D7"/>
            </w:tcBorders>
          </w:tcPr>
          <w:p>
            <w:pPr>
              <w:ind w:left="60"/>
              <w:spacing w:after="0"/>
              <w:rPr>
                <w:sz w:val="20"/>
                <w:szCs w:val="20"/>
                <w:color w:val="auto"/>
              </w:rPr>
            </w:pPr>
            <w:r>
              <w:rPr>
                <w:rFonts w:ascii="Arial" w:cs="Arial" w:eastAsia="Arial" w:hAnsi="Arial"/>
                <w:sz w:val="16"/>
                <w:szCs w:val="16"/>
                <w:color w:val="auto"/>
              </w:rPr>
              <w:t>Mark McClellan</w:t>
            </w:r>
          </w:p>
        </w:tc>
        <w:tc>
          <w:tcPr>
            <w:tcW w:w="2100" w:type="dxa"/>
            <w:vAlign w:val="bottom"/>
            <w:tcBorders>
              <w:bottom w:val="single" w:sz="8" w:color="95B3D7"/>
              <w:right w:val="single" w:sz="8" w:color="95B3D7"/>
            </w:tcBorders>
          </w:tcPr>
          <w:p>
            <w:pPr>
              <w:spacing w:after="0"/>
              <w:rPr>
                <w:sz w:val="18"/>
                <w:szCs w:val="18"/>
                <w:color w:val="auto"/>
              </w:rPr>
            </w:pPr>
          </w:p>
        </w:tc>
        <w:tc>
          <w:tcPr>
            <w:tcW w:w="2120" w:type="dxa"/>
            <w:vAlign w:val="bottom"/>
            <w:tcBorders>
              <w:bottom w:val="single" w:sz="8" w:color="95B3D7"/>
              <w:right w:val="single" w:sz="8" w:color="95B3D7"/>
            </w:tcBorders>
          </w:tcPr>
          <w:p>
            <w:pPr>
              <w:spacing w:after="0"/>
              <w:rPr>
                <w:sz w:val="18"/>
                <w:szCs w:val="18"/>
                <w:color w:val="auto"/>
              </w:rPr>
            </w:pPr>
          </w:p>
        </w:tc>
        <w:tc>
          <w:tcPr>
            <w:tcW w:w="2100" w:type="dxa"/>
            <w:vAlign w:val="bottom"/>
            <w:tcBorders>
              <w:bottom w:val="single" w:sz="8" w:color="95B3D7"/>
            </w:tcBorders>
          </w:tcPr>
          <w:p>
            <w:pPr>
              <w:jc w:val="center"/>
              <w:spacing w:after="0"/>
              <w:rPr>
                <w:sz w:val="20"/>
                <w:szCs w:val="20"/>
                <w:color w:val="auto"/>
              </w:rPr>
            </w:pPr>
            <w:r>
              <w:rPr>
                <w:rFonts w:ascii="Arial" w:cs="Arial" w:eastAsia="Arial" w:hAnsi="Arial"/>
                <w:sz w:val="16"/>
                <w:szCs w:val="16"/>
                <w:color w:val="auto"/>
              </w:rPr>
              <w:t>M</w:t>
            </w:r>
          </w:p>
        </w:tc>
        <w:tc>
          <w:tcPr>
            <w:tcW w:w="0" w:type="dxa"/>
            <w:vAlign w:val="bottom"/>
          </w:tcPr>
          <w:p>
            <w:pPr>
              <w:spacing w:after="0"/>
              <w:rPr>
                <w:sz w:val="1"/>
                <w:szCs w:val="1"/>
                <w:color w:val="auto"/>
              </w:rPr>
            </w:pPr>
          </w:p>
        </w:tc>
      </w:tr>
      <w:tr>
        <w:trPr>
          <w:trHeight w:val="210"/>
        </w:trPr>
        <w:tc>
          <w:tcPr>
            <w:tcW w:w="2100" w:type="dxa"/>
            <w:vAlign w:val="bottom"/>
            <w:tcBorders>
              <w:bottom w:val="single" w:sz="8" w:color="95B3D7"/>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Robbert Vorhoff</w:t>
            </w:r>
          </w:p>
        </w:tc>
        <w:tc>
          <w:tcPr>
            <w:tcW w:w="2100" w:type="dxa"/>
            <w:vAlign w:val="bottom"/>
            <w:tcBorders>
              <w:bottom w:val="single" w:sz="8" w:color="95B3D7"/>
              <w:right w:val="single" w:sz="8" w:color="95B3D7"/>
            </w:tcBorders>
            <w:shd w:val="clear" w:color="auto" w:fill="DBE5F1"/>
          </w:tcPr>
          <w:p>
            <w:pPr>
              <w:spacing w:after="0"/>
              <w:rPr>
                <w:sz w:val="18"/>
                <w:szCs w:val="18"/>
                <w:color w:val="auto"/>
              </w:rPr>
            </w:pPr>
          </w:p>
        </w:tc>
        <w:tc>
          <w:tcPr>
            <w:tcW w:w="212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M</w:t>
            </w:r>
          </w:p>
        </w:tc>
        <w:tc>
          <w:tcPr>
            <w:tcW w:w="2100" w:type="dxa"/>
            <w:vAlign w:val="bottom"/>
            <w:tcBorders>
              <w:bottom w:val="single" w:sz="8" w:color="95B3D7"/>
            </w:tcBorders>
            <w:shd w:val="clear" w:color="auto" w:fill="DBE5F1"/>
          </w:tcPr>
          <w:p>
            <w:pPr>
              <w:spacing w:after="0"/>
              <w:rPr>
                <w:sz w:val="18"/>
                <w:szCs w:val="18"/>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ind w:right="-79"/>
        <w:spacing w:after="0"/>
        <w:tabs>
          <w:tab w:leader="none" w:pos="240" w:val="left"/>
          <w:tab w:leader="none" w:pos="220" w:val="left"/>
        </w:tabs>
        <w:rPr>
          <w:sz w:val="20"/>
          <w:szCs w:val="20"/>
          <w:color w:val="auto"/>
        </w:rPr>
      </w:pPr>
      <w:r>
        <w:rPr>
          <w:rFonts w:ascii="Arial" w:cs="Arial" w:eastAsia="Arial" w:hAnsi="Arial"/>
          <w:sz w:val="18"/>
          <w:szCs w:val="18"/>
          <w:i w:val="1"/>
          <w:iCs w:val="1"/>
          <w:color w:val="auto"/>
        </w:rPr>
        <w:t>M = Committee Member</w:t>
        <w:tab/>
        <w:t>C = Committee Chair</w:t>
        <w:tab/>
        <w:t># = Financial Expert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Audit Committee</w:t>
      </w:r>
    </w:p>
    <w:p>
      <w:pPr>
        <w:spacing w:after="0" w:line="11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Our Audit Committee is composed of Ms. Bilney, Ms. Jorden and Ms. McCarthy, with Ms. Jorden serving as chair of the committee. We comply with the audit committee requirements of the SEC and Nasdaq, which require that the Audit Committee be composed entirely of independent directors. Our Board has determined that each of the current members of the Audit Committee meet the independence requirements of Rule 10A-3 under the Exchange Act and the applicable listing standards of Nasdaq. In addition, our Board has determined that Ms. Jorden is an “audit committee financial expert” as defined in Item 407(d)(5)(ii) of Regulation S-K promulgated under the Securities Act. This designation does not impose any duties, obligations or liabilities that are greater than are generally imposed on members of our audit committee and our Board. Furthermore, by virtue of her designation as an “audit committee financial expert,” Ms. Jorden meets the applicable “financial sophistication” requirement of the Nasdaq listing standards.</w:t>
      </w:r>
    </w:p>
    <w:p>
      <w:pPr>
        <w:spacing w:after="0" w:line="77" w:lineRule="exact"/>
        <w:rPr>
          <w:sz w:val="20"/>
          <w:szCs w:val="20"/>
          <w:color w:val="auto"/>
        </w:rPr>
      </w:pPr>
    </w:p>
    <w:p>
      <w:pPr>
        <w:ind w:right="2380" w:firstLine="441"/>
        <w:spacing w:after="0" w:line="287" w:lineRule="auto"/>
        <w:rPr>
          <w:sz w:val="20"/>
          <w:szCs w:val="20"/>
          <w:color w:val="auto"/>
        </w:rPr>
      </w:pPr>
      <w:r>
        <w:rPr>
          <w:rFonts w:ascii="Arial" w:cs="Arial" w:eastAsia="Arial" w:hAnsi="Arial"/>
          <w:sz w:val="18"/>
          <w:szCs w:val="18"/>
          <w:color w:val="auto"/>
        </w:rPr>
        <w:t>The written charter for our Audit Committee is available on the investor relations section of our website at https://ir.alignmenthealth.com/. The Audit Committee’s responsibilities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4" w:name="page35"/>
    <w:bookmarkEnd w:id="34"/>
    <w:p>
      <w:pPr>
        <w:spacing w:after="0" w:line="153" w:lineRule="exact"/>
        <w:rPr>
          <w:sz w:val="20"/>
          <w:szCs w:val="20"/>
          <w:color w:val="auto"/>
        </w:rPr>
      </w:pPr>
    </w:p>
    <w:p>
      <w:pPr>
        <w:ind w:left="1300" w:right="700" w:hanging="644"/>
        <w:spacing w:after="0" w:line="286" w:lineRule="auto"/>
        <w:tabs>
          <w:tab w:leader="none" w:pos="1295"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appointing, approving the compensation of, and assessing the qualifications, performance and independence of our independent registered public accounting firm;</w:t>
      </w:r>
    </w:p>
    <w:p>
      <w:pPr>
        <w:spacing w:after="0" w:line="126" w:lineRule="exact"/>
        <w:rPr>
          <w:rFonts w:ascii="Times New Roman" w:cs="Times New Roman" w:eastAsia="Times New Roman" w:hAnsi="Times New Roman"/>
          <w:sz w:val="18"/>
          <w:szCs w:val="18"/>
          <w:color w:val="auto"/>
        </w:rPr>
      </w:pPr>
    </w:p>
    <w:p>
      <w:pPr>
        <w:ind w:left="1300" w:right="140" w:hanging="644"/>
        <w:spacing w:after="0" w:line="286" w:lineRule="auto"/>
        <w:tabs>
          <w:tab w:leader="none" w:pos="1295"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pre-approving audit and permissible non-audit services, and the terms of such services, to be provided by our independent registered public accounting firm;</w:t>
      </w:r>
    </w:p>
    <w:p>
      <w:pPr>
        <w:spacing w:after="0" w:line="113" w:lineRule="exact"/>
        <w:rPr>
          <w:rFonts w:ascii="Times New Roman" w:cs="Times New Roman" w:eastAsia="Times New Roman" w:hAnsi="Times New Roman"/>
          <w:sz w:val="18"/>
          <w:szCs w:val="18"/>
          <w:color w:val="auto"/>
        </w:rPr>
      </w:pPr>
    </w:p>
    <w:p>
      <w:pPr>
        <w:ind w:left="1300" w:right="300" w:hanging="644"/>
        <w:spacing w:after="0" w:line="286" w:lineRule="auto"/>
        <w:tabs>
          <w:tab w:leader="none" w:pos="1295"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discussing the scope and results of the audits with our independent registered public accounting firm and reviewing, with management and that accounting firm, our interim and year-end operating results;</w:t>
      </w:r>
    </w:p>
    <w:p>
      <w:pPr>
        <w:spacing w:after="0" w:line="113" w:lineRule="exact"/>
        <w:rPr>
          <w:rFonts w:ascii="Times New Roman" w:cs="Times New Roman" w:eastAsia="Times New Roman" w:hAnsi="Times New Roman"/>
          <w:sz w:val="18"/>
          <w:szCs w:val="18"/>
          <w:color w:val="auto"/>
        </w:rPr>
      </w:pPr>
    </w:p>
    <w:p>
      <w:pPr>
        <w:ind w:left="1300" w:right="80" w:hanging="644"/>
        <w:spacing w:after="0" w:line="286" w:lineRule="auto"/>
        <w:tabs>
          <w:tab w:leader="none" w:pos="1295"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12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the adequacy of our internal control over financial reporting;</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183" w:lineRule="exact"/>
        <w:rPr>
          <w:rFonts w:ascii="Times New Roman" w:cs="Times New Roman" w:eastAsia="Times New Roman" w:hAnsi="Times New Roman"/>
          <w:sz w:val="18"/>
          <w:szCs w:val="18"/>
          <w:color w:val="auto"/>
        </w:rPr>
      </w:pPr>
    </w:p>
    <w:p>
      <w:pPr>
        <w:ind w:left="1300" w:right="120" w:hanging="644"/>
        <w:spacing w:after="0" w:line="286" w:lineRule="auto"/>
        <w:tabs>
          <w:tab w:leader="none" w:pos="1295"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monitoring our compliance with legal and regulatory requirements as they relate to our financial statements and accounting matters;</w:t>
      </w:r>
    </w:p>
    <w:p>
      <w:pPr>
        <w:spacing w:after="0" w:line="126" w:lineRule="exact"/>
        <w:rPr>
          <w:rFonts w:ascii="Times New Roman" w:cs="Times New Roman" w:eastAsia="Times New Roman" w:hAnsi="Times New Roman"/>
          <w:sz w:val="18"/>
          <w:szCs w:val="18"/>
          <w:color w:val="auto"/>
        </w:rPr>
      </w:pPr>
    </w:p>
    <w:p>
      <w:pPr>
        <w:ind w:left="1300" w:right="640" w:hanging="644"/>
        <w:spacing w:after="0" w:line="286" w:lineRule="auto"/>
        <w:tabs>
          <w:tab w:leader="none" w:pos="1295"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overseeing all matters related to the Company’s program, policies, and procedures related to information technology systems, data protection and cyber security;</w:t>
      </w:r>
    </w:p>
    <w:p>
      <w:pPr>
        <w:spacing w:after="0" w:line="11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the adequacy and effectiveness of our disclosure controls and procedures;</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preparing the Audit Committee report required by the rules of the SEC to be included in our annual proxy statement; and</w:t>
      </w:r>
    </w:p>
    <w:p>
      <w:pPr>
        <w:spacing w:after="0" w:line="19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all related party transactions for potential conflict of interest situations and approving all such transactions.</w:t>
      </w:r>
    </w:p>
    <w:p>
      <w:pPr>
        <w:spacing w:after="0" w:line="224" w:lineRule="exact"/>
        <w:rPr>
          <w:sz w:val="20"/>
          <w:szCs w:val="20"/>
          <w:color w:val="auto"/>
        </w:rPr>
      </w:pPr>
    </w:p>
    <w:p>
      <w:pPr>
        <w:ind w:right="380" w:firstLine="486"/>
        <w:spacing w:after="0" w:line="287" w:lineRule="auto"/>
        <w:rPr>
          <w:sz w:val="20"/>
          <w:szCs w:val="20"/>
          <w:color w:val="auto"/>
        </w:rPr>
      </w:pPr>
      <w:r>
        <w:rPr>
          <w:rFonts w:ascii="Arial" w:cs="Arial" w:eastAsia="Arial" w:hAnsi="Arial"/>
          <w:sz w:val="18"/>
          <w:szCs w:val="18"/>
          <w:color w:val="auto"/>
        </w:rPr>
        <w:t>The Audit Committee has the sole authority, at its discretion, to engage independent counsel and other advisors as the committee deems necessary to carry out its duties.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Compensation Committee</w:t>
      </w:r>
    </w:p>
    <w:p>
      <w:pPr>
        <w:spacing w:after="0" w:line="223"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Our Compensation Committee is composed of Dr. Kosecoff, Ms. McCarthy and Mr. Vorhoff, with Dr. Kosecoff serving as chair of the committee. All members of our Compensation Committee are independent as defined by Section 10(c) of the Exchange Act, Rule 10C under the Exchange Act and the applicable Nasdaq rules.</w:t>
      </w:r>
    </w:p>
    <w:p>
      <w:pPr>
        <w:spacing w:after="0" w:line="130" w:lineRule="exact"/>
        <w:rPr>
          <w:sz w:val="20"/>
          <w:szCs w:val="20"/>
          <w:color w:val="auto"/>
        </w:rPr>
      </w:pPr>
    </w:p>
    <w:p>
      <w:pPr>
        <w:ind w:right="780" w:firstLine="486"/>
        <w:spacing w:after="0" w:line="287" w:lineRule="auto"/>
        <w:rPr>
          <w:sz w:val="20"/>
          <w:szCs w:val="20"/>
          <w:color w:val="auto"/>
        </w:rPr>
      </w:pPr>
      <w:r>
        <w:rPr>
          <w:rFonts w:ascii="Arial" w:cs="Arial" w:eastAsia="Arial" w:hAnsi="Arial"/>
          <w:sz w:val="18"/>
          <w:szCs w:val="18"/>
          <w:color w:val="auto"/>
        </w:rPr>
        <w:t>The written charter for our Compensation Committee is available on the investor relations section of our corporate website at https://ir.alignmenthealth.com/. The Compensation Committee’s responsibilities include:</w:t>
      </w:r>
    </w:p>
    <w:p>
      <w:pPr>
        <w:spacing w:after="0" w:line="112"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annually reviewing and approving corporate goals and objectives relevant to the compensation of our executive officers;</w:t>
      </w:r>
    </w:p>
    <w:p>
      <w:pPr>
        <w:spacing w:after="0" w:line="197" w:lineRule="exact"/>
        <w:rPr>
          <w:rFonts w:ascii="Times New Roman" w:cs="Times New Roman" w:eastAsia="Times New Roman" w:hAnsi="Times New Roman"/>
          <w:sz w:val="18"/>
          <w:szCs w:val="18"/>
          <w:color w:val="auto"/>
        </w:rPr>
      </w:pPr>
    </w:p>
    <w:p>
      <w:pPr>
        <w:ind w:left="1300" w:right="380" w:hanging="644"/>
        <w:spacing w:after="0" w:line="286" w:lineRule="auto"/>
        <w:tabs>
          <w:tab w:leader="none" w:pos="1295"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evaluating the performance of our executive officers in light of such corporate goals and objectives and determining and approving the compensation of our executive officers;</w:t>
      </w:r>
    </w:p>
    <w:p>
      <w:pPr>
        <w:spacing w:after="0" w:line="113" w:lineRule="exact"/>
        <w:rPr>
          <w:rFonts w:ascii="Times New Roman" w:cs="Times New Roman" w:eastAsia="Times New Roman" w:hAnsi="Times New Roman"/>
          <w:sz w:val="18"/>
          <w:szCs w:val="18"/>
          <w:color w:val="auto"/>
        </w:rPr>
      </w:pPr>
    </w:p>
    <w:p>
      <w:pPr>
        <w:ind w:left="1300" w:right="280" w:hanging="644"/>
        <w:spacing w:after="0" w:line="286" w:lineRule="auto"/>
        <w:tabs>
          <w:tab w:leader="none" w:pos="1295"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conducting the independence assessment outlined in applicable rules with respect to any compensation consultant, legal counsel or other advisor retained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5" w:name="page36"/>
    <w:bookmarkEnd w:id="35"/>
    <w:p>
      <w:pPr>
        <w:spacing w:after="0" w:line="153"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overseeing and administering our compensation and similar plans;</w:t>
      </w:r>
    </w:p>
    <w:p>
      <w:pPr>
        <w:spacing w:after="0" w:line="19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making recommendations to our Board with respect to director compensation; and</w:t>
      </w:r>
    </w:p>
    <w:p>
      <w:pPr>
        <w:spacing w:after="0" w:line="183" w:lineRule="exact"/>
        <w:rPr>
          <w:rFonts w:ascii="Times New Roman" w:cs="Times New Roman" w:eastAsia="Times New Roman" w:hAnsi="Times New Roman"/>
          <w:sz w:val="18"/>
          <w:szCs w:val="18"/>
          <w:color w:val="auto"/>
        </w:rPr>
      </w:pPr>
    </w:p>
    <w:p>
      <w:pPr>
        <w:ind w:left="1300" w:right="440" w:hanging="644"/>
        <w:spacing w:after="0" w:line="286" w:lineRule="auto"/>
        <w:tabs>
          <w:tab w:leader="none" w:pos="1295"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discussing with management the compensation discussion and analysis and other compensation-related disclosure to be included in our annual proxy statement or Annual Report on Form 10-K.</w:t>
      </w:r>
    </w:p>
    <w:p>
      <w:pPr>
        <w:spacing w:after="0" w:line="154"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Compensation Committee has the sole authority, at its discretion, to retain and terminate compensation consultants to assist in the evaluation of director or executive officer compensation and the sole authority to approve the fees and other retention terms of such compensation consultants. The Compensation Committee may also retain independent counsel and other independent advisors to assist it in carrying out its responsibilities.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Nominating, Corporate Governance and Compliance Committee</w:t>
      </w:r>
    </w:p>
    <w:p>
      <w:pPr>
        <w:spacing w:after="0" w:line="183" w:lineRule="exact"/>
        <w:rPr>
          <w:sz w:val="20"/>
          <w:szCs w:val="20"/>
          <w:color w:val="auto"/>
        </w:rPr>
      </w:pPr>
    </w:p>
    <w:p>
      <w:pPr>
        <w:ind w:right="440" w:firstLine="405"/>
        <w:spacing w:after="0" w:line="287" w:lineRule="auto"/>
        <w:rPr>
          <w:sz w:val="20"/>
          <w:szCs w:val="20"/>
          <w:color w:val="auto"/>
        </w:rPr>
      </w:pPr>
      <w:r>
        <w:rPr>
          <w:rFonts w:ascii="Arial" w:cs="Arial" w:eastAsia="Arial" w:hAnsi="Arial"/>
          <w:sz w:val="18"/>
          <w:szCs w:val="18"/>
          <w:color w:val="auto"/>
        </w:rPr>
        <w:t>Our NCGCC is composed of Mr. Hodgson, Dr. Kosecoff and Dr. McClellan, with Mr. Hodgson serving as chair of the committee. All members of our NCGCC are independent as defined by applicable Nasdaq rules.</w:t>
      </w:r>
    </w:p>
    <w:p>
      <w:pPr>
        <w:spacing w:after="0" w:line="126" w:lineRule="exact"/>
        <w:rPr>
          <w:sz w:val="20"/>
          <w:szCs w:val="20"/>
          <w:color w:val="auto"/>
        </w:rPr>
      </w:pPr>
    </w:p>
    <w:p>
      <w:pPr>
        <w:ind w:right="2380" w:firstLine="405"/>
        <w:spacing w:after="0" w:line="287" w:lineRule="auto"/>
        <w:rPr>
          <w:sz w:val="20"/>
          <w:szCs w:val="20"/>
          <w:color w:val="auto"/>
        </w:rPr>
      </w:pPr>
      <w:r>
        <w:rPr>
          <w:rFonts w:ascii="Arial" w:cs="Arial" w:eastAsia="Arial" w:hAnsi="Arial"/>
          <w:sz w:val="18"/>
          <w:szCs w:val="18"/>
          <w:color w:val="auto"/>
        </w:rPr>
        <w:t>The written charter for our NCGCC is available at the investor relations section of our corporate website at https://ir.alignmenthealth.com/. The NCGCC’s responsibilities include:</w:t>
      </w:r>
    </w:p>
    <w:p>
      <w:pPr>
        <w:spacing w:after="0" w:line="112"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and recommending to our Board criteria for board and committee membership;</w:t>
      </w:r>
    </w:p>
    <w:p>
      <w:pPr>
        <w:spacing w:after="0" w:line="183" w:lineRule="exact"/>
        <w:rPr>
          <w:rFonts w:ascii="Times New Roman" w:cs="Times New Roman" w:eastAsia="Times New Roman" w:hAnsi="Times New Roman"/>
          <w:sz w:val="18"/>
          <w:szCs w:val="18"/>
          <w:color w:val="auto"/>
        </w:rPr>
      </w:pPr>
    </w:p>
    <w:p>
      <w:pPr>
        <w:ind w:left="1300" w:right="20" w:hanging="644"/>
        <w:spacing w:after="0" w:line="286" w:lineRule="auto"/>
        <w:tabs>
          <w:tab w:leader="none" w:pos="1295"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the rights of the Lead Sponsor under the Stockholders Agreement, identifying and recommending to our Board the persons to be nominated for election as directors and to each of our Board’s committees;</w:t>
      </w:r>
    </w:p>
    <w:p>
      <w:pPr>
        <w:spacing w:after="0" w:line="12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and recommending to our Board best practices and corporate governance principles;</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recommending to our Board the functions, duties and compositions of the committees of our Board;</w:t>
      </w:r>
    </w:p>
    <w:p>
      <w:pPr>
        <w:spacing w:after="0" w:line="183" w:lineRule="exact"/>
        <w:rPr>
          <w:rFonts w:ascii="Times New Roman" w:cs="Times New Roman" w:eastAsia="Times New Roman" w:hAnsi="Times New Roman"/>
          <w:sz w:val="18"/>
          <w:szCs w:val="18"/>
          <w:color w:val="auto"/>
        </w:rPr>
      </w:pPr>
    </w:p>
    <w:p>
      <w:pPr>
        <w:ind w:left="1300" w:right="240" w:hanging="644"/>
        <w:spacing w:after="0" w:line="286" w:lineRule="auto"/>
        <w:tabs>
          <w:tab w:leader="none" w:pos="1295"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overseeing the Company’s major risk exposures, including financial, operational, privacy, security, business continuity and legal and regulatory risks and the Company’s risk assessment and risk management policies;</w:t>
      </w:r>
    </w:p>
    <w:p>
      <w:pPr>
        <w:spacing w:after="0" w:line="12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overseeing the Company’s strategy, initiatives, risks, opportunities and related reporting on material ESG matters;</w:t>
      </w:r>
    </w:p>
    <w:p>
      <w:pPr>
        <w:spacing w:after="0" w:line="183" w:lineRule="exact"/>
        <w:rPr>
          <w:rFonts w:ascii="Times New Roman" w:cs="Times New Roman" w:eastAsia="Times New Roman" w:hAnsi="Times New Roman"/>
          <w:sz w:val="18"/>
          <w:szCs w:val="18"/>
          <w:color w:val="auto"/>
        </w:rPr>
      </w:pPr>
    </w:p>
    <w:p>
      <w:pPr>
        <w:ind w:left="1300" w:right="60" w:hanging="644"/>
        <w:spacing w:after="0" w:line="286" w:lineRule="auto"/>
        <w:tabs>
          <w:tab w:leader="none" w:pos="1295"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overseeing the annual evaluation of the Board and its committees and reporting the results of such evaluation, including any recommendations for proposed changes, to the Board; and</w:t>
      </w:r>
    </w:p>
    <w:p>
      <w:pPr>
        <w:spacing w:after="0" w:line="113" w:lineRule="exact"/>
        <w:rPr>
          <w:rFonts w:ascii="Times New Roman" w:cs="Times New Roman" w:eastAsia="Times New Roman" w:hAnsi="Times New Roman"/>
          <w:sz w:val="18"/>
          <w:szCs w:val="18"/>
          <w:color w:val="auto"/>
        </w:rPr>
      </w:pPr>
    </w:p>
    <w:p>
      <w:pPr>
        <w:ind w:left="1300" w:right="360" w:hanging="644"/>
        <w:spacing w:after="0" w:line="286" w:lineRule="auto"/>
        <w:tabs>
          <w:tab w:leader="none" w:pos="1295"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overseeing compliance with the laws and regulations applicable to the Company’s business, including, without limitation, Centers for Medicare and Medicaid Services rules, fraud and abuse laws, and state health plan licensure requirements.</w:t>
      </w:r>
    </w:p>
    <w:p>
      <w:pPr>
        <w:spacing w:after="0" w:line="154" w:lineRule="exact"/>
        <w:rPr>
          <w:sz w:val="20"/>
          <w:szCs w:val="20"/>
          <w:color w:val="auto"/>
        </w:rPr>
      </w:pPr>
    </w:p>
    <w:p>
      <w:pPr>
        <w:ind w:right="80" w:firstLine="405"/>
        <w:spacing w:after="0" w:line="268" w:lineRule="auto"/>
        <w:rPr>
          <w:sz w:val="20"/>
          <w:szCs w:val="20"/>
          <w:color w:val="auto"/>
        </w:rPr>
      </w:pPr>
      <w:r>
        <w:rPr>
          <w:rFonts w:ascii="Arial" w:cs="Arial" w:eastAsia="Arial" w:hAnsi="Arial"/>
          <w:sz w:val="18"/>
          <w:szCs w:val="18"/>
          <w:color w:val="auto"/>
        </w:rPr>
        <w:t>The NCGCC has the sole authority, at its discretion, to retain and terminate any search firm to assist in the identification of director candidates and the sole authority to set the fees and other retention terms of such search firms. The committee may also retain independent counsel and other independent advisors to assist it in carrying out its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Board Oversight of Corporate Responsibility and Sustainable Business Practices</w:t>
      </w:r>
    </w:p>
    <w:p>
      <w:pPr>
        <w:spacing w:after="0" w:line="171"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Following the closing of our initial public offering (“IPO”) in March 2021, we began to more formally align our efforts with our long-standing commitment to operating in a responsible and sustainable manner that considers the interests of all our stakeholders. Our Board has formally designated our NCGCC with the responsibility for Board-level oversight of the Company’s practices related to corporate responsibility, sustainability reporting and stakeholder engagement. In addition, our executive management team established a steering committee to guide the integration of these efforts with our long-term business strategy.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Our Mission and Values</w:t>
      </w:r>
    </w:p>
    <w:p>
      <w:pPr>
        <w:spacing w:after="0" w:line="223" w:lineRule="exact"/>
        <w:rPr>
          <w:sz w:val="20"/>
          <w:szCs w:val="20"/>
          <w:color w:val="auto"/>
        </w:rPr>
      </w:pPr>
    </w:p>
    <w:p>
      <w:pPr>
        <w:ind w:right="620" w:firstLine="405"/>
        <w:spacing w:after="0" w:line="287" w:lineRule="auto"/>
        <w:rPr>
          <w:sz w:val="20"/>
          <w:szCs w:val="20"/>
          <w:color w:val="auto"/>
        </w:rPr>
      </w:pPr>
      <w:r>
        <w:rPr>
          <w:rFonts w:ascii="Arial" w:cs="Arial" w:eastAsia="Arial" w:hAnsi="Arial"/>
          <w:sz w:val="18"/>
          <w:szCs w:val="18"/>
          <w:color w:val="auto"/>
        </w:rPr>
        <w:t>Alignment Healthcare was founded in 2013 with one mission in mind: improving health care one senior at a time. We pursue this mission by relentlessly focusing on our core values:</w:t>
      </w:r>
    </w:p>
    <w:p>
      <w:pPr>
        <w:spacing w:after="0" w:line="11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put the senior first;</w:t>
      </w:r>
    </w:p>
    <w:p>
      <w:pPr>
        <w:spacing w:after="0" w:line="19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support the doctor;</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use data and technology to improve care; and</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lead with a serving heart.</w:t>
      </w:r>
    </w:p>
    <w:p>
      <w:pPr>
        <w:spacing w:after="0" w:line="22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created Alignment based on the frustrating experiences we had when our parents and other loved ones needed health care. We saw firsthand the complexity they faced as seniors attempting to navigate care delivery and insurance without an advocate to create an integrated consumer experience that provides holistic and quality care at an affordable price. Our parents and seniors across the country are systemically and disproportionately impacted by the absence of care coordination, poor information transparency and misaligned incentives that characterize the health care system.</w:t>
      </w:r>
    </w:p>
    <w:p>
      <w:pPr>
        <w:spacing w:after="0" w:line="17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Our team of highly experienced health care leaders created the Alignment model to incorporate the lessons we have learned over decades spent serving senior consumers. We believe that by combining our experienced, mission-driven team with purpose-built technology we have found a way to address the unmet needs of senior consumers and to do well by doing good. Our ultimate goal is to bring this differentiated, advocacy-driven health care experience to millions of senior consumers in the United States and to become the most trusted senior health care brand in the country.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Our Impact Focus: Serving People, Serving Consciously and Serving Responsibly</w:t>
      </w:r>
    </w:p>
    <w:p>
      <w:pPr>
        <w:spacing w:after="0" w:line="18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Our company name, Alignment Healthcare, reflects one of our founding principles: to align all stakeholders in the health care ecosystem around doing what is best for the senior. Our belief in the importance of alignment goes beyond our business model—we believe it’s the right thing to do. In order to achieve our mission and sustain business excellence, we approach each aspect of our business and operations with integrity, corporate responsibility, and ethics in mind to protect and enhance the interests of each of our stakeholders—every one of our seniors and their families, our regulatory constituents including CMS, our team of passionate employees and clinicians, our external provider and delivery system partners and our stockholders.</w:t>
      </w:r>
    </w:p>
    <w:p>
      <w:pPr>
        <w:spacing w:after="0" w:line="142" w:lineRule="exact"/>
        <w:rPr>
          <w:sz w:val="20"/>
          <w:szCs w:val="20"/>
          <w:color w:val="auto"/>
        </w:rPr>
      </w:pPr>
    </w:p>
    <w:p>
      <w:pPr>
        <w:ind w:right="180" w:firstLine="405"/>
        <w:spacing w:after="0" w:line="268" w:lineRule="auto"/>
        <w:rPr>
          <w:sz w:val="20"/>
          <w:szCs w:val="20"/>
          <w:color w:val="auto"/>
        </w:rPr>
      </w:pPr>
      <w:r>
        <w:rPr>
          <w:rFonts w:ascii="Arial" w:cs="Arial" w:eastAsia="Arial" w:hAnsi="Arial"/>
          <w:sz w:val="18"/>
          <w:szCs w:val="18"/>
          <w:color w:val="auto"/>
        </w:rPr>
        <w:t>We believe that proactively managing our impacts supports our mission and reflects our commitment to best serve the long-term interests of our stakeholders. It also promotes long-term value creation for our stockholders and other stakeholders. The three pillars to our approach are:</w:t>
      </w:r>
    </w:p>
    <w:p>
      <w:pPr>
        <w:spacing w:after="0" w:line="144" w:lineRule="exact"/>
        <w:rPr>
          <w:sz w:val="20"/>
          <w:szCs w:val="20"/>
          <w:color w:val="auto"/>
        </w:rPr>
      </w:pPr>
    </w:p>
    <w:p>
      <w:pPr>
        <w:ind w:left="1060" w:right="160" w:hanging="327"/>
        <w:spacing w:after="0" w:line="268" w:lineRule="auto"/>
        <w:tabs>
          <w:tab w:leader="none" w:pos="1055"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Serving People </w:t>
      </w:r>
      <w:r>
        <w:rPr>
          <w:rFonts w:ascii="Arial" w:cs="Arial" w:eastAsia="Arial" w:hAnsi="Arial"/>
          <w:sz w:val="18"/>
          <w:szCs w:val="18"/>
          <w:color w:val="auto"/>
        </w:rPr>
        <w:t>– We are committed to serving our members, health care providers, employees, caregivers and broader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communities. Our employees are our most valuable asset, and we are dedicated to creating an organization where they feel a sense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153" w:lineRule="exact"/>
        <w:rPr>
          <w:sz w:val="20"/>
          <w:szCs w:val="20"/>
          <w:color w:val="auto"/>
        </w:rPr>
      </w:pPr>
    </w:p>
    <w:p>
      <w:pPr>
        <w:ind w:left="1060" w:right="280"/>
        <w:spacing w:after="0" w:line="287" w:lineRule="auto"/>
        <w:rPr>
          <w:sz w:val="20"/>
          <w:szCs w:val="20"/>
          <w:color w:val="auto"/>
        </w:rPr>
      </w:pPr>
      <w:r>
        <w:rPr>
          <w:rFonts w:ascii="Arial" w:cs="Arial" w:eastAsia="Arial" w:hAnsi="Arial"/>
          <w:sz w:val="18"/>
          <w:szCs w:val="18"/>
          <w:color w:val="auto"/>
        </w:rPr>
        <w:t>engagement and belonging. See “</w:t>
      </w:r>
      <w:r>
        <w:rPr>
          <w:rFonts w:ascii="Arial" w:cs="Arial" w:eastAsia="Arial" w:hAnsi="Arial"/>
          <w:sz w:val="18"/>
          <w:szCs w:val="18"/>
          <w:i w:val="1"/>
          <w:iCs w:val="1"/>
          <w:color w:val="auto"/>
        </w:rPr>
        <w:t>—Human Resources</w:t>
      </w:r>
      <w:r>
        <w:rPr>
          <w:rFonts w:ascii="Arial" w:cs="Arial" w:eastAsia="Arial" w:hAnsi="Arial"/>
          <w:sz w:val="18"/>
          <w:szCs w:val="18"/>
          <w:color w:val="auto"/>
        </w:rPr>
        <w:t>” below. We work together and put our members first in everything we do, and we strive to support our health care providers with the tools and resources needed to provide the best care.</w:t>
      </w:r>
    </w:p>
    <w:p>
      <w:pPr>
        <w:spacing w:after="0" w:line="126" w:lineRule="exact"/>
        <w:rPr>
          <w:sz w:val="20"/>
          <w:szCs w:val="20"/>
          <w:color w:val="auto"/>
        </w:rPr>
      </w:pPr>
    </w:p>
    <w:p>
      <w:pPr>
        <w:ind w:left="1060" w:right="840" w:hanging="327"/>
        <w:spacing w:after="0" w:line="286" w:lineRule="auto"/>
        <w:tabs>
          <w:tab w:leader="none" w:pos="1055"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Serving Consciously </w:t>
      </w:r>
      <w:r>
        <w:rPr>
          <w:rFonts w:ascii="Arial" w:cs="Arial" w:eastAsia="Arial" w:hAnsi="Arial"/>
          <w:sz w:val="18"/>
          <w:szCs w:val="18"/>
          <w:color w:val="auto"/>
        </w:rPr>
        <w:t>– Our company is focused on understanding and improving our carbon footprint to mitigate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impact as well as expanding telehealth and supporting hybrid and remote work.</w:t>
      </w:r>
    </w:p>
    <w:p>
      <w:pPr>
        <w:spacing w:after="0" w:line="113" w:lineRule="exact"/>
        <w:rPr>
          <w:rFonts w:ascii="Times New Roman" w:cs="Times New Roman" w:eastAsia="Times New Roman" w:hAnsi="Times New Roman"/>
          <w:sz w:val="18"/>
          <w:szCs w:val="18"/>
          <w:color w:val="auto"/>
        </w:rPr>
      </w:pPr>
    </w:p>
    <w:p>
      <w:pPr>
        <w:ind w:left="1060" w:hanging="327"/>
        <w:spacing w:after="0" w:line="268" w:lineRule="auto"/>
        <w:tabs>
          <w:tab w:leader="none" w:pos="1055"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Serving Responsibly </w:t>
      </w:r>
      <w:r>
        <w:rPr>
          <w:rFonts w:ascii="Arial" w:cs="Arial" w:eastAsia="Arial" w:hAnsi="Arial"/>
          <w:sz w:val="18"/>
          <w:szCs w:val="18"/>
          <w:color w:val="auto"/>
        </w:rPr>
        <w:t>– We are committed to maintaining a high level of transparency and accountability across our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includes a strong and diverse mix of experienced business leaders and is committed to providing effective oversight of the Company’s activities.</w:t>
      </w:r>
    </w:p>
    <w:p>
      <w:pPr>
        <w:spacing w:after="0" w:line="12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Our aim is to continue fortifying each pillar and to operate with transparency in a way that always puts seniors first, and respects all people, communities and the environment.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Serving Seniors with Our Differentiated Model</w:t>
      </w:r>
    </w:p>
    <w:p>
      <w:pPr>
        <w:spacing w:after="0" w:line="183" w:lineRule="exact"/>
        <w:rPr>
          <w:sz w:val="20"/>
          <w:szCs w:val="20"/>
          <w:color w:val="auto"/>
        </w:rPr>
      </w:pPr>
    </w:p>
    <w:p>
      <w:pPr>
        <w:ind w:right="600" w:firstLine="405"/>
        <w:spacing w:after="0" w:line="268" w:lineRule="auto"/>
        <w:rPr>
          <w:sz w:val="20"/>
          <w:szCs w:val="20"/>
          <w:color w:val="auto"/>
        </w:rPr>
      </w:pPr>
      <w:r>
        <w:rPr>
          <w:rFonts w:ascii="Arial" w:cs="Arial" w:eastAsia="Arial" w:hAnsi="Arial"/>
          <w:sz w:val="18"/>
          <w:szCs w:val="18"/>
          <w:color w:val="auto"/>
        </w:rPr>
        <w:t>Medicare Advantage allows one entity to influence the entirety of a senior’s health care experience through a singular, direct-to-consumer product. Our value of acting with a serving heart supports our efforts to drive the convergence between traditional Medicare Advantage benefits with social determinants of health and consumerism, ultimately for the long-term well-being of our seniors.</w:t>
      </w:r>
    </w:p>
    <w:p>
      <w:pPr>
        <w:spacing w:after="0" w:line="13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contract with CMS under the Medicare Advantage program to provide health insurance coverage to Medicare-eligible people in exchange for a payment per member per month ("PMPM"). The economic construct of the Medicare Advantage program is designed to reward plans that achieve the triple aim of high-quality care, low costs and a better experience. Under these value-based contracts, we assume the economic risk of funding our members’ health care, supplemental benefits and related administration costs. By transferring the economic risk to managed care companies like Alignment, CMS has enabled us to focus on proactive, cross-disciplinary care targeted at improving health outcomes and lowering unnecessary health care expenditures. Due to the competitive nature of CMS’s bidding system, only those plans that are able to provide low cost and high-quality outcomes will be able to offer enhanced benefit options, which is critical to achieving sustainable membership and growth on a long-term basis. This value-based business model capitalizes on health outcomes, not fees, and is designed to serve all members while emphasizing preventative care and benefits.</w:t>
      </w:r>
    </w:p>
    <w:p>
      <w:pPr>
        <w:spacing w:after="0" w:line="154"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We achieve our differentiated outcomes through the utilization of AVA®, our proprietary technology platform. AVA leverages a vast amount of data to curate insights which we use to allocate health resources to our members, driving the creation of an end-to-end, low-cost, high-quality care model. Our focus on driving clinical care through our employed clinical teams to high-risk members, while supporting and enabling preventive care through our network of providers for the remaining population, allows our value-based care model to optimize the utilization of resources and strengthen sustainability of our product offering. Our improved health outcomes allow us to provide individualized, supplemental benefits and products that meet the needs of our seniors, including critical-health support, transportation services, financial support for groceries and non-prescription products, and demographic-based and culturally relevant resources.</w:t>
      </w:r>
    </w:p>
    <w:p>
      <w:pPr>
        <w:spacing w:after="0" w:line="142" w:lineRule="exact"/>
        <w:rPr>
          <w:sz w:val="20"/>
          <w:szCs w:val="20"/>
          <w:color w:val="auto"/>
        </w:rPr>
      </w:pPr>
    </w:p>
    <w:p>
      <w:pPr>
        <w:ind w:right="380" w:firstLine="405"/>
        <w:spacing w:after="0" w:line="268" w:lineRule="auto"/>
        <w:rPr>
          <w:sz w:val="20"/>
          <w:szCs w:val="20"/>
          <w:color w:val="auto"/>
        </w:rPr>
      </w:pPr>
      <w:r>
        <w:rPr>
          <w:rFonts w:ascii="Arial" w:cs="Arial" w:eastAsia="Arial" w:hAnsi="Arial"/>
          <w:sz w:val="18"/>
          <w:szCs w:val="18"/>
          <w:color w:val="auto"/>
        </w:rPr>
        <w:t>The health outcomes of our members, due to our differentiated model, has resulted in approximately 93% of our members reporting their overall satisfaction with Alignment’s case management services, in addition to exceptional quality outcomes, including 41% lower inpatient admissions per thousand than traditional Medicare.*</w:t>
      </w:r>
    </w:p>
    <w:p>
      <w:pPr>
        <w:spacing w:after="0" w:line="140" w:lineRule="exact"/>
        <w:rPr>
          <w:sz w:val="20"/>
          <w:szCs w:val="20"/>
          <w:color w:val="auto"/>
        </w:rPr>
      </w:pPr>
    </w:p>
    <w:p>
      <w:pPr>
        <w:ind w:right="740" w:firstLine="413"/>
        <w:spacing w:after="0" w:line="305" w:lineRule="auto"/>
        <w:tabs>
          <w:tab w:leader="none" w:pos="501" w:val="left"/>
        </w:tabs>
        <w:numPr>
          <w:ilvl w:val="0"/>
          <w:numId w:val="28"/>
        </w:numPr>
        <w:rPr>
          <w:rFonts w:ascii="Arial" w:cs="Arial" w:eastAsia="Arial" w:hAnsi="Arial"/>
          <w:sz w:val="14"/>
          <w:szCs w:val="14"/>
          <w:color w:val="auto"/>
        </w:rPr>
      </w:pPr>
      <w:r>
        <w:rPr>
          <w:rFonts w:ascii="Arial" w:cs="Arial" w:eastAsia="Arial" w:hAnsi="Arial"/>
          <w:sz w:val="14"/>
          <w:szCs w:val="14"/>
          <w:color w:val="auto"/>
        </w:rPr>
        <w:t>2024 At-Risk member inpatient utilization relative to 2019 Medicare FFS inpatient utilization representative of Alignment’s population mix by county (based on membership as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Human Resources</w:t>
      </w:r>
    </w:p>
    <w:p>
      <w:pPr>
        <w:spacing w:after="0" w:line="223" w:lineRule="exact"/>
        <w:rPr>
          <w:sz w:val="20"/>
          <w:szCs w:val="20"/>
          <w:color w:val="auto"/>
        </w:rPr>
      </w:pPr>
    </w:p>
    <w:p>
      <w:pPr>
        <w:ind w:right="280" w:firstLine="405"/>
        <w:spacing w:after="0" w:line="262" w:lineRule="auto"/>
        <w:rPr>
          <w:sz w:val="20"/>
          <w:szCs w:val="20"/>
          <w:color w:val="auto"/>
        </w:rPr>
      </w:pPr>
      <w:r>
        <w:rPr>
          <w:rFonts w:ascii="Arial" w:cs="Arial" w:eastAsia="Arial" w:hAnsi="Arial"/>
          <w:sz w:val="18"/>
          <w:szCs w:val="18"/>
          <w:color w:val="auto"/>
        </w:rPr>
        <w:t>We are focused on building a company that is transforming health care by putting seniors first, and our employees are critical to our success. Our human capital strategy focuses on meeting business objectives by attracting, developing, engaging, and retaining a high-performing, diverse workforce. As of December 31, 2024, we had 1,679 full-time employees in addition to seasonal employees who assist with the Medicare annual enrollment period.</w:t>
      </w:r>
    </w:p>
    <w:p>
      <w:pPr>
        <w:spacing w:after="0" w:line="163" w:lineRule="exact"/>
        <w:rPr>
          <w:sz w:val="20"/>
          <w:szCs w:val="20"/>
          <w:color w:val="auto"/>
        </w:rPr>
      </w:pPr>
    </w:p>
    <w:p>
      <w:pPr>
        <w:ind w:right="320" w:firstLine="405"/>
        <w:spacing w:after="0"/>
        <w:rPr>
          <w:sz w:val="20"/>
          <w:szCs w:val="20"/>
          <w:color w:val="auto"/>
        </w:rPr>
      </w:pPr>
      <w:r>
        <w:rPr>
          <w:rFonts w:ascii="Arial" w:cs="Arial" w:eastAsia="Arial" w:hAnsi="Arial"/>
          <w:sz w:val="18"/>
          <w:szCs w:val="18"/>
          <w:color w:val="auto"/>
        </w:rPr>
        <w:t>Each year, we conduct an employee survey to further enhance employee engagement and productivity. We also implement rigorous employee training protocols to help ensure our teams operate with rigor, ethics and compliance in mind.</w:t>
      </w:r>
    </w:p>
    <w:p>
      <w:pPr>
        <w:spacing w:after="0" w:line="194" w:lineRule="exact"/>
        <w:rPr>
          <w:sz w:val="20"/>
          <w:szCs w:val="20"/>
          <w:color w:val="auto"/>
        </w:rPr>
      </w:pPr>
    </w:p>
    <w:p>
      <w:pPr>
        <w:ind w:right="100" w:firstLine="405"/>
        <w:spacing w:after="0" w:line="215" w:lineRule="auto"/>
        <w:rPr>
          <w:sz w:val="20"/>
          <w:szCs w:val="20"/>
          <w:color w:val="auto"/>
        </w:rPr>
      </w:pPr>
      <w:r>
        <w:rPr>
          <w:rFonts w:ascii="Arial" w:cs="Arial" w:eastAsia="Arial" w:hAnsi="Arial"/>
          <w:sz w:val="18"/>
          <w:szCs w:val="18"/>
          <w:color w:val="auto"/>
        </w:rPr>
        <w:t>We recognize that an inclusive workplace is crucial as we scale and build our high-performing team. All aspects of our inclusive culture continue to be embedded in each aspect of our processes, programs, and structures that drive our talent lifecycle: attraction, recruitment, onboarding, development, and retention efforts. Our efforts to recruit for excellence are reflected in the composition of our current employee</w:t>
      </w:r>
    </w:p>
    <w:p>
      <w:pPr>
        <w:spacing w:after="0" w:line="2" w:lineRule="exact"/>
        <w:rPr>
          <w:sz w:val="20"/>
          <w:szCs w:val="20"/>
          <w:color w:val="auto"/>
        </w:rPr>
      </w:pPr>
    </w:p>
    <w:p>
      <w:pPr>
        <w:ind w:right="580"/>
        <w:spacing w:after="0" w:line="229" w:lineRule="auto"/>
        <w:rPr>
          <w:sz w:val="20"/>
          <w:szCs w:val="20"/>
          <w:color w:val="auto"/>
        </w:rPr>
      </w:pPr>
      <w:r>
        <w:rPr>
          <w:rFonts w:ascii="Arial" w:cs="Arial" w:eastAsia="Arial" w:hAnsi="Arial"/>
          <w:sz w:val="18"/>
          <w:szCs w:val="18"/>
          <w:color w:val="auto"/>
        </w:rPr>
        <w:t>workforce and Board of Directors, which are comprised of a diverse group of highly qualified individuals that represent top talent in the industry. As of December 31, 2024:</w:t>
      </w:r>
    </w:p>
    <w:p>
      <w:pPr>
        <w:spacing w:after="0" w:line="303" w:lineRule="exact"/>
        <w:rPr>
          <w:sz w:val="20"/>
          <w:szCs w:val="20"/>
          <w:color w:val="auto"/>
        </w:rPr>
      </w:pPr>
    </w:p>
    <w:p>
      <w:pPr>
        <w:ind w:left="880" w:hanging="432"/>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74% of our employees were female</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64% of our employees were ethnically diverse</w:t>
      </w:r>
    </w:p>
    <w:p>
      <w:pPr>
        <w:spacing w:after="0" w:line="116"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20% of our executive team was ethnically diverse</w:t>
      </w:r>
    </w:p>
    <w:p>
      <w:pPr>
        <w:spacing w:after="0" w:line="116"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10% of our executive team was female</w:t>
      </w:r>
    </w:p>
    <w:p>
      <w:pPr>
        <w:spacing w:after="0" w:line="116"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22% of our Board of Directors was ethnically diverse</w:t>
      </w:r>
    </w:p>
    <w:p>
      <w:pPr>
        <w:spacing w:after="0" w:line="116"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44% of our Board of Directors was female</w:t>
      </w:r>
    </w:p>
    <w:p>
      <w:pPr>
        <w:spacing w:after="0" w:line="22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future success of our company will depend, in part, on our continued ability to attract, develop and retain the best talent as we grow and scale the organization. Our talent acquisition and management strategies are designed to ensure that we create and develop a pipeline of outstanding physicians, clinical employees, and business leaders. A key component of our corporate sustainability and success is learning and development. We are intentional in our efforts to provide all employees opportunities to grow. Our training and development programs for employees focus on enhancing and developing talent within the Company. All of our employees can access the training of their choice on-demand through our learning and development platform. We are currently designing additional training programs and resources for both new hires and longer-tenured employees that will educate them on critical functional areas within the organization.</w:t>
      </w:r>
    </w:p>
    <w:p>
      <w:pPr>
        <w:spacing w:after="0" w:line="188"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Our compensation and incentive plans are designed to attract, retain and reward employees by granting cash-based performance and stock-based awards. By motivating individuals to achieve business objectives and perform to the best of their abilities, they support the success of the Company and the increase of stockholder value. We also provide comprehensive medical benefits, a positive work/life balance, generous paid time off, and health and wellness programs. We regularly evaluate each aspect of compensation and benefits to ensure they align with the market and our peers.</w:t>
      </w:r>
    </w:p>
    <w:p>
      <w:pPr>
        <w:spacing w:after="0" w:line="206" w:lineRule="exact"/>
        <w:rPr>
          <w:sz w:val="20"/>
          <w:szCs w:val="20"/>
          <w:color w:val="auto"/>
        </w:rPr>
      </w:pPr>
    </w:p>
    <w:p>
      <w:pPr>
        <w:ind w:right="260" w:firstLine="405"/>
        <w:spacing w:after="0" w:line="268" w:lineRule="auto"/>
        <w:rPr>
          <w:sz w:val="20"/>
          <w:szCs w:val="20"/>
          <w:color w:val="auto"/>
        </w:rPr>
      </w:pPr>
      <w:r>
        <w:rPr>
          <w:rFonts w:ascii="Arial" w:cs="Arial" w:eastAsia="Arial" w:hAnsi="Arial"/>
          <w:sz w:val="18"/>
          <w:szCs w:val="18"/>
          <w:color w:val="auto"/>
        </w:rPr>
        <w:t>Our current workforce model embraces working in a hybrid-remote fashion. Our workforce strategy enhances our ability to attract the best talent nationally, allowing us to serve our members where they live and continue to provide our employees with a healthy work-life balance.</w:t>
      </w:r>
    </w:p>
    <w:p>
      <w:pPr>
        <w:spacing w:after="0" w:line="198" w:lineRule="exact"/>
        <w:rPr>
          <w:sz w:val="20"/>
          <w:szCs w:val="20"/>
          <w:color w:val="auto"/>
        </w:rPr>
      </w:pPr>
    </w:p>
    <w:p>
      <w:pPr>
        <w:jc w:val="both"/>
        <w:ind w:right="420" w:firstLine="405"/>
        <w:spacing w:after="0" w:line="268" w:lineRule="auto"/>
        <w:rPr>
          <w:sz w:val="20"/>
          <w:szCs w:val="20"/>
          <w:color w:val="auto"/>
        </w:rPr>
      </w:pPr>
      <w:r>
        <w:rPr>
          <w:rFonts w:ascii="Arial" w:cs="Arial" w:eastAsia="Arial" w:hAnsi="Arial"/>
          <w:sz w:val="18"/>
          <w:szCs w:val="18"/>
          <w:color w:val="auto"/>
        </w:rPr>
        <w:t>Our Board of Directors believes that human capital management is an essential component of our continued growth and success. Management regularly reports to our Board for input on important decisions related to human capital, including corporate culture, safety, compliance, talent management, organizational development, compensation, and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Protecting Data Privacy</w:t>
      </w:r>
    </w:p>
    <w:p>
      <w:pPr>
        <w:spacing w:after="0" w:line="223"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auto"/>
        </w:rPr>
        <w:t>As we are a company that leverages data, technology and analytics to improve health care, we invest in long-term solutions to address current and foreseeable risks and threats to data security and privacy, while also enabling technological development that enhances the member experience. We recognize the critical importance of developing, implementing, and maintaining robust cybersecurity measures to safeguard our information systems and protect the confidentiality, integrity, and availability of our data.</w:t>
      </w:r>
    </w:p>
    <w:p>
      <w:pPr>
        <w:spacing w:after="0" w:line="203"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We have designed and deployed a comprehensive cybersecurity risk management program that is embedded in our broader risk management framework, all of which is overseen by our Board of Directors. Our program is designed to include ongoing assessment of our critical assets; detection and analysis of potential threats; timely management of identified security risks; and prompt remediation planning and implementation. To successfully operate and monitor our security readiness, we maintain a data security and privacy team with substantial real-world experience to detect and respond to cybersecurity threats. Our multi-layered security is bolstered by technologies and partners and includes annual employee and vendor security awareness trainings, enhanced access control, data loss protection and vulnerability management, among other technical and process security controls. Our proprietary data architecture, AVA, incorporates high security controls around member data. Our information security program considers how attackers are using emerging technologies (such as artificial intelligence) to help inform our defensive tactics. Our team also regularly reviews emerging product technology to improve our capabilities.</w:t>
      </w:r>
    </w:p>
    <w:p>
      <w:pPr>
        <w:spacing w:after="0" w:line="185"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Our data security and privacy program is overseen by our Chief Information Security Officer, who is responsible for the prevention, detection, mitigation, and remediation of cybersecurity incidents and reports to our Chief Information Officer and Audit Committee of the Board. Our Chief Information Security Officer has served in that role since December 2022, has over 26 years of diverse leadership experience in the health care information space (including over 20 years as a certified information systems security professional and chief information security officer) and holds advanced degrees in information technology management and computer science. The CISO is continually informed about the latest developments in cybersecurity, including potential threats and innovative risk management techniques. The CISO implements and oversees processes for the regular monitoring of our information systems. This includes the deployment of advanced security measures and regular system audits to identify potential vulnerabilities. In the event of a cybersecurity incident, the CISO is equipped with a well-defined incident response plan. This plan includes immediate actions to mitigate the impact and long-term strategies for remediation and prevention of future incidents.</w:t>
      </w:r>
    </w:p>
    <w:p>
      <w:pPr>
        <w:spacing w:after="0" w:line="18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In 2021, we received the externally validated HITRUST certification, the gold standard compliance framework in the health care industry. Through our data security and privacy program and policies, we adhere to the requirements of the Health Insurance Portability and Accountability Act of 1996 (HIPAA), other federal regulations and best practices within the health care industry. Moreover, our risk analysis methodology is consistent with ISO 27001, the Federal Information Security Management Act and the U.S. Department of Commerce National Institute of Standards and Technology and Center for Internet Security Special Publication 800-66.</w:t>
      </w:r>
    </w:p>
    <w:p>
      <w:pPr>
        <w:spacing w:after="0" w:line="206" w:lineRule="exact"/>
        <w:rPr>
          <w:sz w:val="20"/>
          <w:szCs w:val="20"/>
          <w:color w:val="auto"/>
        </w:rPr>
      </w:pPr>
    </w:p>
    <w:p>
      <w:pPr>
        <w:ind w:right="460" w:firstLine="405"/>
        <w:spacing w:after="0" w:line="268" w:lineRule="auto"/>
        <w:rPr>
          <w:sz w:val="20"/>
          <w:szCs w:val="20"/>
          <w:color w:val="auto"/>
        </w:rPr>
      </w:pPr>
      <w:r>
        <w:rPr>
          <w:rFonts w:ascii="Arial" w:cs="Arial" w:eastAsia="Arial" w:hAnsi="Arial"/>
          <w:sz w:val="18"/>
          <w:szCs w:val="18"/>
          <w:color w:val="auto"/>
        </w:rPr>
        <w:t>Our strict protection and security measures have resulted in zero security incident-related disruptions or downtime to our business continuity. However, there is no guarantee that a future security incident would not materially affect our business strategy, results of operations or financial condition.</w:t>
      </w:r>
    </w:p>
    <w:p>
      <w:pPr>
        <w:spacing w:after="0" w:line="198"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Our information security program is under nearly constant third-party review as part of Sarbanes-Oxley compliance and the HITRUST certification process, including independent third-party penetration testing of all information technology assets at least annually and assessment of our vulnerability to ransomware. Multiple industry-standard third-party tools are utilized to detect vulnerabilities. Alignment is a member of the Healthcare Information Sharing and Analysis Center (Health-ISAC) operated by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0" w:name="page41"/>
    <w:bookmarkEnd w:id="40"/>
    <w:p>
      <w:pPr>
        <w:ind w:right="20"/>
        <w:spacing w:after="0" w:line="268" w:lineRule="auto"/>
        <w:rPr>
          <w:sz w:val="20"/>
          <w:szCs w:val="20"/>
          <w:color w:val="auto"/>
        </w:rPr>
      </w:pPr>
      <w:r>
        <w:rPr>
          <w:rFonts w:ascii="Arial" w:cs="Arial" w:eastAsia="Arial" w:hAnsi="Arial"/>
          <w:sz w:val="18"/>
          <w:szCs w:val="18"/>
          <w:color w:val="auto"/>
        </w:rPr>
        <w:t>Department of Health and Human Services and the Department of Homeland Security and is affiliated with the FBI InfraGard program, providing deep, actionable intelligence regarding health care security and privacy threats and countermeasures. We continuously monitor the Health-ISAC reporting to anticipate and respond to potential threats.</w:t>
      </w:r>
    </w:p>
    <w:p>
      <w:pPr>
        <w:spacing w:after="0" w:line="198" w:lineRule="exact"/>
        <w:rPr>
          <w:sz w:val="20"/>
          <w:szCs w:val="20"/>
          <w:color w:val="auto"/>
        </w:rPr>
      </w:pPr>
    </w:p>
    <w:p>
      <w:pPr>
        <w:ind w:right="380" w:firstLine="405"/>
        <w:spacing w:after="0" w:line="259" w:lineRule="auto"/>
        <w:rPr>
          <w:sz w:val="20"/>
          <w:szCs w:val="20"/>
          <w:color w:val="auto"/>
        </w:rPr>
      </w:pPr>
      <w:r>
        <w:rPr>
          <w:rFonts w:ascii="Arial" w:cs="Arial" w:eastAsia="Arial" w:hAnsi="Arial"/>
          <w:sz w:val="18"/>
          <w:szCs w:val="18"/>
          <w:color w:val="auto"/>
        </w:rPr>
        <w:t>We rely on third-party vendors to provide supplemental benefits to our members and for a variety of other key business functions. Accordingly, our vendor onboarding process includes a comprehensive security assessment. Moreover, at least quarterly, we assess the risks from cybersecurity threats relating to each of our member-facing and other key third-party service providers with whom we share protected health information, personal identifying information and confidential information. We generally require our suppliers to adopt security-control principles based on industry-recognized standards and we seek audit rights over their security protocols.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Stockholder Engagement</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are committed to effective corporate governance that is designed to promote the long-term interests of our stockholders. We proactively engage with stockholders and other stakeholders throughout the year to learn more about their perspectives on significant issues, including company performance and strategy, executive compensation and governance matters. This engagement helps us better understand stockholder priorities, gives us an opportunity to elaborate upon our initiatives and practices, and fosters constructive dialogue. Our senior management and investor relations teams maintain regular contact with a broad base of investors through quarterly earnings calls, investor conferences and roundtables and individual meetings. We take feedback and insights from our engagement with stockholders and other stakeholders into consideration as we review and evolve our practices and disclosures, and share this feedback with our Board, as appropriate. Our Lead Sponsor, our largest stockholder, is represented by directors they have nominated to serve on our Board. See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Board Composition and Director Independence</w:t>
      </w:r>
      <w:r>
        <w:rPr>
          <w:rFonts w:ascii="Arial" w:cs="Arial" w:eastAsia="Arial" w:hAnsi="Arial"/>
          <w:sz w:val="18"/>
          <w:szCs w:val="18"/>
          <w:color w:val="auto"/>
        </w:rPr>
        <w:t>”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Family Relationships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family relationships between any of our executive officers or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Compensation Committee Interlocks and Insider Participation</w:t>
      </w:r>
    </w:p>
    <w:p>
      <w:pPr>
        <w:spacing w:after="0" w:line="185"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Our Compensation Committee is composed of Dr. Kosecoff, Ms. McCarthy and Mr. Vorhoff. None of the directors who served on our Compensation Committee at any time during fiscal 2024 were officers or associates of the Company or were former officers or associates of the Company. Further, none of the members who served on our Compensation Committee at any time during fiscal 2024 had any relationship with our Company requiring disclosure under the section of this proxy statement entitled “</w:t>
      </w:r>
      <w:r>
        <w:rPr>
          <w:rFonts w:ascii="Arial" w:cs="Arial" w:eastAsia="Arial" w:hAnsi="Arial"/>
          <w:sz w:val="18"/>
          <w:szCs w:val="18"/>
          <w:i w:val="1"/>
          <w:iCs w:val="1"/>
          <w:color w:val="auto"/>
        </w:rPr>
        <w:t>Certain Relationships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Party Transactions</w:t>
      </w:r>
      <w:r>
        <w:rPr>
          <w:rFonts w:ascii="Arial" w:cs="Arial" w:eastAsia="Arial" w:hAnsi="Arial"/>
          <w:sz w:val="18"/>
          <w:szCs w:val="18"/>
          <w:color w:val="auto"/>
        </w:rPr>
        <w:t>.”</w:t>
      </w:r>
    </w:p>
    <w:p>
      <w:pPr>
        <w:spacing w:after="0" w:line="152" w:lineRule="exact"/>
        <w:rPr>
          <w:sz w:val="20"/>
          <w:szCs w:val="20"/>
          <w:color w:val="auto"/>
        </w:rPr>
      </w:pPr>
    </w:p>
    <w:p>
      <w:pPr>
        <w:ind w:right="840" w:firstLine="441"/>
        <w:spacing w:after="0" w:line="318" w:lineRule="auto"/>
        <w:rPr>
          <w:sz w:val="20"/>
          <w:szCs w:val="20"/>
          <w:color w:val="auto"/>
        </w:rPr>
      </w:pPr>
      <w:r>
        <w:rPr>
          <w:rFonts w:ascii="Arial" w:cs="Arial" w:eastAsia="Arial" w:hAnsi="Arial"/>
          <w:sz w:val="17"/>
          <w:szCs w:val="17"/>
          <w:color w:val="auto"/>
        </w:rPr>
        <w:t>None of our executive officers currently serves, or in the past fiscal year has served, as a member of the board of directors or compensation committee of any entity that has one or more executive officers serving on our Board or Compensation Committee.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Code of Business Conduct and Ethics</w:t>
      </w:r>
    </w:p>
    <w:p>
      <w:pPr>
        <w:spacing w:after="0" w:line="117"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We adopted a written code of business conduct and ethics that applies to our directors, executive officers and employees, including our principal executive officer, principal financial officer, principal accounting officer or controller, or persons performing similar functions. A current copy of the code is posted on the investor relations section of our corporate website at https://ir.alignmenthealth.com/. To the extent required by applicable rules adopted by the SEC and Nasdaq, we intend to disclose future amendments to certain provisions of the code, or waivers of such provisions granted to executive officers and directors, in this location on our website at https://ir.alignmenthealth.com/.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1" w:name="page42"/>
    <w:bookmarkEnd w:id="41"/>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Insider Trading Policy; Hedging and Other Transactions</w:t>
      </w:r>
    </w:p>
    <w:p>
      <w:pPr>
        <w:spacing w:after="0" w:line="225"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Our Insider Trading Policy prohibits all officers, directors, employees, family members and affiliated parties from buying, selling or engaging in transactions in our securities at any time while aware of material non-public information about the Company. It also prohibits them from disclosing material non-public information to persons outside the Company, i.e., “tipping.” These prohibitions apply to purchases and sales, as well as other types of transactions such as gifts, loans, contributions to a trust and broker-assisted cashless exercises of stock options.</w:t>
      </w:r>
    </w:p>
    <w:p>
      <w:pPr>
        <w:spacing w:after="0" w:line="179"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Although we discourage speculative hedging transactions, under our Insider Trading Policy, we permit long-term hedging transactions that are designed to protect an individual’s investment in Company securities (i.e., the hedge must be for at least six months and relate to stock or options held by the individual). If an employee wishes to engage in any such transaction, the employee is required to pre-clear it in accordance with the procedures described in our Insider Trading Policy (even if the employee is not one of the persons otherwise required to submit his or her transaction in Company securities to pre-clearance). Alignment personnel and related parties are prohibited from purchasing Company securities on margin, pledging or otherwise granting a security interest in Company securities in margin accounts, engaging in short-sales and buying or selling puts, calls, options or other derivatives in respect of securities of the Company. We believe our Insider Trading Policy, and the processes we have implemented for the Company, are reasonably designed to promote compliance with applicable insider trading laws, rules and regulations and listing standards. The foregoing summary of our Insider Trading Policy is qualified in its entirety by reference to the full text of the Insider Trading Policy, which was filed as Exhibit 19 to our Annual Report on Form 10-K for the fiscal year ended December 31, 2024,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2" w:name="page43"/>
    <w:bookmarkEnd w:id="42"/>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Board Evaluation Practices</w:t>
      </w:r>
    </w:p>
    <w:p>
      <w:pPr>
        <w:spacing w:after="0" w:line="225" w:lineRule="exact"/>
        <w:rPr>
          <w:sz w:val="20"/>
          <w:szCs w:val="20"/>
          <w:color w:val="auto"/>
        </w:rPr>
      </w:pPr>
    </w:p>
    <w:p>
      <w:pPr>
        <w:ind w:right="40" w:firstLine="401"/>
        <w:spacing w:after="0" w:line="256" w:lineRule="auto"/>
        <w:rPr>
          <w:sz w:val="20"/>
          <w:szCs w:val="20"/>
          <w:color w:val="auto"/>
        </w:rPr>
      </w:pPr>
      <w:r>
        <w:rPr>
          <w:rFonts w:ascii="Arial" w:cs="Arial" w:eastAsia="Arial" w:hAnsi="Arial"/>
          <w:sz w:val="18"/>
          <w:szCs w:val="18"/>
          <w:color w:val="auto"/>
        </w:rPr>
        <w:t>The Board is committed to a rigorous self-evaluation process. Through evaluation, directors annually review the Board’s performance, including areas where the Board feels it functions effectively, and most importantly, areas where the Board can improve. The NCGCC, with additional leadership from our Chairman and Lead Independent Director, initiates the annual Board evaluation process. We believe that having a review process for the Board and each committee helps to (i) ensure an adequate representation of requisite skills; (ii) encourage high levels of engagement from directors; and (iii) strengthen the overall effectiveness of our Board. These evaluations are typically in written form, although they may also be in oral questionnaire form and may be administered by Board members, management or third-party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120" w:type="dxa"/>
            <w:vAlign w:val="bottom"/>
            <w:vMerge w:val="restart"/>
          </w:tcPr>
          <w:p>
            <w:pPr>
              <w:ind w:left="80"/>
              <w:spacing w:after="0"/>
              <w:rPr>
                <w:sz w:val="20"/>
                <w:szCs w:val="20"/>
                <w:color w:val="auto"/>
              </w:rPr>
            </w:pPr>
            <w:r>
              <w:rPr>
                <w:rFonts w:ascii="Arial" w:cs="Arial" w:eastAsia="Arial" w:hAnsi="Arial"/>
                <w:sz w:val="32"/>
                <w:szCs w:val="32"/>
                <w:b w:val="1"/>
                <w:bCs w:val="1"/>
                <w:color w:val="1F497D"/>
              </w:rPr>
              <w:t>1.</w:t>
            </w:r>
          </w:p>
        </w:tc>
        <w:tc>
          <w:tcPr>
            <w:tcW w:w="8120" w:type="dxa"/>
            <w:vAlign w:val="bottom"/>
          </w:tcPr>
          <w:p>
            <w:pPr>
              <w:ind w:left="480"/>
              <w:spacing w:after="0"/>
              <w:rPr>
                <w:sz w:val="20"/>
                <w:szCs w:val="20"/>
                <w:color w:val="auto"/>
              </w:rPr>
            </w:pPr>
            <w:r>
              <w:rPr>
                <w:rFonts w:ascii="Arial" w:cs="Arial" w:eastAsia="Arial" w:hAnsi="Arial"/>
                <w:sz w:val="18"/>
                <w:szCs w:val="18"/>
                <w:color w:val="auto"/>
              </w:rPr>
              <w:t>The NCGCC develops and oversees an annual self-evaluation process of the Board and its</w:t>
            </w:r>
          </w:p>
        </w:tc>
        <w:tc>
          <w:tcPr>
            <w:tcW w:w="0" w:type="dxa"/>
            <w:vAlign w:val="bottom"/>
          </w:tcPr>
          <w:p>
            <w:pPr>
              <w:spacing w:after="0"/>
              <w:rPr>
                <w:sz w:val="1"/>
                <w:szCs w:val="1"/>
                <w:color w:val="auto"/>
              </w:rPr>
            </w:pPr>
          </w:p>
        </w:tc>
      </w:tr>
      <w:tr>
        <w:trPr>
          <w:trHeight w:val="181"/>
        </w:trPr>
        <w:tc>
          <w:tcPr>
            <w:tcW w:w="3120" w:type="dxa"/>
            <w:vAlign w:val="bottom"/>
            <w:vMerge w:val="continue"/>
          </w:tcPr>
          <w:p>
            <w:pPr>
              <w:spacing w:after="0"/>
              <w:rPr>
                <w:sz w:val="15"/>
                <w:szCs w:val="15"/>
                <w:color w:val="auto"/>
              </w:rPr>
            </w:pPr>
          </w:p>
        </w:tc>
        <w:tc>
          <w:tcPr>
            <w:tcW w:w="8120" w:type="dxa"/>
            <w:vAlign w:val="bottom"/>
          </w:tcPr>
          <w:p>
            <w:pPr>
              <w:ind w:left="480"/>
              <w:spacing w:after="0" w:line="181" w:lineRule="exact"/>
              <w:rPr>
                <w:sz w:val="20"/>
                <w:szCs w:val="20"/>
                <w:color w:val="auto"/>
              </w:rPr>
            </w:pPr>
            <w:r>
              <w:rPr>
                <w:rFonts w:ascii="Arial" w:cs="Arial" w:eastAsia="Arial" w:hAnsi="Arial"/>
                <w:sz w:val="18"/>
                <w:szCs w:val="18"/>
                <w:color w:val="auto"/>
              </w:rPr>
              <w:t>committees and determines the content of the evaluation questionnaires. The NCGCC may</w:t>
            </w:r>
          </w:p>
        </w:tc>
        <w:tc>
          <w:tcPr>
            <w:tcW w:w="0" w:type="dxa"/>
            <w:vAlign w:val="bottom"/>
          </w:tcPr>
          <w:p>
            <w:pPr>
              <w:spacing w:after="0"/>
              <w:rPr>
                <w:sz w:val="1"/>
                <w:szCs w:val="1"/>
                <w:color w:val="auto"/>
              </w:rPr>
            </w:pPr>
          </w:p>
        </w:tc>
      </w:tr>
      <w:tr>
        <w:trPr>
          <w:trHeight w:val="255"/>
        </w:trPr>
        <w:tc>
          <w:tcPr>
            <w:tcW w:w="3120" w:type="dxa"/>
            <w:vAlign w:val="bottom"/>
          </w:tcPr>
          <w:p>
            <w:pPr>
              <w:ind w:left="80"/>
              <w:spacing w:after="0"/>
              <w:rPr>
                <w:sz w:val="20"/>
                <w:szCs w:val="20"/>
                <w:color w:val="auto"/>
              </w:rPr>
            </w:pPr>
            <w:r>
              <w:rPr>
                <w:rFonts w:ascii="Arial" w:cs="Arial" w:eastAsia="Arial" w:hAnsi="Arial"/>
                <w:sz w:val="18"/>
                <w:szCs w:val="18"/>
                <w:b w:val="1"/>
                <w:bCs w:val="1"/>
                <w:color w:val="auto"/>
              </w:rPr>
              <w:t>Review of Evaluation Process</w:t>
            </w:r>
          </w:p>
        </w:tc>
        <w:tc>
          <w:tcPr>
            <w:tcW w:w="8120" w:type="dxa"/>
            <w:vAlign w:val="bottom"/>
          </w:tcPr>
          <w:p>
            <w:pPr>
              <w:ind w:left="480"/>
              <w:spacing w:after="0"/>
              <w:rPr>
                <w:sz w:val="20"/>
                <w:szCs w:val="20"/>
                <w:color w:val="auto"/>
              </w:rPr>
            </w:pPr>
            <w:r>
              <w:rPr>
                <w:rFonts w:ascii="Arial" w:cs="Arial" w:eastAsia="Arial" w:hAnsi="Arial"/>
                <w:sz w:val="18"/>
                <w:szCs w:val="18"/>
                <w:color w:val="auto"/>
              </w:rPr>
              <w:t>also consider whether to engage third-party consultants.</w:t>
            </w:r>
          </w:p>
        </w:tc>
        <w:tc>
          <w:tcPr>
            <w:tcW w:w="0" w:type="dxa"/>
            <w:vAlign w:val="bottom"/>
          </w:tcPr>
          <w:p>
            <w:pPr>
              <w:spacing w:after="0"/>
              <w:rPr>
                <w:sz w:val="1"/>
                <w:szCs w:val="1"/>
                <w:color w:val="auto"/>
              </w:rPr>
            </w:pPr>
          </w:p>
        </w:tc>
      </w:tr>
      <w:tr>
        <w:trPr>
          <w:trHeight w:val="123"/>
        </w:trPr>
        <w:tc>
          <w:tcPr>
            <w:tcW w:w="312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35401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354012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13" w:lineRule="exact"/>
        <w:rPr>
          <w:sz w:val="20"/>
          <w:szCs w:val="20"/>
          <w:color w:val="auto"/>
        </w:rPr>
      </w:pPr>
    </w:p>
    <w:p>
      <w:pPr>
        <w:ind w:left="80"/>
        <w:spacing w:after="0"/>
        <w:rPr>
          <w:sz w:val="20"/>
          <w:szCs w:val="20"/>
          <w:color w:val="auto"/>
        </w:rPr>
      </w:pPr>
      <w:r>
        <w:rPr>
          <w:rFonts w:ascii="Arial" w:cs="Arial" w:eastAsia="Arial" w:hAnsi="Arial"/>
          <w:sz w:val="32"/>
          <w:szCs w:val="32"/>
          <w:b w:val="1"/>
          <w:bCs w:val="1"/>
          <w:color w:val="1F497D"/>
        </w:rPr>
        <w:t>2.</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Questionnaires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both"/>
        <w:ind w:right="180"/>
        <w:spacing w:after="0" w:line="282" w:lineRule="auto"/>
        <w:rPr>
          <w:sz w:val="20"/>
          <w:szCs w:val="20"/>
          <w:color w:val="auto"/>
        </w:rPr>
      </w:pPr>
      <w:r>
        <w:rPr>
          <w:rFonts w:ascii="Arial" w:cs="Arial" w:eastAsia="Arial" w:hAnsi="Arial"/>
          <w:sz w:val="17"/>
          <w:szCs w:val="17"/>
          <w:color w:val="auto"/>
        </w:rPr>
        <w:t>The Board evaluation typically consists of a written questionnaire containing qualitative scaled and open-ended questions related to the effectiveness of the Board during the prior year. The questionnaire hones in on specific areas of responsibility and critical attributes of the Board in order to solicit candid feedback from each director. Questionnaires include topics such as:</w:t>
      </w:r>
    </w:p>
    <w:p>
      <w:pPr>
        <w:spacing w:after="0" w:line="161" w:lineRule="exact"/>
        <w:rPr>
          <w:sz w:val="20"/>
          <w:szCs w:val="20"/>
          <w:color w:val="auto"/>
        </w:rPr>
      </w:pPr>
    </w:p>
    <w:p>
      <w:pPr>
        <w:ind w:left="640" w:hanging="317"/>
        <w:spacing w:after="0"/>
        <w:tabs>
          <w:tab w:leader="none" w:pos="64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Board Performance</w:t>
      </w:r>
    </w:p>
    <w:p>
      <w:pPr>
        <w:spacing w:after="0" w:line="22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Board Composition, Skills and Diversity</w:t>
      </w:r>
    </w:p>
    <w:p>
      <w:pPr>
        <w:spacing w:after="0" w:line="22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Board and Committee Meetings and Structure</w:t>
      </w:r>
    </w:p>
    <w:p>
      <w:pPr>
        <w:spacing w:after="0" w:line="22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Management Relations</w:t>
      </w:r>
    </w:p>
    <w:p>
      <w:pPr>
        <w:spacing w:after="0" w:line="22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Risk Oversight by Board and Committees</w:t>
      </w:r>
    </w:p>
    <w:p>
      <w:pPr>
        <w:spacing w:after="0" w:line="22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Process and Resources</w:t>
      </w:r>
    </w:p>
    <w:p>
      <w:pPr>
        <w:spacing w:after="0" w:line="224"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Board Culture</w:t>
      </w:r>
    </w:p>
    <w:p>
      <w:pPr>
        <w:spacing w:after="0" w:line="200" w:lineRule="exact"/>
        <w:rPr>
          <w:sz w:val="20"/>
          <w:szCs w:val="20"/>
          <w:color w:val="auto"/>
        </w:rPr>
      </w:pPr>
    </w:p>
    <w:p>
      <w:pPr>
        <w:sectPr>
          <w:pgSz w:w="11900" w:h="16838" w:orient="portrait"/>
          <w:cols w:equalWidth="0" w:num="2">
            <w:col w:w="2880" w:space="720"/>
            <w:col w:w="7640"/>
          </w:cols>
          <w:pgMar w:left="320" w:top="1440" w:right="339" w:bottom="1440" w:gutter="0" w:footer="0" w:header="0"/>
          <w:type w:val="continuous"/>
        </w:sectPr>
      </w:pP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8800" w:type="dxa"/>
            <w:vAlign w:val="bottom"/>
          </w:tcPr>
          <w:p>
            <w:pPr>
              <w:ind w:left="1160"/>
              <w:spacing w:after="0"/>
              <w:rPr>
                <w:sz w:val="20"/>
                <w:szCs w:val="20"/>
                <w:color w:val="auto"/>
              </w:rPr>
            </w:pPr>
            <w:r>
              <w:rPr>
                <w:rFonts w:ascii="Arial" w:cs="Arial" w:eastAsia="Arial" w:hAnsi="Arial"/>
                <w:sz w:val="18"/>
                <w:szCs w:val="18"/>
                <w:color w:val="auto"/>
              </w:rPr>
              <w:t>The questionnaire also seeks practical input as to what the Board is doing well, areas in which</w:t>
            </w:r>
          </w:p>
        </w:tc>
        <w:tc>
          <w:tcPr>
            <w:tcW w:w="0" w:type="dxa"/>
            <w:vAlign w:val="bottom"/>
          </w:tcPr>
          <w:p>
            <w:pPr>
              <w:spacing w:after="0"/>
              <w:rPr>
                <w:sz w:val="1"/>
                <w:szCs w:val="1"/>
                <w:color w:val="auto"/>
              </w:rPr>
            </w:pPr>
          </w:p>
        </w:tc>
      </w:tr>
      <w:tr>
        <w:trPr>
          <w:trHeight w:val="239"/>
        </w:trPr>
        <w:tc>
          <w:tcPr>
            <w:tcW w:w="2440" w:type="dxa"/>
            <w:vAlign w:val="bottom"/>
          </w:tcPr>
          <w:p>
            <w:pPr>
              <w:spacing w:after="0"/>
              <w:rPr>
                <w:sz w:val="20"/>
                <w:szCs w:val="20"/>
                <w:color w:val="auto"/>
              </w:rPr>
            </w:pPr>
          </w:p>
        </w:tc>
        <w:tc>
          <w:tcPr>
            <w:tcW w:w="8800" w:type="dxa"/>
            <w:vAlign w:val="bottom"/>
          </w:tcPr>
          <w:p>
            <w:pPr>
              <w:ind w:left="1160"/>
              <w:spacing w:after="0"/>
              <w:rPr>
                <w:sz w:val="20"/>
                <w:szCs w:val="20"/>
                <w:color w:val="auto"/>
              </w:rPr>
            </w:pPr>
            <w:r>
              <w:rPr>
                <w:rFonts w:ascii="Arial" w:cs="Arial" w:eastAsia="Arial" w:hAnsi="Arial"/>
                <w:sz w:val="18"/>
                <w:szCs w:val="18"/>
                <w:color w:val="auto"/>
              </w:rPr>
              <w:t>the Board could improve and any undertakings that the Board should commence or terminate.</w:t>
            </w:r>
          </w:p>
        </w:tc>
        <w:tc>
          <w:tcPr>
            <w:tcW w:w="0" w:type="dxa"/>
            <w:vAlign w:val="bottom"/>
          </w:tcPr>
          <w:p>
            <w:pPr>
              <w:spacing w:after="0"/>
              <w:rPr>
                <w:sz w:val="1"/>
                <w:szCs w:val="1"/>
                <w:color w:val="auto"/>
              </w:rPr>
            </w:pPr>
          </w:p>
        </w:tc>
      </w:tr>
      <w:tr>
        <w:trPr>
          <w:trHeight w:val="409"/>
        </w:trPr>
        <w:tc>
          <w:tcPr>
            <w:tcW w:w="2440" w:type="dxa"/>
            <w:vAlign w:val="bottom"/>
          </w:tcPr>
          <w:p>
            <w:pPr>
              <w:spacing w:after="0"/>
              <w:rPr>
                <w:sz w:val="24"/>
                <w:szCs w:val="24"/>
                <w:color w:val="auto"/>
              </w:rPr>
            </w:pPr>
          </w:p>
        </w:tc>
        <w:tc>
          <w:tcPr>
            <w:tcW w:w="8800" w:type="dxa"/>
            <w:vAlign w:val="bottom"/>
          </w:tcPr>
          <w:p>
            <w:pPr>
              <w:ind w:left="1160"/>
              <w:spacing w:after="0"/>
              <w:rPr>
                <w:sz w:val="20"/>
                <w:szCs w:val="20"/>
                <w:color w:val="auto"/>
              </w:rPr>
            </w:pPr>
            <w:r>
              <w:rPr>
                <w:rFonts w:ascii="Arial" w:cs="Arial" w:eastAsia="Arial" w:hAnsi="Arial"/>
                <w:sz w:val="18"/>
                <w:szCs w:val="18"/>
                <w:color w:val="auto"/>
              </w:rPr>
              <w:t>Another benefit of the questionnaire is that it allows each Board member to evaluate the</w:t>
            </w:r>
          </w:p>
        </w:tc>
        <w:tc>
          <w:tcPr>
            <w:tcW w:w="0" w:type="dxa"/>
            <w:vAlign w:val="bottom"/>
          </w:tcPr>
          <w:p>
            <w:pPr>
              <w:spacing w:after="0"/>
              <w:rPr>
                <w:sz w:val="1"/>
                <w:szCs w:val="1"/>
                <w:color w:val="auto"/>
              </w:rPr>
            </w:pPr>
          </w:p>
        </w:tc>
      </w:tr>
      <w:tr>
        <w:trPr>
          <w:trHeight w:val="239"/>
        </w:trPr>
        <w:tc>
          <w:tcPr>
            <w:tcW w:w="2440" w:type="dxa"/>
            <w:vAlign w:val="bottom"/>
          </w:tcPr>
          <w:p>
            <w:pPr>
              <w:spacing w:after="0"/>
              <w:rPr>
                <w:sz w:val="20"/>
                <w:szCs w:val="20"/>
                <w:color w:val="auto"/>
              </w:rPr>
            </w:pPr>
          </w:p>
        </w:tc>
        <w:tc>
          <w:tcPr>
            <w:tcW w:w="8800" w:type="dxa"/>
            <w:vAlign w:val="bottom"/>
          </w:tcPr>
          <w:p>
            <w:pPr>
              <w:ind w:left="1160"/>
              <w:spacing w:after="0"/>
              <w:rPr>
                <w:sz w:val="20"/>
                <w:szCs w:val="20"/>
                <w:color w:val="auto"/>
              </w:rPr>
            </w:pPr>
            <w:r>
              <w:rPr>
                <w:rFonts w:ascii="Arial" w:cs="Arial" w:eastAsia="Arial" w:hAnsi="Arial"/>
                <w:sz w:val="18"/>
                <w:szCs w:val="18"/>
                <w:color w:val="auto"/>
              </w:rPr>
              <w:t>effectiveness of the Chairman of the Board and the Lead Independent Director.</w:t>
            </w:r>
          </w:p>
        </w:tc>
        <w:tc>
          <w:tcPr>
            <w:tcW w:w="0" w:type="dxa"/>
            <w:vAlign w:val="bottom"/>
          </w:tcPr>
          <w:p>
            <w:pPr>
              <w:spacing w:after="0"/>
              <w:rPr>
                <w:sz w:val="1"/>
                <w:szCs w:val="1"/>
                <w:color w:val="auto"/>
              </w:rPr>
            </w:pPr>
          </w:p>
        </w:tc>
      </w:tr>
      <w:tr>
        <w:trPr>
          <w:trHeight w:val="131"/>
        </w:trPr>
        <w:tc>
          <w:tcPr>
            <w:tcW w:w="2440" w:type="dxa"/>
            <w:vAlign w:val="bottom"/>
            <w:tcBorders>
              <w:bottom w:val="single" w:sz="8" w:color="auto"/>
            </w:tcBorders>
          </w:tcPr>
          <w:p>
            <w:pPr>
              <w:spacing w:after="0"/>
              <w:rPr>
                <w:sz w:val="11"/>
                <w:szCs w:val="11"/>
                <w:color w:val="auto"/>
              </w:rPr>
            </w:pPr>
          </w:p>
        </w:tc>
        <w:tc>
          <w:tcPr>
            <w:tcW w:w="8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2440" w:type="dxa"/>
            <w:vAlign w:val="bottom"/>
            <w:vMerge w:val="restart"/>
          </w:tcPr>
          <w:p>
            <w:pPr>
              <w:ind w:left="80"/>
              <w:spacing w:after="0"/>
              <w:rPr>
                <w:sz w:val="20"/>
                <w:szCs w:val="20"/>
                <w:color w:val="auto"/>
              </w:rPr>
            </w:pPr>
            <w:r>
              <w:rPr>
                <w:rFonts w:ascii="Arial" w:cs="Arial" w:eastAsia="Arial" w:hAnsi="Arial"/>
                <w:sz w:val="32"/>
                <w:szCs w:val="32"/>
                <w:b w:val="1"/>
                <w:bCs w:val="1"/>
                <w:color w:val="1F497D"/>
              </w:rPr>
              <w:t>3.</w:t>
            </w:r>
          </w:p>
        </w:tc>
        <w:tc>
          <w:tcPr>
            <w:tcW w:w="8800" w:type="dxa"/>
            <w:vAlign w:val="bottom"/>
          </w:tcPr>
          <w:p>
            <w:pPr>
              <w:ind w:left="1160"/>
              <w:spacing w:after="0"/>
              <w:rPr>
                <w:sz w:val="20"/>
                <w:szCs w:val="20"/>
                <w:color w:val="auto"/>
              </w:rPr>
            </w:pPr>
            <w:r>
              <w:rPr>
                <w:rFonts w:ascii="Arial" w:cs="Arial" w:eastAsia="Arial" w:hAnsi="Arial"/>
                <w:sz w:val="18"/>
                <w:szCs w:val="18"/>
                <w:color w:val="auto"/>
              </w:rPr>
              <w:t>Results of the evaluations are shared with the Chairman of the Board, the Lead Independent</w:t>
            </w:r>
          </w:p>
        </w:tc>
        <w:tc>
          <w:tcPr>
            <w:tcW w:w="0" w:type="dxa"/>
            <w:vAlign w:val="bottom"/>
          </w:tcPr>
          <w:p>
            <w:pPr>
              <w:spacing w:after="0"/>
              <w:rPr>
                <w:sz w:val="1"/>
                <w:szCs w:val="1"/>
                <w:color w:val="auto"/>
              </w:rPr>
            </w:pPr>
          </w:p>
        </w:tc>
      </w:tr>
      <w:tr>
        <w:trPr>
          <w:trHeight w:val="193"/>
        </w:trPr>
        <w:tc>
          <w:tcPr>
            <w:tcW w:w="2440" w:type="dxa"/>
            <w:vAlign w:val="bottom"/>
            <w:vMerge w:val="continue"/>
          </w:tcPr>
          <w:p>
            <w:pPr>
              <w:spacing w:after="0"/>
              <w:rPr>
                <w:sz w:val="16"/>
                <w:szCs w:val="16"/>
                <w:color w:val="auto"/>
              </w:rPr>
            </w:pPr>
          </w:p>
        </w:tc>
        <w:tc>
          <w:tcPr>
            <w:tcW w:w="8800" w:type="dxa"/>
            <w:vAlign w:val="bottom"/>
          </w:tcPr>
          <w:p>
            <w:pPr>
              <w:ind w:left="1160"/>
              <w:spacing w:after="0" w:line="194" w:lineRule="exact"/>
              <w:rPr>
                <w:sz w:val="20"/>
                <w:szCs w:val="20"/>
                <w:color w:val="auto"/>
              </w:rPr>
            </w:pPr>
            <w:r>
              <w:rPr>
                <w:rFonts w:ascii="Arial" w:cs="Arial" w:eastAsia="Arial" w:hAnsi="Arial"/>
                <w:sz w:val="18"/>
                <w:szCs w:val="18"/>
                <w:color w:val="auto"/>
              </w:rPr>
              <w:t>Director and the Chairman of the NCGCC and then later discussed with the entire Board in an</w:t>
            </w:r>
          </w:p>
        </w:tc>
        <w:tc>
          <w:tcPr>
            <w:tcW w:w="0" w:type="dxa"/>
            <w:vAlign w:val="bottom"/>
          </w:tcPr>
          <w:p>
            <w:pPr>
              <w:spacing w:after="0"/>
              <w:rPr>
                <w:sz w:val="1"/>
                <w:szCs w:val="1"/>
                <w:color w:val="auto"/>
              </w:rPr>
            </w:pPr>
          </w:p>
        </w:tc>
      </w:tr>
      <w:tr>
        <w:trPr>
          <w:trHeight w:val="239"/>
        </w:trPr>
        <w:tc>
          <w:tcPr>
            <w:tcW w:w="24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Board Review</w:t>
            </w:r>
          </w:p>
        </w:tc>
        <w:tc>
          <w:tcPr>
            <w:tcW w:w="8800" w:type="dxa"/>
            <w:vAlign w:val="bottom"/>
          </w:tcPr>
          <w:p>
            <w:pPr>
              <w:ind w:left="1160"/>
              <w:spacing w:after="0"/>
              <w:rPr>
                <w:sz w:val="20"/>
                <w:szCs w:val="20"/>
                <w:color w:val="auto"/>
              </w:rPr>
            </w:pPr>
            <w:r>
              <w:rPr>
                <w:rFonts w:ascii="Arial" w:cs="Arial" w:eastAsia="Arial" w:hAnsi="Arial"/>
                <w:sz w:val="18"/>
                <w:szCs w:val="18"/>
                <w:color w:val="auto"/>
              </w:rPr>
              <w:t>aggregated manner.</w:t>
            </w:r>
          </w:p>
        </w:tc>
        <w:tc>
          <w:tcPr>
            <w:tcW w:w="0" w:type="dxa"/>
            <w:vAlign w:val="bottom"/>
          </w:tcPr>
          <w:p>
            <w:pPr>
              <w:spacing w:after="0"/>
              <w:rPr>
                <w:sz w:val="1"/>
                <w:szCs w:val="1"/>
                <w:color w:val="auto"/>
              </w:rPr>
            </w:pPr>
          </w:p>
        </w:tc>
      </w:tr>
      <w:tr>
        <w:trPr>
          <w:trHeight w:val="120"/>
        </w:trPr>
        <w:tc>
          <w:tcPr>
            <w:tcW w:w="2440" w:type="dxa"/>
            <w:vAlign w:val="bottom"/>
            <w:tcBorders>
              <w:bottom w:val="single" w:sz="8" w:color="auto"/>
            </w:tcBorders>
            <w:vMerge w:val="continue"/>
          </w:tcPr>
          <w:p>
            <w:pPr>
              <w:spacing w:after="0"/>
              <w:rPr>
                <w:sz w:val="10"/>
                <w:szCs w:val="10"/>
                <w:color w:val="auto"/>
              </w:rPr>
            </w:pPr>
          </w:p>
        </w:tc>
        <w:tc>
          <w:tcPr>
            <w:tcW w:w="8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3" w:name="page44"/>
    <w:bookmarkEnd w:id="43"/>
    <w:p>
      <w:pPr>
        <w:spacing w:after="0" w:line="19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Each of our Board committees similarly engages in an annual performance evaluation and a general charter adequacy review. Each committee is responsible for determining the manner of evaluation and for carrying out the evaluation. Further, the Board evaluation questionnaire includes a section specifically concerning Board committee structure and performance, which is an opportunity for Board members to provide feedback on each committee, regardless of their individual committee membership. As a result of their annual review of the adequacy of their charters, the Board last approved revised charters for each of our standing committees in February 2023.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Board and Committee Meetings</w:t>
      </w:r>
    </w:p>
    <w:p>
      <w:pPr>
        <w:spacing w:after="0" w:line="117"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For the year ended December 31, 2024, our Board held seven regular and special meetings. Our Audit Committee, Compensation Committee and NCGCC held five, nine and four meetings, respectively during the year ended December 31, 2024. In 2024, except for Dr. McClellan, each director attended at least 75% of the aggregate of (1) the total number of meetings of the Board of Directors of the Company (held during the period for which he or she was a director) and (2) the total number of meetings of all committees of the Board of Directors of the Company on which the director served (during the periods that he or she served). Dr. McClellan attended 50% of such meetings and was absent from meetings due to business scheduling conflicts. Directors are encouraged to attend the annual meeting of stockholders and expected to attend all or substantially all of the Board meetings and meetings of committees on which they serve.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Communications by Stockholders and Other Interested Parties with the Board</w:t>
      </w:r>
    </w:p>
    <w:p>
      <w:pPr>
        <w:spacing w:after="0" w:line="117" w:lineRule="exact"/>
        <w:rPr>
          <w:sz w:val="20"/>
          <w:szCs w:val="20"/>
          <w:color w:val="auto"/>
        </w:rPr>
      </w:pPr>
    </w:p>
    <w:p>
      <w:pPr>
        <w:ind w:right="220" w:firstLine="405"/>
        <w:spacing w:after="0" w:line="287" w:lineRule="auto"/>
        <w:rPr>
          <w:sz w:val="20"/>
          <w:szCs w:val="20"/>
          <w:color w:val="auto"/>
        </w:rPr>
      </w:pPr>
      <w:r>
        <w:rPr>
          <w:rFonts w:ascii="Arial" w:cs="Arial" w:eastAsia="Arial" w:hAnsi="Arial"/>
          <w:sz w:val="18"/>
          <w:szCs w:val="18"/>
          <w:color w:val="auto"/>
        </w:rPr>
        <w:t>Stockholders and other interested parties may contact an individual director, the Board as a group, or a specified Board committee or group, including the non-management or non-Lead Sponsor directors as a group, by sending regular mail to:</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Alignment Healthcare,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1100 W. Town &amp; Country Rd., Suite 1600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Orange, CA 92868</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ATTN: Board of Directors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 Chief Legal &amp; Administrative Officer</w:t>
      </w:r>
    </w:p>
    <w:p>
      <w:pPr>
        <w:spacing w:after="0" w:line="20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Each communication should specify which director or directors the communication is addressed to, as well as the general topic of the communication. Alignment will receive the communications and process them before forwarding them to the addressee. Alignment may also refer communications to other departments within the Company. Alignment generally will not forward to the directors a communication that is primarily commercial in nature, relates to an improper or irrelevant topic, or requests general information regarding Alignment.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4" w:name="page45"/>
    <w:bookmarkEnd w:id="44"/>
    <w:p>
      <w:pPr>
        <w:jc w:val="center"/>
        <w:ind w:right="-59"/>
        <w:spacing w:after="0"/>
        <w:rPr>
          <w:sz w:val="20"/>
          <w:szCs w:val="20"/>
          <w:color w:val="auto"/>
        </w:rPr>
      </w:pPr>
      <w:r>
        <w:rPr>
          <w:rFonts w:ascii="Arial" w:cs="Arial" w:eastAsia="Arial" w:hAnsi="Arial"/>
          <w:sz w:val="18"/>
          <w:szCs w:val="18"/>
          <w:b w:val="1"/>
          <w:bCs w:val="1"/>
          <w:color w:val="auto"/>
        </w:rPr>
        <w:t>EXECUTIVE OFFICERS</w:t>
      </w:r>
    </w:p>
    <w:p>
      <w:pPr>
        <w:spacing w:after="0" w:line="225" w:lineRule="exact"/>
        <w:rPr>
          <w:sz w:val="20"/>
          <w:szCs w:val="20"/>
          <w:color w:val="auto"/>
        </w:rPr>
      </w:pPr>
    </w:p>
    <w:p>
      <w:pPr>
        <w:ind w:right="80" w:firstLine="492"/>
        <w:spacing w:after="0" w:line="287" w:lineRule="auto"/>
        <w:rPr>
          <w:sz w:val="20"/>
          <w:szCs w:val="20"/>
          <w:color w:val="auto"/>
        </w:rPr>
      </w:pPr>
      <w:r>
        <w:rPr>
          <w:rFonts w:ascii="Arial" w:cs="Arial" w:eastAsia="Arial" w:hAnsi="Arial"/>
          <w:sz w:val="18"/>
          <w:szCs w:val="18"/>
          <w:color w:val="auto"/>
        </w:rPr>
        <w:t>Below is a list of the names, ages, positions, and a brief account of the business experience of the individuals who serve as executive officers of Alignment as of April 25, 2025:</w:t>
      </w:r>
    </w:p>
    <w:p>
      <w:pPr>
        <w:spacing w:after="0" w:line="85" w:lineRule="exact"/>
        <w:rPr>
          <w:sz w:val="20"/>
          <w:szCs w:val="20"/>
          <w:color w:val="auto"/>
        </w:rPr>
      </w:pPr>
    </w:p>
    <w:tbl>
      <w:tblPr>
        <w:tblLayout w:type="fixed"/>
        <w:tblInd w:w="1920" w:type="dxa"/>
        <w:tblCellMar>
          <w:top w:w="0" w:type="dxa"/>
          <w:left w:w="0" w:type="dxa"/>
          <w:bottom w:w="0" w:type="dxa"/>
          <w:right w:w="0" w:type="dxa"/>
        </w:tblCellMar>
      </w:tblPr>
      <w:tr>
        <w:trPr>
          <w:trHeight w:val="262"/>
        </w:trPr>
        <w:tc>
          <w:tcPr>
            <w:tcW w:w="22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Name</w:t>
            </w:r>
          </w:p>
        </w:tc>
        <w:tc>
          <w:tcPr>
            <w:tcW w:w="8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Age</w:t>
            </w:r>
          </w:p>
        </w:tc>
        <w:tc>
          <w:tcPr>
            <w:tcW w:w="43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Position</w:t>
            </w:r>
          </w:p>
        </w:tc>
        <w:tc>
          <w:tcPr>
            <w:tcW w:w="0" w:type="dxa"/>
            <w:vAlign w:val="bottom"/>
          </w:tcPr>
          <w:p>
            <w:pPr>
              <w:spacing w:after="0"/>
              <w:rPr>
                <w:sz w:val="1"/>
                <w:szCs w:val="1"/>
                <w:color w:val="auto"/>
              </w:rPr>
            </w:pPr>
          </w:p>
        </w:tc>
      </w:tr>
      <w:tr>
        <w:trPr>
          <w:trHeight w:val="322"/>
        </w:trPr>
        <w:tc>
          <w:tcPr>
            <w:tcW w:w="2220" w:type="dxa"/>
            <w:vAlign w:val="bottom"/>
            <w:shd w:val="clear" w:color="auto" w:fill="DBE5F1"/>
          </w:tcPr>
          <w:p>
            <w:pPr>
              <w:ind w:left="60"/>
              <w:spacing w:after="0"/>
              <w:rPr>
                <w:sz w:val="20"/>
                <w:szCs w:val="20"/>
                <w:color w:val="auto"/>
              </w:rPr>
            </w:pPr>
            <w:r>
              <w:rPr>
                <w:rFonts w:ascii="Arial" w:cs="Arial" w:eastAsia="Arial" w:hAnsi="Arial"/>
                <w:sz w:val="18"/>
                <w:szCs w:val="18"/>
                <w:color w:val="auto"/>
              </w:rPr>
              <w:t>John Kao</w:t>
            </w:r>
          </w:p>
        </w:tc>
        <w:tc>
          <w:tcPr>
            <w:tcW w:w="860" w:type="dxa"/>
            <w:vAlign w:val="bottom"/>
            <w:shd w:val="clear" w:color="auto" w:fill="DBE5F1"/>
          </w:tcPr>
          <w:p>
            <w:pPr>
              <w:jc w:val="center"/>
              <w:ind w:left="50"/>
              <w:spacing w:after="0"/>
              <w:rPr>
                <w:sz w:val="20"/>
                <w:szCs w:val="20"/>
                <w:color w:val="auto"/>
              </w:rPr>
            </w:pPr>
            <w:r>
              <w:rPr>
                <w:rFonts w:ascii="Arial" w:cs="Arial" w:eastAsia="Arial" w:hAnsi="Arial"/>
                <w:sz w:val="18"/>
                <w:szCs w:val="18"/>
                <w:color w:val="auto"/>
                <w:w w:val="99"/>
              </w:rPr>
              <w:t>63</w:t>
            </w:r>
          </w:p>
        </w:tc>
        <w:tc>
          <w:tcPr>
            <w:tcW w:w="4340" w:type="dxa"/>
            <w:vAlign w:val="bottom"/>
            <w:shd w:val="clear" w:color="auto" w:fill="DBE5F1"/>
          </w:tcPr>
          <w:p>
            <w:pPr>
              <w:ind w:left="180"/>
              <w:spacing w:after="0"/>
              <w:rPr>
                <w:sz w:val="20"/>
                <w:szCs w:val="20"/>
                <w:color w:val="auto"/>
              </w:rPr>
            </w:pPr>
            <w:r>
              <w:rPr>
                <w:rFonts w:ascii="Arial" w:cs="Arial" w:eastAsia="Arial" w:hAnsi="Arial"/>
                <w:sz w:val="18"/>
                <w:szCs w:val="18"/>
                <w:color w:val="auto"/>
              </w:rPr>
              <w:t>Director and Chief Executive Officer</w:t>
            </w:r>
          </w:p>
        </w:tc>
        <w:tc>
          <w:tcPr>
            <w:tcW w:w="0" w:type="dxa"/>
            <w:vAlign w:val="bottom"/>
          </w:tcPr>
          <w:p>
            <w:pPr>
              <w:spacing w:after="0"/>
              <w:rPr>
                <w:sz w:val="1"/>
                <w:szCs w:val="1"/>
                <w:color w:val="auto"/>
              </w:rPr>
            </w:pPr>
          </w:p>
        </w:tc>
      </w:tr>
      <w:tr>
        <w:trPr>
          <w:trHeight w:val="104"/>
        </w:trPr>
        <w:tc>
          <w:tcPr>
            <w:tcW w:w="2220" w:type="dxa"/>
            <w:vAlign w:val="bottom"/>
            <w:shd w:val="clear" w:color="auto" w:fill="DBE5F1"/>
          </w:tcPr>
          <w:p>
            <w:pPr>
              <w:spacing w:after="0"/>
              <w:rPr>
                <w:sz w:val="9"/>
                <w:szCs w:val="9"/>
                <w:color w:val="auto"/>
              </w:rPr>
            </w:pPr>
          </w:p>
        </w:tc>
        <w:tc>
          <w:tcPr>
            <w:tcW w:w="860" w:type="dxa"/>
            <w:vAlign w:val="bottom"/>
            <w:shd w:val="clear" w:color="auto" w:fill="DBE5F1"/>
          </w:tcPr>
          <w:p>
            <w:pPr>
              <w:spacing w:after="0"/>
              <w:rPr>
                <w:sz w:val="9"/>
                <w:szCs w:val="9"/>
                <w:color w:val="auto"/>
              </w:rPr>
            </w:pPr>
          </w:p>
        </w:tc>
        <w:tc>
          <w:tcPr>
            <w:tcW w:w="4340" w:type="dxa"/>
            <w:vAlign w:val="bottom"/>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328"/>
        </w:trPr>
        <w:tc>
          <w:tcPr>
            <w:tcW w:w="2220" w:type="dxa"/>
            <w:vAlign w:val="bottom"/>
          </w:tcPr>
          <w:p>
            <w:pPr>
              <w:ind w:left="60"/>
              <w:spacing w:after="0"/>
              <w:rPr>
                <w:sz w:val="20"/>
                <w:szCs w:val="20"/>
                <w:color w:val="auto"/>
              </w:rPr>
            </w:pPr>
            <w:r>
              <w:rPr>
                <w:rFonts w:ascii="Arial" w:cs="Arial" w:eastAsia="Arial" w:hAnsi="Arial"/>
                <w:sz w:val="18"/>
                <w:szCs w:val="18"/>
                <w:color w:val="auto"/>
              </w:rPr>
              <w:t>Dawn Maroney</w:t>
            </w:r>
          </w:p>
        </w:tc>
        <w:tc>
          <w:tcPr>
            <w:tcW w:w="860" w:type="dxa"/>
            <w:vAlign w:val="bottom"/>
          </w:tcPr>
          <w:p>
            <w:pPr>
              <w:jc w:val="center"/>
              <w:ind w:left="50"/>
              <w:spacing w:after="0"/>
              <w:rPr>
                <w:sz w:val="20"/>
                <w:szCs w:val="20"/>
                <w:color w:val="auto"/>
              </w:rPr>
            </w:pPr>
            <w:r>
              <w:rPr>
                <w:rFonts w:ascii="Arial" w:cs="Arial" w:eastAsia="Arial" w:hAnsi="Arial"/>
                <w:sz w:val="18"/>
                <w:szCs w:val="18"/>
                <w:color w:val="auto"/>
                <w:w w:val="99"/>
              </w:rPr>
              <w:t>57</w:t>
            </w:r>
          </w:p>
        </w:tc>
        <w:tc>
          <w:tcPr>
            <w:tcW w:w="4340" w:type="dxa"/>
            <w:vAlign w:val="bottom"/>
          </w:tcPr>
          <w:p>
            <w:pPr>
              <w:ind w:left="180"/>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104"/>
        </w:trPr>
        <w:tc>
          <w:tcPr>
            <w:tcW w:w="2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8"/>
        </w:trPr>
        <w:tc>
          <w:tcPr>
            <w:tcW w:w="2220" w:type="dxa"/>
            <w:vAlign w:val="bottom"/>
            <w:shd w:val="clear" w:color="auto" w:fill="DBE5F1"/>
          </w:tcPr>
          <w:p>
            <w:pPr>
              <w:ind w:left="60"/>
              <w:spacing w:after="0"/>
              <w:rPr>
                <w:sz w:val="20"/>
                <w:szCs w:val="20"/>
                <w:color w:val="auto"/>
              </w:rPr>
            </w:pPr>
            <w:r>
              <w:rPr>
                <w:rFonts w:ascii="Arial" w:cs="Arial" w:eastAsia="Arial" w:hAnsi="Arial"/>
                <w:sz w:val="18"/>
                <w:szCs w:val="18"/>
                <w:color w:val="auto"/>
              </w:rPr>
              <w:t>Thomas Freeman</w:t>
            </w:r>
          </w:p>
        </w:tc>
        <w:tc>
          <w:tcPr>
            <w:tcW w:w="860" w:type="dxa"/>
            <w:vAlign w:val="bottom"/>
            <w:shd w:val="clear" w:color="auto" w:fill="DBE5F1"/>
          </w:tcPr>
          <w:p>
            <w:pPr>
              <w:jc w:val="center"/>
              <w:ind w:left="50"/>
              <w:spacing w:after="0"/>
              <w:rPr>
                <w:sz w:val="20"/>
                <w:szCs w:val="20"/>
                <w:color w:val="auto"/>
              </w:rPr>
            </w:pPr>
            <w:r>
              <w:rPr>
                <w:rFonts w:ascii="Arial" w:cs="Arial" w:eastAsia="Arial" w:hAnsi="Arial"/>
                <w:sz w:val="18"/>
                <w:szCs w:val="18"/>
                <w:color w:val="auto"/>
                <w:w w:val="99"/>
              </w:rPr>
              <w:t>36</w:t>
            </w:r>
          </w:p>
        </w:tc>
        <w:tc>
          <w:tcPr>
            <w:tcW w:w="4340" w:type="dxa"/>
            <w:vAlign w:val="bottom"/>
            <w:shd w:val="clear" w:color="auto" w:fill="DBE5F1"/>
          </w:tcPr>
          <w:p>
            <w:pPr>
              <w:ind w:left="1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104"/>
        </w:trPr>
        <w:tc>
          <w:tcPr>
            <w:tcW w:w="2220" w:type="dxa"/>
            <w:vAlign w:val="bottom"/>
            <w:shd w:val="clear" w:color="auto" w:fill="DBE5F1"/>
          </w:tcPr>
          <w:p>
            <w:pPr>
              <w:spacing w:after="0"/>
              <w:rPr>
                <w:sz w:val="9"/>
                <w:szCs w:val="9"/>
                <w:color w:val="auto"/>
              </w:rPr>
            </w:pPr>
          </w:p>
        </w:tc>
        <w:tc>
          <w:tcPr>
            <w:tcW w:w="860" w:type="dxa"/>
            <w:vAlign w:val="bottom"/>
            <w:shd w:val="clear" w:color="auto" w:fill="DBE5F1"/>
          </w:tcPr>
          <w:p>
            <w:pPr>
              <w:spacing w:after="0"/>
              <w:rPr>
                <w:sz w:val="9"/>
                <w:szCs w:val="9"/>
                <w:color w:val="auto"/>
              </w:rPr>
            </w:pPr>
          </w:p>
        </w:tc>
        <w:tc>
          <w:tcPr>
            <w:tcW w:w="4340" w:type="dxa"/>
            <w:vAlign w:val="bottom"/>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328"/>
        </w:trPr>
        <w:tc>
          <w:tcPr>
            <w:tcW w:w="2220" w:type="dxa"/>
            <w:vAlign w:val="bottom"/>
          </w:tcPr>
          <w:p>
            <w:pPr>
              <w:ind w:left="60"/>
              <w:spacing w:after="0"/>
              <w:rPr>
                <w:sz w:val="20"/>
                <w:szCs w:val="20"/>
                <w:color w:val="auto"/>
              </w:rPr>
            </w:pPr>
            <w:r>
              <w:rPr>
                <w:rFonts w:ascii="Arial" w:cs="Arial" w:eastAsia="Arial" w:hAnsi="Arial"/>
                <w:sz w:val="18"/>
                <w:szCs w:val="18"/>
                <w:color w:val="auto"/>
              </w:rPr>
              <w:t>Hyong (Ken) Kim, M.D.</w:t>
            </w:r>
          </w:p>
        </w:tc>
        <w:tc>
          <w:tcPr>
            <w:tcW w:w="860" w:type="dxa"/>
            <w:vAlign w:val="bottom"/>
          </w:tcPr>
          <w:p>
            <w:pPr>
              <w:jc w:val="center"/>
              <w:ind w:left="50"/>
              <w:spacing w:after="0"/>
              <w:rPr>
                <w:sz w:val="20"/>
                <w:szCs w:val="20"/>
                <w:color w:val="auto"/>
              </w:rPr>
            </w:pPr>
            <w:r>
              <w:rPr>
                <w:rFonts w:ascii="Arial" w:cs="Arial" w:eastAsia="Arial" w:hAnsi="Arial"/>
                <w:sz w:val="18"/>
                <w:szCs w:val="18"/>
                <w:color w:val="auto"/>
                <w:w w:val="99"/>
              </w:rPr>
              <w:t>56</w:t>
            </w:r>
          </w:p>
        </w:tc>
        <w:tc>
          <w:tcPr>
            <w:tcW w:w="4340" w:type="dxa"/>
            <w:vAlign w:val="bottom"/>
          </w:tcPr>
          <w:p>
            <w:pPr>
              <w:ind w:left="180"/>
              <w:spacing w:after="0"/>
              <w:rPr>
                <w:sz w:val="20"/>
                <w:szCs w:val="20"/>
                <w:color w:val="auto"/>
              </w:rPr>
            </w:pPr>
            <w:r>
              <w:rPr>
                <w:rFonts w:ascii="Arial" w:cs="Arial" w:eastAsia="Arial" w:hAnsi="Arial"/>
                <w:sz w:val="18"/>
                <w:szCs w:val="18"/>
                <w:color w:val="auto"/>
              </w:rPr>
              <w:t>Chief Medical Officer</w:t>
            </w:r>
          </w:p>
        </w:tc>
        <w:tc>
          <w:tcPr>
            <w:tcW w:w="0" w:type="dxa"/>
            <w:vAlign w:val="bottom"/>
          </w:tcPr>
          <w:p>
            <w:pPr>
              <w:spacing w:after="0"/>
              <w:rPr>
                <w:sz w:val="1"/>
                <w:szCs w:val="1"/>
                <w:color w:val="auto"/>
              </w:rPr>
            </w:pPr>
          </w:p>
        </w:tc>
      </w:tr>
      <w:tr>
        <w:trPr>
          <w:trHeight w:val="104"/>
        </w:trPr>
        <w:tc>
          <w:tcPr>
            <w:tcW w:w="2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8"/>
        </w:trPr>
        <w:tc>
          <w:tcPr>
            <w:tcW w:w="2220" w:type="dxa"/>
            <w:vAlign w:val="bottom"/>
            <w:shd w:val="clear" w:color="auto" w:fill="DBE5F1"/>
          </w:tcPr>
          <w:p>
            <w:pPr>
              <w:ind w:left="60"/>
              <w:spacing w:after="0"/>
              <w:rPr>
                <w:sz w:val="20"/>
                <w:szCs w:val="20"/>
                <w:color w:val="auto"/>
              </w:rPr>
            </w:pPr>
            <w:r>
              <w:rPr>
                <w:rFonts w:ascii="Arial" w:cs="Arial" w:eastAsia="Arial" w:hAnsi="Arial"/>
                <w:sz w:val="18"/>
                <w:szCs w:val="18"/>
                <w:color w:val="auto"/>
              </w:rPr>
              <w:t>Robert L. Scavo</w:t>
            </w:r>
          </w:p>
        </w:tc>
        <w:tc>
          <w:tcPr>
            <w:tcW w:w="860" w:type="dxa"/>
            <w:vAlign w:val="bottom"/>
            <w:shd w:val="clear" w:color="auto" w:fill="DBE5F1"/>
          </w:tcPr>
          <w:p>
            <w:pPr>
              <w:jc w:val="center"/>
              <w:ind w:left="50"/>
              <w:spacing w:after="0"/>
              <w:rPr>
                <w:sz w:val="20"/>
                <w:szCs w:val="20"/>
                <w:color w:val="auto"/>
              </w:rPr>
            </w:pPr>
            <w:r>
              <w:rPr>
                <w:rFonts w:ascii="Arial" w:cs="Arial" w:eastAsia="Arial" w:hAnsi="Arial"/>
                <w:sz w:val="18"/>
                <w:szCs w:val="18"/>
                <w:color w:val="auto"/>
                <w:w w:val="99"/>
              </w:rPr>
              <w:t>60</w:t>
            </w:r>
          </w:p>
        </w:tc>
        <w:tc>
          <w:tcPr>
            <w:tcW w:w="4340" w:type="dxa"/>
            <w:vAlign w:val="bottom"/>
            <w:shd w:val="clear" w:color="auto" w:fill="DBE5F1"/>
          </w:tcPr>
          <w:p>
            <w:pPr>
              <w:ind w:left="180"/>
              <w:spacing w:after="0"/>
              <w:rPr>
                <w:sz w:val="20"/>
                <w:szCs w:val="20"/>
                <w:color w:val="auto"/>
              </w:rPr>
            </w:pPr>
            <w:r>
              <w:rPr>
                <w:rFonts w:ascii="Arial" w:cs="Arial" w:eastAsia="Arial" w:hAnsi="Arial"/>
                <w:sz w:val="18"/>
                <w:szCs w:val="18"/>
                <w:color w:val="auto"/>
              </w:rPr>
              <w:t>Chief Information Officer</w:t>
            </w:r>
          </w:p>
        </w:tc>
        <w:tc>
          <w:tcPr>
            <w:tcW w:w="0" w:type="dxa"/>
            <w:vAlign w:val="bottom"/>
          </w:tcPr>
          <w:p>
            <w:pPr>
              <w:spacing w:after="0"/>
              <w:rPr>
                <w:sz w:val="1"/>
                <w:szCs w:val="1"/>
                <w:color w:val="auto"/>
              </w:rPr>
            </w:pPr>
          </w:p>
        </w:tc>
      </w:tr>
      <w:tr>
        <w:trPr>
          <w:trHeight w:val="104"/>
        </w:trPr>
        <w:tc>
          <w:tcPr>
            <w:tcW w:w="2220" w:type="dxa"/>
            <w:vAlign w:val="bottom"/>
            <w:shd w:val="clear" w:color="auto" w:fill="DBE5F1"/>
          </w:tcPr>
          <w:p>
            <w:pPr>
              <w:spacing w:after="0"/>
              <w:rPr>
                <w:sz w:val="9"/>
                <w:szCs w:val="9"/>
                <w:color w:val="auto"/>
              </w:rPr>
            </w:pPr>
          </w:p>
        </w:tc>
        <w:tc>
          <w:tcPr>
            <w:tcW w:w="860" w:type="dxa"/>
            <w:vAlign w:val="bottom"/>
            <w:shd w:val="clear" w:color="auto" w:fill="DBE5F1"/>
          </w:tcPr>
          <w:p>
            <w:pPr>
              <w:spacing w:after="0"/>
              <w:rPr>
                <w:sz w:val="9"/>
                <w:szCs w:val="9"/>
                <w:color w:val="auto"/>
              </w:rPr>
            </w:pPr>
          </w:p>
        </w:tc>
        <w:tc>
          <w:tcPr>
            <w:tcW w:w="4340" w:type="dxa"/>
            <w:vAlign w:val="bottom"/>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220" w:type="dxa"/>
            <w:vAlign w:val="bottom"/>
            <w:vMerge w:val="restart"/>
          </w:tcPr>
          <w:p>
            <w:pPr>
              <w:ind w:left="60"/>
              <w:spacing w:after="0"/>
              <w:rPr>
                <w:sz w:val="20"/>
                <w:szCs w:val="20"/>
                <w:color w:val="auto"/>
              </w:rPr>
            </w:pPr>
            <w:r>
              <w:rPr>
                <w:rFonts w:ascii="Arial" w:cs="Arial" w:eastAsia="Arial" w:hAnsi="Arial"/>
                <w:sz w:val="18"/>
                <w:szCs w:val="18"/>
                <w:color w:val="auto"/>
              </w:rPr>
              <w:t>Sebastian Burzacchi</w:t>
            </w:r>
          </w:p>
        </w:tc>
        <w:tc>
          <w:tcPr>
            <w:tcW w:w="860" w:type="dxa"/>
            <w:vAlign w:val="bottom"/>
            <w:vMerge w:val="restart"/>
          </w:tcPr>
          <w:p>
            <w:pPr>
              <w:jc w:val="center"/>
              <w:ind w:left="50"/>
              <w:spacing w:after="0"/>
              <w:rPr>
                <w:sz w:val="20"/>
                <w:szCs w:val="20"/>
                <w:color w:val="auto"/>
              </w:rPr>
            </w:pPr>
            <w:r>
              <w:rPr>
                <w:rFonts w:ascii="Arial" w:cs="Arial" w:eastAsia="Arial" w:hAnsi="Arial"/>
                <w:sz w:val="18"/>
                <w:szCs w:val="18"/>
                <w:color w:val="auto"/>
                <w:w w:val="99"/>
              </w:rPr>
              <w:t>44</w:t>
            </w:r>
          </w:p>
        </w:tc>
        <w:tc>
          <w:tcPr>
            <w:tcW w:w="4340" w:type="dxa"/>
            <w:vAlign w:val="bottom"/>
          </w:tcPr>
          <w:p>
            <w:pPr>
              <w:ind w:left="180"/>
              <w:spacing w:after="0" w:line="202" w:lineRule="exact"/>
              <w:rPr>
                <w:sz w:val="20"/>
                <w:szCs w:val="20"/>
                <w:color w:val="auto"/>
              </w:rPr>
            </w:pPr>
            <w:r>
              <w:rPr>
                <w:rFonts w:ascii="Arial" w:cs="Arial" w:eastAsia="Arial" w:hAnsi="Arial"/>
                <w:sz w:val="18"/>
                <w:szCs w:val="18"/>
                <w:color w:val="auto"/>
              </w:rPr>
              <w:t>Chief Operating Officer – Management Services</w:t>
            </w:r>
          </w:p>
        </w:tc>
        <w:tc>
          <w:tcPr>
            <w:tcW w:w="0" w:type="dxa"/>
            <w:vAlign w:val="bottom"/>
          </w:tcPr>
          <w:p>
            <w:pPr>
              <w:spacing w:after="0"/>
              <w:rPr>
                <w:sz w:val="1"/>
                <w:szCs w:val="1"/>
                <w:color w:val="auto"/>
              </w:rPr>
            </w:pPr>
          </w:p>
        </w:tc>
      </w:tr>
      <w:tr>
        <w:trPr>
          <w:trHeight w:val="153"/>
        </w:trPr>
        <w:tc>
          <w:tcPr>
            <w:tcW w:w="22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4340" w:type="dxa"/>
            <w:vAlign w:val="bottom"/>
            <w:vMerge w:val="restart"/>
          </w:tcPr>
          <w:p>
            <w:pPr>
              <w:ind w:left="180"/>
              <w:spacing w:after="0"/>
              <w:rPr>
                <w:sz w:val="20"/>
                <w:szCs w:val="20"/>
                <w:color w:val="auto"/>
              </w:rPr>
            </w:pPr>
            <w:r>
              <w:rPr>
                <w:rFonts w:ascii="Arial" w:cs="Arial" w:eastAsia="Arial" w:hAnsi="Arial"/>
                <w:sz w:val="18"/>
                <w:szCs w:val="18"/>
                <w:color w:val="auto"/>
              </w:rPr>
              <w:t>Organization</w:t>
            </w:r>
          </w:p>
        </w:tc>
        <w:tc>
          <w:tcPr>
            <w:tcW w:w="0" w:type="dxa"/>
            <w:vAlign w:val="bottom"/>
          </w:tcPr>
          <w:p>
            <w:pPr>
              <w:spacing w:after="0"/>
              <w:rPr>
                <w:sz w:val="1"/>
                <w:szCs w:val="1"/>
                <w:color w:val="auto"/>
              </w:rPr>
            </w:pPr>
          </w:p>
        </w:tc>
      </w:tr>
      <w:tr>
        <w:trPr>
          <w:trHeight w:val="86"/>
        </w:trPr>
        <w:tc>
          <w:tcPr>
            <w:tcW w:w="2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36"/>
        </w:trPr>
        <w:tc>
          <w:tcPr>
            <w:tcW w:w="2220" w:type="dxa"/>
            <w:vAlign w:val="bottom"/>
            <w:shd w:val="clear" w:color="auto" w:fill="DBE5F1"/>
          </w:tcPr>
          <w:p>
            <w:pPr>
              <w:ind w:left="60"/>
              <w:spacing w:after="0"/>
              <w:rPr>
                <w:sz w:val="20"/>
                <w:szCs w:val="20"/>
                <w:color w:val="auto"/>
              </w:rPr>
            </w:pPr>
            <w:r>
              <w:rPr>
                <w:rFonts w:ascii="Arial" w:cs="Arial" w:eastAsia="Arial" w:hAnsi="Arial"/>
                <w:sz w:val="18"/>
                <w:szCs w:val="18"/>
                <w:color w:val="auto"/>
              </w:rPr>
              <w:t>Christopher J. Joyce</w:t>
            </w:r>
          </w:p>
        </w:tc>
        <w:tc>
          <w:tcPr>
            <w:tcW w:w="860" w:type="dxa"/>
            <w:vAlign w:val="bottom"/>
            <w:shd w:val="clear" w:color="auto" w:fill="DBE5F1"/>
          </w:tcPr>
          <w:p>
            <w:pPr>
              <w:jc w:val="center"/>
              <w:ind w:left="50"/>
              <w:spacing w:after="0"/>
              <w:rPr>
                <w:sz w:val="20"/>
                <w:szCs w:val="20"/>
                <w:color w:val="auto"/>
              </w:rPr>
            </w:pPr>
            <w:r>
              <w:rPr>
                <w:rFonts w:ascii="Arial" w:cs="Arial" w:eastAsia="Arial" w:hAnsi="Arial"/>
                <w:sz w:val="18"/>
                <w:szCs w:val="18"/>
                <w:color w:val="auto"/>
                <w:w w:val="99"/>
              </w:rPr>
              <w:t>61</w:t>
            </w:r>
          </w:p>
        </w:tc>
        <w:tc>
          <w:tcPr>
            <w:tcW w:w="4340" w:type="dxa"/>
            <w:vAlign w:val="bottom"/>
            <w:shd w:val="clear" w:color="auto" w:fill="DBE5F1"/>
          </w:tcPr>
          <w:p>
            <w:pPr>
              <w:ind w:left="180"/>
              <w:spacing w:after="0"/>
              <w:rPr>
                <w:sz w:val="20"/>
                <w:szCs w:val="20"/>
                <w:color w:val="auto"/>
              </w:rPr>
            </w:pPr>
            <w:r>
              <w:rPr>
                <w:rFonts w:ascii="Arial" w:cs="Arial" w:eastAsia="Arial" w:hAnsi="Arial"/>
                <w:sz w:val="18"/>
                <w:szCs w:val="18"/>
                <w:color w:val="auto"/>
              </w:rPr>
              <w:t>Chief Legal &amp; Administrative Officer</w:t>
            </w:r>
          </w:p>
        </w:tc>
        <w:tc>
          <w:tcPr>
            <w:tcW w:w="0" w:type="dxa"/>
            <w:vAlign w:val="bottom"/>
          </w:tcPr>
          <w:p>
            <w:pPr>
              <w:spacing w:after="0"/>
              <w:rPr>
                <w:sz w:val="1"/>
                <w:szCs w:val="1"/>
                <w:color w:val="auto"/>
              </w:rPr>
            </w:pPr>
          </w:p>
        </w:tc>
      </w:tr>
      <w:tr>
        <w:trPr>
          <w:trHeight w:val="212"/>
        </w:trPr>
        <w:tc>
          <w:tcPr>
            <w:tcW w:w="2220" w:type="dxa"/>
            <w:vAlign w:val="bottom"/>
            <w:shd w:val="clear" w:color="auto" w:fill="DBE5F1"/>
          </w:tcPr>
          <w:p>
            <w:pPr>
              <w:spacing w:after="0"/>
              <w:rPr>
                <w:sz w:val="18"/>
                <w:szCs w:val="18"/>
                <w:color w:val="auto"/>
              </w:rPr>
            </w:pPr>
          </w:p>
        </w:tc>
        <w:tc>
          <w:tcPr>
            <w:tcW w:w="860" w:type="dxa"/>
            <w:vAlign w:val="bottom"/>
            <w:shd w:val="clear" w:color="auto" w:fill="DBE5F1"/>
          </w:tcPr>
          <w:p>
            <w:pPr>
              <w:spacing w:after="0"/>
              <w:rPr>
                <w:sz w:val="18"/>
                <w:szCs w:val="18"/>
                <w:color w:val="auto"/>
              </w:rPr>
            </w:pPr>
          </w:p>
        </w:tc>
        <w:tc>
          <w:tcPr>
            <w:tcW w:w="434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328"/>
        </w:trPr>
        <w:tc>
          <w:tcPr>
            <w:tcW w:w="2220" w:type="dxa"/>
            <w:vAlign w:val="bottom"/>
          </w:tcPr>
          <w:p>
            <w:pPr>
              <w:ind w:left="60"/>
              <w:spacing w:after="0"/>
              <w:rPr>
                <w:sz w:val="20"/>
                <w:szCs w:val="20"/>
                <w:color w:val="auto"/>
              </w:rPr>
            </w:pPr>
            <w:r>
              <w:rPr>
                <w:rFonts w:ascii="Arial" w:cs="Arial" w:eastAsia="Arial" w:hAnsi="Arial"/>
                <w:sz w:val="18"/>
                <w:szCs w:val="18"/>
                <w:color w:val="auto"/>
              </w:rPr>
              <w:t>Andreas Wagner</w:t>
            </w:r>
          </w:p>
        </w:tc>
        <w:tc>
          <w:tcPr>
            <w:tcW w:w="860" w:type="dxa"/>
            <w:vAlign w:val="bottom"/>
          </w:tcPr>
          <w:p>
            <w:pPr>
              <w:jc w:val="center"/>
              <w:ind w:left="50"/>
              <w:spacing w:after="0"/>
              <w:rPr>
                <w:sz w:val="20"/>
                <w:szCs w:val="20"/>
                <w:color w:val="auto"/>
              </w:rPr>
            </w:pPr>
            <w:r>
              <w:rPr>
                <w:rFonts w:ascii="Arial" w:cs="Arial" w:eastAsia="Arial" w:hAnsi="Arial"/>
                <w:sz w:val="18"/>
                <w:szCs w:val="18"/>
                <w:color w:val="auto"/>
                <w:w w:val="99"/>
              </w:rPr>
              <w:t>55</w:t>
            </w:r>
          </w:p>
        </w:tc>
        <w:tc>
          <w:tcPr>
            <w:tcW w:w="4340" w:type="dxa"/>
            <w:vAlign w:val="bottom"/>
          </w:tcPr>
          <w:p>
            <w:pPr>
              <w:ind w:left="180"/>
              <w:spacing w:after="0"/>
              <w:rPr>
                <w:sz w:val="20"/>
                <w:szCs w:val="20"/>
                <w:color w:val="auto"/>
              </w:rPr>
            </w:pPr>
            <w:r>
              <w:rPr>
                <w:rFonts w:ascii="Arial" w:cs="Arial" w:eastAsia="Arial" w:hAnsi="Arial"/>
                <w:sz w:val="18"/>
                <w:szCs w:val="18"/>
                <w:color w:val="auto"/>
              </w:rPr>
              <w:t>Chief Human Resources Officer</w:t>
            </w:r>
          </w:p>
        </w:tc>
        <w:tc>
          <w:tcPr>
            <w:tcW w:w="0" w:type="dxa"/>
            <w:vAlign w:val="bottom"/>
          </w:tcPr>
          <w:p>
            <w:pPr>
              <w:spacing w:after="0"/>
              <w:rPr>
                <w:sz w:val="1"/>
                <w:szCs w:val="1"/>
                <w:color w:val="auto"/>
              </w:rPr>
            </w:pPr>
          </w:p>
        </w:tc>
      </w:tr>
      <w:tr>
        <w:trPr>
          <w:trHeight w:val="104"/>
        </w:trPr>
        <w:tc>
          <w:tcPr>
            <w:tcW w:w="2220" w:type="dxa"/>
            <w:vAlign w:val="bottom"/>
            <w:tcBorders>
              <w:bottom w:val="single" w:sz="8" w:color="95B3D7"/>
            </w:tcBorders>
          </w:tcPr>
          <w:p>
            <w:pPr>
              <w:spacing w:after="0"/>
              <w:rPr>
                <w:sz w:val="9"/>
                <w:szCs w:val="9"/>
                <w:color w:val="auto"/>
              </w:rPr>
            </w:pPr>
          </w:p>
        </w:tc>
        <w:tc>
          <w:tcPr>
            <w:tcW w:w="860" w:type="dxa"/>
            <w:vAlign w:val="bottom"/>
            <w:tcBorders>
              <w:bottom w:val="single" w:sz="8" w:color="95B3D7"/>
            </w:tcBorders>
          </w:tcPr>
          <w:p>
            <w:pPr>
              <w:spacing w:after="0"/>
              <w:rPr>
                <w:sz w:val="9"/>
                <w:szCs w:val="9"/>
                <w:color w:val="auto"/>
              </w:rPr>
            </w:pPr>
          </w:p>
        </w:tc>
        <w:tc>
          <w:tcPr>
            <w:tcW w:w="4340" w:type="dxa"/>
            <w:vAlign w:val="bottom"/>
            <w:tcBorders>
              <w:bottom w:val="single" w:sz="8" w:color="95B3D7"/>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540" w:right="280"/>
        <w:spacing w:after="0" w:line="287" w:lineRule="auto"/>
        <w:rPr>
          <w:sz w:val="20"/>
          <w:szCs w:val="20"/>
          <w:color w:val="auto"/>
        </w:rPr>
      </w:pPr>
      <w:r>
        <w:rPr>
          <w:rFonts w:ascii="Arial" w:cs="Arial" w:eastAsia="Arial" w:hAnsi="Arial"/>
          <w:sz w:val="18"/>
          <w:szCs w:val="18"/>
          <w:color w:val="auto"/>
        </w:rPr>
        <w:t>Mr. Kao has served as our Chief Executive Officer and as a member of our Board since 2014. Please see “</w:t>
      </w:r>
      <w:r>
        <w:rPr>
          <w:rFonts w:ascii="Arial" w:cs="Arial" w:eastAsia="Arial" w:hAnsi="Arial"/>
          <w:sz w:val="18"/>
          <w:szCs w:val="18"/>
          <w:i w:val="1"/>
          <w:iCs w:val="1"/>
          <w:color w:val="auto"/>
        </w:rPr>
        <w:t>Proposal 1—Election of Directors—Continuing Directors</w:t>
      </w:r>
      <w:r>
        <w:rPr>
          <w:rFonts w:ascii="Arial" w:cs="Arial" w:eastAsia="Arial" w:hAnsi="Arial"/>
          <w:sz w:val="18"/>
          <w:szCs w:val="18"/>
          <w:color w:val="auto"/>
        </w:rPr>
        <w:t>” for Mr. Kao’s biographical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-301625</wp:posOffset>
            </wp:positionV>
            <wp:extent cx="1148715" cy="11658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4871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1F497D"/>
        </w:rPr>
        <w:t>John Kao</w:t>
      </w:r>
    </w:p>
    <w:p>
      <w:pPr>
        <w:spacing w:after="0" w:line="399" w:lineRule="exact"/>
        <w:rPr>
          <w:sz w:val="20"/>
          <w:szCs w:val="20"/>
          <w:color w:val="auto"/>
        </w:rPr>
      </w:pPr>
    </w:p>
    <w:p>
      <w:pPr>
        <w:ind w:left="2540"/>
        <w:spacing w:after="0" w:line="257" w:lineRule="auto"/>
        <w:rPr>
          <w:sz w:val="20"/>
          <w:szCs w:val="20"/>
          <w:color w:val="auto"/>
        </w:rPr>
      </w:pPr>
      <w:r>
        <w:rPr>
          <w:rFonts w:ascii="Arial" w:cs="Arial" w:eastAsia="Arial" w:hAnsi="Arial"/>
          <w:sz w:val="18"/>
          <w:szCs w:val="18"/>
          <w:color w:val="auto"/>
        </w:rPr>
        <w:t>Ms. Maroney has served as our President since January 2025 and served as our President, Markets from 2014 to 2025. Prior to joining Alignment, she was chief Medicare officer for Blue Shield of California (formerly known as Care1st Health Plan) from 2013 to 2014 and was chief marketing and sales officer from 2011 to 2013. From 2005 to 2011, she was chief sales and marketing officer for CareMore Health Plan. Ms. Maroney also served as vice president, Medicare, at Secure Horizons from 2003 to 2005. From 1994 to 2003, she served in various roles at HealthNet, including as regional vice president from 1998 to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-694690</wp:posOffset>
            </wp:positionV>
            <wp:extent cx="1148715" cy="10801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4871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1F497D"/>
        </w:rPr>
        <w:t>Dawn Maroney</w:t>
      </w:r>
    </w:p>
    <w:p>
      <w:pPr>
        <w:sectPr>
          <w:pgSz w:w="11900" w:h="16838" w:orient="portrait"/>
          <w:cols w:equalWidth="0" w:num="1">
            <w:col w:w="11200"/>
          </w:cols>
          <w:pgMar w:left="320" w:top="14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type w:val="continuous"/>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1083310</wp:posOffset>
            </wp:positionV>
            <wp:extent cx="1148715" cy="10801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1F497D"/>
        </w:rPr>
        <w:t>Thomas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350520</wp:posOffset>
            </wp:positionV>
            <wp:extent cx="1148715" cy="10801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4871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F497D"/>
        </w:rPr>
        <w:t>Hyong (Ken) Kim,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623570</wp:posOffset>
            </wp:positionV>
            <wp:extent cx="1148715" cy="10801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4871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Sebastian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Burzacchi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349250</wp:posOffset>
            </wp:positionV>
            <wp:extent cx="1148715" cy="10801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4871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1F497D"/>
        </w:rPr>
        <w:t>Robert L. Scavo</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Mr. Freeman has served as our Chief Financial Officer since 2017. Mr. Freeman first joined Alignment in 2015 where he served as our Vice President of Corporate Development. Prior to joining Alignment, Mr. Freeman was a growth investor on the health care team at General Atlantic. Before joining General Atlantic, Mr. Freeman worked in the Investment Banking division at Morgan Stanley &amp; Co. LLC where he also focused on the health care sector. He earned his Bachelor of Science in finance from the University of Kansas, where he graduated with Highest Distinction from the School of Business and University Honors.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Dr. Kim has served as our Chief Medical Officer since September 2023. He has over 25 years of experience in the health care space and previously served as the Company’s Chief Medical Officer from June 2013 to March 2018. From May 2022 to August 2023, Dr. Kim served as chief clinical officer of CareConnect MD, a home health care services company, where he was responsible for clinical modeling, data analytics and management of clinical staff. He also served in an advisory role for CareConnect MD from July 2019 to May 2022. From July 2018 to July 2019, Dr. Kim was the chief medical officer of the Center for Medicare &amp; Medicaid Innovation (“CMMI”), where he oversaw all payment and clinical model development, and he chaired the Quality Improvement Council, creating operational pathways for performance reviews for all 36 CMMI models. Over 14 years, Dr. Kim held various roles at CareMore Health, an integrated health plan and provider, starting as a hospitalist and ultimately serving as chief medical officer from June 2009 to March 2013. Board-certified in internal medicine, Dr. Kim completed his medical residency at Loma Linda University and holds a bachelor’s degree and M.D. from Indiana University.</w:t>
      </w:r>
    </w:p>
    <w:p>
      <w:pPr>
        <w:spacing w:after="0" w:line="3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Mr. Burzacchi joined Alignment as Chief Operating Officer – Management Services Organization in December 2023. Mr. Burzacchi has 19 years of experience in operations and management, having most recently served as executive vice president of operations for Veho Tech, an e-commerce logistics company, from March to November 2023. From October 2022 to October 2023, Mr. Burzacchi was an advisor to Oscar Health, a health insurance company. From October 2016 to October 2022, he held various positions of employment at Oscar Health, including as head of claims operations, head of concierge and senior vice president of operations. Mr. Burzacchi holds a Master of Business Administration from MIT Sloan School of Management and a Bachelor of Science in industrial and systems engineering from Virginia Tech.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Scavo has served as our Chief Information Officer since September 2020, overseeing data management, software engineering, technical infrastructure, security and IT operations. He also managed Alignment’s claims department from February 2023 thru December 2023. From January 2017 to April 2020, Mr. Scavo was President and Chief Operations Officer at Welltok, Inc., where he headed up sales, client delivery, product management, software engineering, product implementation and consulting, operations and IT. Before joining Welltok, Inc., Mr. Scavo spent 17 years at the TriZetto Group (now Cognizant). He also spent over seven years with Andersen Consulting (now Accenture) and holds a Bachelor of Science in business administration from the University of Colorado, Boulder.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940" w:space="500"/>
            <w:col w:w="8660"/>
          </w:cols>
          <w:pgMar w:left="420" w:top="1440" w:right="379" w:bottom="1440" w:gutter="0" w:footer="0" w:header="0"/>
        </w:sectPr>
      </w:pPr>
    </w:p>
    <w:bookmarkStart w:id="46" w:name="page47"/>
    <w:bookmarkEnd w:id="46"/>
    <w:p>
      <w:pPr>
        <w:spacing w:after="0" w:line="31" w:lineRule="exact"/>
        <w:rPr>
          <w:sz w:val="20"/>
          <w:szCs w:val="20"/>
          <w:color w:val="auto"/>
        </w:rPr>
      </w:pPr>
    </w:p>
    <w:p>
      <w:pPr>
        <w:ind w:left="2420"/>
        <w:spacing w:after="0" w:line="255" w:lineRule="auto"/>
        <w:rPr>
          <w:sz w:val="20"/>
          <w:szCs w:val="20"/>
          <w:color w:val="auto"/>
        </w:rPr>
      </w:pPr>
      <w:r>
        <w:rPr>
          <w:rFonts w:ascii="Arial" w:cs="Arial" w:eastAsia="Arial" w:hAnsi="Arial"/>
          <w:sz w:val="18"/>
          <w:szCs w:val="18"/>
          <w:color w:val="auto"/>
        </w:rPr>
        <w:t>Mr. Joyce joined the Company as Chief Legal &amp; Administrative Officer in August 2023. He previously served as general counsel of AdaptHealth Holdings, a national leader in providing patient-centered, healthcare-at-home solutions including home medical equipment, medical supplies and related services, from 2018 to 2023, and of InnovaCare, Inc., a $ 2.0 billion managed care insurance company with 450,000 Medicare and Medicaid beneficiaries, from 2011 to 2018. Mr. Joyce has over 27 years of experience as chief legal officer and business development executive for publicly traded and privately held provider based and managed care companies. Mr. Joyce holds a bachelor’s degree in Economics from the State University of New York at Albany and a JD from the University of Chicago.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-967740</wp:posOffset>
            </wp:positionV>
            <wp:extent cx="1148715" cy="10801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48715" cy="108013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Christopher J. Joyce</w:t>
      </w:r>
    </w:p>
    <w:p>
      <w:pPr>
        <w:spacing w:after="0" w:line="372" w:lineRule="exact"/>
        <w:rPr>
          <w:sz w:val="20"/>
          <w:szCs w:val="20"/>
          <w:color w:val="auto"/>
        </w:rPr>
      </w:pPr>
    </w:p>
    <w:p>
      <w:pPr>
        <w:ind w:left="2420" w:right="180"/>
        <w:spacing w:after="0" w:line="255" w:lineRule="auto"/>
        <w:rPr>
          <w:sz w:val="20"/>
          <w:szCs w:val="20"/>
          <w:color w:val="auto"/>
        </w:rPr>
      </w:pPr>
      <w:r>
        <w:rPr>
          <w:rFonts w:ascii="Arial" w:cs="Arial" w:eastAsia="Arial" w:hAnsi="Arial"/>
          <w:sz w:val="18"/>
          <w:szCs w:val="18"/>
          <w:color w:val="auto"/>
        </w:rPr>
        <w:t>Mr. Wagner joined Alignment as Chief Human Resources Officer in January 2024. Mr. Wagner is a human resources executive with over 30 years of leadership experience where he held various key human resources positions. Prior to joining Alignment, from 2020 to 2023, Mr. Wagner served as the chief human resources officer at Aerojet Rocketdyne, a technology-based engineering and manufacturing company that develops and produces specialized power and propulsion systems. From 2014 to 2019, he served as vice present of human resources at TE Connectivity, an electrical and electronics manufacturing company, and was their director of human resources from 2012 to 2014. From 2004 to 2012, he served as director of human resources at Bombardier Transportation, an aviation and aerospace component manufacturing company. Mr. Wagner holds a master’s degree in Sport Science from the University of Munich,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-1106805</wp:posOffset>
            </wp:positionV>
            <wp:extent cx="1148715" cy="10801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48715" cy="108013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Andreas Wagner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56515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40" w:top="1440" w:right="37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This Compensation Discussion and Analysis (“CD&amp;A”) explains our executive compensation program for our named executive officers (“Named Executive Officers” or “NEOs”) listed below. This CD&amp;A also describes the Compensation Committee’s process for making pay decisions, as well as its rationale for specific decisions related to the fiscal year ended December 31, 2024.</w:t>
      </w:r>
    </w:p>
    <w:p>
      <w:pPr>
        <w:spacing w:after="0" w:line="211" w:lineRule="exact"/>
        <w:rPr>
          <w:sz w:val="20"/>
          <w:szCs w:val="20"/>
          <w:color w:val="auto"/>
        </w:rPr>
      </w:pPr>
    </w:p>
    <w:tbl>
      <w:tblPr>
        <w:tblLayout w:type="fixed"/>
        <w:tblInd w:w="1880" w:type="dxa"/>
        <w:tblCellMar>
          <w:top w:w="0" w:type="dxa"/>
          <w:left w:w="0" w:type="dxa"/>
          <w:bottom w:w="0" w:type="dxa"/>
          <w:right w:w="0" w:type="dxa"/>
        </w:tblCellMar>
      </w:tblPr>
      <w:tr>
        <w:trPr>
          <w:trHeight w:val="255"/>
        </w:trPr>
        <w:tc>
          <w:tcPr>
            <w:tcW w:w="37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Name</w:t>
            </w:r>
          </w:p>
        </w:tc>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Position</w:t>
            </w:r>
          </w:p>
        </w:tc>
      </w:tr>
      <w:tr>
        <w:trPr>
          <w:trHeight w:val="241"/>
        </w:trPr>
        <w:tc>
          <w:tcPr>
            <w:tcW w:w="3760" w:type="dxa"/>
            <w:vAlign w:val="bottom"/>
            <w:tcBorders>
              <w:bottom w:val="single" w:sz="8" w:color="95B3D7"/>
              <w:right w:val="single" w:sz="8" w:color="95B3D7"/>
            </w:tcBorders>
            <w:shd w:val="clear" w:color="auto" w:fill="DBE5F1"/>
          </w:tcPr>
          <w:p>
            <w:pPr>
              <w:ind w:left="80"/>
              <w:spacing w:after="0"/>
              <w:rPr>
                <w:sz w:val="20"/>
                <w:szCs w:val="20"/>
                <w:color w:val="auto"/>
              </w:rPr>
            </w:pPr>
            <w:r>
              <w:rPr>
                <w:rFonts w:ascii="Arial" w:cs="Arial" w:eastAsia="Arial" w:hAnsi="Arial"/>
                <w:sz w:val="18"/>
                <w:szCs w:val="18"/>
                <w:color w:val="auto"/>
              </w:rPr>
              <w:t>John Kao</w:t>
            </w:r>
          </w:p>
        </w:tc>
        <w:tc>
          <w:tcPr>
            <w:tcW w:w="3720" w:type="dxa"/>
            <w:vAlign w:val="bottom"/>
            <w:tcBorders>
              <w:bottom w:val="single" w:sz="8" w:color="95B3D7"/>
            </w:tcBorders>
            <w:shd w:val="clear" w:color="auto" w:fill="DBE5F1"/>
          </w:tcPr>
          <w:p>
            <w:pPr>
              <w:ind w:left="60"/>
              <w:spacing w:after="0"/>
              <w:rPr>
                <w:sz w:val="20"/>
                <w:szCs w:val="20"/>
                <w:color w:val="auto"/>
              </w:rPr>
            </w:pPr>
            <w:r>
              <w:rPr>
                <w:rFonts w:ascii="Arial" w:cs="Arial" w:eastAsia="Arial" w:hAnsi="Arial"/>
                <w:sz w:val="18"/>
                <w:szCs w:val="18"/>
                <w:color w:val="auto"/>
              </w:rPr>
              <w:t>Chief Executive Officer (“CEO”)</w:t>
            </w:r>
          </w:p>
        </w:tc>
      </w:tr>
      <w:tr>
        <w:trPr>
          <w:trHeight w:val="237"/>
        </w:trPr>
        <w:tc>
          <w:tcPr>
            <w:tcW w:w="3760" w:type="dxa"/>
            <w:vAlign w:val="bottom"/>
            <w:tcBorders>
              <w:bottom w:val="single" w:sz="8" w:color="95B3D7"/>
              <w:right w:val="single" w:sz="8" w:color="95B3D7"/>
            </w:tcBorders>
          </w:tcPr>
          <w:p>
            <w:pPr>
              <w:ind w:left="80"/>
              <w:spacing w:after="0"/>
              <w:rPr>
                <w:sz w:val="20"/>
                <w:szCs w:val="20"/>
                <w:color w:val="auto"/>
              </w:rPr>
            </w:pPr>
            <w:r>
              <w:rPr>
                <w:rFonts w:ascii="Arial" w:cs="Arial" w:eastAsia="Arial" w:hAnsi="Arial"/>
                <w:sz w:val="18"/>
                <w:szCs w:val="18"/>
                <w:color w:val="auto"/>
              </w:rPr>
              <w:t>Thomas Freeman</w:t>
            </w:r>
          </w:p>
        </w:tc>
        <w:tc>
          <w:tcPr>
            <w:tcW w:w="3720" w:type="dxa"/>
            <w:vAlign w:val="bottom"/>
            <w:tcBorders>
              <w:bottom w:val="single" w:sz="8" w:color="95B3D7"/>
            </w:tcBorders>
          </w:tcPr>
          <w:p>
            <w:pPr>
              <w:ind w:left="60"/>
              <w:spacing w:after="0"/>
              <w:rPr>
                <w:sz w:val="20"/>
                <w:szCs w:val="20"/>
                <w:color w:val="auto"/>
              </w:rPr>
            </w:pPr>
            <w:r>
              <w:rPr>
                <w:rFonts w:ascii="Arial" w:cs="Arial" w:eastAsia="Arial" w:hAnsi="Arial"/>
                <w:sz w:val="18"/>
                <w:szCs w:val="18"/>
                <w:color w:val="auto"/>
              </w:rPr>
              <w:t>Chief Financial Officer</w:t>
            </w:r>
          </w:p>
        </w:tc>
      </w:tr>
      <w:tr>
        <w:trPr>
          <w:trHeight w:val="237"/>
        </w:trPr>
        <w:tc>
          <w:tcPr>
            <w:tcW w:w="3760" w:type="dxa"/>
            <w:vAlign w:val="bottom"/>
            <w:tcBorders>
              <w:bottom w:val="single" w:sz="8" w:color="95B3D7"/>
              <w:right w:val="single" w:sz="8" w:color="95B3D7"/>
            </w:tcBorders>
            <w:shd w:val="clear" w:color="auto" w:fill="DBE5F1"/>
          </w:tcPr>
          <w:p>
            <w:pPr>
              <w:ind w:left="80"/>
              <w:spacing w:after="0"/>
              <w:rPr>
                <w:sz w:val="20"/>
                <w:szCs w:val="20"/>
                <w:color w:val="auto"/>
              </w:rPr>
            </w:pPr>
            <w:r>
              <w:rPr>
                <w:rFonts w:ascii="Arial" w:cs="Arial" w:eastAsia="Arial" w:hAnsi="Arial"/>
                <w:sz w:val="18"/>
                <w:szCs w:val="18"/>
                <w:color w:val="auto"/>
              </w:rPr>
              <w:t>Dawn Maroney</w:t>
            </w:r>
          </w:p>
        </w:tc>
        <w:tc>
          <w:tcPr>
            <w:tcW w:w="3720" w:type="dxa"/>
            <w:vAlign w:val="bottom"/>
            <w:tcBorders>
              <w:bottom w:val="single" w:sz="8" w:color="95B3D7"/>
            </w:tcBorders>
            <w:shd w:val="clear" w:color="auto" w:fill="DBE5F1"/>
          </w:tcPr>
          <w:p>
            <w:pPr>
              <w:ind w:left="60"/>
              <w:spacing w:after="0"/>
              <w:rPr>
                <w:sz w:val="20"/>
                <w:szCs w:val="20"/>
                <w:color w:val="auto"/>
              </w:rPr>
            </w:pPr>
            <w:r>
              <w:rPr>
                <w:rFonts w:ascii="Arial" w:cs="Arial" w:eastAsia="Arial" w:hAnsi="Arial"/>
                <w:sz w:val="18"/>
                <w:szCs w:val="18"/>
                <w:color w:val="auto"/>
              </w:rPr>
              <w:t>President</w:t>
            </w:r>
          </w:p>
        </w:tc>
      </w:tr>
      <w:tr>
        <w:trPr>
          <w:trHeight w:val="243"/>
        </w:trPr>
        <w:tc>
          <w:tcPr>
            <w:tcW w:w="3760" w:type="dxa"/>
            <w:vAlign w:val="bottom"/>
            <w:tcBorders>
              <w:right w:val="single" w:sz="8" w:color="95B3D7"/>
            </w:tcBorders>
          </w:tcPr>
          <w:p>
            <w:pPr>
              <w:ind w:left="80"/>
              <w:spacing w:after="0"/>
              <w:rPr>
                <w:sz w:val="20"/>
                <w:szCs w:val="20"/>
                <w:color w:val="auto"/>
              </w:rPr>
            </w:pPr>
            <w:r>
              <w:rPr>
                <w:rFonts w:ascii="Arial" w:cs="Arial" w:eastAsia="Arial" w:hAnsi="Arial"/>
                <w:sz w:val="18"/>
                <w:szCs w:val="18"/>
                <w:color w:val="auto"/>
              </w:rPr>
              <w:t>Hyong (Ken) Kim, M.D.</w:t>
            </w:r>
          </w:p>
        </w:tc>
        <w:tc>
          <w:tcPr>
            <w:tcW w:w="3720" w:type="dxa"/>
            <w:vAlign w:val="bottom"/>
          </w:tcPr>
          <w:p>
            <w:pPr>
              <w:ind w:left="60"/>
              <w:spacing w:after="0"/>
              <w:rPr>
                <w:sz w:val="20"/>
                <w:szCs w:val="20"/>
                <w:color w:val="auto"/>
              </w:rPr>
            </w:pPr>
            <w:r>
              <w:rPr>
                <w:rFonts w:ascii="Arial" w:cs="Arial" w:eastAsia="Arial" w:hAnsi="Arial"/>
                <w:sz w:val="18"/>
                <w:szCs w:val="18"/>
                <w:color w:val="auto"/>
              </w:rPr>
              <w:t>Chief Medical Officer</w:t>
            </w:r>
          </w:p>
        </w:tc>
      </w:tr>
      <w:tr>
        <w:trPr>
          <w:trHeight w:val="23"/>
        </w:trPr>
        <w:tc>
          <w:tcPr>
            <w:tcW w:w="3760" w:type="dxa"/>
            <w:vAlign w:val="bottom"/>
            <w:tcBorders>
              <w:bottom w:val="single" w:sz="8" w:color="95B3D7"/>
              <w:right w:val="single" w:sz="8" w:color="95B3D7"/>
            </w:tcBorders>
          </w:tcPr>
          <w:p>
            <w:pPr>
              <w:spacing w:after="0"/>
              <w:rPr>
                <w:sz w:val="2"/>
                <w:szCs w:val="2"/>
                <w:color w:val="auto"/>
              </w:rPr>
            </w:pPr>
          </w:p>
        </w:tc>
        <w:tc>
          <w:tcPr>
            <w:tcW w:w="3720" w:type="dxa"/>
            <w:vAlign w:val="bottom"/>
            <w:tcBorders>
              <w:bottom w:val="single" w:sz="8" w:color="95B3D7"/>
            </w:tcBorders>
          </w:tcPr>
          <w:p>
            <w:pPr>
              <w:spacing w:after="0"/>
              <w:rPr>
                <w:sz w:val="2"/>
                <w:szCs w:val="2"/>
                <w:color w:val="auto"/>
              </w:rPr>
            </w:pPr>
          </w:p>
        </w:tc>
      </w:tr>
      <w:tr>
        <w:trPr>
          <w:trHeight w:val="244"/>
        </w:trPr>
        <w:tc>
          <w:tcPr>
            <w:tcW w:w="3760" w:type="dxa"/>
            <w:vAlign w:val="bottom"/>
            <w:tcBorders>
              <w:bottom w:val="single" w:sz="8" w:color="DBE5F1"/>
              <w:right w:val="single" w:sz="8" w:color="95B3D7"/>
            </w:tcBorders>
            <w:shd w:val="clear" w:color="auto" w:fill="DBE5F1"/>
          </w:tcPr>
          <w:p>
            <w:pPr>
              <w:ind w:left="80"/>
              <w:spacing w:after="0"/>
              <w:rPr>
                <w:sz w:val="20"/>
                <w:szCs w:val="20"/>
                <w:color w:val="auto"/>
              </w:rPr>
            </w:pPr>
            <w:r>
              <w:rPr>
                <w:rFonts w:ascii="Arial" w:cs="Arial" w:eastAsia="Arial" w:hAnsi="Arial"/>
                <w:sz w:val="18"/>
                <w:szCs w:val="18"/>
                <w:color w:val="auto"/>
              </w:rPr>
              <w:t>Andreas Wagner</w:t>
            </w:r>
          </w:p>
        </w:tc>
        <w:tc>
          <w:tcPr>
            <w:tcW w:w="3720" w:type="dxa"/>
            <w:vAlign w:val="bottom"/>
            <w:tcBorders>
              <w:bottom w:val="single" w:sz="8" w:color="DBE5F1"/>
            </w:tcBorders>
            <w:shd w:val="clear" w:color="auto" w:fill="DBE5F1"/>
          </w:tcPr>
          <w:p>
            <w:pPr>
              <w:ind w:left="60"/>
              <w:spacing w:after="0"/>
              <w:rPr>
                <w:sz w:val="20"/>
                <w:szCs w:val="20"/>
                <w:color w:val="auto"/>
              </w:rPr>
            </w:pPr>
            <w:r>
              <w:rPr>
                <w:rFonts w:ascii="Arial" w:cs="Arial" w:eastAsia="Arial" w:hAnsi="Arial"/>
                <w:sz w:val="18"/>
                <w:szCs w:val="18"/>
                <w:color w:val="auto"/>
              </w:rPr>
              <w:t>Chief Human Resources Officer</w:t>
            </w:r>
          </w:p>
        </w:tc>
      </w:tr>
      <w:tr>
        <w:trPr>
          <w:trHeight w:val="20"/>
        </w:trPr>
        <w:tc>
          <w:tcPr>
            <w:tcW w:w="3760" w:type="dxa"/>
            <w:vAlign w:val="bottom"/>
            <w:tcBorders>
              <w:right w:val="single" w:sz="8" w:color="95B3D7"/>
            </w:tcBorders>
            <w:shd w:val="clear" w:color="auto" w:fill="95B3D7"/>
          </w:tcPr>
          <w:p>
            <w:pPr>
              <w:spacing w:after="0" w:line="20" w:lineRule="exact"/>
              <w:rPr>
                <w:sz w:val="1"/>
                <w:szCs w:val="1"/>
                <w:color w:val="auto"/>
              </w:rPr>
            </w:pPr>
          </w:p>
        </w:tc>
        <w:tc>
          <w:tcPr>
            <w:tcW w:w="3720" w:type="dxa"/>
            <w:vAlign w:val="bottom"/>
            <w:shd w:val="clear" w:color="auto" w:fill="95B3D7"/>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Executive Summary</w:t>
      </w:r>
    </w:p>
    <w:p>
      <w:pPr>
        <w:spacing w:after="0" w:line="252"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Alignment is a next generation, consumer-centric platform designed to improve the health care experience for seniors. We deliver this experience through our Medicare Advantage plans, which are customized to meet the needs of a diverse array of seniors. Our innovative model of consumer-centric health care is purpose-built to provide seniors with care as it should be: high quality, low cost and accompanied by a vastly improved consumer experience. We combine a proprietary technology platform and a high-touch clinical model that enhances our members’ lifestyles and health outcomes while simultaneously controlling costs, which allows us to reinvest savings back into our platform and products to directly benefit the senior consumer. Our model is based on a flywheel concept, referred to as our “virtuous cycle,” which reflects our unique ability to manage health care expenditures while maintaining quality and member satisfaction—a distinct and sustainable competitive advantage.</w:t>
      </w:r>
    </w:p>
    <w:p>
      <w:pPr>
        <w:spacing w:after="0" w:line="212" w:lineRule="exact"/>
        <w:rPr>
          <w:sz w:val="20"/>
          <w:szCs w:val="20"/>
          <w:color w:val="auto"/>
        </w:rPr>
      </w:pPr>
    </w:p>
    <w:p>
      <w:pPr>
        <w:ind w:right="100" w:firstLine="405"/>
        <w:spacing w:after="0" w:line="291" w:lineRule="auto"/>
        <w:rPr>
          <w:sz w:val="20"/>
          <w:szCs w:val="20"/>
          <w:color w:val="auto"/>
        </w:rPr>
      </w:pPr>
      <w:r>
        <w:rPr>
          <w:rFonts w:ascii="Arial" w:cs="Arial" w:eastAsia="Arial" w:hAnsi="Arial"/>
          <w:sz w:val="17"/>
          <w:szCs w:val="17"/>
          <w:color w:val="auto"/>
        </w:rPr>
        <w:t>We are committed to our stockholder engagement efforts and open and ongoing dialogues with key stakeholders with respect to executive compensation to help ensure that we remain apprised of investor perspectives. We will also continue to consider the feedback we receive from our major stockholders as well as the outcome of say-on-pay votes when making compensation decisions regarding our NEOs.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2024 Business Highlights</w:t>
      </w:r>
    </w:p>
    <w:p>
      <w:pPr>
        <w:spacing w:after="0" w:line="156" w:lineRule="exact"/>
        <w:rPr>
          <w:sz w:val="20"/>
          <w:szCs w:val="20"/>
          <w:color w:val="auto"/>
        </w:rPr>
      </w:pPr>
    </w:p>
    <w:p>
      <w:pPr>
        <w:ind w:right="20" w:firstLine="401"/>
        <w:spacing w:after="0" w:line="268" w:lineRule="auto"/>
        <w:rPr>
          <w:sz w:val="20"/>
          <w:szCs w:val="20"/>
          <w:color w:val="auto"/>
        </w:rPr>
      </w:pPr>
      <w:r>
        <w:rPr>
          <w:rFonts w:ascii="Arial" w:cs="Arial" w:eastAsia="Arial" w:hAnsi="Arial"/>
          <w:sz w:val="18"/>
          <w:szCs w:val="18"/>
          <w:color w:val="auto"/>
        </w:rPr>
        <w:t>Our focus on quality allowed us to deliver strong financial results in fiscal 2024. We believe that ongoing strategic investments in our people and technology will continue to drive meaningful improvements in the health and quality of life of all those we serve. The following key operational and financial highlights demonstrate our strong performance for 2024:</w:t>
      </w:r>
    </w:p>
    <w:p>
      <w:pPr>
        <w:spacing w:after="0" w:line="171" w:lineRule="exact"/>
        <w:rPr>
          <w:sz w:val="20"/>
          <w:szCs w:val="20"/>
          <w:color w:val="auto"/>
        </w:rPr>
      </w:pPr>
    </w:p>
    <w:p>
      <w:pPr>
        <w:ind w:left="660" w:right="400" w:hanging="328"/>
        <w:spacing w:after="0" w:line="286" w:lineRule="auto"/>
        <w:tabs>
          <w:tab w:leader="none" w:pos="655"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Health plan membership, which we define as members enrolled in our HMO and PPO contracts, was approximately 189,100, up 58.6% year-over-year.</w:t>
      </w:r>
    </w:p>
    <w:p>
      <w:pPr>
        <w:spacing w:after="0" w:line="113"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Total revenue was $2,703.6 million, up 48.3% year-over-year. Revenue excluding ACO REACH was $2,702.6 million, up 59.0% year-over-year.</w:t>
      </w:r>
    </w:p>
    <w:p>
      <w:pPr>
        <w:spacing w:after="0" w:line="1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Adjusted gross profit was $302.6 million and loss from operations was $(101.6) million.</w:t>
      </w:r>
    </w:p>
    <w:p>
      <w:pPr>
        <w:spacing w:after="0" w:line="183" w:lineRule="exact"/>
        <w:rPr>
          <w:rFonts w:ascii="Times New Roman" w:cs="Times New Roman" w:eastAsia="Times New Roman" w:hAnsi="Times New Roman"/>
          <w:sz w:val="18"/>
          <w:szCs w:val="18"/>
          <w:color w:val="auto"/>
        </w:rPr>
      </w:pPr>
    </w:p>
    <w:p>
      <w:pPr>
        <w:ind w:left="1300" w:right="80" w:hanging="320"/>
        <w:spacing w:after="0" w:line="262" w:lineRule="auto"/>
        <w:tabs>
          <w:tab w:leader="none" w:pos="1295" w:val="left"/>
        </w:tabs>
        <w:numPr>
          <w:ilvl w:val="1"/>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Adjusted gross profit excludes depreciation and amortization of $27.1 million and selling, general, and administrative expenses of $371.4 million (which includes $66.2 million of equity-based compensation). Adjusted gross profit also excludes $0.8 million of restructuring costs and an additional $4.9 million of equity-based compensation recorded within medical expenses.</w:t>
      </w:r>
    </w:p>
    <w:p>
      <w:pPr>
        <w:spacing w:after="0" w:line="13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Medical benefits ratio based on adjusted gross profit was 88.8%.</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48" w:name="page49"/>
    <w:bookmarkEnd w:id="48"/>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was $1.3 million and net loss was $(128.1) million.</w:t>
      </w:r>
    </w:p>
    <w:p>
      <w:pPr>
        <w:spacing w:after="0" w:line="18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Adjusted gross profit and adjusted EBITDA are non-GAAP measures. An explanation of these measures, how they are calculated and reconciliations to the most directly comparable GAAP financial measures can be found in “</w:t>
      </w:r>
      <w:r>
        <w:rPr>
          <w:rFonts w:ascii="Arial" w:cs="Arial" w:eastAsia="Arial" w:hAnsi="Arial"/>
          <w:sz w:val="18"/>
          <w:szCs w:val="18"/>
          <w:i w:val="1"/>
          <w:iCs w:val="1"/>
          <w:color w:val="auto"/>
        </w:rPr>
        <w:t>Item 7.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Operations—Key Business Metrics</w:t>
      </w:r>
      <w:r>
        <w:rPr>
          <w:rFonts w:ascii="Arial" w:cs="Arial" w:eastAsia="Arial" w:hAnsi="Arial"/>
          <w:sz w:val="18"/>
          <w:szCs w:val="18"/>
          <w:color w:val="auto"/>
        </w:rPr>
        <w:t>” in the Company’s Annual Report on Form 10-K for the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2024 and in the Appendix to this proxy statement.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2024 Compensation Highlights</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Board of Directors and Compensation Committee made the following executive compensation decisions for fiscal 2024:</w:t>
      </w:r>
    </w:p>
    <w:p>
      <w:pPr>
        <w:spacing w:after="0" w:line="225" w:lineRule="exact"/>
        <w:rPr>
          <w:sz w:val="20"/>
          <w:szCs w:val="20"/>
          <w:color w:val="auto"/>
        </w:rPr>
      </w:pPr>
    </w:p>
    <w:p>
      <w:pPr>
        <w:ind w:left="980" w:hanging="324"/>
        <w:spacing w:after="0" w:line="287"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Compensation Program Approach</w:t>
      </w:r>
      <w:r>
        <w:rPr>
          <w:rFonts w:ascii="Arial" w:cs="Arial" w:eastAsia="Arial" w:hAnsi="Arial"/>
          <w:sz w:val="18"/>
          <w:szCs w:val="18"/>
          <w:color w:val="auto"/>
        </w:rPr>
        <w:t>. Our executive compensation philosophy is to forge critical connections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long-term value creation, employee engagement and retention, compensation governance and our cultural values.</w:t>
      </w:r>
    </w:p>
    <w:p>
      <w:pPr>
        <w:spacing w:after="0" w:line="112" w:lineRule="exact"/>
        <w:rPr>
          <w:rFonts w:ascii="Arial" w:cs="Arial" w:eastAsia="Arial" w:hAnsi="Arial"/>
          <w:sz w:val="18"/>
          <w:szCs w:val="18"/>
          <w:color w:val="auto"/>
        </w:rPr>
      </w:pPr>
    </w:p>
    <w:p>
      <w:pPr>
        <w:jc w:val="both"/>
        <w:ind w:left="980" w:hanging="324"/>
        <w:spacing w:after="0" w:line="257"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Annual Cash Incentives. </w:t>
      </w:r>
      <w:r>
        <w:rPr>
          <w:rFonts w:ascii="Arial" w:cs="Arial" w:eastAsia="Arial" w:hAnsi="Arial"/>
          <w:sz w:val="18"/>
          <w:szCs w:val="18"/>
          <w:color w:val="auto"/>
        </w:rPr>
        <w:t>Based on our financial performance in 2024, the Compensation Committee determined that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goals under the Annual Incentive Plan were achieved at 141.7% of each NEO’s applicable bonus target (for NEOs other than the CEO, corporate goals determine 75% of the overall payout and for the CEO, corporate goals determine 100% of the overall payout). The Compensation Committee also made determinations regarding the achievement of individual performance goals for our NEOs, which ranged from 100% to 200% (individual goals determine 25% of overall payout for NEOs other than the CEO, whose payout is not influenced by individual goal performance).</w:t>
      </w:r>
    </w:p>
    <w:p>
      <w:pPr>
        <w:spacing w:after="0" w:line="209" w:lineRule="exact"/>
        <w:rPr>
          <w:rFonts w:ascii="Arial" w:cs="Arial" w:eastAsia="Arial" w:hAnsi="Arial"/>
          <w:sz w:val="18"/>
          <w:szCs w:val="18"/>
          <w:color w:val="auto"/>
        </w:rPr>
      </w:pPr>
    </w:p>
    <w:p>
      <w:pPr>
        <w:jc w:val="both"/>
        <w:ind w:left="980" w:hanging="324"/>
        <w:spacing w:after="0" w:line="268"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Long-Term Equity Incentives</w:t>
      </w:r>
      <w:r>
        <w:rPr>
          <w:rFonts w:ascii="Arial" w:cs="Arial" w:eastAsia="Arial" w:hAnsi="Arial"/>
          <w:sz w:val="18"/>
          <w:szCs w:val="18"/>
          <w:color w:val="auto"/>
        </w:rPr>
        <w:t>. In March 2024, the Compensation Committee recommended, and the Board approved, long-term equity grants to executive officers consisting of 50% time-vested restricted stock units ("RSUs") and 50% performance share units ("PSUs" and together with the RSUs, the "March 2024 Equity Awards").</w:t>
      </w:r>
    </w:p>
    <w:p>
      <w:pPr>
        <w:spacing w:after="0" w:line="143" w:lineRule="exact"/>
        <w:rPr>
          <w:rFonts w:ascii="Arial" w:cs="Arial" w:eastAsia="Arial" w:hAnsi="Arial"/>
          <w:sz w:val="18"/>
          <w:szCs w:val="18"/>
          <w:color w:val="auto"/>
        </w:rPr>
      </w:pPr>
    </w:p>
    <w:p>
      <w:pPr>
        <w:jc w:val="both"/>
        <w:ind w:left="1620" w:hanging="316"/>
        <w:spacing w:after="0" w:line="268" w:lineRule="auto"/>
        <w:tabs>
          <w:tab w:leader="none" w:pos="1615"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Continuing our commitment to performance-based compensation, the PSUs are subject to the achievement of specified revenue and adjusted EBITDA targets. PSUs granted in 2024 have a three-year vesting period and will be earned, if at all, upon certification of our financial results for the third year (i.e., fiscal year 2026).</w:t>
      </w:r>
    </w:p>
    <w:p>
      <w:pPr>
        <w:spacing w:after="0" w:line="130" w:lineRule="exact"/>
        <w:rPr>
          <w:rFonts w:ascii="Arial" w:cs="Arial" w:eastAsia="Arial" w:hAnsi="Arial"/>
          <w:sz w:val="18"/>
          <w:szCs w:val="18"/>
          <w:color w:val="auto"/>
        </w:rPr>
      </w:pPr>
    </w:p>
    <w:p>
      <w:pPr>
        <w:jc w:val="both"/>
        <w:ind w:left="1620" w:hanging="316"/>
        <w:spacing w:after="0" w:line="268" w:lineRule="auto"/>
        <w:tabs>
          <w:tab w:leader="none" w:pos="1615" w:val="left"/>
        </w:tabs>
        <w:numPr>
          <w:ilvl w:val="1"/>
          <w:numId w:val="33"/>
        </w:numPr>
        <w:rPr>
          <w:rFonts w:ascii="Arial" w:cs="Arial" w:eastAsia="Arial" w:hAnsi="Arial"/>
          <w:sz w:val="18"/>
          <w:szCs w:val="18"/>
          <w:color w:val="auto"/>
        </w:rPr>
      </w:pPr>
      <w:r>
        <w:rPr>
          <w:rFonts w:ascii="Arial" w:cs="Arial" w:eastAsia="Arial" w:hAnsi="Arial"/>
          <w:sz w:val="18"/>
          <w:szCs w:val="18"/>
          <w:color w:val="auto"/>
        </w:rPr>
        <w:t>RSUs were a substantial component of long-term equity compensation, as the Compensation Committee believes they are consistent with the Company’s retention objectives in light of competition for talent in the health care space. RSUs granted in 2024 vest over four years.</w:t>
      </w:r>
    </w:p>
    <w:p>
      <w:pPr>
        <w:spacing w:after="0" w:line="130" w:lineRule="exact"/>
        <w:rPr>
          <w:rFonts w:ascii="Arial" w:cs="Arial" w:eastAsia="Arial" w:hAnsi="Arial"/>
          <w:sz w:val="18"/>
          <w:szCs w:val="18"/>
          <w:color w:val="auto"/>
        </w:rPr>
      </w:pPr>
    </w:p>
    <w:p>
      <w:pPr>
        <w:jc w:val="both"/>
        <w:ind w:left="1620" w:hanging="316"/>
        <w:spacing w:after="0" w:line="262" w:lineRule="auto"/>
        <w:tabs>
          <w:tab w:leader="none" w:pos="1615" w:val="left"/>
        </w:tabs>
        <w:numPr>
          <w:ilvl w:val="1"/>
          <w:numId w:val="33"/>
        </w:numPr>
        <w:rPr>
          <w:rFonts w:ascii="Arial" w:cs="Arial" w:eastAsia="Arial" w:hAnsi="Arial"/>
          <w:sz w:val="18"/>
          <w:szCs w:val="18"/>
          <w:color w:val="auto"/>
        </w:rPr>
      </w:pPr>
      <w:r>
        <w:rPr>
          <w:rFonts w:ascii="Arial" w:cs="Arial" w:eastAsia="Arial" w:hAnsi="Arial"/>
          <w:sz w:val="18"/>
          <w:szCs w:val="18"/>
          <w:color w:val="auto"/>
        </w:rPr>
        <w:t>For 2025 long-term equity awards, the Compensation Committee approved awards consisting of (i) 50% PSUs with a three-year vesting period which will be earned, if at all, upon certification of our financial results for the third year (i.e., fiscal year 2027) and (ii) 50% RSUs with approximately one third of the RSU awards vesting on each of the first three anniversaries of the grant date. In prior years, RSUs were granted with a four-year vesting period.</w:t>
      </w:r>
    </w:p>
    <w:p>
      <w:pPr>
        <w:spacing w:after="0" w:line="203" w:lineRule="exact"/>
        <w:rPr>
          <w:rFonts w:ascii="Arial" w:cs="Arial" w:eastAsia="Arial" w:hAnsi="Arial"/>
          <w:sz w:val="18"/>
          <w:szCs w:val="18"/>
          <w:color w:val="auto"/>
        </w:rPr>
      </w:pPr>
    </w:p>
    <w:p>
      <w:pPr>
        <w:jc w:val="both"/>
        <w:ind w:left="980" w:hanging="324"/>
        <w:spacing w:after="0" w:line="259"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September 2023 PSUs Results</w:t>
      </w:r>
      <w:r>
        <w:rPr>
          <w:rFonts w:ascii="Arial" w:cs="Arial" w:eastAsia="Arial" w:hAnsi="Arial"/>
          <w:sz w:val="18"/>
          <w:szCs w:val="18"/>
          <w:color w:val="auto"/>
        </w:rPr>
        <w:t>. In March 2025, the Compensation Committee certified the results of the corporate metrics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PSU awards granted to executive officers and other senior employees in September 2023 (the "September 2023 PSUs"). In the aggregate, the September 2023 PSUs (for the performance period January 1, 2024 to December 31, 2024) were earned at 116.8% of target. Corporate metrics applicable to the September 2023 PSUs were health plan revenue growth (weighted 60%), at-risk loyal medical benefit ratio (weighted 20%) and adjusted EBITDA (less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9" w:name="page50"/>
    <w:bookmarkEnd w:id="49"/>
    <w:p>
      <w:pPr>
        <w:jc w:val="both"/>
        <w:ind w:left="980"/>
        <w:spacing w:after="0" w:line="268" w:lineRule="auto"/>
        <w:rPr>
          <w:sz w:val="20"/>
          <w:szCs w:val="20"/>
          <w:color w:val="auto"/>
        </w:rPr>
      </w:pPr>
      <w:r>
        <w:rPr>
          <w:rFonts w:ascii="Arial" w:cs="Arial" w:eastAsia="Arial" w:hAnsi="Arial"/>
          <w:sz w:val="18"/>
          <w:szCs w:val="18"/>
          <w:color w:val="auto"/>
        </w:rPr>
        <w:t>(weighted 20%). 50% of the earned PSUs vested upon certification and 50% remain subject to service-based vesting requirements until December 31, 2025. For more information, see "</w:t>
      </w:r>
      <w:r>
        <w:rPr>
          <w:rFonts w:ascii="Arial" w:cs="Arial" w:eastAsia="Arial" w:hAnsi="Arial"/>
          <w:sz w:val="18"/>
          <w:szCs w:val="18"/>
          <w:i w:val="1"/>
          <w:iCs w:val="1"/>
          <w:color w:val="auto"/>
        </w:rPr>
        <w:t>—2024 Executive Compensation Program in Detail—Long</w:t>
      </w:r>
      <w:r>
        <w:rPr>
          <w:rFonts w:ascii="Arial" w:cs="Arial" w:eastAsia="Arial" w:hAnsi="Arial"/>
          <w:sz w:val="18"/>
          <w:szCs w:val="18"/>
          <w:color w:val="auto"/>
        </w:rPr>
        <w:t xml:space="preserve"> </w:t>
      </w:r>
      <w:r>
        <w:rPr>
          <w:rFonts w:ascii="Arial" w:cs="Arial" w:eastAsia="Arial" w:hAnsi="Arial"/>
          <w:sz w:val="18"/>
          <w:szCs w:val="18"/>
          <w:i w:val="1"/>
          <w:iCs w:val="1"/>
          <w:color w:val="auto"/>
        </w:rPr>
        <w:t>Term Equity Incentives—September 2023 Performance Share Units</w:t>
      </w:r>
      <w:r>
        <w:rPr>
          <w:rFonts w:ascii="Arial" w:cs="Arial" w:eastAsia="Arial" w:hAnsi="Arial"/>
          <w:sz w:val="18"/>
          <w:szCs w:val="18"/>
          <w:color w:val="auto"/>
        </w:rPr>
        <w:t>" below.</w:t>
      </w:r>
    </w:p>
    <w:p>
      <w:pPr>
        <w:spacing w:after="0" w:line="198" w:lineRule="exact"/>
        <w:rPr>
          <w:sz w:val="20"/>
          <w:szCs w:val="20"/>
          <w:color w:val="auto"/>
        </w:rPr>
      </w:pPr>
    </w:p>
    <w:p>
      <w:pPr>
        <w:jc w:val="both"/>
        <w:ind w:left="980" w:hanging="324"/>
        <w:spacing w:after="0" w:line="259"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2023 AIP Bonus Modifier</w:t>
      </w:r>
      <w:r>
        <w:rPr>
          <w:rFonts w:ascii="Arial" w:cs="Arial" w:eastAsia="Arial" w:hAnsi="Arial"/>
          <w:sz w:val="18"/>
          <w:szCs w:val="18"/>
          <w:color w:val="auto"/>
        </w:rPr>
        <w:t>. As previously disclosed, 25% of each NEO's total 2023 Annual Incentive Plan payout was held back</w:t>
      </w:r>
      <w:r>
        <w:rPr>
          <w:rFonts w:ascii="Arial" w:cs="Arial" w:eastAsia="Arial" w:hAnsi="Arial"/>
          <w:sz w:val="18"/>
          <w:szCs w:val="18"/>
          <w:b w:val="1"/>
          <w:bCs w:val="1"/>
          <w:color w:val="auto"/>
        </w:rPr>
        <w:t xml:space="preserve"> </w:t>
      </w:r>
      <w:r>
        <w:rPr>
          <w:rFonts w:ascii="Arial" w:cs="Arial" w:eastAsia="Arial" w:hAnsi="Arial"/>
          <w:sz w:val="18"/>
          <w:szCs w:val="18"/>
          <w:color w:val="auto"/>
        </w:rPr>
        <w:t>and made subject to an adjustment based on the CMS Star Rating achieved by the Company’s Medicare Advantage plans for plan rating year 2025. The Company's aggregate health plan CMS Star Rating for that plan year was 4.0 Stars. Accordingly, under the AIP framework approved by our Compensation Committee, in the fourth quarter of 2024, our NEOs received the 25% holdback minus an amount equal to 5% of the total bonus amount.</w:t>
      </w:r>
    </w:p>
    <w:p>
      <w:pPr>
        <w:spacing w:after="0" w:line="206" w:lineRule="exact"/>
        <w:rPr>
          <w:rFonts w:ascii="Arial" w:cs="Arial" w:eastAsia="Arial" w:hAnsi="Arial"/>
          <w:sz w:val="18"/>
          <w:szCs w:val="18"/>
          <w:color w:val="auto"/>
        </w:rPr>
      </w:pPr>
    </w:p>
    <w:p>
      <w:pPr>
        <w:ind w:left="980" w:right="20" w:hanging="324"/>
        <w:spacing w:after="0" w:line="28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Engagement of Compensation Consultant</w:t>
      </w:r>
      <w:r>
        <w:rPr>
          <w:rFonts w:ascii="Arial" w:cs="Arial" w:eastAsia="Arial" w:hAnsi="Arial"/>
          <w:sz w:val="18"/>
          <w:szCs w:val="18"/>
          <w:color w:val="auto"/>
        </w:rPr>
        <w:t>. In May 2024, the Compensation Committee engaged Frederic W. Cook &amp; Co., Inc.</w:t>
      </w:r>
      <w:r>
        <w:rPr>
          <w:rFonts w:ascii="Arial" w:cs="Arial" w:eastAsia="Arial" w:hAnsi="Arial"/>
          <w:sz w:val="18"/>
          <w:szCs w:val="18"/>
          <w:b w:val="1"/>
          <w:bCs w:val="1"/>
          <w:color w:val="auto"/>
        </w:rPr>
        <w:t xml:space="preserve"> </w:t>
      </w:r>
      <w:r>
        <w:rPr>
          <w:rFonts w:ascii="Arial" w:cs="Arial" w:eastAsia="Arial" w:hAnsi="Arial"/>
          <w:sz w:val="18"/>
          <w:szCs w:val="18"/>
          <w:color w:val="auto"/>
        </w:rPr>
        <w:t>("FW Cook") as its new independent compensation consultant.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2024 Advisory Vote on Executive Compensation (“Say on Pay”)</w:t>
      </w:r>
    </w:p>
    <w:p>
      <w:pPr>
        <w:spacing w:after="0" w:line="19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2024, our stockholders cast a non-binding advisory vote to approve the compensation of our Named Executive Officers at the annual stockholder meeting, the results of which were that approximately 86.7% of the votes cast were in support for our program. While this result represented a significant increase in support relative to the 2023 vote, the Compensation Committee is continuing to work closely with its independent compensation consultant to ensure that our compensation program evolves at a pace that is in the best interests of our stockholders and executive team.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Compensation Best Practices &amp; Policies</w:t>
      </w:r>
    </w:p>
    <w:p>
      <w:pPr>
        <w:spacing w:after="0" w:line="225" w:lineRule="exact"/>
        <w:rPr>
          <w:sz w:val="20"/>
          <w:szCs w:val="20"/>
          <w:color w:val="auto"/>
        </w:rPr>
      </w:pPr>
    </w:p>
    <w:p>
      <w:pPr>
        <w:ind w:right="520" w:firstLine="405"/>
        <w:spacing w:after="0" w:line="259" w:lineRule="auto"/>
        <w:rPr>
          <w:sz w:val="20"/>
          <w:szCs w:val="20"/>
          <w:color w:val="auto"/>
        </w:rPr>
      </w:pPr>
      <w:r>
        <w:rPr>
          <w:rFonts w:ascii="Arial" w:cs="Arial" w:eastAsia="Arial" w:hAnsi="Arial"/>
          <w:sz w:val="18"/>
          <w:szCs w:val="18"/>
          <w:color w:val="auto"/>
        </w:rPr>
        <w:t>We believe the following practices and policies within our program promote sound compensation governance and are in the best interests of our stockholders and executives. We also believe that these principles have been instrumental in the Company’s attraction, recruitment, retention and motivation of executive talent and the successful execution of the Company’s initiatives and our overall performance, particularly in light of the relative headwinds our competitors have faced as the result of the challenging regulatory and macroeconomic environment.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34925</wp:posOffset>
            </wp:positionV>
            <wp:extent cx="5366385" cy="4800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66385" cy="48006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p>
      <w:pPr>
        <w:spacing w:after="0" w:line="6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Emphasize variable pay over fixed pay, with a</w:t>
      </w:r>
    </w:p>
    <w:p>
      <w:pPr>
        <w:spacing w:after="0" w:line="12" w:lineRule="exact"/>
        <w:rPr>
          <w:sz w:val="20"/>
          <w:szCs w:val="20"/>
          <w:color w:val="auto"/>
        </w:rPr>
      </w:pPr>
    </w:p>
    <w:p>
      <w:pPr>
        <w:ind w:left="1880" w:right="60"/>
        <w:spacing w:after="0" w:line="229" w:lineRule="auto"/>
        <w:rPr>
          <w:sz w:val="20"/>
          <w:szCs w:val="20"/>
          <w:color w:val="auto"/>
        </w:rPr>
      </w:pPr>
      <w:r>
        <w:rPr>
          <w:rFonts w:ascii="Arial" w:cs="Arial" w:eastAsia="Arial" w:hAnsi="Arial"/>
          <w:sz w:val="18"/>
          <w:szCs w:val="18"/>
          <w:color w:val="auto"/>
        </w:rPr>
        <w:t>significant portion focused on long-term value creation</w:t>
      </w:r>
    </w:p>
    <w:p>
      <w:pPr>
        <w:spacing w:after="0" w:line="141" w:lineRule="exact"/>
        <w:rPr>
          <w:sz w:val="20"/>
          <w:szCs w:val="20"/>
          <w:color w:val="auto"/>
        </w:rPr>
      </w:pPr>
    </w:p>
    <w:p>
      <w:pPr>
        <w:ind w:left="1880" w:right="520"/>
        <w:spacing w:after="0" w:line="256" w:lineRule="auto"/>
        <w:rPr>
          <w:sz w:val="20"/>
          <w:szCs w:val="20"/>
          <w:color w:val="auto"/>
        </w:rPr>
      </w:pPr>
      <w:r>
        <w:rPr>
          <w:rFonts w:ascii="Arial" w:cs="Arial" w:eastAsia="Arial" w:hAnsi="Arial"/>
          <w:sz w:val="18"/>
          <w:szCs w:val="18"/>
          <w:color w:val="auto"/>
        </w:rPr>
        <w:t>Conduct an annual advisory vote on the compensation of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-62230</wp:posOffset>
            </wp:positionV>
            <wp:extent cx="196850" cy="2571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685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2180"/>
        <w:spacing w:after="0" w:line="256" w:lineRule="auto"/>
        <w:rPr>
          <w:sz w:val="20"/>
          <w:szCs w:val="20"/>
          <w:color w:val="auto"/>
        </w:rPr>
      </w:pPr>
      <w:r>
        <w:rPr>
          <w:rFonts w:ascii="Arial" w:cs="Arial" w:eastAsia="Arial" w:hAnsi="Arial"/>
          <w:sz w:val="18"/>
          <w:szCs w:val="18"/>
          <w:color w:val="auto"/>
        </w:rPr>
        <w:t>Use an independent compensation consultant</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Maintain a Clawback Policy applicable to</w:t>
      </w:r>
    </w:p>
    <w:p>
      <w:pPr>
        <w:spacing w:after="0" w:line="12" w:lineRule="exact"/>
        <w:rPr>
          <w:sz w:val="20"/>
          <w:szCs w:val="20"/>
          <w:color w:val="auto"/>
        </w:rPr>
      </w:pPr>
    </w:p>
    <w:p>
      <w:pPr>
        <w:ind w:right="1780"/>
        <w:spacing w:after="0" w:line="208" w:lineRule="auto"/>
        <w:rPr>
          <w:sz w:val="20"/>
          <w:szCs w:val="20"/>
          <w:color w:val="auto"/>
        </w:rPr>
      </w:pPr>
      <w:r>
        <w:rPr>
          <w:rFonts w:ascii="Arial" w:cs="Arial" w:eastAsia="Arial" w:hAnsi="Arial"/>
          <w:sz w:val="18"/>
          <w:szCs w:val="18"/>
          <w:color w:val="auto"/>
        </w:rPr>
        <w:t>cash incentive compensation and equity awards in the event of a financial restatement, consistent with SEC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-254635</wp:posOffset>
            </wp:positionV>
            <wp:extent cx="196850" cy="2571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6850" cy="2571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Nasdaq requirements</w:t>
      </w:r>
    </w:p>
    <w:p>
      <w:pPr>
        <w:spacing w:after="0" w:line="200" w:lineRule="exact"/>
        <w:rPr>
          <w:sz w:val="20"/>
          <w:szCs w:val="20"/>
          <w:color w:val="auto"/>
        </w:rPr>
      </w:pPr>
    </w:p>
    <w:p>
      <w:pPr>
        <w:sectPr>
          <w:pgSz w:w="11900" w:h="16838" w:orient="portrait"/>
          <w:cols w:equalWidth="0" w:num="2">
            <w:col w:w="5560" w:space="720"/>
            <w:col w:w="4960"/>
          </w:cols>
          <w:pgMar w:left="320" w:top="1417" w:right="339" w:bottom="1440" w:gutter="0" w:footer="0" w:header="0"/>
          <w:type w:val="continuous"/>
        </w:sectPr>
      </w:pPr>
    </w:p>
    <w:p>
      <w:pPr>
        <w:spacing w:after="0" w:line="21" w:lineRule="exact"/>
        <w:rPr>
          <w:sz w:val="20"/>
          <w:szCs w:val="20"/>
          <w:color w:val="auto"/>
        </w:rPr>
      </w:pPr>
    </w:p>
    <w:p>
      <w:pPr>
        <w:ind w:left="1880" w:right="200"/>
        <w:spacing w:after="0" w:line="256" w:lineRule="auto"/>
        <w:rPr>
          <w:sz w:val="20"/>
          <w:szCs w:val="20"/>
          <w:color w:val="auto"/>
        </w:rPr>
      </w:pPr>
      <w:r>
        <w:rPr>
          <w:rFonts w:ascii="Arial" w:cs="Arial" w:eastAsia="Arial" w:hAnsi="Arial"/>
          <w:sz w:val="18"/>
          <w:szCs w:val="18"/>
          <w:color w:val="auto"/>
        </w:rPr>
        <w:t>Annually review and approve peer group for comparative compensation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-276225</wp:posOffset>
            </wp:positionV>
            <wp:extent cx="5366385" cy="4375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366385" cy="4375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1940"/>
        <w:spacing w:after="0" w:line="256" w:lineRule="auto"/>
        <w:rPr>
          <w:sz w:val="20"/>
          <w:szCs w:val="20"/>
          <w:color w:val="auto"/>
        </w:rPr>
      </w:pPr>
      <w:r>
        <w:rPr>
          <w:rFonts w:ascii="Arial" w:cs="Arial" w:eastAsia="Arial" w:hAnsi="Arial"/>
          <w:sz w:val="18"/>
          <w:szCs w:val="18"/>
          <w:color w:val="auto"/>
        </w:rPr>
        <w:t>Conduct annual risk assessment of all compensation plans and programs</w:t>
      </w:r>
    </w:p>
    <w:p>
      <w:pPr>
        <w:spacing w:after="0" w:line="200" w:lineRule="exact"/>
        <w:rPr>
          <w:sz w:val="20"/>
          <w:szCs w:val="20"/>
          <w:color w:val="auto"/>
        </w:rPr>
      </w:pPr>
    </w:p>
    <w:p>
      <w:pPr>
        <w:sectPr>
          <w:pgSz w:w="11900" w:h="16838" w:orient="portrait"/>
          <w:cols w:equalWidth="0" w:num="2">
            <w:col w:w="5560" w:space="720"/>
            <w:col w:w="4960"/>
          </w:cols>
          <w:pgMar w:left="320" w:top="1417" w:right="339" w:bottom="1440" w:gutter="0" w:footer="0" w:header="0"/>
          <w:type w:val="continuous"/>
        </w:sectPr>
      </w:pPr>
    </w:p>
    <w:p>
      <w:pPr>
        <w:spacing w:after="0" w:line="29" w:lineRule="exact"/>
        <w:rPr>
          <w:sz w:val="20"/>
          <w:szCs w:val="20"/>
          <w:color w:val="auto"/>
        </w:rPr>
      </w:pPr>
    </w:p>
    <w:tbl>
      <w:tblPr>
        <w:tblLayout w:type="fixed"/>
        <w:tblInd w:w="1400" w:type="dxa"/>
        <w:tblCellMar>
          <w:top w:w="0" w:type="dxa"/>
          <w:left w:w="0" w:type="dxa"/>
          <w:bottom w:w="0" w:type="dxa"/>
          <w:right w:w="0" w:type="dxa"/>
        </w:tblCellMar>
      </w:tblPr>
      <w:tr>
        <w:trPr>
          <w:trHeight w:val="207"/>
        </w:trPr>
        <w:tc>
          <w:tcPr>
            <w:tcW w:w="4580" w:type="dxa"/>
            <w:vAlign w:val="bottom"/>
          </w:tcPr>
          <w:p>
            <w:pPr>
              <w:ind w:left="480"/>
              <w:spacing w:after="0"/>
              <w:rPr>
                <w:sz w:val="20"/>
                <w:szCs w:val="20"/>
                <w:color w:val="auto"/>
              </w:rPr>
            </w:pPr>
            <w:r>
              <w:rPr>
                <w:rFonts w:ascii="Arial" w:cs="Arial" w:eastAsia="Arial" w:hAnsi="Arial"/>
                <w:sz w:val="18"/>
                <w:szCs w:val="18"/>
                <w:color w:val="auto"/>
              </w:rPr>
              <w:t>Maintain anti-hedging and anti-pledging policies</w:t>
            </w:r>
          </w:p>
        </w:tc>
        <w:tc>
          <w:tcPr>
            <w:tcW w:w="3860" w:type="dxa"/>
            <w:vAlign w:val="bottom"/>
          </w:tcPr>
          <w:p>
            <w:pPr>
              <w:ind w:left="300"/>
              <w:spacing w:after="0"/>
              <w:rPr>
                <w:sz w:val="20"/>
                <w:szCs w:val="20"/>
                <w:color w:val="auto"/>
              </w:rPr>
            </w:pPr>
            <w:r>
              <w:rPr>
                <w:rFonts w:ascii="Arial" w:cs="Arial" w:eastAsia="Arial" w:hAnsi="Arial"/>
                <w:sz w:val="18"/>
                <w:szCs w:val="18"/>
                <w:color w:val="auto"/>
              </w:rPr>
              <w:t>Maintain stock ownership guidelines for our</w:t>
            </w:r>
          </w:p>
        </w:tc>
      </w:tr>
      <w:tr>
        <w:trPr>
          <w:trHeight w:val="239"/>
        </w:trPr>
        <w:tc>
          <w:tcPr>
            <w:tcW w:w="4580" w:type="dxa"/>
            <w:vAlign w:val="bottom"/>
          </w:tcPr>
          <w:p>
            <w:pPr>
              <w:spacing w:after="0"/>
              <w:rPr>
                <w:sz w:val="20"/>
                <w:szCs w:val="20"/>
                <w:color w:val="auto"/>
              </w:rPr>
            </w:pPr>
          </w:p>
        </w:tc>
        <w:tc>
          <w:tcPr>
            <w:tcW w:w="3860" w:type="dxa"/>
            <w:vAlign w:val="bottom"/>
          </w:tcPr>
          <w:p>
            <w:pPr>
              <w:ind w:left="300"/>
              <w:spacing w:after="0"/>
              <w:rPr>
                <w:sz w:val="20"/>
                <w:szCs w:val="20"/>
                <w:color w:val="auto"/>
              </w:rPr>
            </w:pPr>
            <w:r>
              <w:rPr>
                <w:rFonts w:ascii="Arial" w:cs="Arial" w:eastAsia="Arial" w:hAnsi="Arial"/>
                <w:sz w:val="18"/>
                <w:szCs w:val="18"/>
                <w:color w:val="auto"/>
              </w:rPr>
              <w:t>executive officers and Board of Directors</w:t>
            </w:r>
          </w:p>
        </w:tc>
      </w:tr>
      <w:tr>
        <w:trPr>
          <w:trHeight w:val="212"/>
        </w:trPr>
        <w:tc>
          <w:tcPr>
            <w:tcW w:w="4580" w:type="dxa"/>
            <w:vAlign w:val="bottom"/>
            <w:tcBorders>
              <w:bottom w:val="single" w:sz="8" w:color="95B3D7"/>
            </w:tcBorders>
          </w:tcPr>
          <w:p>
            <w:pPr>
              <w:spacing w:after="0"/>
              <w:rPr>
                <w:sz w:val="18"/>
                <w:szCs w:val="18"/>
                <w:color w:val="auto"/>
              </w:rPr>
            </w:pPr>
          </w:p>
        </w:tc>
        <w:tc>
          <w:tcPr>
            <w:tcW w:w="3860" w:type="dxa"/>
            <w:vAlign w:val="bottom"/>
            <w:tcBorders>
              <w:bottom w:val="single" w:sz="8" w:color="95B3D7"/>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-368300</wp:posOffset>
            </wp:positionV>
            <wp:extent cx="197485" cy="2571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7485" cy="25717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-368300</wp:posOffset>
            </wp:positionV>
            <wp:extent cx="196850" cy="2571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685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50" w:name="page51"/>
    <w:bookmarkEnd w:id="50"/>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34925</wp:posOffset>
            </wp:positionV>
            <wp:extent cx="5366385" cy="4800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66385" cy="48006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No guaranteed or uncapped incentive payouts in our annual bonus plan</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2000"/>
        <w:spacing w:after="0" w:line="268" w:lineRule="auto"/>
        <w:rPr>
          <w:sz w:val="20"/>
          <w:szCs w:val="20"/>
          <w:color w:val="auto"/>
        </w:rPr>
      </w:pPr>
      <w:r>
        <w:rPr>
          <w:rFonts w:ascii="Arial" w:cs="Arial" w:eastAsia="Arial" w:hAnsi="Arial"/>
          <w:sz w:val="17"/>
          <w:szCs w:val="17"/>
          <w:color w:val="auto"/>
        </w:rPr>
        <w:t>No option or stock appreciation rights granted below fair market value</w:t>
      </w:r>
    </w:p>
    <w:p>
      <w:pPr>
        <w:spacing w:after="0" w:line="200" w:lineRule="exact"/>
        <w:rPr>
          <w:sz w:val="20"/>
          <w:szCs w:val="20"/>
          <w:color w:val="auto"/>
        </w:rPr>
      </w:pPr>
    </w:p>
    <w:p>
      <w:pPr>
        <w:sectPr>
          <w:pgSz w:w="11900" w:h="16838" w:orient="portrait"/>
          <w:cols w:equalWidth="0" w:num="2">
            <w:col w:w="5740" w:space="540"/>
            <w:col w:w="4960"/>
          </w:cols>
          <w:pgMar w:left="320" w:top="1440" w:right="339" w:bottom="1440" w:gutter="0" w:footer="0" w:header="0"/>
          <w:type w:val="continuous"/>
        </w:sectPr>
      </w:pPr>
    </w:p>
    <w:p>
      <w:pPr>
        <w:spacing w:after="0" w:line="92" w:lineRule="exact"/>
        <w:rPr>
          <w:sz w:val="20"/>
          <w:szCs w:val="20"/>
          <w:color w:val="auto"/>
        </w:rPr>
      </w:pPr>
    </w:p>
    <w:p>
      <w:pPr>
        <w:ind w:left="1880"/>
        <w:spacing w:after="0"/>
        <w:tabs>
          <w:tab w:leader="none" w:pos="6260" w:val="left"/>
        </w:tabs>
        <w:rPr>
          <w:sz w:val="20"/>
          <w:szCs w:val="20"/>
          <w:color w:val="auto"/>
        </w:rPr>
      </w:pPr>
      <w:r>
        <w:rPr>
          <w:rFonts w:ascii="Arial" w:cs="Arial" w:eastAsia="Arial" w:hAnsi="Arial"/>
          <w:sz w:val="18"/>
          <w:szCs w:val="18"/>
          <w:color w:val="auto"/>
        </w:rPr>
        <w:t>No significant perquisites</w:t>
      </w:r>
      <w:r>
        <w:rPr>
          <w:sz w:val="20"/>
          <w:szCs w:val="20"/>
          <w:color w:val="auto"/>
        </w:rPr>
        <w:tab/>
      </w:r>
      <w:r>
        <w:rPr>
          <w:rFonts w:ascii="Arial" w:cs="Arial" w:eastAsia="Arial" w:hAnsi="Arial"/>
          <w:sz w:val="17"/>
          <w:szCs w:val="17"/>
          <w:color w:val="auto"/>
        </w:rPr>
        <w:t>No repricing or exchange of underwater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-50165</wp:posOffset>
            </wp:positionV>
            <wp:extent cx="214630"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4630" cy="27432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-50165</wp:posOffset>
            </wp:positionV>
            <wp:extent cx="213995"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3995" cy="27432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8"/>
          <w:szCs w:val="18"/>
          <w:color w:val="auto"/>
        </w:rPr>
        <w:t>options without stockholder approval</w:t>
      </w:r>
    </w:p>
    <w:p>
      <w:pPr>
        <w:sectPr>
          <w:pgSz w:w="11900" w:h="16838" w:orient="portrait"/>
          <w:cols w:equalWidth="0" w:num="1">
            <w:col w:w="11240"/>
          </w:cols>
          <w:pgMar w:left="320" w:top="1440" w:right="339" w:bottom="1440" w:gutter="0" w:footer="0" w:header="0"/>
          <w:type w:val="continuous"/>
        </w:sectPr>
      </w:pPr>
    </w:p>
    <w:p>
      <w:pPr>
        <w:spacing w:after="0" w:line="342" w:lineRule="exact"/>
        <w:rPr>
          <w:sz w:val="20"/>
          <w:szCs w:val="20"/>
          <w:color w:val="auto"/>
        </w:rPr>
      </w:pPr>
    </w:p>
    <w:p>
      <w:pPr>
        <w:ind w:left="1880" w:right="560"/>
        <w:spacing w:after="0"/>
        <w:rPr>
          <w:sz w:val="20"/>
          <w:szCs w:val="20"/>
          <w:color w:val="auto"/>
        </w:rPr>
      </w:pPr>
      <w:r>
        <w:rPr>
          <w:rFonts w:ascii="Arial" w:cs="Arial" w:eastAsia="Arial" w:hAnsi="Arial"/>
          <w:sz w:val="18"/>
          <w:szCs w:val="18"/>
          <w:color w:val="auto"/>
        </w:rPr>
        <w:t>No tax gross-ups, other than for certain relocation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-259080</wp:posOffset>
            </wp:positionV>
            <wp:extent cx="5366385" cy="420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366385" cy="420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1560"/>
        <w:spacing w:after="0" w:line="234" w:lineRule="auto"/>
        <w:rPr>
          <w:sz w:val="20"/>
          <w:szCs w:val="20"/>
          <w:color w:val="auto"/>
        </w:rPr>
      </w:pPr>
      <w:r>
        <w:rPr>
          <w:rFonts w:ascii="Arial" w:cs="Arial" w:eastAsia="Arial" w:hAnsi="Arial"/>
          <w:sz w:val="17"/>
          <w:szCs w:val="17"/>
          <w:color w:val="auto"/>
        </w:rPr>
        <w:t>No dividend equivalents on unearned restricted stock units or performance share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units</w:t>
      </w:r>
    </w:p>
    <w:p>
      <w:pPr>
        <w:spacing w:after="0" w:line="200" w:lineRule="exact"/>
        <w:rPr>
          <w:sz w:val="20"/>
          <w:szCs w:val="20"/>
          <w:color w:val="auto"/>
        </w:rPr>
      </w:pPr>
    </w:p>
    <w:p>
      <w:pPr>
        <w:sectPr>
          <w:pgSz w:w="11900" w:h="16838" w:orient="portrait"/>
          <w:cols w:equalWidth="0" w:num="2">
            <w:col w:w="5560" w:space="720"/>
            <w:col w:w="4960"/>
          </w:cols>
          <w:pgMar w:left="320" w:top="1440" w:right="339"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What Guides Our Program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Executive Compensation Philosophy and Objectives</w:t>
      </w:r>
    </w:p>
    <w:p>
      <w:pPr>
        <w:spacing w:after="0" w:line="183"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Our executive compensation philosophy is to forge critical connections between performance, long-term value creation, employee engagement and retention, compensation governance and our cultural values. To that end, our executive compensation program is grounded in the following principles: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2620" w:type="dxa"/>
            <w:vAlign w:val="bottom"/>
            <w:tcBorders>
              <w:top w:val="single" w:sz="8" w:color="95B3D7"/>
            </w:tcBorders>
            <w:shd w:val="clear" w:color="auto" w:fill="DBE5F1"/>
          </w:tcPr>
          <w:p>
            <w:pPr>
              <w:ind w:left="120"/>
              <w:spacing w:after="0"/>
              <w:rPr>
                <w:sz w:val="20"/>
                <w:szCs w:val="20"/>
                <w:color w:val="auto"/>
              </w:rPr>
            </w:pPr>
            <w:r>
              <w:rPr>
                <w:rFonts w:ascii="Arial" w:cs="Arial" w:eastAsia="Arial" w:hAnsi="Arial"/>
                <w:sz w:val="16"/>
                <w:szCs w:val="16"/>
                <w:b w:val="1"/>
                <w:bCs w:val="1"/>
                <w:color w:val="auto"/>
              </w:rPr>
              <w:t>Attraction and Retention</w:t>
            </w:r>
          </w:p>
        </w:tc>
        <w:tc>
          <w:tcPr>
            <w:tcW w:w="8620" w:type="dxa"/>
            <w:vAlign w:val="bottom"/>
            <w:tcBorders>
              <w:top w:val="single" w:sz="8" w:color="95B3D7"/>
            </w:tcBorders>
            <w:shd w:val="clear" w:color="auto" w:fill="DBE5F1"/>
          </w:tcPr>
          <w:p>
            <w:pPr>
              <w:ind w:left="560"/>
              <w:spacing w:after="0"/>
              <w:rPr>
                <w:sz w:val="20"/>
                <w:szCs w:val="20"/>
                <w:color w:val="auto"/>
              </w:rPr>
            </w:pPr>
            <w:r>
              <w:rPr>
                <w:rFonts w:ascii="Arial" w:cs="Arial" w:eastAsia="Arial" w:hAnsi="Arial"/>
                <w:sz w:val="16"/>
                <w:szCs w:val="16"/>
                <w:color w:val="auto"/>
              </w:rPr>
              <w:t>Our compensation program should enable the Company to attract and retain highly talented people with</w:t>
            </w:r>
          </w:p>
        </w:tc>
      </w:tr>
      <w:tr>
        <w:trPr>
          <w:trHeight w:val="215"/>
        </w:trPr>
        <w:tc>
          <w:tcPr>
            <w:tcW w:w="2620" w:type="dxa"/>
            <w:vAlign w:val="bottom"/>
            <w:shd w:val="clear" w:color="auto" w:fill="DBE5F1"/>
          </w:tcPr>
          <w:p>
            <w:pPr>
              <w:spacing w:after="0"/>
              <w:rPr>
                <w:sz w:val="18"/>
                <w:szCs w:val="18"/>
                <w:color w:val="auto"/>
              </w:rPr>
            </w:pPr>
          </w:p>
        </w:tc>
        <w:tc>
          <w:tcPr>
            <w:tcW w:w="8620" w:type="dxa"/>
            <w:vAlign w:val="bottom"/>
            <w:shd w:val="clear" w:color="auto" w:fill="DBE5F1"/>
          </w:tcPr>
          <w:p>
            <w:pPr>
              <w:ind w:left="560"/>
              <w:spacing w:after="0"/>
              <w:rPr>
                <w:sz w:val="20"/>
                <w:szCs w:val="20"/>
                <w:color w:val="auto"/>
              </w:rPr>
            </w:pPr>
            <w:r>
              <w:rPr>
                <w:rFonts w:ascii="Arial" w:cs="Arial" w:eastAsia="Arial" w:hAnsi="Arial"/>
                <w:sz w:val="16"/>
                <w:szCs w:val="16"/>
                <w:color w:val="auto"/>
              </w:rPr>
              <w:t>exceptional leadership capabilities.</w:t>
            </w:r>
          </w:p>
        </w:tc>
      </w:tr>
      <w:tr>
        <w:trPr>
          <w:trHeight w:val="380"/>
        </w:trPr>
        <w:tc>
          <w:tcPr>
            <w:tcW w:w="2620" w:type="dxa"/>
            <w:vAlign w:val="bottom"/>
            <w:shd w:val="clear" w:color="auto" w:fill="DBE5F1"/>
          </w:tcPr>
          <w:p>
            <w:pPr>
              <w:spacing w:after="0"/>
              <w:rPr>
                <w:sz w:val="24"/>
                <w:szCs w:val="24"/>
                <w:color w:val="auto"/>
              </w:rPr>
            </w:pPr>
          </w:p>
        </w:tc>
        <w:tc>
          <w:tcPr>
            <w:tcW w:w="8620" w:type="dxa"/>
            <w:vAlign w:val="bottom"/>
            <w:shd w:val="clear" w:color="auto" w:fill="DBE5F1"/>
          </w:tcPr>
          <w:p>
            <w:pPr>
              <w:spacing w:after="0"/>
              <w:rPr>
                <w:sz w:val="24"/>
                <w:szCs w:val="24"/>
                <w:color w:val="auto"/>
              </w:rPr>
            </w:pPr>
          </w:p>
        </w:tc>
      </w:tr>
      <w:tr>
        <w:trPr>
          <w:trHeight w:val="323"/>
        </w:trPr>
        <w:tc>
          <w:tcPr>
            <w:tcW w:w="2620" w:type="dxa"/>
            <w:vAlign w:val="bottom"/>
          </w:tcPr>
          <w:p>
            <w:pPr>
              <w:ind w:left="120"/>
              <w:spacing w:after="0"/>
              <w:rPr>
                <w:sz w:val="20"/>
                <w:szCs w:val="20"/>
                <w:color w:val="auto"/>
              </w:rPr>
            </w:pPr>
            <w:r>
              <w:rPr>
                <w:rFonts w:ascii="Arial" w:cs="Arial" w:eastAsia="Arial" w:hAnsi="Arial"/>
                <w:sz w:val="16"/>
                <w:szCs w:val="16"/>
                <w:b w:val="1"/>
                <w:bCs w:val="1"/>
                <w:color w:val="auto"/>
              </w:rPr>
              <w:t>Competitiveness</w:t>
            </w:r>
          </w:p>
        </w:tc>
        <w:tc>
          <w:tcPr>
            <w:tcW w:w="8620" w:type="dxa"/>
            <w:vAlign w:val="bottom"/>
          </w:tcPr>
          <w:p>
            <w:pPr>
              <w:ind w:left="560"/>
              <w:spacing w:after="0"/>
              <w:rPr>
                <w:sz w:val="20"/>
                <w:szCs w:val="20"/>
                <w:color w:val="auto"/>
              </w:rPr>
            </w:pPr>
            <w:r>
              <w:rPr>
                <w:rFonts w:ascii="Arial" w:cs="Arial" w:eastAsia="Arial" w:hAnsi="Arial"/>
                <w:sz w:val="16"/>
                <w:szCs w:val="16"/>
                <w:color w:val="auto"/>
              </w:rPr>
              <w:t>We seek to provide total compensation opportunity levels that are competitive with those being offered to</w:t>
            </w:r>
          </w:p>
        </w:tc>
      </w:tr>
      <w:tr>
        <w:trPr>
          <w:trHeight w:val="203"/>
        </w:trPr>
        <w:tc>
          <w:tcPr>
            <w:tcW w:w="2620" w:type="dxa"/>
            <w:vAlign w:val="bottom"/>
          </w:tcPr>
          <w:p>
            <w:pPr>
              <w:spacing w:after="0"/>
              <w:rPr>
                <w:sz w:val="17"/>
                <w:szCs w:val="17"/>
                <w:color w:val="auto"/>
              </w:rPr>
            </w:pPr>
          </w:p>
        </w:tc>
        <w:tc>
          <w:tcPr>
            <w:tcW w:w="8620" w:type="dxa"/>
            <w:vAlign w:val="bottom"/>
          </w:tcPr>
          <w:p>
            <w:pPr>
              <w:ind w:left="560"/>
              <w:spacing w:after="0"/>
              <w:rPr>
                <w:sz w:val="20"/>
                <w:szCs w:val="20"/>
                <w:color w:val="auto"/>
              </w:rPr>
            </w:pPr>
            <w:r>
              <w:rPr>
                <w:rFonts w:ascii="Arial" w:cs="Arial" w:eastAsia="Arial" w:hAnsi="Arial"/>
                <w:sz w:val="16"/>
                <w:szCs w:val="16"/>
                <w:color w:val="auto"/>
              </w:rPr>
              <w:t>individuals holding comparable positions at other companies with which we compete for business and</w:t>
            </w:r>
          </w:p>
        </w:tc>
      </w:tr>
      <w:tr>
        <w:trPr>
          <w:trHeight w:val="215"/>
        </w:trPr>
        <w:tc>
          <w:tcPr>
            <w:tcW w:w="2620" w:type="dxa"/>
            <w:vAlign w:val="bottom"/>
          </w:tcPr>
          <w:p>
            <w:pPr>
              <w:spacing w:after="0"/>
              <w:rPr>
                <w:sz w:val="18"/>
                <w:szCs w:val="18"/>
                <w:color w:val="auto"/>
              </w:rPr>
            </w:pPr>
          </w:p>
        </w:tc>
        <w:tc>
          <w:tcPr>
            <w:tcW w:w="8620" w:type="dxa"/>
            <w:vAlign w:val="bottom"/>
          </w:tcPr>
          <w:p>
            <w:pPr>
              <w:ind w:left="560"/>
              <w:spacing w:after="0"/>
              <w:rPr>
                <w:sz w:val="20"/>
                <w:szCs w:val="20"/>
                <w:color w:val="auto"/>
              </w:rPr>
            </w:pPr>
            <w:r>
              <w:rPr>
                <w:rFonts w:ascii="Arial" w:cs="Arial" w:eastAsia="Arial" w:hAnsi="Arial"/>
                <w:sz w:val="16"/>
                <w:szCs w:val="16"/>
                <w:color w:val="auto"/>
              </w:rPr>
              <w:t>leadership talent.</w:t>
            </w:r>
          </w:p>
        </w:tc>
      </w:tr>
      <w:tr>
        <w:trPr>
          <w:trHeight w:val="380"/>
        </w:trPr>
        <w:tc>
          <w:tcPr>
            <w:tcW w:w="2620" w:type="dxa"/>
            <w:vAlign w:val="bottom"/>
          </w:tcPr>
          <w:p>
            <w:pPr>
              <w:spacing w:after="0"/>
              <w:rPr>
                <w:sz w:val="24"/>
                <w:szCs w:val="24"/>
                <w:color w:val="auto"/>
              </w:rPr>
            </w:pPr>
          </w:p>
        </w:tc>
        <w:tc>
          <w:tcPr>
            <w:tcW w:w="8620" w:type="dxa"/>
            <w:vAlign w:val="bottom"/>
          </w:tcPr>
          <w:p>
            <w:pPr>
              <w:spacing w:after="0"/>
              <w:rPr>
                <w:sz w:val="24"/>
                <w:szCs w:val="24"/>
                <w:color w:val="auto"/>
              </w:rPr>
            </w:pPr>
          </w:p>
        </w:tc>
      </w:tr>
      <w:tr>
        <w:trPr>
          <w:trHeight w:val="323"/>
        </w:trPr>
        <w:tc>
          <w:tcPr>
            <w:tcW w:w="2620" w:type="dxa"/>
            <w:vAlign w:val="bottom"/>
            <w:shd w:val="clear" w:color="auto" w:fill="DBE5F1"/>
          </w:tcPr>
          <w:p>
            <w:pPr>
              <w:ind w:left="120"/>
              <w:spacing w:after="0"/>
              <w:rPr>
                <w:sz w:val="20"/>
                <w:szCs w:val="20"/>
                <w:color w:val="auto"/>
              </w:rPr>
            </w:pPr>
            <w:r>
              <w:rPr>
                <w:rFonts w:ascii="Arial" w:cs="Arial" w:eastAsia="Arial" w:hAnsi="Arial"/>
                <w:sz w:val="16"/>
                <w:szCs w:val="16"/>
                <w:b w:val="1"/>
                <w:bCs w:val="1"/>
                <w:color w:val="auto"/>
              </w:rPr>
              <w:t>Stockholder Alignment</w:t>
            </w:r>
          </w:p>
        </w:tc>
        <w:tc>
          <w:tcPr>
            <w:tcW w:w="8620" w:type="dxa"/>
            <w:vAlign w:val="bottom"/>
            <w:shd w:val="clear" w:color="auto" w:fill="DBE5F1"/>
          </w:tcPr>
          <w:p>
            <w:pPr>
              <w:ind w:left="560"/>
              <w:spacing w:after="0"/>
              <w:rPr>
                <w:sz w:val="20"/>
                <w:szCs w:val="20"/>
                <w:color w:val="auto"/>
              </w:rPr>
            </w:pPr>
            <w:r>
              <w:rPr>
                <w:rFonts w:ascii="Arial" w:cs="Arial" w:eastAsia="Arial" w:hAnsi="Arial"/>
                <w:sz w:val="16"/>
                <w:szCs w:val="16"/>
                <w:color w:val="auto"/>
              </w:rPr>
              <w:t>We employ pay elements that are designed to create long-term value for our stockholders, as well as foster a</w:t>
            </w:r>
          </w:p>
        </w:tc>
      </w:tr>
      <w:tr>
        <w:trPr>
          <w:trHeight w:val="215"/>
        </w:trPr>
        <w:tc>
          <w:tcPr>
            <w:tcW w:w="2620" w:type="dxa"/>
            <w:vAlign w:val="bottom"/>
            <w:shd w:val="clear" w:color="auto" w:fill="DBE5F1"/>
          </w:tcPr>
          <w:p>
            <w:pPr>
              <w:spacing w:after="0"/>
              <w:rPr>
                <w:sz w:val="18"/>
                <w:szCs w:val="18"/>
                <w:color w:val="auto"/>
              </w:rPr>
            </w:pPr>
          </w:p>
        </w:tc>
        <w:tc>
          <w:tcPr>
            <w:tcW w:w="8620" w:type="dxa"/>
            <w:vAlign w:val="bottom"/>
            <w:shd w:val="clear" w:color="auto" w:fill="DBE5F1"/>
          </w:tcPr>
          <w:p>
            <w:pPr>
              <w:ind w:left="560"/>
              <w:spacing w:after="0"/>
              <w:rPr>
                <w:sz w:val="20"/>
                <w:szCs w:val="20"/>
                <w:color w:val="auto"/>
              </w:rPr>
            </w:pPr>
            <w:r>
              <w:rPr>
                <w:rFonts w:ascii="Arial" w:cs="Arial" w:eastAsia="Arial" w:hAnsi="Arial"/>
                <w:sz w:val="16"/>
                <w:szCs w:val="16"/>
                <w:color w:val="auto"/>
              </w:rPr>
              <w:t>culture of ownership in the Company.</w:t>
            </w:r>
          </w:p>
        </w:tc>
      </w:tr>
      <w:tr>
        <w:trPr>
          <w:trHeight w:val="380"/>
        </w:trPr>
        <w:tc>
          <w:tcPr>
            <w:tcW w:w="2620" w:type="dxa"/>
            <w:vAlign w:val="bottom"/>
            <w:shd w:val="clear" w:color="auto" w:fill="DBE5F1"/>
          </w:tcPr>
          <w:p>
            <w:pPr>
              <w:spacing w:after="0"/>
              <w:rPr>
                <w:sz w:val="24"/>
                <w:szCs w:val="24"/>
                <w:color w:val="auto"/>
              </w:rPr>
            </w:pPr>
          </w:p>
        </w:tc>
        <w:tc>
          <w:tcPr>
            <w:tcW w:w="8620" w:type="dxa"/>
            <w:vAlign w:val="bottom"/>
            <w:shd w:val="clear" w:color="auto" w:fill="DBE5F1"/>
          </w:tcPr>
          <w:p>
            <w:pPr>
              <w:spacing w:after="0"/>
              <w:rPr>
                <w:sz w:val="24"/>
                <w:szCs w:val="24"/>
                <w:color w:val="auto"/>
              </w:rPr>
            </w:pPr>
          </w:p>
        </w:tc>
      </w:tr>
      <w:tr>
        <w:trPr>
          <w:trHeight w:val="323"/>
        </w:trPr>
        <w:tc>
          <w:tcPr>
            <w:tcW w:w="2620" w:type="dxa"/>
            <w:vAlign w:val="bottom"/>
          </w:tcPr>
          <w:p>
            <w:pPr>
              <w:ind w:left="120"/>
              <w:spacing w:after="0"/>
              <w:rPr>
                <w:sz w:val="20"/>
                <w:szCs w:val="20"/>
                <w:color w:val="auto"/>
              </w:rPr>
            </w:pPr>
            <w:r>
              <w:rPr>
                <w:rFonts w:ascii="Arial" w:cs="Arial" w:eastAsia="Arial" w:hAnsi="Arial"/>
                <w:sz w:val="16"/>
                <w:szCs w:val="16"/>
                <w:b w:val="1"/>
                <w:bCs w:val="1"/>
                <w:color w:val="auto"/>
              </w:rPr>
              <w:t>Pay for Performance</w:t>
            </w:r>
          </w:p>
        </w:tc>
        <w:tc>
          <w:tcPr>
            <w:tcW w:w="8620" w:type="dxa"/>
            <w:vAlign w:val="bottom"/>
          </w:tcPr>
          <w:p>
            <w:pPr>
              <w:ind w:left="560"/>
              <w:spacing w:after="0"/>
              <w:rPr>
                <w:sz w:val="20"/>
                <w:szCs w:val="20"/>
                <w:color w:val="auto"/>
              </w:rPr>
            </w:pPr>
            <w:r>
              <w:rPr>
                <w:rFonts w:ascii="Arial" w:cs="Arial" w:eastAsia="Arial" w:hAnsi="Arial"/>
                <w:sz w:val="16"/>
                <w:szCs w:val="16"/>
                <w:color w:val="auto"/>
              </w:rPr>
              <w:t>Our program is designed to ensure that a significant portion of an executive’s total compensation is variable</w:t>
            </w:r>
          </w:p>
        </w:tc>
      </w:tr>
      <w:tr>
        <w:trPr>
          <w:trHeight w:val="202"/>
        </w:trPr>
        <w:tc>
          <w:tcPr>
            <w:tcW w:w="2620" w:type="dxa"/>
            <w:vAlign w:val="bottom"/>
          </w:tcPr>
          <w:p>
            <w:pPr>
              <w:spacing w:after="0"/>
              <w:rPr>
                <w:sz w:val="17"/>
                <w:szCs w:val="17"/>
                <w:color w:val="auto"/>
              </w:rPr>
            </w:pPr>
          </w:p>
        </w:tc>
        <w:tc>
          <w:tcPr>
            <w:tcW w:w="8620" w:type="dxa"/>
            <w:vAlign w:val="bottom"/>
          </w:tcPr>
          <w:p>
            <w:pPr>
              <w:ind w:left="560"/>
              <w:spacing w:after="0"/>
              <w:rPr>
                <w:sz w:val="20"/>
                <w:szCs w:val="20"/>
                <w:color w:val="auto"/>
              </w:rPr>
            </w:pPr>
            <w:r>
              <w:rPr>
                <w:rFonts w:ascii="Arial" w:cs="Arial" w:eastAsia="Arial" w:hAnsi="Arial"/>
                <w:sz w:val="16"/>
                <w:szCs w:val="16"/>
                <w:color w:val="auto"/>
              </w:rPr>
              <w:t>(or “at risk”) and dependent upon the attainment of certain specific and measurable short-term and long-term</w:t>
            </w:r>
          </w:p>
        </w:tc>
      </w:tr>
      <w:tr>
        <w:trPr>
          <w:trHeight w:val="215"/>
        </w:trPr>
        <w:tc>
          <w:tcPr>
            <w:tcW w:w="2620" w:type="dxa"/>
            <w:vAlign w:val="bottom"/>
          </w:tcPr>
          <w:p>
            <w:pPr>
              <w:spacing w:after="0"/>
              <w:rPr>
                <w:sz w:val="18"/>
                <w:szCs w:val="18"/>
                <w:color w:val="auto"/>
              </w:rPr>
            </w:pPr>
          </w:p>
        </w:tc>
        <w:tc>
          <w:tcPr>
            <w:tcW w:w="8620" w:type="dxa"/>
            <w:vAlign w:val="bottom"/>
          </w:tcPr>
          <w:p>
            <w:pPr>
              <w:ind w:left="560"/>
              <w:spacing w:after="0"/>
              <w:rPr>
                <w:sz w:val="20"/>
                <w:szCs w:val="20"/>
                <w:color w:val="auto"/>
              </w:rPr>
            </w:pPr>
            <w:r>
              <w:rPr>
                <w:rFonts w:ascii="Arial" w:cs="Arial" w:eastAsia="Arial" w:hAnsi="Arial"/>
                <w:sz w:val="16"/>
                <w:szCs w:val="16"/>
                <w:color w:val="auto"/>
              </w:rPr>
              <w:t>business performance objectives.</w:t>
            </w:r>
          </w:p>
        </w:tc>
      </w:tr>
      <w:tr>
        <w:trPr>
          <w:trHeight w:val="380"/>
        </w:trPr>
        <w:tc>
          <w:tcPr>
            <w:tcW w:w="2620" w:type="dxa"/>
            <w:vAlign w:val="bottom"/>
          </w:tcPr>
          <w:p>
            <w:pPr>
              <w:spacing w:after="0"/>
              <w:rPr>
                <w:sz w:val="24"/>
                <w:szCs w:val="24"/>
                <w:color w:val="auto"/>
              </w:rPr>
            </w:pPr>
          </w:p>
        </w:tc>
        <w:tc>
          <w:tcPr>
            <w:tcW w:w="8620" w:type="dxa"/>
            <w:vAlign w:val="bottom"/>
          </w:tcPr>
          <w:p>
            <w:pPr>
              <w:spacing w:after="0"/>
              <w:rPr>
                <w:sz w:val="24"/>
                <w:szCs w:val="24"/>
                <w:color w:val="auto"/>
              </w:rPr>
            </w:pPr>
          </w:p>
        </w:tc>
      </w:tr>
      <w:tr>
        <w:trPr>
          <w:trHeight w:val="323"/>
        </w:trPr>
        <w:tc>
          <w:tcPr>
            <w:tcW w:w="2620" w:type="dxa"/>
            <w:vAlign w:val="bottom"/>
            <w:shd w:val="clear" w:color="auto" w:fill="DBE5F1"/>
          </w:tcPr>
          <w:p>
            <w:pPr>
              <w:ind w:left="120"/>
              <w:spacing w:after="0"/>
              <w:rPr>
                <w:sz w:val="20"/>
                <w:szCs w:val="20"/>
                <w:color w:val="auto"/>
              </w:rPr>
            </w:pPr>
            <w:r>
              <w:rPr>
                <w:rFonts w:ascii="Arial" w:cs="Arial" w:eastAsia="Arial" w:hAnsi="Arial"/>
                <w:sz w:val="16"/>
                <w:szCs w:val="16"/>
                <w:b w:val="1"/>
                <w:bCs w:val="1"/>
                <w:color w:val="auto"/>
              </w:rPr>
              <w:t>Responsible Governance</w:t>
            </w:r>
          </w:p>
        </w:tc>
        <w:tc>
          <w:tcPr>
            <w:tcW w:w="8620" w:type="dxa"/>
            <w:vAlign w:val="bottom"/>
            <w:shd w:val="clear" w:color="auto" w:fill="DBE5F1"/>
          </w:tcPr>
          <w:p>
            <w:pPr>
              <w:ind w:left="560"/>
              <w:spacing w:after="0"/>
              <w:rPr>
                <w:sz w:val="20"/>
                <w:szCs w:val="20"/>
                <w:color w:val="auto"/>
              </w:rPr>
            </w:pPr>
            <w:r>
              <w:rPr>
                <w:rFonts w:ascii="Arial" w:cs="Arial" w:eastAsia="Arial" w:hAnsi="Arial"/>
                <w:sz w:val="16"/>
                <w:szCs w:val="16"/>
                <w:color w:val="auto"/>
              </w:rPr>
              <w:t>Decisions about compensation should be guided by best-practice governance standards and rigorous</w:t>
            </w:r>
          </w:p>
        </w:tc>
      </w:tr>
      <w:tr>
        <w:trPr>
          <w:trHeight w:val="215"/>
        </w:trPr>
        <w:tc>
          <w:tcPr>
            <w:tcW w:w="2620" w:type="dxa"/>
            <w:vAlign w:val="bottom"/>
            <w:shd w:val="clear" w:color="auto" w:fill="DBE5F1"/>
          </w:tcPr>
          <w:p>
            <w:pPr>
              <w:spacing w:after="0"/>
              <w:rPr>
                <w:sz w:val="18"/>
                <w:szCs w:val="18"/>
                <w:color w:val="auto"/>
              </w:rPr>
            </w:pPr>
          </w:p>
        </w:tc>
        <w:tc>
          <w:tcPr>
            <w:tcW w:w="8620" w:type="dxa"/>
            <w:vAlign w:val="bottom"/>
            <w:shd w:val="clear" w:color="auto" w:fill="DBE5F1"/>
          </w:tcPr>
          <w:p>
            <w:pPr>
              <w:ind w:left="560"/>
              <w:spacing w:after="0"/>
              <w:rPr>
                <w:sz w:val="20"/>
                <w:szCs w:val="20"/>
                <w:color w:val="auto"/>
              </w:rPr>
            </w:pPr>
            <w:r>
              <w:rPr>
                <w:rFonts w:ascii="Arial" w:cs="Arial" w:eastAsia="Arial" w:hAnsi="Arial"/>
                <w:sz w:val="16"/>
                <w:szCs w:val="16"/>
                <w:color w:val="auto"/>
              </w:rPr>
              <w:t>processes that encourage prudent decision-making.</w:t>
            </w:r>
          </w:p>
        </w:tc>
      </w:tr>
      <w:tr>
        <w:trPr>
          <w:trHeight w:val="380"/>
        </w:trPr>
        <w:tc>
          <w:tcPr>
            <w:tcW w:w="2620" w:type="dxa"/>
            <w:vAlign w:val="bottom"/>
            <w:shd w:val="clear" w:color="auto" w:fill="DBE5F1"/>
          </w:tcPr>
          <w:p>
            <w:pPr>
              <w:spacing w:after="0"/>
              <w:rPr>
                <w:sz w:val="24"/>
                <w:szCs w:val="24"/>
                <w:color w:val="auto"/>
              </w:rPr>
            </w:pPr>
          </w:p>
        </w:tc>
        <w:tc>
          <w:tcPr>
            <w:tcW w:w="8620" w:type="dxa"/>
            <w:vAlign w:val="bottom"/>
            <w:shd w:val="clear" w:color="auto" w:fill="DBE5F1"/>
          </w:tcPr>
          <w:p>
            <w:pPr>
              <w:spacing w:after="0"/>
              <w:rPr>
                <w:sz w:val="24"/>
                <w:szCs w:val="24"/>
                <w:color w:val="auto"/>
              </w:rPr>
            </w:pPr>
          </w:p>
        </w:tc>
      </w:tr>
      <w:tr>
        <w:trPr>
          <w:trHeight w:val="162"/>
        </w:trPr>
        <w:tc>
          <w:tcPr>
            <w:tcW w:w="2620" w:type="dxa"/>
            <w:vAlign w:val="bottom"/>
          </w:tcPr>
          <w:p>
            <w:pPr>
              <w:ind w:left="120"/>
              <w:spacing w:after="0" w:line="162" w:lineRule="exact"/>
              <w:rPr>
                <w:sz w:val="20"/>
                <w:szCs w:val="20"/>
                <w:color w:val="auto"/>
              </w:rPr>
            </w:pPr>
            <w:r>
              <w:rPr>
                <w:rFonts w:ascii="Arial" w:cs="Arial" w:eastAsia="Arial" w:hAnsi="Arial"/>
                <w:sz w:val="16"/>
                <w:szCs w:val="16"/>
                <w:b w:val="1"/>
                <w:bCs w:val="1"/>
                <w:color w:val="auto"/>
              </w:rPr>
              <w:t>Pay Positioning</w:t>
            </w:r>
          </w:p>
        </w:tc>
        <w:tc>
          <w:tcPr>
            <w:tcW w:w="8620" w:type="dxa"/>
            <w:vAlign w:val="bottom"/>
          </w:tcPr>
          <w:p>
            <w:pPr>
              <w:ind w:left="560"/>
              <w:spacing w:after="0" w:line="162" w:lineRule="exact"/>
              <w:rPr>
                <w:sz w:val="20"/>
                <w:szCs w:val="20"/>
                <w:color w:val="auto"/>
              </w:rPr>
            </w:pPr>
            <w:r>
              <w:rPr>
                <w:rFonts w:ascii="Arial" w:cs="Arial" w:eastAsia="Arial" w:hAnsi="Arial"/>
                <w:sz w:val="16"/>
                <w:szCs w:val="16"/>
                <w:color w:val="auto"/>
              </w:rPr>
              <w:t>Each year, the Compensation Committee assesses the competitiveness of total compensation levels for</w:t>
            </w:r>
          </w:p>
        </w:tc>
      </w:tr>
      <w:tr>
        <w:trPr>
          <w:trHeight w:val="162"/>
        </w:trPr>
        <w:tc>
          <w:tcPr>
            <w:tcW w:w="2620" w:type="dxa"/>
            <w:vAlign w:val="bottom"/>
          </w:tcPr>
          <w:p>
            <w:pPr>
              <w:spacing w:after="0"/>
              <w:rPr>
                <w:sz w:val="14"/>
                <w:szCs w:val="14"/>
                <w:color w:val="auto"/>
              </w:rPr>
            </w:pPr>
          </w:p>
        </w:tc>
        <w:tc>
          <w:tcPr>
            <w:tcW w:w="8620" w:type="dxa"/>
            <w:vAlign w:val="bottom"/>
          </w:tcPr>
          <w:p>
            <w:pPr>
              <w:ind w:left="560"/>
              <w:spacing w:after="0" w:line="162" w:lineRule="exact"/>
              <w:rPr>
                <w:sz w:val="20"/>
                <w:szCs w:val="20"/>
                <w:color w:val="auto"/>
              </w:rPr>
            </w:pPr>
            <w:r>
              <w:rPr>
                <w:rFonts w:ascii="Arial" w:cs="Arial" w:eastAsia="Arial" w:hAnsi="Arial"/>
                <w:sz w:val="16"/>
                <w:szCs w:val="16"/>
                <w:color w:val="auto"/>
              </w:rPr>
              <w:t>executives to enable us to successfully attract, motivate and retain top executive talent. Total compensation is</w:t>
            </w:r>
          </w:p>
        </w:tc>
      </w:tr>
      <w:tr>
        <w:trPr>
          <w:trHeight w:val="215"/>
        </w:trPr>
        <w:tc>
          <w:tcPr>
            <w:tcW w:w="2620" w:type="dxa"/>
            <w:vAlign w:val="bottom"/>
            <w:tcBorders>
              <w:bottom w:val="single" w:sz="8" w:color="95B3D7"/>
            </w:tcBorders>
          </w:tcPr>
          <w:p>
            <w:pPr>
              <w:spacing w:after="0"/>
              <w:rPr>
                <w:sz w:val="18"/>
                <w:szCs w:val="18"/>
                <w:color w:val="auto"/>
              </w:rPr>
            </w:pPr>
          </w:p>
        </w:tc>
        <w:tc>
          <w:tcPr>
            <w:tcW w:w="8620" w:type="dxa"/>
            <w:vAlign w:val="bottom"/>
            <w:tcBorders>
              <w:bottom w:val="single" w:sz="8" w:color="95B3D7"/>
            </w:tcBorders>
          </w:tcPr>
          <w:p>
            <w:pPr>
              <w:ind w:left="560"/>
              <w:spacing w:after="0"/>
              <w:rPr>
                <w:sz w:val="20"/>
                <w:szCs w:val="20"/>
                <w:color w:val="auto"/>
              </w:rPr>
            </w:pPr>
            <w:r>
              <w:rPr>
                <w:rFonts w:ascii="Arial" w:cs="Arial" w:eastAsia="Arial" w:hAnsi="Arial"/>
                <w:sz w:val="16"/>
                <w:szCs w:val="16"/>
                <w:color w:val="auto"/>
              </w:rPr>
              <w:t>generally established within a range around the median of market-competitive levels.</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Elements of Pay</w:t>
      </w:r>
    </w:p>
    <w:p>
      <w:pPr>
        <w:spacing w:after="0" w:line="196"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executive compensation program uses a mix of fixed and variable pay, with an emphasis on pay-for-performance and variable pay. The program is structured to create a meaningful balance between achieving strong short-term annual results while ensuring long-term viability and success. Therefore, the mix of incentives is reviewed and determined regularly by the Compensation Committee based on the short- and long-term objectives of the business. The following table illustrates the elements of pay we</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1" w:name="page52"/>
    <w:bookmarkEnd w:id="51"/>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currently employ, the primary objectives achieved by each element and the factors we consider when determining the amount of pay: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60" w:type="dxa"/>
            <w:vAlign w:val="bottom"/>
          </w:tcPr>
          <w:p>
            <w:pPr>
              <w:ind w:left="520"/>
              <w:spacing w:after="0"/>
              <w:rPr>
                <w:sz w:val="20"/>
                <w:szCs w:val="20"/>
                <w:color w:val="auto"/>
              </w:rPr>
            </w:pPr>
            <w:r>
              <w:rPr>
                <w:rFonts w:ascii="Arial" w:cs="Arial" w:eastAsia="Arial" w:hAnsi="Arial"/>
                <w:sz w:val="16"/>
                <w:szCs w:val="16"/>
                <w:b w:val="1"/>
                <w:bCs w:val="1"/>
                <w:color w:val="auto"/>
              </w:rPr>
              <w:t>Element</w:t>
            </w:r>
          </w:p>
        </w:tc>
        <w:tc>
          <w:tcPr>
            <w:tcW w:w="4340" w:type="dxa"/>
            <w:vAlign w:val="bottom"/>
          </w:tcPr>
          <w:p>
            <w:pPr>
              <w:ind w:left="1520"/>
              <w:spacing w:after="0"/>
              <w:rPr>
                <w:sz w:val="20"/>
                <w:szCs w:val="20"/>
                <w:color w:val="auto"/>
              </w:rPr>
            </w:pPr>
            <w:r>
              <w:rPr>
                <w:rFonts w:ascii="Arial" w:cs="Arial" w:eastAsia="Arial" w:hAnsi="Arial"/>
                <w:sz w:val="16"/>
                <w:szCs w:val="16"/>
                <w:b w:val="1"/>
                <w:bCs w:val="1"/>
                <w:color w:val="auto"/>
              </w:rPr>
              <w:t>Primary Objective</w:t>
            </w:r>
          </w:p>
        </w:tc>
        <w:tc>
          <w:tcPr>
            <w:tcW w:w="800" w:type="dxa"/>
            <w:vAlign w:val="bottom"/>
          </w:tcPr>
          <w:p>
            <w:pPr>
              <w:spacing w:after="0"/>
              <w:rPr>
                <w:sz w:val="19"/>
                <w:szCs w:val="19"/>
                <w:color w:val="auto"/>
              </w:rPr>
            </w:pPr>
          </w:p>
        </w:tc>
        <w:tc>
          <w:tcPr>
            <w:tcW w:w="4440" w:type="dxa"/>
            <w:vAlign w:val="bottom"/>
          </w:tcPr>
          <w:p>
            <w:pPr>
              <w:ind w:left="980"/>
              <w:spacing w:after="0"/>
              <w:rPr>
                <w:sz w:val="20"/>
                <w:szCs w:val="20"/>
                <w:color w:val="auto"/>
              </w:rPr>
            </w:pPr>
            <w:r>
              <w:rPr>
                <w:rFonts w:ascii="Arial" w:cs="Arial" w:eastAsia="Arial" w:hAnsi="Arial"/>
                <w:sz w:val="16"/>
                <w:szCs w:val="16"/>
                <w:b w:val="1"/>
                <w:bCs w:val="1"/>
                <w:color w:val="auto"/>
              </w:rPr>
              <w:t>Determination Factors</w:t>
            </w:r>
          </w:p>
        </w:tc>
        <w:tc>
          <w:tcPr>
            <w:tcW w:w="0" w:type="dxa"/>
            <w:vAlign w:val="bottom"/>
          </w:tcPr>
          <w:p>
            <w:pPr>
              <w:spacing w:after="0"/>
              <w:rPr>
                <w:sz w:val="1"/>
                <w:szCs w:val="1"/>
                <w:color w:val="auto"/>
              </w:rPr>
            </w:pPr>
          </w:p>
        </w:tc>
      </w:tr>
      <w:tr>
        <w:trPr>
          <w:trHeight w:val="21"/>
        </w:trPr>
        <w:tc>
          <w:tcPr>
            <w:tcW w:w="166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52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1660" w:type="dxa"/>
            <w:vAlign w:val="bottom"/>
            <w:shd w:val="clear" w:color="auto" w:fill="DBE5F1"/>
          </w:tcPr>
          <w:p>
            <w:pPr>
              <w:ind w:left="120"/>
              <w:spacing w:after="0"/>
              <w:rPr>
                <w:sz w:val="20"/>
                <w:szCs w:val="20"/>
                <w:color w:val="auto"/>
              </w:rPr>
            </w:pPr>
            <w:r>
              <w:rPr>
                <w:rFonts w:ascii="Arial" w:cs="Arial" w:eastAsia="Arial" w:hAnsi="Arial"/>
                <w:sz w:val="16"/>
                <w:szCs w:val="16"/>
                <w:b w:val="1"/>
                <w:bCs w:val="1"/>
                <w:color w:val="auto"/>
              </w:rPr>
              <w:t>Base Salary</w:t>
            </w:r>
          </w:p>
        </w:tc>
        <w:tc>
          <w:tcPr>
            <w:tcW w:w="434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Attract and retain high-performing and experienced</w:t>
            </w:r>
          </w:p>
        </w:tc>
        <w:tc>
          <w:tcPr>
            <w:tcW w:w="5240" w:type="dxa"/>
            <w:vAlign w:val="bottom"/>
            <w:gridSpan w:val="2"/>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Value of role in competitive marketplace</w:t>
            </w:r>
          </w:p>
        </w:tc>
        <w:tc>
          <w:tcPr>
            <w:tcW w:w="0" w:type="dxa"/>
            <w:vAlign w:val="bottom"/>
          </w:tcPr>
          <w:p>
            <w:pPr>
              <w:spacing w:after="0"/>
              <w:rPr>
                <w:sz w:val="1"/>
                <w:szCs w:val="1"/>
                <w:color w:val="auto"/>
              </w:rPr>
            </w:pPr>
          </w:p>
        </w:tc>
      </w:tr>
      <w:tr>
        <w:trPr>
          <w:trHeight w:val="189"/>
        </w:trPr>
        <w:tc>
          <w:tcPr>
            <w:tcW w:w="1660" w:type="dxa"/>
            <w:vAlign w:val="bottom"/>
            <w:shd w:val="clear" w:color="auto" w:fill="DBE5F1"/>
          </w:tcPr>
          <w:p>
            <w:pPr>
              <w:spacing w:after="0"/>
              <w:rPr>
                <w:sz w:val="16"/>
                <w:szCs w:val="16"/>
                <w:color w:val="auto"/>
              </w:rPr>
            </w:pPr>
          </w:p>
        </w:tc>
        <w:tc>
          <w:tcPr>
            <w:tcW w:w="4340" w:type="dxa"/>
            <w:vAlign w:val="bottom"/>
            <w:shd w:val="clear" w:color="auto" w:fill="DBE5F1"/>
          </w:tcPr>
          <w:p>
            <w:pPr>
              <w:ind w:left="420"/>
              <w:spacing w:after="0"/>
              <w:rPr>
                <w:sz w:val="20"/>
                <w:szCs w:val="20"/>
                <w:color w:val="auto"/>
              </w:rPr>
            </w:pPr>
            <w:r>
              <w:rPr>
                <w:rFonts w:ascii="Arial" w:cs="Arial" w:eastAsia="Arial" w:hAnsi="Arial"/>
                <w:sz w:val="16"/>
                <w:szCs w:val="16"/>
                <w:color w:val="auto"/>
              </w:rPr>
              <w:t>individuals</w:t>
            </w:r>
          </w:p>
        </w:tc>
        <w:tc>
          <w:tcPr>
            <w:tcW w:w="5240" w:type="dxa"/>
            <w:vAlign w:val="bottom"/>
            <w:gridSpan w:val="2"/>
            <w:shd w:val="clear" w:color="auto" w:fill="DBE5F1"/>
          </w:tcPr>
          <w:p>
            <w:pPr>
              <w:ind w:left="14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Value of role to the Company</w:t>
            </w:r>
          </w:p>
        </w:tc>
        <w:tc>
          <w:tcPr>
            <w:tcW w:w="0" w:type="dxa"/>
            <w:vAlign w:val="bottom"/>
          </w:tcPr>
          <w:p>
            <w:pPr>
              <w:spacing w:after="0"/>
              <w:rPr>
                <w:sz w:val="1"/>
                <w:szCs w:val="1"/>
                <w:color w:val="auto"/>
              </w:rPr>
            </w:pPr>
          </w:p>
        </w:tc>
      </w:tr>
      <w:tr>
        <w:trPr>
          <w:trHeight w:val="234"/>
        </w:trPr>
        <w:tc>
          <w:tcPr>
            <w:tcW w:w="1660" w:type="dxa"/>
            <w:vAlign w:val="bottom"/>
            <w:shd w:val="clear" w:color="auto" w:fill="DBE5F1"/>
          </w:tcPr>
          <w:p>
            <w:pPr>
              <w:spacing w:after="0"/>
              <w:rPr>
                <w:sz w:val="20"/>
                <w:szCs w:val="20"/>
                <w:color w:val="auto"/>
              </w:rPr>
            </w:pPr>
          </w:p>
        </w:tc>
        <w:tc>
          <w:tcPr>
            <w:tcW w:w="434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Provide steady source of income so executives can</w:t>
            </w:r>
          </w:p>
        </w:tc>
        <w:tc>
          <w:tcPr>
            <w:tcW w:w="5240" w:type="dxa"/>
            <w:vAlign w:val="bottom"/>
            <w:gridSpan w:val="2"/>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Skills, experience and performance of individual compared to</w:t>
            </w:r>
          </w:p>
        </w:tc>
        <w:tc>
          <w:tcPr>
            <w:tcW w:w="0" w:type="dxa"/>
            <w:vAlign w:val="bottom"/>
          </w:tcPr>
          <w:p>
            <w:pPr>
              <w:spacing w:after="0"/>
              <w:rPr>
                <w:sz w:val="1"/>
                <w:szCs w:val="1"/>
                <w:color w:val="auto"/>
              </w:rPr>
            </w:pPr>
          </w:p>
        </w:tc>
      </w:tr>
      <w:tr>
        <w:trPr>
          <w:trHeight w:val="242"/>
        </w:trPr>
        <w:tc>
          <w:tcPr>
            <w:tcW w:w="1660" w:type="dxa"/>
            <w:vAlign w:val="bottom"/>
            <w:shd w:val="clear" w:color="auto" w:fill="DBE5F1"/>
          </w:tcPr>
          <w:p>
            <w:pPr>
              <w:spacing w:after="0"/>
              <w:rPr>
                <w:sz w:val="21"/>
                <w:szCs w:val="21"/>
                <w:color w:val="auto"/>
              </w:rPr>
            </w:pPr>
          </w:p>
        </w:tc>
        <w:tc>
          <w:tcPr>
            <w:tcW w:w="4340" w:type="dxa"/>
            <w:vAlign w:val="bottom"/>
            <w:shd w:val="clear" w:color="auto" w:fill="DBE5F1"/>
          </w:tcPr>
          <w:p>
            <w:pPr>
              <w:ind w:left="420"/>
              <w:spacing w:after="0"/>
              <w:rPr>
                <w:sz w:val="20"/>
                <w:szCs w:val="20"/>
                <w:color w:val="auto"/>
              </w:rPr>
            </w:pPr>
            <w:r>
              <w:rPr>
                <w:rFonts w:ascii="Arial" w:cs="Arial" w:eastAsia="Arial" w:hAnsi="Arial"/>
                <w:sz w:val="16"/>
                <w:szCs w:val="16"/>
                <w:color w:val="auto"/>
              </w:rPr>
              <w:t>focus on the needs of the business</w:t>
            </w:r>
          </w:p>
        </w:tc>
        <w:tc>
          <w:tcPr>
            <w:tcW w:w="5240" w:type="dxa"/>
            <w:vAlign w:val="bottom"/>
            <w:gridSpan w:val="2"/>
            <w:shd w:val="clear" w:color="auto" w:fill="DBE5F1"/>
          </w:tcPr>
          <w:p>
            <w:pPr>
              <w:ind w:left="480"/>
              <w:spacing w:after="0"/>
              <w:rPr>
                <w:sz w:val="20"/>
                <w:szCs w:val="20"/>
                <w:color w:val="auto"/>
              </w:rPr>
            </w:pPr>
            <w:r>
              <w:rPr>
                <w:rFonts w:ascii="Arial" w:cs="Arial" w:eastAsia="Arial" w:hAnsi="Arial"/>
                <w:sz w:val="16"/>
                <w:szCs w:val="16"/>
                <w:color w:val="auto"/>
              </w:rPr>
              <w:t>the market as well as others in the Company</w:t>
            </w:r>
          </w:p>
        </w:tc>
        <w:tc>
          <w:tcPr>
            <w:tcW w:w="0" w:type="dxa"/>
            <w:vAlign w:val="bottom"/>
          </w:tcPr>
          <w:p>
            <w:pPr>
              <w:spacing w:after="0"/>
              <w:rPr>
                <w:sz w:val="1"/>
                <w:szCs w:val="1"/>
                <w:color w:val="auto"/>
              </w:rPr>
            </w:pPr>
          </w:p>
        </w:tc>
      </w:tr>
      <w:tr>
        <w:trPr>
          <w:trHeight w:val="124"/>
        </w:trPr>
        <w:tc>
          <w:tcPr>
            <w:tcW w:w="1660" w:type="dxa"/>
            <w:vAlign w:val="bottom"/>
            <w:shd w:val="clear" w:color="auto" w:fill="DBE5F1"/>
          </w:tcPr>
          <w:p>
            <w:pPr>
              <w:spacing w:after="0"/>
              <w:rPr>
                <w:sz w:val="10"/>
                <w:szCs w:val="10"/>
                <w:color w:val="auto"/>
              </w:rPr>
            </w:pPr>
          </w:p>
        </w:tc>
        <w:tc>
          <w:tcPr>
            <w:tcW w:w="4340" w:type="dxa"/>
            <w:vAlign w:val="bottom"/>
            <w:shd w:val="clear" w:color="auto" w:fill="DBE5F1"/>
          </w:tcPr>
          <w:p>
            <w:pPr>
              <w:spacing w:after="0"/>
              <w:rPr>
                <w:sz w:val="10"/>
                <w:szCs w:val="10"/>
                <w:color w:val="auto"/>
              </w:rPr>
            </w:pPr>
          </w:p>
        </w:tc>
        <w:tc>
          <w:tcPr>
            <w:tcW w:w="5240" w:type="dxa"/>
            <w:vAlign w:val="bottom"/>
            <w:gridSpan w:val="2"/>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660" w:type="dxa"/>
            <w:vAlign w:val="bottom"/>
          </w:tcPr>
          <w:p>
            <w:pPr>
              <w:ind w:left="120"/>
              <w:spacing w:after="0"/>
              <w:rPr>
                <w:sz w:val="20"/>
                <w:szCs w:val="20"/>
                <w:color w:val="auto"/>
              </w:rPr>
            </w:pPr>
            <w:r>
              <w:rPr>
                <w:rFonts w:ascii="Arial" w:cs="Arial" w:eastAsia="Arial" w:hAnsi="Arial"/>
                <w:sz w:val="16"/>
                <w:szCs w:val="16"/>
                <w:b w:val="1"/>
                <w:bCs w:val="1"/>
                <w:color w:val="auto"/>
              </w:rPr>
              <w:t>Annual Cash</w:t>
            </w:r>
          </w:p>
        </w:tc>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Motivate executives to achieve challenging short-</w:t>
            </w:r>
          </w:p>
        </w:tc>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Target awards based on competitive marketplace, level of</w:t>
            </w:r>
          </w:p>
        </w:tc>
        <w:tc>
          <w:tcPr>
            <w:tcW w:w="0" w:type="dxa"/>
            <w:vAlign w:val="bottom"/>
          </w:tcPr>
          <w:p>
            <w:pPr>
              <w:spacing w:after="0"/>
              <w:rPr>
                <w:sz w:val="1"/>
                <w:szCs w:val="1"/>
                <w:color w:val="auto"/>
              </w:rPr>
            </w:pPr>
          </w:p>
        </w:tc>
      </w:tr>
      <w:tr>
        <w:trPr>
          <w:trHeight w:val="212"/>
        </w:trPr>
        <w:tc>
          <w:tcPr>
            <w:tcW w:w="1660" w:type="dxa"/>
            <w:vAlign w:val="bottom"/>
          </w:tcPr>
          <w:p>
            <w:pPr>
              <w:ind w:left="120"/>
              <w:spacing w:after="0"/>
              <w:rPr>
                <w:sz w:val="20"/>
                <w:szCs w:val="20"/>
                <w:color w:val="auto"/>
              </w:rPr>
            </w:pPr>
            <w:r>
              <w:rPr>
                <w:rFonts w:ascii="Arial" w:cs="Arial" w:eastAsia="Arial" w:hAnsi="Arial"/>
                <w:sz w:val="16"/>
                <w:szCs w:val="16"/>
                <w:b w:val="1"/>
                <w:bCs w:val="1"/>
                <w:color w:val="auto"/>
              </w:rPr>
              <w:t>Incentives</w:t>
            </w:r>
          </w:p>
        </w:tc>
        <w:tc>
          <w:tcPr>
            <w:tcW w:w="4340" w:type="dxa"/>
            <w:vAlign w:val="bottom"/>
          </w:tcPr>
          <w:p>
            <w:pPr>
              <w:ind w:left="460"/>
              <w:spacing w:after="0"/>
              <w:rPr>
                <w:sz w:val="20"/>
                <w:szCs w:val="20"/>
                <w:color w:val="auto"/>
              </w:rPr>
            </w:pPr>
            <w:r>
              <w:rPr>
                <w:rFonts w:ascii="Arial" w:cs="Arial" w:eastAsia="Arial" w:hAnsi="Arial"/>
                <w:sz w:val="16"/>
                <w:szCs w:val="16"/>
                <w:color w:val="auto"/>
              </w:rPr>
              <w:t>term performance goals</w:t>
            </w:r>
          </w:p>
        </w:tc>
        <w:tc>
          <w:tcPr>
            <w:tcW w:w="5240" w:type="dxa"/>
            <w:vAlign w:val="bottom"/>
            <w:gridSpan w:val="2"/>
          </w:tcPr>
          <w:p>
            <w:pPr>
              <w:ind w:left="480"/>
              <w:spacing w:after="0"/>
              <w:rPr>
                <w:sz w:val="20"/>
                <w:szCs w:val="20"/>
                <w:color w:val="auto"/>
              </w:rPr>
            </w:pPr>
            <w:r>
              <w:rPr>
                <w:rFonts w:ascii="Arial" w:cs="Arial" w:eastAsia="Arial" w:hAnsi="Arial"/>
                <w:sz w:val="16"/>
                <w:szCs w:val="16"/>
                <w:color w:val="auto"/>
              </w:rPr>
              <w:t>position, skills and performance of executive</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Align with annual financial objectives</w:t>
            </w:r>
          </w:p>
        </w:tc>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75% of actual awards based on achievement against the</w:t>
            </w:r>
          </w:p>
        </w:tc>
        <w:tc>
          <w:tcPr>
            <w:tcW w:w="0" w:type="dxa"/>
            <w:vAlign w:val="bottom"/>
          </w:tcPr>
          <w:p>
            <w:pPr>
              <w:spacing w:after="0"/>
              <w:rPr>
                <w:sz w:val="1"/>
                <w:szCs w:val="1"/>
                <w:color w:val="auto"/>
              </w:rPr>
            </w:pPr>
          </w:p>
        </w:tc>
      </w:tr>
      <w:tr>
        <w:trPr>
          <w:trHeight w:val="198"/>
        </w:trPr>
        <w:tc>
          <w:tcPr>
            <w:tcW w:w="16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5240" w:type="dxa"/>
            <w:vAlign w:val="bottom"/>
            <w:gridSpan w:val="2"/>
          </w:tcPr>
          <w:p>
            <w:pPr>
              <w:ind w:left="480"/>
              <w:spacing w:after="0"/>
              <w:rPr>
                <w:sz w:val="20"/>
                <w:szCs w:val="20"/>
                <w:color w:val="auto"/>
              </w:rPr>
            </w:pPr>
            <w:r>
              <w:rPr>
                <w:rFonts w:ascii="Arial" w:cs="Arial" w:eastAsia="Arial" w:hAnsi="Arial"/>
                <w:sz w:val="16"/>
                <w:szCs w:val="16"/>
                <w:color w:val="auto"/>
              </w:rPr>
              <w:t>following annual corporate metrics:</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w:t>
            </w:r>
          </w:p>
        </w:tc>
        <w:tc>
          <w:tcPr>
            <w:tcW w:w="4440" w:type="dxa"/>
            <w:vAlign w:val="bottom"/>
          </w:tcPr>
          <w:p>
            <w:pPr>
              <w:ind w:left="140"/>
              <w:spacing w:after="0"/>
              <w:rPr>
                <w:sz w:val="20"/>
                <w:szCs w:val="20"/>
                <w:color w:val="auto"/>
              </w:rPr>
            </w:pPr>
            <w:r>
              <w:rPr>
                <w:rFonts w:ascii="Arial" w:cs="Arial" w:eastAsia="Arial" w:hAnsi="Arial"/>
                <w:sz w:val="16"/>
                <w:szCs w:val="16"/>
                <w:color w:val="auto"/>
              </w:rPr>
              <w:t>Health plan membership</w:t>
            </w: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w:t>
            </w:r>
          </w:p>
        </w:tc>
        <w:tc>
          <w:tcPr>
            <w:tcW w:w="4440" w:type="dxa"/>
            <w:vAlign w:val="bottom"/>
          </w:tcPr>
          <w:p>
            <w:pPr>
              <w:ind w:left="140"/>
              <w:spacing w:after="0"/>
              <w:rPr>
                <w:sz w:val="20"/>
                <w:szCs w:val="20"/>
                <w:color w:val="auto"/>
              </w:rPr>
            </w:pPr>
            <w:r>
              <w:rPr>
                <w:rFonts w:ascii="Arial" w:cs="Arial" w:eastAsia="Arial" w:hAnsi="Arial"/>
                <w:sz w:val="16"/>
                <w:szCs w:val="16"/>
                <w:color w:val="auto"/>
              </w:rPr>
              <w:t>Adjusted gross profit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w:t>
            </w:r>
          </w:p>
        </w:tc>
        <w:tc>
          <w:tcPr>
            <w:tcW w:w="444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25% of actual awards based on achievement of individual</w:t>
            </w:r>
          </w:p>
        </w:tc>
        <w:tc>
          <w:tcPr>
            <w:tcW w:w="0" w:type="dxa"/>
            <w:vAlign w:val="bottom"/>
          </w:tcPr>
          <w:p>
            <w:pPr>
              <w:spacing w:after="0"/>
              <w:rPr>
                <w:sz w:val="1"/>
                <w:szCs w:val="1"/>
                <w:color w:val="auto"/>
              </w:rPr>
            </w:pPr>
          </w:p>
        </w:tc>
      </w:tr>
      <w:tr>
        <w:trPr>
          <w:trHeight w:val="198"/>
        </w:trPr>
        <w:tc>
          <w:tcPr>
            <w:tcW w:w="16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5240" w:type="dxa"/>
            <w:vAlign w:val="bottom"/>
            <w:gridSpan w:val="2"/>
          </w:tcPr>
          <w:p>
            <w:pPr>
              <w:ind w:left="480"/>
              <w:spacing w:after="0"/>
              <w:rPr>
                <w:sz w:val="20"/>
                <w:szCs w:val="20"/>
                <w:color w:val="auto"/>
              </w:rPr>
            </w:pPr>
            <w:r>
              <w:rPr>
                <w:rFonts w:ascii="Arial" w:cs="Arial" w:eastAsia="Arial" w:hAnsi="Arial"/>
                <w:sz w:val="16"/>
                <w:szCs w:val="16"/>
                <w:color w:val="auto"/>
              </w:rPr>
              <w:t>and/or departmental goals (other than the CEO)</w:t>
            </w:r>
          </w:p>
        </w:tc>
        <w:tc>
          <w:tcPr>
            <w:tcW w:w="0" w:type="dxa"/>
            <w:vAlign w:val="bottom"/>
          </w:tcPr>
          <w:p>
            <w:pPr>
              <w:spacing w:after="0"/>
              <w:rPr>
                <w:sz w:val="1"/>
                <w:szCs w:val="1"/>
                <w:color w:val="auto"/>
              </w:rPr>
            </w:pPr>
          </w:p>
        </w:tc>
      </w:tr>
      <w:tr>
        <w:trPr>
          <w:trHeight w:val="220"/>
        </w:trPr>
        <w:tc>
          <w:tcPr>
            <w:tcW w:w="16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For 2024, awards were subject to a modifier (-25% to +35%)</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5240" w:type="dxa"/>
            <w:vAlign w:val="bottom"/>
            <w:gridSpan w:val="2"/>
          </w:tcPr>
          <w:p>
            <w:pPr>
              <w:ind w:left="480"/>
              <w:spacing w:after="0"/>
              <w:rPr>
                <w:sz w:val="20"/>
                <w:szCs w:val="20"/>
                <w:color w:val="auto"/>
              </w:rPr>
            </w:pPr>
            <w:r>
              <w:rPr>
                <w:rFonts w:ascii="Arial" w:cs="Arial" w:eastAsia="Arial" w:hAnsi="Arial"/>
                <w:sz w:val="16"/>
                <w:szCs w:val="16"/>
                <w:color w:val="auto"/>
              </w:rPr>
              <w:t>based on the Company’s CMS Star Ratings, with potential</w:t>
            </w:r>
          </w:p>
        </w:tc>
        <w:tc>
          <w:tcPr>
            <w:tcW w:w="0" w:type="dxa"/>
            <w:vAlign w:val="bottom"/>
          </w:tcPr>
          <w:p>
            <w:pPr>
              <w:spacing w:after="0"/>
              <w:rPr>
                <w:sz w:val="1"/>
                <w:szCs w:val="1"/>
                <w:color w:val="auto"/>
              </w:rPr>
            </w:pPr>
          </w:p>
        </w:tc>
      </w:tr>
      <w:tr>
        <w:trPr>
          <w:trHeight w:val="215"/>
        </w:trPr>
        <w:tc>
          <w:tcPr>
            <w:tcW w:w="16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240" w:type="dxa"/>
            <w:vAlign w:val="bottom"/>
            <w:gridSpan w:val="2"/>
          </w:tcPr>
          <w:p>
            <w:pPr>
              <w:ind w:left="480"/>
              <w:spacing w:after="0"/>
              <w:rPr>
                <w:sz w:val="20"/>
                <w:szCs w:val="20"/>
                <w:color w:val="auto"/>
              </w:rPr>
            </w:pPr>
            <w:r>
              <w:rPr>
                <w:rFonts w:ascii="Arial" w:cs="Arial" w:eastAsia="Arial" w:hAnsi="Arial"/>
                <w:sz w:val="16"/>
                <w:szCs w:val="16"/>
                <w:color w:val="auto"/>
              </w:rPr>
              <w:t>payouts ranging from 0% to 200% of target bonus</w:t>
            </w:r>
          </w:p>
        </w:tc>
        <w:tc>
          <w:tcPr>
            <w:tcW w:w="0" w:type="dxa"/>
            <w:vAlign w:val="bottom"/>
          </w:tcPr>
          <w:p>
            <w:pPr>
              <w:spacing w:after="0"/>
              <w:rPr>
                <w:sz w:val="1"/>
                <w:szCs w:val="1"/>
                <w:color w:val="auto"/>
              </w:rPr>
            </w:pPr>
          </w:p>
        </w:tc>
      </w:tr>
      <w:tr>
        <w:trPr>
          <w:trHeight w:val="137"/>
        </w:trPr>
        <w:tc>
          <w:tcPr>
            <w:tcW w:w="166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52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1660" w:type="dxa"/>
            <w:vAlign w:val="bottom"/>
            <w:shd w:val="clear" w:color="auto" w:fill="DBE5F1"/>
          </w:tcPr>
          <w:p>
            <w:pPr>
              <w:ind w:left="120"/>
              <w:spacing w:after="0"/>
              <w:rPr>
                <w:sz w:val="20"/>
                <w:szCs w:val="20"/>
                <w:color w:val="auto"/>
              </w:rPr>
            </w:pPr>
            <w:r>
              <w:rPr>
                <w:rFonts w:ascii="Arial" w:cs="Arial" w:eastAsia="Arial" w:hAnsi="Arial"/>
                <w:sz w:val="16"/>
                <w:szCs w:val="16"/>
                <w:b w:val="1"/>
                <w:bCs w:val="1"/>
                <w:color w:val="auto"/>
              </w:rPr>
              <w:t>Long-Term Equity</w:t>
            </w:r>
          </w:p>
        </w:tc>
        <w:tc>
          <w:tcPr>
            <w:tcW w:w="434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Align executives’ interests with those of our</w:t>
            </w:r>
          </w:p>
        </w:tc>
        <w:tc>
          <w:tcPr>
            <w:tcW w:w="5240" w:type="dxa"/>
            <w:vAlign w:val="bottom"/>
            <w:gridSpan w:val="2"/>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Awards based on competitive marketplace, current value of</w:t>
            </w:r>
          </w:p>
        </w:tc>
        <w:tc>
          <w:tcPr>
            <w:tcW w:w="0" w:type="dxa"/>
            <w:vAlign w:val="bottom"/>
          </w:tcPr>
          <w:p>
            <w:pPr>
              <w:spacing w:after="0"/>
              <w:rPr>
                <w:sz w:val="1"/>
                <w:szCs w:val="1"/>
                <w:color w:val="auto"/>
              </w:rPr>
            </w:pPr>
          </w:p>
        </w:tc>
      </w:tr>
      <w:tr>
        <w:trPr>
          <w:trHeight w:val="212"/>
        </w:trPr>
        <w:tc>
          <w:tcPr>
            <w:tcW w:w="1660" w:type="dxa"/>
            <w:vAlign w:val="bottom"/>
            <w:shd w:val="clear" w:color="auto" w:fill="DBE5F1"/>
          </w:tcPr>
          <w:p>
            <w:pPr>
              <w:ind w:left="120"/>
              <w:spacing w:after="0"/>
              <w:rPr>
                <w:sz w:val="20"/>
                <w:szCs w:val="20"/>
                <w:color w:val="auto"/>
              </w:rPr>
            </w:pPr>
            <w:r>
              <w:rPr>
                <w:rFonts w:ascii="Arial" w:cs="Arial" w:eastAsia="Arial" w:hAnsi="Arial"/>
                <w:sz w:val="16"/>
                <w:szCs w:val="16"/>
                <w:b w:val="1"/>
                <w:bCs w:val="1"/>
                <w:color w:val="auto"/>
              </w:rPr>
              <w:t>Incentives</w:t>
            </w:r>
          </w:p>
        </w:tc>
        <w:tc>
          <w:tcPr>
            <w:tcW w:w="4340" w:type="dxa"/>
            <w:vAlign w:val="bottom"/>
            <w:shd w:val="clear" w:color="auto" w:fill="DBE5F1"/>
          </w:tcPr>
          <w:p>
            <w:pPr>
              <w:ind w:left="460"/>
              <w:spacing w:after="0"/>
              <w:rPr>
                <w:sz w:val="20"/>
                <w:szCs w:val="20"/>
                <w:color w:val="auto"/>
              </w:rPr>
            </w:pPr>
            <w:r>
              <w:rPr>
                <w:rFonts w:ascii="Arial" w:cs="Arial" w:eastAsia="Arial" w:hAnsi="Arial"/>
                <w:sz w:val="16"/>
                <w:szCs w:val="16"/>
                <w:color w:val="auto"/>
              </w:rPr>
              <w:t>stockholders</w:t>
            </w:r>
          </w:p>
        </w:tc>
        <w:tc>
          <w:tcPr>
            <w:tcW w:w="5240" w:type="dxa"/>
            <w:vAlign w:val="bottom"/>
            <w:gridSpan w:val="2"/>
            <w:shd w:val="clear" w:color="auto" w:fill="DBE5F1"/>
          </w:tcPr>
          <w:p>
            <w:pPr>
              <w:ind w:left="480"/>
              <w:spacing w:after="0"/>
              <w:rPr>
                <w:sz w:val="20"/>
                <w:szCs w:val="20"/>
                <w:color w:val="auto"/>
              </w:rPr>
            </w:pPr>
            <w:r>
              <w:rPr>
                <w:rFonts w:ascii="Arial" w:cs="Arial" w:eastAsia="Arial" w:hAnsi="Arial"/>
                <w:sz w:val="16"/>
                <w:szCs w:val="16"/>
                <w:color w:val="auto"/>
              </w:rPr>
              <w:t>unvested equity holdings, level of position, skills and</w:t>
            </w:r>
          </w:p>
        </w:tc>
        <w:tc>
          <w:tcPr>
            <w:tcW w:w="0" w:type="dxa"/>
            <w:vAlign w:val="bottom"/>
          </w:tcPr>
          <w:p>
            <w:pPr>
              <w:spacing w:after="0"/>
              <w:rPr>
                <w:sz w:val="1"/>
                <w:szCs w:val="1"/>
                <w:color w:val="auto"/>
              </w:rPr>
            </w:pPr>
          </w:p>
        </w:tc>
      </w:tr>
      <w:tr>
        <w:trPr>
          <w:trHeight w:val="203"/>
        </w:trPr>
        <w:tc>
          <w:tcPr>
            <w:tcW w:w="1660" w:type="dxa"/>
            <w:vAlign w:val="bottom"/>
            <w:shd w:val="clear" w:color="auto" w:fill="DBE5F1"/>
          </w:tcPr>
          <w:p>
            <w:pPr>
              <w:spacing w:after="0"/>
              <w:rPr>
                <w:sz w:val="17"/>
                <w:szCs w:val="17"/>
                <w:color w:val="auto"/>
              </w:rPr>
            </w:pPr>
          </w:p>
        </w:tc>
        <w:tc>
          <w:tcPr>
            <w:tcW w:w="4340" w:type="dxa"/>
            <w:vAlign w:val="bottom"/>
            <w:shd w:val="clear" w:color="auto" w:fill="DBE5F1"/>
          </w:tcPr>
          <w:p>
            <w:pPr>
              <w:ind w:left="200"/>
              <w:spacing w:after="0" w:line="202" w:lineRule="exact"/>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Align with long-term business strategy</w:t>
            </w:r>
          </w:p>
        </w:tc>
        <w:tc>
          <w:tcPr>
            <w:tcW w:w="5240" w:type="dxa"/>
            <w:vAlign w:val="bottom"/>
            <w:gridSpan w:val="2"/>
            <w:shd w:val="clear" w:color="auto" w:fill="DBE5F1"/>
          </w:tcPr>
          <w:p>
            <w:pPr>
              <w:ind w:left="480"/>
              <w:spacing w:after="0"/>
              <w:rPr>
                <w:sz w:val="20"/>
                <w:szCs w:val="20"/>
                <w:color w:val="auto"/>
              </w:rPr>
            </w:pPr>
            <w:r>
              <w:rPr>
                <w:rFonts w:ascii="Arial" w:cs="Arial" w:eastAsia="Arial" w:hAnsi="Arial"/>
                <w:sz w:val="16"/>
                <w:szCs w:val="16"/>
                <w:color w:val="auto"/>
              </w:rPr>
              <w:t>performance of the executive</w:t>
            </w:r>
          </w:p>
        </w:tc>
        <w:tc>
          <w:tcPr>
            <w:tcW w:w="0" w:type="dxa"/>
            <w:vAlign w:val="bottom"/>
          </w:tcPr>
          <w:p>
            <w:pPr>
              <w:spacing w:after="0"/>
              <w:rPr>
                <w:sz w:val="1"/>
                <w:szCs w:val="1"/>
                <w:color w:val="auto"/>
              </w:rPr>
            </w:pPr>
          </w:p>
        </w:tc>
      </w:tr>
      <w:tr>
        <w:trPr>
          <w:trHeight w:val="234"/>
        </w:trPr>
        <w:tc>
          <w:tcPr>
            <w:tcW w:w="1660" w:type="dxa"/>
            <w:vAlign w:val="bottom"/>
            <w:shd w:val="clear" w:color="auto" w:fill="DBE5F1"/>
          </w:tcPr>
          <w:p>
            <w:pPr>
              <w:spacing w:after="0"/>
              <w:rPr>
                <w:sz w:val="20"/>
                <w:szCs w:val="20"/>
                <w:color w:val="auto"/>
              </w:rPr>
            </w:pPr>
          </w:p>
        </w:tc>
        <w:tc>
          <w:tcPr>
            <w:tcW w:w="434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Retain executive talent through multi-year vesting</w:t>
            </w:r>
          </w:p>
        </w:tc>
        <w:tc>
          <w:tcPr>
            <w:tcW w:w="5240" w:type="dxa"/>
            <w:vAlign w:val="bottom"/>
            <w:gridSpan w:val="2"/>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For 2024, awards were issued 50% in the form of RSUs that</w:t>
            </w:r>
          </w:p>
        </w:tc>
        <w:tc>
          <w:tcPr>
            <w:tcW w:w="0" w:type="dxa"/>
            <w:vAlign w:val="bottom"/>
          </w:tcPr>
          <w:p>
            <w:pPr>
              <w:spacing w:after="0"/>
              <w:rPr>
                <w:sz w:val="1"/>
                <w:szCs w:val="1"/>
                <w:color w:val="auto"/>
              </w:rPr>
            </w:pPr>
          </w:p>
        </w:tc>
      </w:tr>
      <w:tr>
        <w:trPr>
          <w:trHeight w:val="203"/>
        </w:trPr>
        <w:tc>
          <w:tcPr>
            <w:tcW w:w="1660" w:type="dxa"/>
            <w:vAlign w:val="bottom"/>
            <w:shd w:val="clear" w:color="auto" w:fill="DBE5F1"/>
          </w:tcPr>
          <w:p>
            <w:pPr>
              <w:spacing w:after="0"/>
              <w:rPr>
                <w:sz w:val="17"/>
                <w:szCs w:val="17"/>
                <w:color w:val="auto"/>
              </w:rPr>
            </w:pPr>
          </w:p>
        </w:tc>
        <w:tc>
          <w:tcPr>
            <w:tcW w:w="4340" w:type="dxa"/>
            <w:vAlign w:val="bottom"/>
            <w:shd w:val="clear" w:color="auto" w:fill="DBE5F1"/>
          </w:tcPr>
          <w:p>
            <w:pPr>
              <w:ind w:left="460"/>
              <w:spacing w:after="0"/>
              <w:rPr>
                <w:sz w:val="20"/>
                <w:szCs w:val="20"/>
                <w:color w:val="auto"/>
              </w:rPr>
            </w:pPr>
            <w:r>
              <w:rPr>
                <w:rFonts w:ascii="Arial" w:cs="Arial" w:eastAsia="Arial" w:hAnsi="Arial"/>
                <w:sz w:val="16"/>
                <w:szCs w:val="16"/>
                <w:color w:val="auto"/>
              </w:rPr>
              <w:t>schedules</w:t>
            </w:r>
          </w:p>
        </w:tc>
        <w:tc>
          <w:tcPr>
            <w:tcW w:w="5240" w:type="dxa"/>
            <w:vAlign w:val="bottom"/>
            <w:gridSpan w:val="2"/>
            <w:shd w:val="clear" w:color="auto" w:fill="DBE5F1"/>
          </w:tcPr>
          <w:p>
            <w:pPr>
              <w:ind w:left="480"/>
              <w:spacing w:after="0"/>
              <w:rPr>
                <w:sz w:val="20"/>
                <w:szCs w:val="20"/>
                <w:color w:val="auto"/>
              </w:rPr>
            </w:pPr>
            <w:r>
              <w:rPr>
                <w:rFonts w:ascii="Arial" w:cs="Arial" w:eastAsia="Arial" w:hAnsi="Arial"/>
                <w:sz w:val="16"/>
                <w:szCs w:val="16"/>
                <w:color w:val="auto"/>
              </w:rPr>
              <w:t>vest over four years and 50% in the form of PSUs that have a</w:t>
            </w:r>
          </w:p>
        </w:tc>
        <w:tc>
          <w:tcPr>
            <w:tcW w:w="0" w:type="dxa"/>
            <w:vAlign w:val="bottom"/>
          </w:tcPr>
          <w:p>
            <w:pPr>
              <w:spacing w:after="0"/>
              <w:rPr>
                <w:sz w:val="1"/>
                <w:szCs w:val="1"/>
                <w:color w:val="auto"/>
              </w:rPr>
            </w:pPr>
          </w:p>
        </w:tc>
      </w:tr>
      <w:tr>
        <w:trPr>
          <w:trHeight w:val="203"/>
        </w:trPr>
        <w:tc>
          <w:tcPr>
            <w:tcW w:w="1660" w:type="dxa"/>
            <w:vAlign w:val="bottom"/>
            <w:shd w:val="clear" w:color="auto" w:fill="DBE5F1"/>
          </w:tcPr>
          <w:p>
            <w:pPr>
              <w:spacing w:after="0"/>
              <w:rPr>
                <w:sz w:val="17"/>
                <w:szCs w:val="17"/>
                <w:color w:val="auto"/>
              </w:rPr>
            </w:pPr>
          </w:p>
        </w:tc>
        <w:tc>
          <w:tcPr>
            <w:tcW w:w="4340" w:type="dxa"/>
            <w:vAlign w:val="bottom"/>
            <w:shd w:val="clear" w:color="auto" w:fill="DBE5F1"/>
          </w:tcPr>
          <w:p>
            <w:pPr>
              <w:ind w:left="200"/>
              <w:spacing w:after="0" w:line="202" w:lineRule="exact"/>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Motivate sustainable performance that creates long-</w:t>
            </w:r>
          </w:p>
        </w:tc>
        <w:tc>
          <w:tcPr>
            <w:tcW w:w="5240" w:type="dxa"/>
            <w:vAlign w:val="bottom"/>
            <w:gridSpan w:val="2"/>
            <w:shd w:val="clear" w:color="auto" w:fill="DBE5F1"/>
          </w:tcPr>
          <w:p>
            <w:pPr>
              <w:ind w:left="480"/>
              <w:spacing w:after="0"/>
              <w:rPr>
                <w:sz w:val="20"/>
                <w:szCs w:val="20"/>
                <w:color w:val="auto"/>
              </w:rPr>
            </w:pPr>
            <w:r>
              <w:rPr>
                <w:rFonts w:ascii="Arial" w:cs="Arial" w:eastAsia="Arial" w:hAnsi="Arial"/>
                <w:sz w:val="16"/>
                <w:szCs w:val="16"/>
                <w:color w:val="auto"/>
              </w:rPr>
              <w:t>three-year vesting period and are earned, if at all, based on</w:t>
            </w:r>
          </w:p>
        </w:tc>
        <w:tc>
          <w:tcPr>
            <w:tcW w:w="0" w:type="dxa"/>
            <w:vAlign w:val="bottom"/>
          </w:tcPr>
          <w:p>
            <w:pPr>
              <w:spacing w:after="0"/>
              <w:rPr>
                <w:sz w:val="1"/>
                <w:szCs w:val="1"/>
                <w:color w:val="auto"/>
              </w:rPr>
            </w:pPr>
          </w:p>
        </w:tc>
      </w:tr>
      <w:tr>
        <w:trPr>
          <w:trHeight w:val="203"/>
        </w:trPr>
        <w:tc>
          <w:tcPr>
            <w:tcW w:w="1660" w:type="dxa"/>
            <w:vAlign w:val="bottom"/>
            <w:shd w:val="clear" w:color="auto" w:fill="DBE5F1"/>
          </w:tcPr>
          <w:p>
            <w:pPr>
              <w:spacing w:after="0"/>
              <w:rPr>
                <w:sz w:val="17"/>
                <w:szCs w:val="17"/>
                <w:color w:val="auto"/>
              </w:rPr>
            </w:pPr>
          </w:p>
        </w:tc>
        <w:tc>
          <w:tcPr>
            <w:tcW w:w="4340" w:type="dxa"/>
            <w:vAlign w:val="bottom"/>
            <w:shd w:val="clear" w:color="auto" w:fill="DBE5F1"/>
          </w:tcPr>
          <w:p>
            <w:pPr>
              <w:ind w:left="460"/>
              <w:spacing w:after="0"/>
              <w:rPr>
                <w:sz w:val="20"/>
                <w:szCs w:val="20"/>
                <w:color w:val="auto"/>
              </w:rPr>
            </w:pPr>
            <w:r>
              <w:rPr>
                <w:rFonts w:ascii="Arial" w:cs="Arial" w:eastAsia="Arial" w:hAnsi="Arial"/>
                <w:sz w:val="16"/>
                <w:szCs w:val="16"/>
                <w:color w:val="auto"/>
              </w:rPr>
              <w:t>term value for stockholders</w:t>
            </w:r>
          </w:p>
        </w:tc>
        <w:tc>
          <w:tcPr>
            <w:tcW w:w="5240" w:type="dxa"/>
            <w:vAlign w:val="bottom"/>
            <w:gridSpan w:val="2"/>
            <w:shd w:val="clear" w:color="auto" w:fill="DBE5F1"/>
          </w:tcPr>
          <w:p>
            <w:pPr>
              <w:ind w:left="480"/>
              <w:spacing w:after="0"/>
              <w:rPr>
                <w:sz w:val="20"/>
                <w:szCs w:val="20"/>
                <w:color w:val="auto"/>
              </w:rPr>
            </w:pPr>
            <w:r>
              <w:rPr>
                <w:rFonts w:ascii="Arial" w:cs="Arial" w:eastAsia="Arial" w:hAnsi="Arial"/>
                <w:sz w:val="16"/>
                <w:szCs w:val="16"/>
                <w:color w:val="auto"/>
              </w:rPr>
              <w:t>achievement of the following metrics for the third year (i.e., fiscal</w:t>
            </w:r>
          </w:p>
        </w:tc>
        <w:tc>
          <w:tcPr>
            <w:tcW w:w="0" w:type="dxa"/>
            <w:vAlign w:val="bottom"/>
          </w:tcPr>
          <w:p>
            <w:pPr>
              <w:spacing w:after="0"/>
              <w:rPr>
                <w:sz w:val="1"/>
                <w:szCs w:val="1"/>
                <w:color w:val="auto"/>
              </w:rPr>
            </w:pPr>
          </w:p>
        </w:tc>
      </w:tr>
      <w:tr>
        <w:trPr>
          <w:trHeight w:val="216"/>
        </w:trPr>
        <w:tc>
          <w:tcPr>
            <w:tcW w:w="1660" w:type="dxa"/>
            <w:vAlign w:val="bottom"/>
            <w:shd w:val="clear" w:color="auto" w:fill="DBE5F1"/>
          </w:tcPr>
          <w:p>
            <w:pPr>
              <w:spacing w:after="0"/>
              <w:rPr>
                <w:sz w:val="18"/>
                <w:szCs w:val="18"/>
                <w:color w:val="auto"/>
              </w:rPr>
            </w:pPr>
          </w:p>
        </w:tc>
        <w:tc>
          <w:tcPr>
            <w:tcW w:w="434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Foster our purpose and values to build teams that</w:t>
            </w:r>
          </w:p>
        </w:tc>
        <w:tc>
          <w:tcPr>
            <w:tcW w:w="5240" w:type="dxa"/>
            <w:vAlign w:val="bottom"/>
            <w:gridSpan w:val="2"/>
            <w:shd w:val="clear" w:color="auto" w:fill="DBE5F1"/>
          </w:tcPr>
          <w:p>
            <w:pPr>
              <w:ind w:left="480"/>
              <w:spacing w:after="0"/>
              <w:rPr>
                <w:sz w:val="20"/>
                <w:szCs w:val="20"/>
                <w:color w:val="auto"/>
              </w:rPr>
            </w:pPr>
            <w:r>
              <w:rPr>
                <w:rFonts w:ascii="Arial" w:cs="Arial" w:eastAsia="Arial" w:hAnsi="Arial"/>
                <w:sz w:val="16"/>
                <w:szCs w:val="16"/>
                <w:color w:val="auto"/>
              </w:rPr>
              <w:t>year 2026):</w:t>
            </w:r>
          </w:p>
        </w:tc>
        <w:tc>
          <w:tcPr>
            <w:tcW w:w="0" w:type="dxa"/>
            <w:vAlign w:val="bottom"/>
          </w:tcPr>
          <w:p>
            <w:pPr>
              <w:spacing w:after="0"/>
              <w:rPr>
                <w:sz w:val="1"/>
                <w:szCs w:val="1"/>
                <w:color w:val="auto"/>
              </w:rPr>
            </w:pPr>
          </w:p>
        </w:tc>
      </w:tr>
      <w:tr>
        <w:trPr>
          <w:trHeight w:val="175"/>
        </w:trPr>
        <w:tc>
          <w:tcPr>
            <w:tcW w:w="1660" w:type="dxa"/>
            <w:vAlign w:val="bottom"/>
            <w:shd w:val="clear" w:color="auto" w:fill="DBE5F1"/>
          </w:tcPr>
          <w:p>
            <w:pPr>
              <w:spacing w:after="0"/>
              <w:rPr>
                <w:sz w:val="15"/>
                <w:szCs w:val="15"/>
                <w:color w:val="auto"/>
              </w:rPr>
            </w:pPr>
          </w:p>
        </w:tc>
        <w:tc>
          <w:tcPr>
            <w:tcW w:w="4340" w:type="dxa"/>
            <w:vAlign w:val="bottom"/>
            <w:vMerge w:val="restart"/>
            <w:shd w:val="clear" w:color="auto" w:fill="DBE5F1"/>
          </w:tcPr>
          <w:p>
            <w:pPr>
              <w:ind w:left="460"/>
              <w:spacing w:after="0"/>
              <w:rPr>
                <w:sz w:val="20"/>
                <w:szCs w:val="20"/>
                <w:color w:val="auto"/>
              </w:rPr>
            </w:pPr>
            <w:r>
              <w:rPr>
                <w:rFonts w:ascii="Arial" w:cs="Arial" w:eastAsia="Arial" w:hAnsi="Arial"/>
                <w:sz w:val="16"/>
                <w:szCs w:val="16"/>
                <w:color w:val="auto"/>
              </w:rPr>
              <w:t>think and act like owners</w:t>
            </w:r>
          </w:p>
        </w:tc>
        <w:tc>
          <w:tcPr>
            <w:tcW w:w="800" w:type="dxa"/>
            <w:vAlign w:val="bottom"/>
            <w:shd w:val="clear" w:color="auto" w:fill="DBE5F1"/>
          </w:tcPr>
          <w:p>
            <w:pPr>
              <w:ind w:left="500"/>
              <w:spacing w:after="0" w:line="175" w:lineRule="exact"/>
              <w:rPr>
                <w:sz w:val="20"/>
                <w:szCs w:val="20"/>
                <w:color w:val="auto"/>
              </w:rPr>
            </w:pPr>
            <w:r>
              <w:rPr>
                <w:rFonts w:ascii="Arial" w:cs="Arial" w:eastAsia="Arial" w:hAnsi="Arial"/>
                <w:sz w:val="16"/>
                <w:szCs w:val="16"/>
                <w:color w:val="auto"/>
              </w:rPr>
              <w:t>o</w:t>
            </w:r>
          </w:p>
        </w:tc>
        <w:tc>
          <w:tcPr>
            <w:tcW w:w="4440" w:type="dxa"/>
            <w:vAlign w:val="bottom"/>
            <w:shd w:val="clear" w:color="auto" w:fill="DBE5F1"/>
          </w:tcPr>
          <w:p>
            <w:pPr>
              <w:ind w:left="100"/>
              <w:spacing w:after="0" w:line="175" w:lineRule="exact"/>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80"/>
        </w:trPr>
        <w:tc>
          <w:tcPr>
            <w:tcW w:w="1660" w:type="dxa"/>
            <w:vAlign w:val="bottom"/>
            <w:shd w:val="clear" w:color="auto" w:fill="DBE5F1"/>
          </w:tcPr>
          <w:p>
            <w:pPr>
              <w:spacing w:after="0"/>
              <w:rPr>
                <w:sz w:val="6"/>
                <w:szCs w:val="6"/>
                <w:color w:val="auto"/>
              </w:rPr>
            </w:pPr>
          </w:p>
        </w:tc>
        <w:tc>
          <w:tcPr>
            <w:tcW w:w="4340" w:type="dxa"/>
            <w:vAlign w:val="bottom"/>
            <w:vMerge w:val="continue"/>
            <w:shd w:val="clear" w:color="auto" w:fill="DBE5F1"/>
          </w:tcPr>
          <w:p>
            <w:pPr>
              <w:spacing w:after="0"/>
              <w:rPr>
                <w:sz w:val="6"/>
                <w:szCs w:val="6"/>
                <w:color w:val="auto"/>
              </w:rPr>
            </w:pPr>
          </w:p>
        </w:tc>
        <w:tc>
          <w:tcPr>
            <w:tcW w:w="800" w:type="dxa"/>
            <w:vAlign w:val="bottom"/>
            <w:vMerge w:val="restart"/>
            <w:shd w:val="clear" w:color="auto" w:fill="DBE5F1"/>
          </w:tcPr>
          <w:p>
            <w:pPr>
              <w:ind w:left="500"/>
              <w:spacing w:after="0"/>
              <w:rPr>
                <w:sz w:val="20"/>
                <w:szCs w:val="20"/>
                <w:color w:val="auto"/>
              </w:rPr>
            </w:pPr>
            <w:r>
              <w:rPr>
                <w:rFonts w:ascii="Arial" w:cs="Arial" w:eastAsia="Arial" w:hAnsi="Arial"/>
                <w:sz w:val="16"/>
                <w:szCs w:val="16"/>
                <w:color w:val="auto"/>
              </w:rPr>
              <w:t>o</w:t>
            </w:r>
          </w:p>
        </w:tc>
        <w:tc>
          <w:tcPr>
            <w:tcW w:w="4440" w:type="dxa"/>
            <w:vAlign w:val="bottom"/>
            <w:vMerge w:val="restart"/>
            <w:shd w:val="clear" w:color="auto" w:fill="DBE5F1"/>
          </w:tcPr>
          <w:p>
            <w:pPr>
              <w:ind w:left="100"/>
              <w:spacing w:after="0"/>
              <w:rPr>
                <w:sz w:val="20"/>
                <w:szCs w:val="20"/>
                <w:color w:val="auto"/>
              </w:rPr>
            </w:pPr>
            <w:r>
              <w:rPr>
                <w:rFonts w:ascii="Arial" w:cs="Arial" w:eastAsia="Arial" w:hAnsi="Arial"/>
                <w:sz w:val="16"/>
                <w:szCs w:val="16"/>
                <w:color w:val="auto"/>
              </w:rPr>
              <w:t>Adjusted EBITDA</w:t>
            </w:r>
          </w:p>
        </w:tc>
        <w:tc>
          <w:tcPr>
            <w:tcW w:w="0" w:type="dxa"/>
            <w:vAlign w:val="bottom"/>
          </w:tcPr>
          <w:p>
            <w:pPr>
              <w:spacing w:after="0"/>
              <w:rPr>
                <w:sz w:val="1"/>
                <w:szCs w:val="1"/>
                <w:color w:val="auto"/>
              </w:rPr>
            </w:pPr>
          </w:p>
        </w:tc>
      </w:tr>
      <w:tr>
        <w:trPr>
          <w:trHeight w:val="144"/>
        </w:trPr>
        <w:tc>
          <w:tcPr>
            <w:tcW w:w="1660" w:type="dxa"/>
            <w:vAlign w:val="bottom"/>
            <w:tcBorders>
              <w:bottom w:val="single" w:sz="8" w:color="DBE5F1"/>
            </w:tcBorders>
            <w:shd w:val="clear" w:color="auto" w:fill="DBE5F1"/>
          </w:tcPr>
          <w:p>
            <w:pPr>
              <w:spacing w:after="0"/>
              <w:rPr>
                <w:sz w:val="12"/>
                <w:szCs w:val="12"/>
                <w:color w:val="auto"/>
              </w:rPr>
            </w:pPr>
          </w:p>
        </w:tc>
        <w:tc>
          <w:tcPr>
            <w:tcW w:w="4340" w:type="dxa"/>
            <w:vAlign w:val="bottom"/>
            <w:tcBorders>
              <w:bottom w:val="single" w:sz="8" w:color="DBE5F1"/>
            </w:tcBorders>
            <w:shd w:val="clear" w:color="auto" w:fill="DBE5F1"/>
          </w:tcPr>
          <w:p>
            <w:pPr>
              <w:spacing w:after="0"/>
              <w:rPr>
                <w:sz w:val="12"/>
                <w:szCs w:val="12"/>
                <w:color w:val="auto"/>
              </w:rPr>
            </w:pPr>
          </w:p>
        </w:tc>
        <w:tc>
          <w:tcPr>
            <w:tcW w:w="800" w:type="dxa"/>
            <w:vAlign w:val="bottom"/>
            <w:tcBorders>
              <w:bottom w:val="single" w:sz="8" w:color="DBE5F1"/>
            </w:tcBorders>
            <w:vMerge w:val="continue"/>
            <w:shd w:val="clear" w:color="auto" w:fill="DBE5F1"/>
          </w:tcPr>
          <w:p>
            <w:pPr>
              <w:spacing w:after="0"/>
              <w:rPr>
                <w:sz w:val="12"/>
                <w:szCs w:val="12"/>
                <w:color w:val="auto"/>
              </w:rPr>
            </w:pPr>
          </w:p>
        </w:tc>
        <w:tc>
          <w:tcPr>
            <w:tcW w:w="4440" w:type="dxa"/>
            <w:vAlign w:val="bottom"/>
            <w:tcBorders>
              <w:bottom w:val="single" w:sz="8" w:color="DBE5F1"/>
            </w:tcBorders>
            <w:vMerge w:val="continue"/>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95B3D7"/>
          </w:tcPr>
          <w:p>
            <w:pPr>
              <w:spacing w:after="0" w:line="20" w:lineRule="exact"/>
              <w:rPr>
                <w:sz w:val="1"/>
                <w:szCs w:val="1"/>
                <w:color w:val="auto"/>
              </w:rPr>
            </w:pPr>
          </w:p>
        </w:tc>
        <w:tc>
          <w:tcPr>
            <w:tcW w:w="4340" w:type="dxa"/>
            <w:vAlign w:val="bottom"/>
            <w:shd w:val="clear" w:color="auto" w:fill="95B3D7"/>
          </w:tcPr>
          <w:p>
            <w:pPr>
              <w:spacing w:after="0" w:line="20" w:lineRule="exact"/>
              <w:rPr>
                <w:sz w:val="1"/>
                <w:szCs w:val="1"/>
                <w:color w:val="auto"/>
              </w:rPr>
            </w:pPr>
          </w:p>
        </w:tc>
        <w:tc>
          <w:tcPr>
            <w:tcW w:w="800" w:type="dxa"/>
            <w:vAlign w:val="bottom"/>
            <w:shd w:val="clear" w:color="auto" w:fill="95B3D7"/>
          </w:tcPr>
          <w:p>
            <w:pPr>
              <w:spacing w:after="0" w:line="20" w:lineRule="exact"/>
              <w:rPr>
                <w:sz w:val="1"/>
                <w:szCs w:val="1"/>
                <w:color w:val="auto"/>
              </w:rPr>
            </w:pPr>
          </w:p>
        </w:tc>
        <w:tc>
          <w:tcPr>
            <w:tcW w:w="4440" w:type="dxa"/>
            <w:vAlign w:val="bottom"/>
            <w:shd w:val="clear" w:color="auto" w:fill="95B3D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3"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For fiscal 2024, using the base salaries, the target annual incentive plan awards as of the end of the year and the March 2024 Equity Awards, the vast majority of executive compensation was variable (84.0% for our CEO as illustrated below and an average of 77.0% for our other four NEOs). The following charts do not include one-time discretionary awards granted in 2024 to Messrs. Kao and Freeman and Ms. Maroney. For more information, please see “</w:t>
      </w:r>
      <w:r>
        <w:rPr>
          <w:rFonts w:ascii="Arial" w:cs="Arial" w:eastAsia="Arial" w:hAnsi="Arial"/>
          <w:sz w:val="18"/>
          <w:szCs w:val="18"/>
          <w:i w:val="1"/>
          <w:iCs w:val="1"/>
          <w:color w:val="auto"/>
        </w:rPr>
        <w:t>—2024 Executive Compensation Program in Detail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123825</wp:posOffset>
            </wp:positionV>
            <wp:extent cx="3703320" cy="21513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70332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Executive Compensation Decision-Making Process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The Role of the Compensation Committee</w:t>
      </w:r>
    </w:p>
    <w:p>
      <w:pPr>
        <w:spacing w:after="0" w:line="18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Compensation Committee oversees the executive compensation program for our NEOs. The committee is composed solely of independent members of the Board. The Committee works closely with its independent compensation consultant and management to examine the effectiveness of the Company’s executive compensation program throughout the year. Details of the Compensation Committee’s authority and responsibilities are specified in its charter, which may be accessed on the investor relations section of our corporate website at https://ir.alignmenthealth.com/. The committee makes all final compensation decisions and equity award recommendations regarding our NEOs.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The Role of Management</w:t>
      </w:r>
    </w:p>
    <w:p>
      <w:pPr>
        <w:spacing w:after="0" w:line="18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Members of our management team attend regular meetings where executive compensation, corporate and individual performance, and competitive compensation levels and practices are discussed and evaluated; however, they are not present in the board room for, nor do they participate in, discussions about their own pay. Only the Compensation Committee members are allowed to vote on decisions regarding NEO compensation. The CEO reviews his recommendations pertaining to other executives pay with the Committee providing transparency and oversight. Decisions on non-executive officer pay are made by the CEO in collaboration with the executive officers who manage such employees. The CEO does not participate in the deliberations of the Compensation Committee regarding his own compensation. The Compensation Committee makes all final determinations regarding CEO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The Role of the Independent Consultant</w:t>
      </w:r>
    </w:p>
    <w:p>
      <w:pPr>
        <w:spacing w:after="0" w:line="196"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Compensation Committee engages an independent compensation consultant to provide expertise on competitive pay practices, program design, and an objective assessment of any inherent risks of any programs. In 2024, pursuant to authority granted to it under its charter, the Compensation Committee engaged FW Cook as its independent consultant. FW Cook reports directly to the Compensation Committee and does not provide any additional services to management. The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color w:val="auto"/>
        </w:rPr>
        <w:t>Compensation Committee has conducted an independence assessment of FW Cook in accordance with Nasdaq rules.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The Role of Peer Group Companies</w:t>
      </w:r>
    </w:p>
    <w:p>
      <w:pPr>
        <w:spacing w:after="0" w:line="22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Compensation Committee strives to set a competitive level of total compensation for each NEO as compared with executive officers in similar positions at peer companies. For purposes of setting 2024 compensation levels, in conjunction with the recommendation of its former independent compensation consultant, Pearl Meyer &amp; Partners, LLC (who served as the Compensation Committee's independent compensation consultant until May 2024), the Compensation Committee considered publicly available data for a group of peer companies (the “2024 Compensation Peer Group”) listed below, along with industry specific survey data, where appropriate. Selection criteria for determining/reviewing the 2024 Compensation Peer Group, used to establish the competitive market for the NEOs, generally includes companies within the “Health Care Services” and “Health Care Technologies” industry groups with last twelve-month revenues ranging from approximately one third to 16 times Alignment Healthcare’s revenues (i.e., ~$695 million - $36,084 million) as of June 1, 2023.</w:t>
      </w:r>
    </w:p>
    <w:p>
      <w:pPr>
        <w:spacing w:after="0" w:line="170" w:lineRule="exact"/>
        <w:rPr>
          <w:sz w:val="20"/>
          <w:szCs w:val="20"/>
          <w:color w:val="auto"/>
        </w:rPr>
      </w:pPr>
    </w:p>
    <w:tbl>
      <w:tblPr>
        <w:tblLayout w:type="fixed"/>
        <w:tblInd w:w="2860" w:type="dxa"/>
        <w:tblCellMar>
          <w:top w:w="0" w:type="dxa"/>
          <w:left w:w="0" w:type="dxa"/>
          <w:bottom w:w="0" w:type="dxa"/>
          <w:right w:w="0" w:type="dxa"/>
        </w:tblCellMar>
      </w:tblPr>
      <w:tr>
        <w:trPr>
          <w:trHeight w:val="237"/>
        </w:trPr>
        <w:tc>
          <w:tcPr>
            <w:tcW w:w="2580" w:type="dxa"/>
            <w:vAlign w:val="bottom"/>
            <w:tcBorders>
              <w:top w:val="single" w:sz="8" w:color="8EAADB"/>
              <w:bottom w:val="single" w:sz="8" w:color="8EAADB"/>
            </w:tcBorders>
          </w:tcPr>
          <w:p>
            <w:pPr>
              <w:ind w:left="20"/>
              <w:spacing w:after="0"/>
              <w:rPr>
                <w:sz w:val="20"/>
                <w:szCs w:val="20"/>
                <w:color w:val="auto"/>
              </w:rPr>
            </w:pPr>
            <w:r>
              <w:rPr>
                <w:rFonts w:ascii="Arial" w:cs="Arial" w:eastAsia="Arial" w:hAnsi="Arial"/>
                <w:sz w:val="16"/>
                <w:szCs w:val="16"/>
                <w:color w:val="auto"/>
              </w:rPr>
              <w:t>Addus HomeCare Corporation</w:t>
            </w:r>
          </w:p>
        </w:tc>
        <w:tc>
          <w:tcPr>
            <w:tcW w:w="2940" w:type="dxa"/>
            <w:vAlign w:val="bottom"/>
            <w:tcBorders>
              <w:top w:val="single" w:sz="8" w:color="8EAADB"/>
              <w:bottom w:val="single" w:sz="8" w:color="8EAADB"/>
            </w:tcBorders>
          </w:tcPr>
          <w:p>
            <w:pPr>
              <w:ind w:left="180"/>
              <w:spacing w:after="0"/>
              <w:rPr>
                <w:sz w:val="20"/>
                <w:szCs w:val="20"/>
                <w:color w:val="auto"/>
              </w:rPr>
            </w:pPr>
            <w:r>
              <w:rPr>
                <w:rFonts w:ascii="Arial" w:cs="Arial" w:eastAsia="Arial" w:hAnsi="Arial"/>
                <w:sz w:val="16"/>
                <w:szCs w:val="16"/>
                <w:color w:val="auto"/>
              </w:rPr>
              <w:t>NextGen Healthcare, Inc.</w:t>
            </w:r>
          </w:p>
        </w:tc>
      </w:tr>
      <w:tr>
        <w:trPr>
          <w:trHeight w:val="223"/>
        </w:trPr>
        <w:tc>
          <w:tcPr>
            <w:tcW w:w="2580" w:type="dxa"/>
            <w:vAlign w:val="bottom"/>
            <w:tcBorders>
              <w:bottom w:val="single" w:sz="8" w:color="8EAADB"/>
            </w:tcBorders>
            <w:shd w:val="clear" w:color="auto" w:fill="D9E2F3"/>
          </w:tcPr>
          <w:p>
            <w:pPr>
              <w:ind w:left="20"/>
              <w:spacing w:after="0"/>
              <w:rPr>
                <w:sz w:val="20"/>
                <w:szCs w:val="20"/>
                <w:color w:val="auto"/>
              </w:rPr>
            </w:pPr>
            <w:r>
              <w:rPr>
                <w:rFonts w:ascii="Arial" w:cs="Arial" w:eastAsia="Arial" w:hAnsi="Arial"/>
                <w:sz w:val="16"/>
                <w:szCs w:val="16"/>
                <w:color w:val="auto"/>
              </w:rPr>
              <w:t>Agiliti, Inc.</w:t>
            </w:r>
          </w:p>
        </w:tc>
        <w:tc>
          <w:tcPr>
            <w:tcW w:w="2940" w:type="dxa"/>
            <w:vAlign w:val="bottom"/>
            <w:tcBorders>
              <w:bottom w:val="single" w:sz="8" w:color="8EAADB"/>
            </w:tcBorders>
            <w:shd w:val="clear" w:color="auto" w:fill="D9E2F3"/>
          </w:tcPr>
          <w:p>
            <w:pPr>
              <w:ind w:left="180"/>
              <w:spacing w:after="0"/>
              <w:rPr>
                <w:sz w:val="20"/>
                <w:szCs w:val="20"/>
                <w:color w:val="auto"/>
              </w:rPr>
            </w:pPr>
            <w:r>
              <w:rPr>
                <w:rFonts w:ascii="Arial" w:cs="Arial" w:eastAsia="Arial" w:hAnsi="Arial"/>
                <w:sz w:val="16"/>
                <w:szCs w:val="16"/>
                <w:color w:val="auto"/>
              </w:rPr>
              <w:t>Oak Street Health, Inc.</w:t>
            </w:r>
          </w:p>
        </w:tc>
      </w:tr>
      <w:tr>
        <w:trPr>
          <w:trHeight w:val="223"/>
        </w:trPr>
        <w:tc>
          <w:tcPr>
            <w:tcW w:w="2580" w:type="dxa"/>
            <w:vAlign w:val="bottom"/>
            <w:tcBorders>
              <w:bottom w:val="single" w:sz="8" w:color="8EAADB"/>
            </w:tcBorders>
          </w:tcPr>
          <w:p>
            <w:pPr>
              <w:ind w:left="20"/>
              <w:spacing w:after="0"/>
              <w:rPr>
                <w:sz w:val="20"/>
                <w:szCs w:val="20"/>
                <w:color w:val="auto"/>
              </w:rPr>
            </w:pPr>
            <w:r>
              <w:rPr>
                <w:rFonts w:ascii="Arial" w:cs="Arial" w:eastAsia="Arial" w:hAnsi="Arial"/>
                <w:sz w:val="16"/>
                <w:szCs w:val="16"/>
                <w:color w:val="auto"/>
              </w:rPr>
              <w:t>agilon health, inc.</w:t>
            </w:r>
          </w:p>
        </w:tc>
        <w:tc>
          <w:tcPr>
            <w:tcW w:w="2940" w:type="dxa"/>
            <w:vAlign w:val="bottom"/>
            <w:tcBorders>
              <w:bottom w:val="single" w:sz="8" w:color="8EAADB"/>
            </w:tcBorders>
          </w:tcPr>
          <w:p>
            <w:pPr>
              <w:ind w:left="180"/>
              <w:spacing w:after="0"/>
              <w:rPr>
                <w:sz w:val="20"/>
                <w:szCs w:val="20"/>
                <w:color w:val="auto"/>
              </w:rPr>
            </w:pPr>
            <w:r>
              <w:rPr>
                <w:rFonts w:ascii="Arial" w:cs="Arial" w:eastAsia="Arial" w:hAnsi="Arial"/>
                <w:sz w:val="16"/>
                <w:szCs w:val="16"/>
                <w:color w:val="auto"/>
              </w:rPr>
              <w:t>Omnicell, Inc.</w:t>
            </w:r>
          </w:p>
        </w:tc>
      </w:tr>
      <w:tr>
        <w:trPr>
          <w:trHeight w:val="223"/>
        </w:trPr>
        <w:tc>
          <w:tcPr>
            <w:tcW w:w="2580" w:type="dxa"/>
            <w:vAlign w:val="bottom"/>
            <w:tcBorders>
              <w:bottom w:val="single" w:sz="8" w:color="8EAADB"/>
            </w:tcBorders>
            <w:shd w:val="clear" w:color="auto" w:fill="D9E2F3"/>
          </w:tcPr>
          <w:p>
            <w:pPr>
              <w:ind w:left="20"/>
              <w:spacing w:after="0"/>
              <w:rPr>
                <w:sz w:val="20"/>
                <w:szCs w:val="20"/>
                <w:color w:val="auto"/>
              </w:rPr>
            </w:pPr>
            <w:r>
              <w:rPr>
                <w:rFonts w:ascii="Arial" w:cs="Arial" w:eastAsia="Arial" w:hAnsi="Arial"/>
                <w:sz w:val="16"/>
                <w:szCs w:val="16"/>
                <w:color w:val="auto"/>
              </w:rPr>
              <w:t>Amedisys, Inc.</w:t>
            </w:r>
          </w:p>
        </w:tc>
        <w:tc>
          <w:tcPr>
            <w:tcW w:w="2940" w:type="dxa"/>
            <w:vAlign w:val="bottom"/>
            <w:tcBorders>
              <w:bottom w:val="single" w:sz="8" w:color="8EAADB"/>
            </w:tcBorders>
            <w:shd w:val="clear" w:color="auto" w:fill="D9E2F3"/>
          </w:tcPr>
          <w:p>
            <w:pPr>
              <w:ind w:left="180"/>
              <w:spacing w:after="0"/>
              <w:rPr>
                <w:sz w:val="20"/>
                <w:szCs w:val="20"/>
                <w:color w:val="auto"/>
              </w:rPr>
            </w:pPr>
            <w:r>
              <w:rPr>
                <w:rFonts w:ascii="Arial" w:cs="Arial" w:eastAsia="Arial" w:hAnsi="Arial"/>
                <w:sz w:val="16"/>
                <w:szCs w:val="16"/>
                <w:color w:val="auto"/>
              </w:rPr>
              <w:t>Oscar Health, Inc.</w:t>
            </w:r>
          </w:p>
        </w:tc>
      </w:tr>
      <w:tr>
        <w:trPr>
          <w:trHeight w:val="223"/>
        </w:trPr>
        <w:tc>
          <w:tcPr>
            <w:tcW w:w="2580" w:type="dxa"/>
            <w:vAlign w:val="bottom"/>
            <w:tcBorders>
              <w:bottom w:val="single" w:sz="8" w:color="8EAADB"/>
            </w:tcBorders>
          </w:tcPr>
          <w:p>
            <w:pPr>
              <w:ind w:left="20"/>
              <w:spacing w:after="0"/>
              <w:rPr>
                <w:sz w:val="20"/>
                <w:szCs w:val="20"/>
                <w:color w:val="auto"/>
              </w:rPr>
            </w:pPr>
            <w:r>
              <w:rPr>
                <w:rFonts w:ascii="Arial" w:cs="Arial" w:eastAsia="Arial" w:hAnsi="Arial"/>
                <w:sz w:val="16"/>
                <w:szCs w:val="16"/>
                <w:color w:val="auto"/>
              </w:rPr>
              <w:t>Evolent Health, Inc.</w:t>
            </w:r>
          </w:p>
        </w:tc>
        <w:tc>
          <w:tcPr>
            <w:tcW w:w="2940" w:type="dxa"/>
            <w:vAlign w:val="bottom"/>
            <w:tcBorders>
              <w:bottom w:val="single" w:sz="8" w:color="8EAADB"/>
            </w:tcBorders>
          </w:tcPr>
          <w:p>
            <w:pPr>
              <w:ind w:left="180"/>
              <w:spacing w:after="0"/>
              <w:rPr>
                <w:sz w:val="20"/>
                <w:szCs w:val="20"/>
                <w:color w:val="auto"/>
              </w:rPr>
            </w:pPr>
            <w:r>
              <w:rPr>
                <w:rFonts w:ascii="Arial" w:cs="Arial" w:eastAsia="Arial" w:hAnsi="Arial"/>
                <w:sz w:val="16"/>
                <w:szCs w:val="16"/>
                <w:color w:val="auto"/>
              </w:rPr>
              <w:t>Pediatrix Medical Group, Inc.</w:t>
            </w:r>
          </w:p>
        </w:tc>
      </w:tr>
      <w:tr>
        <w:trPr>
          <w:trHeight w:val="223"/>
        </w:trPr>
        <w:tc>
          <w:tcPr>
            <w:tcW w:w="2580" w:type="dxa"/>
            <w:vAlign w:val="bottom"/>
            <w:tcBorders>
              <w:bottom w:val="single" w:sz="8" w:color="8EAADB"/>
            </w:tcBorders>
            <w:shd w:val="clear" w:color="auto" w:fill="D9E2F3"/>
          </w:tcPr>
          <w:p>
            <w:pPr>
              <w:ind w:left="20"/>
              <w:spacing w:after="0"/>
              <w:rPr>
                <w:sz w:val="20"/>
                <w:szCs w:val="20"/>
                <w:color w:val="auto"/>
              </w:rPr>
            </w:pPr>
            <w:r>
              <w:rPr>
                <w:rFonts w:ascii="Arial" w:cs="Arial" w:eastAsia="Arial" w:hAnsi="Arial"/>
                <w:sz w:val="16"/>
                <w:szCs w:val="16"/>
                <w:color w:val="auto"/>
              </w:rPr>
              <w:t>LifeStance Health Group, Inc.</w:t>
            </w:r>
          </w:p>
        </w:tc>
        <w:tc>
          <w:tcPr>
            <w:tcW w:w="2940" w:type="dxa"/>
            <w:vAlign w:val="bottom"/>
            <w:tcBorders>
              <w:bottom w:val="single" w:sz="8" w:color="8EAADB"/>
            </w:tcBorders>
            <w:shd w:val="clear" w:color="auto" w:fill="D9E2F3"/>
          </w:tcPr>
          <w:p>
            <w:pPr>
              <w:ind w:left="180"/>
              <w:spacing w:after="0"/>
              <w:rPr>
                <w:sz w:val="20"/>
                <w:szCs w:val="20"/>
                <w:color w:val="auto"/>
              </w:rPr>
            </w:pPr>
            <w:r>
              <w:rPr>
                <w:rFonts w:ascii="Arial" w:cs="Arial" w:eastAsia="Arial" w:hAnsi="Arial"/>
                <w:sz w:val="16"/>
                <w:szCs w:val="16"/>
                <w:color w:val="auto"/>
              </w:rPr>
              <w:t>Privia Health Group, Inc.</w:t>
            </w:r>
          </w:p>
        </w:tc>
      </w:tr>
      <w:tr>
        <w:trPr>
          <w:trHeight w:val="223"/>
        </w:trPr>
        <w:tc>
          <w:tcPr>
            <w:tcW w:w="2580" w:type="dxa"/>
            <w:vAlign w:val="bottom"/>
            <w:tcBorders>
              <w:bottom w:val="single" w:sz="8" w:color="8EAADB"/>
            </w:tcBorders>
          </w:tcPr>
          <w:p>
            <w:pPr>
              <w:ind w:left="20"/>
              <w:spacing w:after="0"/>
              <w:rPr>
                <w:sz w:val="20"/>
                <w:szCs w:val="20"/>
                <w:color w:val="auto"/>
              </w:rPr>
            </w:pPr>
            <w:r>
              <w:rPr>
                <w:rFonts w:ascii="Arial" w:cs="Arial" w:eastAsia="Arial" w:hAnsi="Arial"/>
                <w:sz w:val="16"/>
                <w:szCs w:val="16"/>
                <w:color w:val="auto"/>
              </w:rPr>
              <w:t>Molina Healthcare, Inc.</w:t>
            </w:r>
          </w:p>
        </w:tc>
        <w:tc>
          <w:tcPr>
            <w:tcW w:w="2940" w:type="dxa"/>
            <w:vAlign w:val="bottom"/>
            <w:tcBorders>
              <w:bottom w:val="single" w:sz="8" w:color="8EAADB"/>
            </w:tcBorders>
          </w:tcPr>
          <w:p>
            <w:pPr>
              <w:ind w:left="180"/>
              <w:spacing w:after="0"/>
              <w:rPr>
                <w:sz w:val="20"/>
                <w:szCs w:val="20"/>
                <w:color w:val="auto"/>
              </w:rPr>
            </w:pPr>
            <w:r>
              <w:rPr>
                <w:rFonts w:ascii="Arial" w:cs="Arial" w:eastAsia="Arial" w:hAnsi="Arial"/>
                <w:sz w:val="16"/>
                <w:szCs w:val="16"/>
                <w:color w:val="auto"/>
              </w:rPr>
              <w:t>RadNet, Inc.</w:t>
            </w:r>
          </w:p>
        </w:tc>
      </w:tr>
      <w:tr>
        <w:trPr>
          <w:trHeight w:val="223"/>
        </w:trPr>
        <w:tc>
          <w:tcPr>
            <w:tcW w:w="2580" w:type="dxa"/>
            <w:vAlign w:val="bottom"/>
            <w:tcBorders>
              <w:bottom w:val="single" w:sz="8" w:color="8EAADB"/>
            </w:tcBorders>
            <w:shd w:val="clear" w:color="auto" w:fill="D9E2F3"/>
          </w:tcPr>
          <w:p>
            <w:pPr>
              <w:ind w:left="20"/>
              <w:spacing w:after="0"/>
              <w:rPr>
                <w:sz w:val="20"/>
                <w:szCs w:val="20"/>
                <w:color w:val="auto"/>
              </w:rPr>
            </w:pPr>
            <w:r>
              <w:rPr>
                <w:rFonts w:ascii="Arial" w:cs="Arial" w:eastAsia="Arial" w:hAnsi="Arial"/>
                <w:sz w:val="16"/>
                <w:szCs w:val="16"/>
                <w:color w:val="auto"/>
              </w:rPr>
              <w:t>National HealthCare Corporation</w:t>
            </w:r>
          </w:p>
        </w:tc>
        <w:tc>
          <w:tcPr>
            <w:tcW w:w="2940" w:type="dxa"/>
            <w:vAlign w:val="bottom"/>
            <w:tcBorders>
              <w:bottom w:val="single" w:sz="8" w:color="8EAADB"/>
            </w:tcBorders>
            <w:shd w:val="clear" w:color="auto" w:fill="D9E2F3"/>
          </w:tcPr>
          <w:p>
            <w:pPr>
              <w:ind w:left="180"/>
              <w:spacing w:after="0"/>
              <w:rPr>
                <w:sz w:val="20"/>
                <w:szCs w:val="20"/>
                <w:color w:val="auto"/>
              </w:rPr>
            </w:pPr>
            <w:r>
              <w:rPr>
                <w:rFonts w:ascii="Arial" w:cs="Arial" w:eastAsia="Arial" w:hAnsi="Arial"/>
                <w:sz w:val="16"/>
                <w:szCs w:val="16"/>
                <w:color w:val="auto"/>
              </w:rPr>
              <w:t>Veradigm, Inc.</w:t>
            </w:r>
          </w:p>
        </w:tc>
      </w:tr>
    </w:tbl>
    <w:p>
      <w:pPr>
        <w:spacing w:after="0" w:line="29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purposes of setting pay levels for 2025, the peer group was revisited in October 2024 and revised to account for acquisitions or take-private transactions, to create a more stable peer group and to create greater overlap with shareholder advisory firm peer groups. Selection criteria used to establish the competitive market for the NEOs generally included companies within the “Health Care Services,” Life and Health Insurance,” “Health Care Facilities,” “Health Care Equipment,” and “Health Care Technologies” industry groups, with last twelve-month revenues ranging from approximately one third to three times that of Alignment Healthcare’s revenues (i.e., ~$744 million - $6,696 million) as of June 1, 2024.</w:t>
      </w:r>
    </w:p>
    <w:p>
      <w:pPr>
        <w:spacing w:after="0" w:line="167" w:lineRule="exact"/>
        <w:rPr>
          <w:sz w:val="20"/>
          <w:szCs w:val="20"/>
          <w:color w:val="auto"/>
        </w:rPr>
      </w:pPr>
    </w:p>
    <w:tbl>
      <w:tblPr>
        <w:tblLayout w:type="fixed"/>
        <w:tblInd w:w="2800" w:type="dxa"/>
        <w:tblCellMar>
          <w:top w:w="0" w:type="dxa"/>
          <w:left w:w="0" w:type="dxa"/>
          <w:bottom w:w="0" w:type="dxa"/>
          <w:right w:w="0" w:type="dxa"/>
        </w:tblCellMar>
      </w:tblPr>
      <w:tr>
        <w:trPr>
          <w:trHeight w:val="236"/>
        </w:trPr>
        <w:tc>
          <w:tcPr>
            <w:tcW w:w="2600" w:type="dxa"/>
            <w:vAlign w:val="bottom"/>
            <w:tcBorders>
              <w:top w:val="single" w:sz="8" w:color="8EAADB"/>
              <w:bottom w:val="single" w:sz="8" w:color="8EAADB"/>
            </w:tcBorders>
          </w:tcPr>
          <w:p>
            <w:pPr>
              <w:ind w:left="20"/>
              <w:spacing w:after="0"/>
              <w:rPr>
                <w:sz w:val="20"/>
                <w:szCs w:val="20"/>
                <w:color w:val="auto"/>
              </w:rPr>
            </w:pPr>
            <w:r>
              <w:rPr>
                <w:rFonts w:ascii="Arial" w:cs="Arial" w:eastAsia="Arial" w:hAnsi="Arial"/>
                <w:sz w:val="16"/>
                <w:szCs w:val="16"/>
                <w:color w:val="auto"/>
              </w:rPr>
              <w:t>AdaptHealth Corp.</w:t>
            </w:r>
          </w:p>
        </w:tc>
        <w:tc>
          <w:tcPr>
            <w:tcW w:w="3040" w:type="dxa"/>
            <w:vAlign w:val="bottom"/>
            <w:tcBorders>
              <w:top w:val="single" w:sz="8" w:color="8EAADB"/>
              <w:bottom w:val="single" w:sz="8" w:color="8EAADB"/>
            </w:tcBorders>
          </w:tcPr>
          <w:p>
            <w:pPr>
              <w:ind w:left="240"/>
              <w:spacing w:after="0"/>
              <w:rPr>
                <w:sz w:val="20"/>
                <w:szCs w:val="20"/>
                <w:color w:val="auto"/>
              </w:rPr>
            </w:pPr>
            <w:r>
              <w:rPr>
                <w:rFonts w:ascii="Arial" w:cs="Arial" w:eastAsia="Arial" w:hAnsi="Arial"/>
                <w:sz w:val="16"/>
                <w:szCs w:val="16"/>
                <w:color w:val="auto"/>
              </w:rPr>
              <w:t>Option Care Health, Inc.</w:t>
            </w:r>
          </w:p>
        </w:tc>
      </w:tr>
      <w:tr>
        <w:trPr>
          <w:trHeight w:val="223"/>
        </w:trPr>
        <w:tc>
          <w:tcPr>
            <w:tcW w:w="2600" w:type="dxa"/>
            <w:vAlign w:val="bottom"/>
            <w:tcBorders>
              <w:bottom w:val="single" w:sz="8" w:color="8EAADB"/>
            </w:tcBorders>
            <w:shd w:val="clear" w:color="auto" w:fill="DBE5F1"/>
          </w:tcPr>
          <w:p>
            <w:pPr>
              <w:ind w:left="20"/>
              <w:spacing w:after="0"/>
              <w:rPr>
                <w:sz w:val="20"/>
                <w:szCs w:val="20"/>
                <w:color w:val="auto"/>
              </w:rPr>
            </w:pPr>
            <w:r>
              <w:rPr>
                <w:rFonts w:ascii="Arial" w:cs="Arial" w:eastAsia="Arial" w:hAnsi="Arial"/>
                <w:sz w:val="16"/>
                <w:szCs w:val="16"/>
                <w:color w:val="auto"/>
              </w:rPr>
              <w:t>agilon health, inc.</w:t>
            </w:r>
          </w:p>
        </w:tc>
        <w:tc>
          <w:tcPr>
            <w:tcW w:w="3040" w:type="dxa"/>
            <w:vAlign w:val="bottom"/>
            <w:tcBorders>
              <w:bottom w:val="single" w:sz="8" w:color="8EAADB"/>
            </w:tcBorders>
            <w:shd w:val="clear" w:color="auto" w:fill="DBE5F1"/>
          </w:tcPr>
          <w:p>
            <w:pPr>
              <w:ind w:left="240"/>
              <w:spacing w:after="0"/>
              <w:rPr>
                <w:sz w:val="20"/>
                <w:szCs w:val="20"/>
                <w:color w:val="auto"/>
              </w:rPr>
            </w:pPr>
            <w:r>
              <w:rPr>
                <w:rFonts w:ascii="Arial" w:cs="Arial" w:eastAsia="Arial" w:hAnsi="Arial"/>
                <w:sz w:val="16"/>
                <w:szCs w:val="16"/>
                <w:color w:val="auto"/>
              </w:rPr>
              <w:t>Oscar Health, Inc.</w:t>
            </w:r>
          </w:p>
        </w:tc>
      </w:tr>
      <w:tr>
        <w:trPr>
          <w:trHeight w:val="223"/>
        </w:trPr>
        <w:tc>
          <w:tcPr>
            <w:tcW w:w="2600" w:type="dxa"/>
            <w:vAlign w:val="bottom"/>
            <w:tcBorders>
              <w:bottom w:val="single" w:sz="8" w:color="8EAADB"/>
            </w:tcBorders>
          </w:tcPr>
          <w:p>
            <w:pPr>
              <w:ind w:left="20"/>
              <w:spacing w:after="0"/>
              <w:rPr>
                <w:sz w:val="20"/>
                <w:szCs w:val="20"/>
                <w:color w:val="auto"/>
              </w:rPr>
            </w:pPr>
            <w:r>
              <w:rPr>
                <w:rFonts w:ascii="Arial" w:cs="Arial" w:eastAsia="Arial" w:hAnsi="Arial"/>
                <w:sz w:val="16"/>
                <w:szCs w:val="16"/>
                <w:color w:val="auto"/>
              </w:rPr>
              <w:t>Astrana Health, Inc.</w:t>
            </w:r>
          </w:p>
        </w:tc>
        <w:tc>
          <w:tcPr>
            <w:tcW w:w="3040" w:type="dxa"/>
            <w:vAlign w:val="bottom"/>
            <w:tcBorders>
              <w:bottom w:val="single" w:sz="8" w:color="8EAADB"/>
            </w:tcBorders>
          </w:tcPr>
          <w:p>
            <w:pPr>
              <w:ind w:left="240"/>
              <w:spacing w:after="0"/>
              <w:rPr>
                <w:sz w:val="20"/>
                <w:szCs w:val="20"/>
                <w:color w:val="auto"/>
              </w:rPr>
            </w:pPr>
            <w:r>
              <w:rPr>
                <w:rFonts w:ascii="Arial" w:cs="Arial" w:eastAsia="Arial" w:hAnsi="Arial"/>
                <w:sz w:val="16"/>
                <w:szCs w:val="16"/>
                <w:color w:val="auto"/>
              </w:rPr>
              <w:t>Pediatrix Medical Group, Inc.</w:t>
            </w:r>
          </w:p>
        </w:tc>
      </w:tr>
      <w:tr>
        <w:trPr>
          <w:trHeight w:val="223"/>
        </w:trPr>
        <w:tc>
          <w:tcPr>
            <w:tcW w:w="2600" w:type="dxa"/>
            <w:vAlign w:val="bottom"/>
            <w:tcBorders>
              <w:bottom w:val="single" w:sz="8" w:color="8EAADB"/>
            </w:tcBorders>
            <w:shd w:val="clear" w:color="auto" w:fill="DBE5F1"/>
          </w:tcPr>
          <w:p>
            <w:pPr>
              <w:ind w:left="20"/>
              <w:spacing w:after="0"/>
              <w:rPr>
                <w:sz w:val="20"/>
                <w:szCs w:val="20"/>
                <w:color w:val="auto"/>
              </w:rPr>
            </w:pPr>
            <w:r>
              <w:rPr>
                <w:rFonts w:ascii="Arial" w:cs="Arial" w:eastAsia="Arial" w:hAnsi="Arial"/>
                <w:sz w:val="16"/>
                <w:szCs w:val="16"/>
                <w:color w:val="auto"/>
              </w:rPr>
              <w:t>Bausch &amp; Lomb Corp.</w:t>
            </w:r>
          </w:p>
        </w:tc>
        <w:tc>
          <w:tcPr>
            <w:tcW w:w="3040" w:type="dxa"/>
            <w:vAlign w:val="bottom"/>
            <w:tcBorders>
              <w:bottom w:val="single" w:sz="8" w:color="8EAADB"/>
            </w:tcBorders>
            <w:shd w:val="clear" w:color="auto" w:fill="DBE5F1"/>
          </w:tcPr>
          <w:p>
            <w:pPr>
              <w:ind w:left="240"/>
              <w:spacing w:after="0"/>
              <w:rPr>
                <w:sz w:val="20"/>
                <w:szCs w:val="20"/>
                <w:color w:val="auto"/>
              </w:rPr>
            </w:pPr>
            <w:r>
              <w:rPr>
                <w:rFonts w:ascii="Arial" w:cs="Arial" w:eastAsia="Arial" w:hAnsi="Arial"/>
                <w:sz w:val="16"/>
                <w:szCs w:val="16"/>
                <w:color w:val="auto"/>
              </w:rPr>
              <w:t>Privia Health Group, Inc.</w:t>
            </w:r>
          </w:p>
        </w:tc>
      </w:tr>
      <w:tr>
        <w:trPr>
          <w:trHeight w:val="223"/>
        </w:trPr>
        <w:tc>
          <w:tcPr>
            <w:tcW w:w="2600" w:type="dxa"/>
            <w:vAlign w:val="bottom"/>
            <w:tcBorders>
              <w:bottom w:val="single" w:sz="8" w:color="8EAADB"/>
            </w:tcBorders>
          </w:tcPr>
          <w:p>
            <w:pPr>
              <w:ind w:left="20"/>
              <w:spacing w:after="0"/>
              <w:rPr>
                <w:sz w:val="20"/>
                <w:szCs w:val="20"/>
                <w:color w:val="auto"/>
              </w:rPr>
            </w:pPr>
            <w:r>
              <w:rPr>
                <w:rFonts w:ascii="Arial" w:cs="Arial" w:eastAsia="Arial" w:hAnsi="Arial"/>
                <w:sz w:val="16"/>
                <w:szCs w:val="16"/>
                <w:color w:val="auto"/>
              </w:rPr>
              <w:t>Clover Health Investments Corp.</w:t>
            </w:r>
          </w:p>
        </w:tc>
        <w:tc>
          <w:tcPr>
            <w:tcW w:w="3040" w:type="dxa"/>
            <w:vAlign w:val="bottom"/>
            <w:tcBorders>
              <w:bottom w:val="single" w:sz="8" w:color="8EAADB"/>
            </w:tcBorders>
          </w:tcPr>
          <w:p>
            <w:pPr>
              <w:ind w:left="240"/>
              <w:spacing w:after="0"/>
              <w:rPr>
                <w:sz w:val="20"/>
                <w:szCs w:val="20"/>
                <w:color w:val="auto"/>
              </w:rPr>
            </w:pPr>
            <w:r>
              <w:rPr>
                <w:rFonts w:ascii="Arial" w:cs="Arial" w:eastAsia="Arial" w:hAnsi="Arial"/>
                <w:sz w:val="16"/>
                <w:szCs w:val="16"/>
                <w:color w:val="auto"/>
              </w:rPr>
              <w:t>Quest Diagnostics Inc.</w:t>
            </w:r>
          </w:p>
        </w:tc>
      </w:tr>
      <w:tr>
        <w:trPr>
          <w:trHeight w:val="223"/>
        </w:trPr>
        <w:tc>
          <w:tcPr>
            <w:tcW w:w="2600" w:type="dxa"/>
            <w:vAlign w:val="bottom"/>
            <w:tcBorders>
              <w:bottom w:val="single" w:sz="8" w:color="8EAADB"/>
            </w:tcBorders>
            <w:shd w:val="clear" w:color="auto" w:fill="DBE5F1"/>
          </w:tcPr>
          <w:p>
            <w:pPr>
              <w:ind w:left="20"/>
              <w:spacing w:after="0"/>
              <w:rPr>
                <w:sz w:val="20"/>
                <w:szCs w:val="20"/>
                <w:color w:val="auto"/>
              </w:rPr>
            </w:pPr>
            <w:r>
              <w:rPr>
                <w:rFonts w:ascii="Arial" w:cs="Arial" w:eastAsia="Arial" w:hAnsi="Arial"/>
                <w:sz w:val="16"/>
                <w:szCs w:val="16"/>
                <w:color w:val="auto"/>
              </w:rPr>
              <w:t>DaVita Inc.</w:t>
            </w:r>
          </w:p>
        </w:tc>
        <w:tc>
          <w:tcPr>
            <w:tcW w:w="3040" w:type="dxa"/>
            <w:vAlign w:val="bottom"/>
            <w:tcBorders>
              <w:bottom w:val="single" w:sz="8" w:color="8EAADB"/>
            </w:tcBorders>
            <w:shd w:val="clear" w:color="auto" w:fill="DBE5F1"/>
          </w:tcPr>
          <w:p>
            <w:pPr>
              <w:ind w:left="240"/>
              <w:spacing w:after="0"/>
              <w:rPr>
                <w:sz w:val="20"/>
                <w:szCs w:val="20"/>
                <w:color w:val="auto"/>
              </w:rPr>
            </w:pPr>
            <w:r>
              <w:rPr>
                <w:rFonts w:ascii="Arial" w:cs="Arial" w:eastAsia="Arial" w:hAnsi="Arial"/>
                <w:sz w:val="16"/>
                <w:szCs w:val="16"/>
                <w:color w:val="auto"/>
              </w:rPr>
              <w:t>RadNet, Inc.</w:t>
            </w:r>
          </w:p>
        </w:tc>
      </w:tr>
      <w:tr>
        <w:trPr>
          <w:trHeight w:val="223"/>
        </w:trPr>
        <w:tc>
          <w:tcPr>
            <w:tcW w:w="2600" w:type="dxa"/>
            <w:vAlign w:val="bottom"/>
            <w:tcBorders>
              <w:bottom w:val="single" w:sz="8" w:color="8EAADB"/>
            </w:tcBorders>
          </w:tcPr>
          <w:p>
            <w:pPr>
              <w:ind w:left="20"/>
              <w:spacing w:after="0"/>
              <w:rPr>
                <w:sz w:val="20"/>
                <w:szCs w:val="20"/>
                <w:color w:val="auto"/>
              </w:rPr>
            </w:pPr>
            <w:r>
              <w:rPr>
                <w:rFonts w:ascii="Arial" w:cs="Arial" w:eastAsia="Arial" w:hAnsi="Arial"/>
                <w:sz w:val="16"/>
                <w:szCs w:val="16"/>
                <w:color w:val="auto"/>
              </w:rPr>
              <w:t>Ensign Group, Inc.</w:t>
            </w:r>
          </w:p>
        </w:tc>
        <w:tc>
          <w:tcPr>
            <w:tcW w:w="3040" w:type="dxa"/>
            <w:vAlign w:val="bottom"/>
            <w:tcBorders>
              <w:bottom w:val="single" w:sz="8" w:color="8EAADB"/>
            </w:tcBorders>
          </w:tcPr>
          <w:p>
            <w:pPr>
              <w:ind w:left="240"/>
              <w:spacing w:after="0"/>
              <w:rPr>
                <w:sz w:val="20"/>
                <w:szCs w:val="20"/>
                <w:color w:val="auto"/>
              </w:rPr>
            </w:pPr>
            <w:r>
              <w:rPr>
                <w:rFonts w:ascii="Arial" w:cs="Arial" w:eastAsia="Arial" w:hAnsi="Arial"/>
                <w:sz w:val="16"/>
                <w:szCs w:val="16"/>
                <w:color w:val="auto"/>
              </w:rPr>
              <w:t>Select Medical Holdings Corp.</w:t>
            </w:r>
          </w:p>
        </w:tc>
      </w:tr>
      <w:tr>
        <w:trPr>
          <w:trHeight w:val="223"/>
        </w:trPr>
        <w:tc>
          <w:tcPr>
            <w:tcW w:w="2600" w:type="dxa"/>
            <w:vAlign w:val="bottom"/>
            <w:tcBorders>
              <w:bottom w:val="single" w:sz="8" w:color="8EAADB"/>
            </w:tcBorders>
            <w:shd w:val="clear" w:color="auto" w:fill="DBE5F1"/>
          </w:tcPr>
          <w:p>
            <w:pPr>
              <w:ind w:left="20"/>
              <w:spacing w:after="0"/>
              <w:rPr>
                <w:sz w:val="20"/>
                <w:szCs w:val="20"/>
                <w:color w:val="auto"/>
              </w:rPr>
            </w:pPr>
            <w:r>
              <w:rPr>
                <w:rFonts w:ascii="Arial" w:cs="Arial" w:eastAsia="Arial" w:hAnsi="Arial"/>
                <w:sz w:val="16"/>
                <w:szCs w:val="16"/>
                <w:color w:val="auto"/>
              </w:rPr>
              <w:t>Evolent Health, Inc.</w:t>
            </w:r>
          </w:p>
        </w:tc>
        <w:tc>
          <w:tcPr>
            <w:tcW w:w="3040" w:type="dxa"/>
            <w:vAlign w:val="bottom"/>
            <w:tcBorders>
              <w:bottom w:val="single" w:sz="8" w:color="8EAADB"/>
            </w:tcBorders>
            <w:shd w:val="clear" w:color="auto" w:fill="DBE5F1"/>
          </w:tcPr>
          <w:p>
            <w:pPr>
              <w:ind w:left="240"/>
              <w:spacing w:after="0"/>
              <w:rPr>
                <w:sz w:val="20"/>
                <w:szCs w:val="20"/>
                <w:color w:val="auto"/>
              </w:rPr>
            </w:pPr>
            <w:r>
              <w:rPr>
                <w:rFonts w:ascii="Arial" w:cs="Arial" w:eastAsia="Arial" w:hAnsi="Arial"/>
                <w:sz w:val="16"/>
                <w:szCs w:val="16"/>
                <w:color w:val="auto"/>
              </w:rPr>
              <w:t>Teladoc Health, Inc.</w:t>
            </w:r>
          </w:p>
        </w:tc>
      </w:tr>
    </w:tbl>
    <w:p>
      <w:pPr>
        <w:spacing w:after="0" w:line="29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It is important to note that this market data is not the sole determinant in setting pay levels for the NEOs. Actual pay levels can be above or below the targeted levels depending on factors such as experience, individual or company performance, tenure, employee potential, unique skills, criticality of the position to the Company and other factors. In general, the Compensation Committee desires to balance general internal and external equity and reserves the right to use discretion to deviate when necessary to recruit employees and/or retain the right talent.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4" w:name="page55"/>
    <w:bookmarkEnd w:id="54"/>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2024 Executive Compensation Program in Detail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Base Salary</w:t>
      </w:r>
    </w:p>
    <w:p>
      <w:pPr>
        <w:spacing w:after="0" w:line="25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Base salary represents annual fixed compensation and is a standard element of compensation necessary to attract and retain executive leadership talent. In making base salary decisions, the Compensation Committee considers the CEO’s recommendations, as well as each NEO’s position and level of responsibility within the Company. The Committee considers factors such as competitive market data as well as individual performance, experience, tenure, internal equity and employee potential. In 2024, the Compensation Committee approved base salary increases for Messrs. Kao and Freeman and Ms. Maroney, in order to align their compensation with the market for similar roles and responsibilities. Annual base salary rates for 2024 were as follows:</w:t>
      </w:r>
    </w:p>
    <w:p>
      <w:pPr>
        <w:spacing w:after="0" w:line="233" w:lineRule="exact"/>
        <w:rPr>
          <w:sz w:val="20"/>
          <w:szCs w:val="20"/>
          <w:color w:val="auto"/>
        </w:rPr>
      </w:pPr>
    </w:p>
    <w:tbl>
      <w:tblPr>
        <w:tblLayout w:type="fixed"/>
        <w:tblInd w:w="2000" w:type="dxa"/>
        <w:tblCellMar>
          <w:top w:w="0" w:type="dxa"/>
          <w:left w:w="0" w:type="dxa"/>
          <w:bottom w:w="0" w:type="dxa"/>
          <w:right w:w="0" w:type="dxa"/>
        </w:tblCellMar>
      </w:tblPr>
      <w:tr>
        <w:trPr>
          <w:trHeight w:val="184"/>
        </w:trPr>
        <w:tc>
          <w:tcPr>
            <w:tcW w:w="1900" w:type="dxa"/>
            <w:vAlign w:val="bottom"/>
            <w:vMerge w:val="restart"/>
          </w:tcPr>
          <w:p>
            <w:pPr>
              <w:ind w:left="720"/>
              <w:spacing w:after="0"/>
              <w:rPr>
                <w:sz w:val="20"/>
                <w:szCs w:val="20"/>
                <w:color w:val="auto"/>
              </w:rPr>
            </w:pPr>
            <w:r>
              <w:rPr>
                <w:rFonts w:ascii="Arial" w:cs="Arial" w:eastAsia="Arial" w:hAnsi="Arial"/>
                <w:sz w:val="16"/>
                <w:szCs w:val="16"/>
                <w:b w:val="1"/>
                <w:bCs w:val="1"/>
                <w:color w:val="auto"/>
              </w:rPr>
              <w:t>Name</w:t>
            </w:r>
          </w:p>
        </w:tc>
        <w:tc>
          <w:tcPr>
            <w:tcW w:w="1780" w:type="dxa"/>
            <w:vAlign w:val="bottom"/>
          </w:tcPr>
          <w:p>
            <w:pPr>
              <w:ind w:left="440"/>
              <w:spacing w:after="0"/>
              <w:rPr>
                <w:sz w:val="20"/>
                <w:szCs w:val="20"/>
                <w:color w:val="auto"/>
              </w:rPr>
            </w:pPr>
            <w:r>
              <w:rPr>
                <w:rFonts w:ascii="Arial" w:cs="Arial" w:eastAsia="Arial" w:hAnsi="Arial"/>
                <w:sz w:val="16"/>
                <w:szCs w:val="16"/>
                <w:b w:val="1"/>
                <w:bCs w:val="1"/>
                <w:color w:val="auto"/>
              </w:rPr>
              <w:t>Initial 2024</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rPr>
              <w:t>Adjusted 2024</w:t>
            </w:r>
          </w:p>
        </w:tc>
        <w:tc>
          <w:tcPr>
            <w:tcW w:w="1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Market Adjustment (%)</w:t>
            </w:r>
          </w:p>
        </w:tc>
        <w:tc>
          <w:tcPr>
            <w:tcW w:w="0" w:type="dxa"/>
            <w:vAlign w:val="bottom"/>
          </w:tcPr>
          <w:p>
            <w:pPr>
              <w:spacing w:after="0"/>
              <w:rPr>
                <w:sz w:val="1"/>
                <w:szCs w:val="1"/>
                <w:color w:val="auto"/>
              </w:rPr>
            </w:pPr>
          </w:p>
        </w:tc>
      </w:tr>
      <w:tr>
        <w:trPr>
          <w:trHeight w:val="216"/>
        </w:trPr>
        <w:tc>
          <w:tcPr>
            <w:tcW w:w="1900" w:type="dxa"/>
            <w:vAlign w:val="bottom"/>
            <w:tcBorders>
              <w:bottom w:val="single" w:sz="8" w:color="auto"/>
            </w:tcBorders>
            <w:vMerge w:val="continue"/>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Base Salary</w:t>
            </w:r>
          </w:p>
        </w:tc>
        <w:tc>
          <w:tcPr>
            <w:tcW w:w="178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6"/>
              </w:rPr>
              <w:t>Base Salary</w:t>
            </w:r>
            <w:r>
              <w:rPr>
                <w:rFonts w:ascii="Arial" w:cs="Arial" w:eastAsia="Arial" w:hAnsi="Arial"/>
                <w:sz w:val="21"/>
                <w:szCs w:val="21"/>
                <w:b w:val="1"/>
                <w:bCs w:val="1"/>
                <w:color w:val="auto"/>
                <w:w w:val="96"/>
                <w:vertAlign w:val="superscript"/>
              </w:rPr>
              <w:t>(1)</w:t>
            </w:r>
          </w:p>
        </w:tc>
        <w:tc>
          <w:tcPr>
            <w:tcW w:w="1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0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John Kao</w:t>
            </w:r>
          </w:p>
        </w:tc>
        <w:tc>
          <w:tcPr>
            <w:tcW w:w="17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$800,000</w:t>
            </w:r>
          </w:p>
        </w:tc>
        <w:tc>
          <w:tcPr>
            <w:tcW w:w="17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$850,000</w:t>
            </w:r>
          </w:p>
        </w:tc>
        <w:tc>
          <w:tcPr>
            <w:tcW w:w="1780" w:type="dxa"/>
            <w:vAlign w:val="bottom"/>
            <w:shd w:val="clear" w:color="auto" w:fill="DBE5F1"/>
          </w:tcPr>
          <w:p>
            <w:pPr>
              <w:jc w:val="right"/>
              <w:ind w:right="579"/>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15"/>
        </w:trPr>
        <w:tc>
          <w:tcPr>
            <w:tcW w:w="1900" w:type="dxa"/>
            <w:vAlign w:val="bottom"/>
            <w:tcBorders>
              <w:right w:val="single" w:sz="8" w:color="95B3D7"/>
            </w:tcBorders>
          </w:tcPr>
          <w:p>
            <w:pPr>
              <w:ind w:left="80"/>
              <w:spacing w:after="0"/>
              <w:rPr>
                <w:sz w:val="20"/>
                <w:szCs w:val="20"/>
                <w:color w:val="auto"/>
              </w:rPr>
            </w:pPr>
            <w:r>
              <w:rPr>
                <w:rFonts w:ascii="Arial" w:cs="Arial" w:eastAsia="Arial" w:hAnsi="Arial"/>
                <w:sz w:val="16"/>
                <w:szCs w:val="16"/>
                <w:color w:val="auto"/>
              </w:rPr>
              <w:t>Thomas Freeman</w:t>
            </w:r>
          </w:p>
        </w:tc>
        <w:tc>
          <w:tcPr>
            <w:tcW w:w="178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rPr>
              <w:t>$560,000</w:t>
            </w:r>
          </w:p>
        </w:tc>
        <w:tc>
          <w:tcPr>
            <w:tcW w:w="178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rPr>
              <w:t>$580,000</w:t>
            </w:r>
          </w:p>
        </w:tc>
        <w:tc>
          <w:tcPr>
            <w:tcW w:w="1780" w:type="dxa"/>
            <w:vAlign w:val="bottom"/>
          </w:tcPr>
          <w:p>
            <w:pPr>
              <w:jc w:val="right"/>
              <w:ind w:right="579"/>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17"/>
        </w:trPr>
        <w:tc>
          <w:tcPr>
            <w:tcW w:w="190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Dawn Maroney</w:t>
            </w:r>
          </w:p>
        </w:tc>
        <w:tc>
          <w:tcPr>
            <w:tcW w:w="17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$560,000</w:t>
            </w:r>
          </w:p>
        </w:tc>
        <w:tc>
          <w:tcPr>
            <w:tcW w:w="17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$600,000</w:t>
            </w:r>
          </w:p>
        </w:tc>
        <w:tc>
          <w:tcPr>
            <w:tcW w:w="1780" w:type="dxa"/>
            <w:vAlign w:val="bottom"/>
            <w:shd w:val="clear" w:color="auto" w:fill="DBE5F1"/>
          </w:tcPr>
          <w:p>
            <w:pPr>
              <w:jc w:val="right"/>
              <w:ind w:right="579"/>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42"/>
        </w:trPr>
        <w:tc>
          <w:tcPr>
            <w:tcW w:w="1900" w:type="dxa"/>
            <w:vAlign w:val="bottom"/>
            <w:tcBorders>
              <w:right w:val="single" w:sz="8" w:color="95B3D7"/>
            </w:tcBorders>
          </w:tcPr>
          <w:p>
            <w:pPr>
              <w:ind w:left="80"/>
              <w:spacing w:after="0"/>
              <w:rPr>
                <w:sz w:val="20"/>
                <w:szCs w:val="20"/>
                <w:color w:val="auto"/>
              </w:rPr>
            </w:pPr>
            <w:r>
              <w:rPr>
                <w:rFonts w:ascii="Arial" w:cs="Arial" w:eastAsia="Arial" w:hAnsi="Arial"/>
                <w:sz w:val="16"/>
                <w:szCs w:val="16"/>
                <w:color w:val="auto"/>
              </w:rPr>
              <w:t>Hyong (Ken) Kim, M.D.</w:t>
            </w:r>
          </w:p>
        </w:tc>
        <w:tc>
          <w:tcPr>
            <w:tcW w:w="178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rPr>
              <w:t>$560,000</w:t>
            </w:r>
          </w:p>
        </w:tc>
        <w:tc>
          <w:tcPr>
            <w:tcW w:w="178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rPr>
              <w:t>$560,000</w:t>
            </w:r>
          </w:p>
        </w:tc>
        <w:tc>
          <w:tcPr>
            <w:tcW w:w="178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1900" w:type="dxa"/>
            <w:vAlign w:val="bottom"/>
            <w:tcBorders>
              <w:bottom w:val="single" w:sz="8" w:color="95B3D7"/>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Andreas Wagner</w:t>
            </w:r>
            <w:r>
              <w:rPr>
                <w:rFonts w:ascii="Arial" w:cs="Arial" w:eastAsia="Arial" w:hAnsi="Arial"/>
                <w:sz w:val="21"/>
                <w:szCs w:val="21"/>
                <w:color w:val="auto"/>
                <w:vertAlign w:val="superscript"/>
              </w:rPr>
              <w:t>(2)</w:t>
            </w:r>
          </w:p>
        </w:tc>
        <w:tc>
          <w:tcPr>
            <w:tcW w:w="178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$450,000</w:t>
            </w:r>
          </w:p>
        </w:tc>
        <w:tc>
          <w:tcPr>
            <w:tcW w:w="178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$450,000</w:t>
            </w:r>
          </w:p>
        </w:tc>
        <w:tc>
          <w:tcPr>
            <w:tcW w:w="1780" w:type="dxa"/>
            <w:vAlign w:val="bottom"/>
            <w:tcBorders>
              <w:bottom w:val="single" w:sz="8" w:color="95B3D7"/>
            </w:tcBorders>
            <w:shd w:val="clear" w:color="auto" w:fill="DBE5F1"/>
          </w:tcPr>
          <w:p>
            <w:pPr>
              <w:jc w:val="right"/>
              <w:ind w:right="7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300" w:hanging="320"/>
        <w:spacing w:after="0"/>
        <w:tabs>
          <w:tab w:leader="none" w:pos="13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Salary increases were approved in March 2024 but effectiveness was delayed until August 25, 2024.</w:t>
      </w:r>
    </w:p>
    <w:p>
      <w:pPr>
        <w:spacing w:after="0" w:line="109" w:lineRule="exact"/>
        <w:rPr>
          <w:rFonts w:ascii="Arial" w:cs="Arial" w:eastAsia="Arial" w:hAnsi="Arial"/>
          <w:sz w:val="14"/>
          <w:szCs w:val="14"/>
          <w:color w:val="auto"/>
        </w:rPr>
      </w:pPr>
    </w:p>
    <w:p>
      <w:pPr>
        <w:ind w:left="1300" w:hanging="320"/>
        <w:spacing w:after="0"/>
        <w:tabs>
          <w:tab w:leader="none" w:pos="13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Mr. Wagner was not an NEO prior to 2024. He joined the Company as Chief Human Resources Officer on January 8, 2024.</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Annual Incentives</w:t>
      </w:r>
    </w:p>
    <w:p>
      <w:pPr>
        <w:spacing w:after="0" w:line="22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2024 Annual Incentive Plan provided our NEOs the opportunity to earn a performance-based annual cash bonus. Actual payouts depend on the achievement of pre-determined, strategic and/or financial corporate performance objectives (which represent 100% of the award for the CEO and 75% of the award for the other NEOs), as well as departmental and/or individual performance goals (which represent 25% of the award for the NEOs other than the CEO). Based on results, payouts can range from 0% to 200% of target award amounts. In addition, a modifier (-25% to +35%) is applied to the total bonus payout based on the Company’s CMS Star Ratings (see further description below). The modifier ensures there is a direct connection and significant focus on quality and the experience our members are receiving. Target annual bonus opportunities are expressed as a percentage of base salary and were established based on the NEO’s level of responsibility and his or her ability to impact overall results. The Committee also considers market data in setting target award amounts.</w:t>
      </w:r>
    </w:p>
    <w:p>
      <w:pPr>
        <w:spacing w:after="0" w:line="18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Payouts under the 2024 Annual Incentive Plan occur as follows: (i) 75% of each NEO’s total annual incentive payout based on corporate and individual performance was paid in March 2025; and (ii) the remaining 25% of each NEO’s total annual incentive payout is held back and is expected to be paid in the fourth quarter of 2025, subject to achievement of CMS Star Ratings-related performance measures. See “—</w:t>
      </w:r>
      <w:r>
        <w:rPr>
          <w:rFonts w:ascii="Arial" w:cs="Arial" w:eastAsia="Arial" w:hAnsi="Arial"/>
          <w:sz w:val="18"/>
          <w:szCs w:val="18"/>
          <w:i w:val="1"/>
          <w:iCs w:val="1"/>
          <w:color w:val="auto"/>
        </w:rPr>
        <w:t>2024 Annual Incentive Plan Payouts—Adjustment for CMS Star Ratings</w:t>
      </w:r>
      <w:r>
        <w:rPr>
          <w:rFonts w:ascii="Arial" w:cs="Arial" w:eastAsia="Arial" w:hAnsi="Arial"/>
          <w:sz w:val="18"/>
          <w:szCs w:val="18"/>
          <w:color w:val="auto"/>
        </w:rPr>
        <w: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ind w:left="420"/>
        <w:spacing w:after="0"/>
        <w:rPr>
          <w:sz w:val="20"/>
          <w:szCs w:val="20"/>
          <w:color w:val="auto"/>
        </w:rPr>
      </w:pPr>
      <w:r>
        <w:rPr>
          <w:rFonts w:ascii="Arial" w:cs="Arial" w:eastAsia="Arial" w:hAnsi="Arial"/>
          <w:sz w:val="18"/>
          <w:szCs w:val="18"/>
          <w:color w:val="auto"/>
        </w:rPr>
        <w:t>Target bonus opportunities for 2024 for each of the NEOs are summarized in the table below:</w:t>
      </w:r>
    </w:p>
    <w:p>
      <w:pPr>
        <w:spacing w:after="0" w:line="357" w:lineRule="exact"/>
        <w:rPr>
          <w:sz w:val="20"/>
          <w:szCs w:val="20"/>
          <w:color w:val="auto"/>
        </w:rPr>
      </w:pPr>
    </w:p>
    <w:tbl>
      <w:tblPr>
        <w:tblLayout w:type="fixed"/>
        <w:tblInd w:w="200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20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2024 Base Salary Rate</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8"/>
              </w:rPr>
              <w:t>Target Bonus</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2024 Target Bonus</w:t>
            </w:r>
          </w:p>
        </w:tc>
        <w:tc>
          <w:tcPr>
            <w:tcW w:w="0" w:type="dxa"/>
            <w:vAlign w:val="bottom"/>
          </w:tcPr>
          <w:p>
            <w:pPr>
              <w:spacing w:after="0"/>
              <w:rPr>
                <w:sz w:val="1"/>
                <w:szCs w:val="1"/>
                <w:color w:val="auto"/>
              </w:rPr>
            </w:pPr>
          </w:p>
        </w:tc>
      </w:tr>
      <w:tr>
        <w:trPr>
          <w:trHeight w:val="162"/>
        </w:trPr>
        <w:tc>
          <w:tcPr>
            <w:tcW w:w="2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2080" w:type="dxa"/>
            <w:vAlign w:val="bottom"/>
            <w:vMerge w:val="continue"/>
          </w:tcPr>
          <w:p>
            <w:pPr>
              <w:spacing w:after="0"/>
              <w:rPr>
                <w:sz w:val="14"/>
                <w:szCs w:val="14"/>
                <w:color w:val="auto"/>
              </w:rPr>
            </w:pPr>
          </w:p>
        </w:tc>
        <w:tc>
          <w:tcPr>
            <w:tcW w:w="14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Opportunity</w:t>
            </w:r>
          </w:p>
        </w:tc>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Opportunity</w:t>
            </w:r>
          </w:p>
        </w:tc>
        <w:tc>
          <w:tcPr>
            <w:tcW w:w="0" w:type="dxa"/>
            <w:vAlign w:val="bottom"/>
          </w:tcPr>
          <w:p>
            <w:pPr>
              <w:spacing w:after="0"/>
              <w:rPr>
                <w:sz w:val="1"/>
                <w:szCs w:val="1"/>
                <w:color w:val="auto"/>
              </w:rPr>
            </w:pPr>
          </w:p>
        </w:tc>
      </w:tr>
      <w:tr>
        <w:trPr>
          <w:trHeight w:val="216"/>
        </w:trPr>
        <w:tc>
          <w:tcPr>
            <w:tcW w:w="2140" w:type="dxa"/>
            <w:vAlign w:val="bottom"/>
            <w:tcBorders>
              <w:bottom w:val="single" w:sz="8" w:color="auto"/>
            </w:tcBorders>
            <w:vMerge w:val="continue"/>
          </w:tcPr>
          <w:p>
            <w:pPr>
              <w:spacing w:after="0"/>
              <w:rPr>
                <w:sz w:val="18"/>
                <w:szCs w:val="18"/>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2"/>
              </w:rPr>
              <w:t>($)</w:t>
            </w:r>
            <w:r>
              <w:rPr>
                <w:rFonts w:ascii="Arial" w:cs="Arial" w:eastAsia="Arial" w:hAnsi="Arial"/>
                <w:sz w:val="21"/>
                <w:szCs w:val="21"/>
                <w:b w:val="1"/>
                <w:bCs w:val="1"/>
                <w:color w:val="auto"/>
                <w:w w:val="92"/>
                <w:vertAlign w:val="superscript"/>
              </w:rPr>
              <w:t>(1)</w:t>
            </w:r>
          </w:p>
        </w:tc>
        <w:tc>
          <w:tcPr>
            <w:tcW w:w="0" w:type="dxa"/>
            <w:vAlign w:val="bottom"/>
          </w:tcPr>
          <w:p>
            <w:pPr>
              <w:spacing w:after="0"/>
              <w:rPr>
                <w:sz w:val="1"/>
                <w:szCs w:val="1"/>
                <w:color w:val="auto"/>
              </w:rPr>
            </w:pPr>
          </w:p>
        </w:tc>
      </w:tr>
      <w:tr>
        <w:trPr>
          <w:trHeight w:val="237"/>
        </w:trPr>
        <w:tc>
          <w:tcPr>
            <w:tcW w:w="214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John Kao</w:t>
            </w:r>
          </w:p>
        </w:tc>
        <w:tc>
          <w:tcPr>
            <w:tcW w:w="20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850,000</w:t>
            </w:r>
          </w:p>
        </w:tc>
        <w:tc>
          <w:tcPr>
            <w:tcW w:w="1460" w:type="dxa"/>
            <w:vAlign w:val="bottom"/>
            <w:tcBorders>
              <w:right w:val="single" w:sz="8" w:color="95B3D7"/>
            </w:tcBorders>
            <w:shd w:val="clear" w:color="auto" w:fill="DBE5F1"/>
          </w:tcPr>
          <w:p>
            <w:pPr>
              <w:jc w:val="center"/>
              <w:spacing w:after="0" w:line="237" w:lineRule="exact"/>
              <w:rPr>
                <w:sz w:val="20"/>
                <w:szCs w:val="20"/>
                <w:color w:val="auto"/>
              </w:rPr>
            </w:pPr>
            <w:r>
              <w:rPr>
                <w:rFonts w:ascii="Arial" w:cs="Arial" w:eastAsia="Arial" w:hAnsi="Arial"/>
                <w:sz w:val="16"/>
                <w:szCs w:val="16"/>
                <w:color w:val="auto"/>
                <w:w w:val="91"/>
              </w:rPr>
              <w:t>120</w:t>
            </w:r>
            <w:r>
              <w:rPr>
                <w:rFonts w:ascii="Arial" w:cs="Arial" w:eastAsia="Arial" w:hAnsi="Arial"/>
                <w:sz w:val="21"/>
                <w:szCs w:val="21"/>
                <w:color w:val="auto"/>
                <w:w w:val="91"/>
                <w:vertAlign w:val="superscript"/>
              </w:rPr>
              <w:t>(2)</w:t>
            </w:r>
          </w:p>
        </w:tc>
        <w:tc>
          <w:tcPr>
            <w:tcW w:w="1560" w:type="dxa"/>
            <w:vAlign w:val="bottom"/>
            <w:shd w:val="clear" w:color="auto" w:fill="DBE5F1"/>
          </w:tcPr>
          <w:p>
            <w:pPr>
              <w:jc w:val="center"/>
              <w:spacing w:after="0"/>
              <w:rPr>
                <w:sz w:val="20"/>
                <w:szCs w:val="20"/>
                <w:color w:val="auto"/>
              </w:rPr>
            </w:pPr>
            <w:r>
              <w:rPr>
                <w:rFonts w:ascii="Arial" w:cs="Arial" w:eastAsia="Arial" w:hAnsi="Arial"/>
                <w:sz w:val="16"/>
                <w:szCs w:val="16"/>
                <w:color w:val="auto"/>
              </w:rPr>
              <w:t>943,770</w:t>
            </w:r>
          </w:p>
        </w:tc>
        <w:tc>
          <w:tcPr>
            <w:tcW w:w="0" w:type="dxa"/>
            <w:vAlign w:val="bottom"/>
          </w:tcPr>
          <w:p>
            <w:pPr>
              <w:spacing w:after="0"/>
              <w:rPr>
                <w:sz w:val="1"/>
                <w:szCs w:val="1"/>
                <w:color w:val="auto"/>
              </w:rPr>
            </w:pPr>
          </w:p>
        </w:tc>
      </w:tr>
      <w:tr>
        <w:trPr>
          <w:trHeight w:val="235"/>
        </w:trPr>
        <w:tc>
          <w:tcPr>
            <w:tcW w:w="2140" w:type="dxa"/>
            <w:vAlign w:val="bottom"/>
            <w:tcBorders>
              <w:right w:val="single" w:sz="8" w:color="95B3D7"/>
            </w:tcBorders>
          </w:tcPr>
          <w:p>
            <w:pPr>
              <w:ind w:left="80"/>
              <w:spacing w:after="0"/>
              <w:rPr>
                <w:sz w:val="20"/>
                <w:szCs w:val="20"/>
                <w:color w:val="auto"/>
              </w:rPr>
            </w:pPr>
            <w:r>
              <w:rPr>
                <w:rFonts w:ascii="Arial" w:cs="Arial" w:eastAsia="Arial" w:hAnsi="Arial"/>
                <w:sz w:val="16"/>
                <w:szCs w:val="16"/>
                <w:color w:val="auto"/>
              </w:rPr>
              <w:t>Thomas Freeman</w:t>
            </w:r>
          </w:p>
        </w:tc>
        <w:tc>
          <w:tcPr>
            <w:tcW w:w="208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rPr>
              <w:t>580,000</w:t>
            </w:r>
          </w:p>
        </w:tc>
        <w:tc>
          <w:tcPr>
            <w:tcW w:w="146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rPr>
              <w:t>85</w:t>
            </w:r>
          </w:p>
        </w:tc>
        <w:tc>
          <w:tcPr>
            <w:tcW w:w="1560" w:type="dxa"/>
            <w:vAlign w:val="bottom"/>
          </w:tcPr>
          <w:p>
            <w:pPr>
              <w:jc w:val="center"/>
              <w:spacing w:after="0"/>
              <w:rPr>
                <w:sz w:val="20"/>
                <w:szCs w:val="20"/>
                <w:color w:val="auto"/>
              </w:rPr>
            </w:pPr>
            <w:r>
              <w:rPr>
                <w:rFonts w:ascii="Arial" w:cs="Arial" w:eastAsia="Arial" w:hAnsi="Arial"/>
                <w:sz w:val="16"/>
                <w:szCs w:val="16"/>
                <w:color w:val="auto"/>
              </w:rPr>
              <w:t>481,885</w:t>
            </w:r>
          </w:p>
        </w:tc>
        <w:tc>
          <w:tcPr>
            <w:tcW w:w="0" w:type="dxa"/>
            <w:vAlign w:val="bottom"/>
          </w:tcPr>
          <w:p>
            <w:pPr>
              <w:spacing w:after="0"/>
              <w:rPr>
                <w:sz w:val="1"/>
                <w:szCs w:val="1"/>
                <w:color w:val="auto"/>
              </w:rPr>
            </w:pPr>
          </w:p>
        </w:tc>
      </w:tr>
      <w:tr>
        <w:trPr>
          <w:trHeight w:val="224"/>
        </w:trPr>
        <w:tc>
          <w:tcPr>
            <w:tcW w:w="214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Dawn Maroney</w:t>
            </w:r>
          </w:p>
        </w:tc>
        <w:tc>
          <w:tcPr>
            <w:tcW w:w="20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600,000</w:t>
            </w:r>
          </w:p>
        </w:tc>
        <w:tc>
          <w:tcPr>
            <w:tcW w:w="146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85</w:t>
            </w:r>
          </w:p>
        </w:tc>
        <w:tc>
          <w:tcPr>
            <w:tcW w:w="1560" w:type="dxa"/>
            <w:vAlign w:val="bottom"/>
            <w:shd w:val="clear" w:color="auto" w:fill="DBE5F1"/>
          </w:tcPr>
          <w:p>
            <w:pPr>
              <w:jc w:val="center"/>
              <w:spacing w:after="0"/>
              <w:rPr>
                <w:sz w:val="20"/>
                <w:szCs w:val="20"/>
                <w:color w:val="auto"/>
              </w:rPr>
            </w:pPr>
            <w:r>
              <w:rPr>
                <w:rFonts w:ascii="Arial" w:cs="Arial" w:eastAsia="Arial" w:hAnsi="Arial"/>
                <w:sz w:val="16"/>
                <w:szCs w:val="16"/>
                <w:color w:val="auto"/>
              </w:rPr>
              <w:t>487,770</w:t>
            </w:r>
          </w:p>
        </w:tc>
        <w:tc>
          <w:tcPr>
            <w:tcW w:w="0" w:type="dxa"/>
            <w:vAlign w:val="bottom"/>
          </w:tcPr>
          <w:p>
            <w:pPr>
              <w:spacing w:after="0"/>
              <w:rPr>
                <w:sz w:val="1"/>
                <w:szCs w:val="1"/>
                <w:color w:val="auto"/>
              </w:rPr>
            </w:pPr>
          </w:p>
        </w:tc>
      </w:tr>
      <w:tr>
        <w:trPr>
          <w:trHeight w:val="215"/>
        </w:trPr>
        <w:tc>
          <w:tcPr>
            <w:tcW w:w="2140" w:type="dxa"/>
            <w:vAlign w:val="bottom"/>
            <w:tcBorders>
              <w:right w:val="single" w:sz="8" w:color="95B3D7"/>
            </w:tcBorders>
          </w:tcPr>
          <w:p>
            <w:pPr>
              <w:ind w:left="80"/>
              <w:spacing w:after="0"/>
              <w:rPr>
                <w:sz w:val="20"/>
                <w:szCs w:val="20"/>
                <w:color w:val="auto"/>
              </w:rPr>
            </w:pPr>
            <w:r>
              <w:rPr>
                <w:rFonts w:ascii="Arial" w:cs="Arial" w:eastAsia="Arial" w:hAnsi="Arial"/>
                <w:sz w:val="16"/>
                <w:szCs w:val="16"/>
                <w:color w:val="auto"/>
              </w:rPr>
              <w:t>Hyong (Ken) Kim, M.D.</w:t>
            </w:r>
          </w:p>
        </w:tc>
        <w:tc>
          <w:tcPr>
            <w:tcW w:w="208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rPr>
              <w:t>560,000</w:t>
            </w:r>
          </w:p>
        </w:tc>
        <w:tc>
          <w:tcPr>
            <w:tcW w:w="146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rPr>
              <w:t>85</w:t>
            </w:r>
          </w:p>
        </w:tc>
        <w:tc>
          <w:tcPr>
            <w:tcW w:w="1560" w:type="dxa"/>
            <w:vAlign w:val="bottom"/>
          </w:tcPr>
          <w:p>
            <w:pPr>
              <w:jc w:val="center"/>
              <w:spacing w:after="0"/>
              <w:rPr>
                <w:sz w:val="20"/>
                <w:szCs w:val="20"/>
                <w:color w:val="auto"/>
              </w:rPr>
            </w:pPr>
            <w:r>
              <w:rPr>
                <w:rFonts w:ascii="Arial" w:cs="Arial" w:eastAsia="Arial" w:hAnsi="Arial"/>
                <w:sz w:val="16"/>
                <w:szCs w:val="16"/>
                <w:color w:val="auto"/>
              </w:rPr>
              <w:t>472,339</w:t>
            </w:r>
          </w:p>
        </w:tc>
        <w:tc>
          <w:tcPr>
            <w:tcW w:w="0" w:type="dxa"/>
            <w:vAlign w:val="bottom"/>
          </w:tcPr>
          <w:p>
            <w:pPr>
              <w:spacing w:after="0"/>
              <w:rPr>
                <w:sz w:val="1"/>
                <w:szCs w:val="1"/>
                <w:color w:val="auto"/>
              </w:rPr>
            </w:pPr>
          </w:p>
        </w:tc>
      </w:tr>
      <w:tr>
        <w:trPr>
          <w:trHeight w:val="216"/>
        </w:trPr>
        <w:tc>
          <w:tcPr>
            <w:tcW w:w="2140" w:type="dxa"/>
            <w:vAlign w:val="bottom"/>
            <w:tcBorders>
              <w:bottom w:val="single" w:sz="8" w:color="95B3D7"/>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Andreas Wagner</w:t>
            </w:r>
          </w:p>
        </w:tc>
        <w:tc>
          <w:tcPr>
            <w:tcW w:w="208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480,000</w:t>
            </w:r>
          </w:p>
        </w:tc>
        <w:tc>
          <w:tcPr>
            <w:tcW w:w="146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85</w:t>
            </w:r>
          </w:p>
        </w:tc>
        <w:tc>
          <w:tcPr>
            <w:tcW w:w="1560" w:type="dxa"/>
            <w:vAlign w:val="bottom"/>
            <w:tcBorders>
              <w:bottom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384,462</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1480" w:right="160" w:hanging="332"/>
        <w:spacing w:after="0" w:line="269" w:lineRule="auto"/>
        <w:tabs>
          <w:tab w:leader="none" w:pos="1467" w:val="left"/>
        </w:tabs>
        <w:numPr>
          <w:ilvl w:val="0"/>
          <w:numId w:val="36"/>
        </w:numPr>
        <w:rPr>
          <w:rFonts w:ascii="Arial" w:cs="Arial" w:eastAsia="Arial" w:hAnsi="Arial"/>
          <w:sz w:val="14"/>
          <w:szCs w:val="14"/>
          <w:color w:val="auto"/>
        </w:rPr>
      </w:pPr>
      <w:r>
        <w:rPr>
          <w:rFonts w:ascii="Arial" w:cs="Arial" w:eastAsia="Arial" w:hAnsi="Arial"/>
          <w:sz w:val="14"/>
          <w:szCs w:val="14"/>
          <w:color w:val="auto"/>
        </w:rPr>
        <w:t>Target bonus opportunity is based on weighted average of each NEO’s base salary during the year. Mr. Kao's target bonus percentage was adjusted in March 2024. Base salary increases for Messrs. Kao and Freeman and Ms. Maroney were effective in August 2024 and target bonus opportunities were adjusted accordingly. Dr. Kim's target bonus opportunity was adjusted as a result of an unpaid leave taken during 2024. Mr. Wagner's target bonus opportunity reflects a proration for his January 8, 2024 start date.</w:t>
      </w:r>
    </w:p>
    <w:p>
      <w:pPr>
        <w:spacing w:after="0" w:line="61" w:lineRule="exact"/>
        <w:rPr>
          <w:rFonts w:ascii="Arial" w:cs="Arial" w:eastAsia="Arial" w:hAnsi="Arial"/>
          <w:sz w:val="14"/>
          <w:szCs w:val="14"/>
          <w:color w:val="auto"/>
        </w:rPr>
      </w:pPr>
    </w:p>
    <w:p>
      <w:pPr>
        <w:ind w:left="1460" w:hanging="312"/>
        <w:spacing w:after="0"/>
        <w:tabs>
          <w:tab w:leader="none" w:pos="14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For 2024, Mr. Kao's target bonus opportunity was increased from 100% to 120%.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1F497D"/>
        </w:rPr>
        <w:t>2024 Corporate Performance Metrics, Weightings and Results</w:t>
      </w:r>
    </w:p>
    <w:p>
      <w:pPr>
        <w:spacing w:after="0" w:line="2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2024, consistent with the prior year's Annual Incentive Plan, we used health plan membership, adjusted gross profit and adjusted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EBITDA as the corporate performance metrics in the Annual Incentive Plan. We chose these metrics for the following reasons:</w:t>
      </w:r>
    </w:p>
    <w:p>
      <w:pPr>
        <w:spacing w:after="0" w:line="207" w:lineRule="exact"/>
        <w:rPr>
          <w:sz w:val="20"/>
          <w:szCs w:val="20"/>
          <w:color w:val="auto"/>
        </w:rPr>
      </w:pPr>
    </w:p>
    <w:p>
      <w:pPr>
        <w:ind w:left="820" w:hanging="320"/>
        <w:spacing w:after="0" w:line="286" w:lineRule="auto"/>
        <w:tabs>
          <w:tab w:leader="none" w:pos="815"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Health plan membership growth shows that we are increasing our customer base and is a leading indicator of long-term profitability and revenue growth for Alignment Healthcare.</w:t>
      </w:r>
    </w:p>
    <w:p>
      <w:pPr>
        <w:spacing w:after="0" w:line="113" w:lineRule="exact"/>
        <w:rPr>
          <w:rFonts w:ascii="Times New Roman" w:cs="Times New Roman" w:eastAsia="Times New Roman" w:hAnsi="Times New Roman"/>
          <w:sz w:val="18"/>
          <w:szCs w:val="18"/>
          <w:color w:val="auto"/>
        </w:rPr>
      </w:pPr>
    </w:p>
    <w:p>
      <w:pPr>
        <w:ind w:left="820" w:hanging="320"/>
        <w:spacing w:after="0"/>
        <w:tabs>
          <w:tab w:leader="none" w:pos="8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Adjusted gross profit keeps us focused on efficient delivery and execution.</w:t>
      </w:r>
    </w:p>
    <w:p>
      <w:pPr>
        <w:spacing w:after="0" w:line="183" w:lineRule="exact"/>
        <w:rPr>
          <w:rFonts w:ascii="Times New Roman" w:cs="Times New Roman" w:eastAsia="Times New Roman" w:hAnsi="Times New Roman"/>
          <w:sz w:val="18"/>
          <w:szCs w:val="18"/>
          <w:color w:val="auto"/>
        </w:rPr>
      </w:pPr>
    </w:p>
    <w:p>
      <w:pPr>
        <w:ind w:left="820" w:right="20" w:hanging="320"/>
        <w:spacing w:after="0" w:line="286" w:lineRule="auto"/>
        <w:tabs>
          <w:tab w:leader="none" w:pos="815"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provides a clear view of our total operational profitability—it focuses on growth, while continuing to provide strong accountability for returns.</w:t>
      </w:r>
    </w:p>
    <w:p>
      <w:pPr>
        <w:spacing w:after="0" w:line="113" w:lineRule="exact"/>
        <w:rPr>
          <w:sz w:val="20"/>
          <w:szCs w:val="20"/>
          <w:color w:val="auto"/>
        </w:rPr>
      </w:pPr>
    </w:p>
    <w:p>
      <w:pPr>
        <w:jc w:val="both"/>
        <w:ind w:firstLine="492"/>
        <w:spacing w:after="0" w:line="268" w:lineRule="auto"/>
        <w:rPr>
          <w:sz w:val="20"/>
          <w:szCs w:val="20"/>
          <w:color w:val="auto"/>
        </w:rPr>
      </w:pPr>
      <w:r>
        <w:rPr>
          <w:rFonts w:ascii="Arial" w:cs="Arial" w:eastAsia="Arial" w:hAnsi="Arial"/>
          <w:sz w:val="18"/>
          <w:szCs w:val="18"/>
          <w:color w:val="auto"/>
        </w:rPr>
        <w:t>The table below sets forth the relative weighting of the metrics selected for our 2024 Annual Incentive Plan, the results achieved for each metric, as determined by the Compensation Committee, and the resulting aggregate percentage achieved with respect to our corporate objectives. With respect to each metric, target levels for 2024 were set above actual performance results for fiscal year 2023.</w:t>
      </w:r>
    </w:p>
    <w:p>
      <w:pPr>
        <w:spacing w:after="0" w:line="351" w:lineRule="exact"/>
        <w:rPr>
          <w:sz w:val="20"/>
          <w:szCs w:val="20"/>
          <w:color w:val="auto"/>
        </w:rPr>
      </w:pPr>
    </w:p>
    <w:tbl>
      <w:tblPr>
        <w:tblLayout w:type="fixed"/>
        <w:tblInd w:w="1560" w:type="dxa"/>
        <w:tblCellMar>
          <w:top w:w="0" w:type="dxa"/>
          <w:left w:w="0" w:type="dxa"/>
          <w:bottom w:w="0" w:type="dxa"/>
          <w:right w:w="0" w:type="dxa"/>
        </w:tblCellMar>
      </w:tblPr>
      <w:tr>
        <w:trPr>
          <w:trHeight w:val="217"/>
        </w:trPr>
        <w:tc>
          <w:tcPr>
            <w:tcW w:w="2180" w:type="dxa"/>
            <w:vAlign w:val="bottom"/>
          </w:tcPr>
          <w:p>
            <w:pPr>
              <w:spacing w:after="0"/>
              <w:rPr>
                <w:sz w:val="18"/>
                <w:szCs w:val="18"/>
                <w:color w:val="auto"/>
              </w:rPr>
            </w:pPr>
          </w:p>
        </w:tc>
        <w:tc>
          <w:tcPr>
            <w:tcW w:w="5960" w:type="dxa"/>
            <w:vAlign w:val="bottom"/>
            <w:tcBorders>
              <w:bottom w:val="single" w:sz="8" w:color="95B3D7"/>
            </w:tcBorders>
            <w:gridSpan w:val="3"/>
          </w:tcPr>
          <w:p>
            <w:pPr>
              <w:jc w:val="center"/>
              <w:spacing w:after="0"/>
              <w:rPr>
                <w:sz w:val="20"/>
                <w:szCs w:val="20"/>
                <w:color w:val="auto"/>
              </w:rPr>
            </w:pPr>
            <w:r>
              <w:rPr>
                <w:rFonts w:ascii="Arial" w:cs="Arial" w:eastAsia="Arial" w:hAnsi="Arial"/>
                <w:sz w:val="16"/>
                <w:szCs w:val="16"/>
                <w:b w:val="1"/>
                <w:bCs w:val="1"/>
                <w:color w:val="auto"/>
              </w:rPr>
              <w:t>2024 Performance Metrics and Levels</w:t>
            </w:r>
          </w:p>
        </w:tc>
        <w:tc>
          <w:tcPr>
            <w:tcW w:w="20" w:type="dxa"/>
            <w:vAlign w:val="bottom"/>
          </w:tcPr>
          <w:p>
            <w:pPr>
              <w:spacing w:after="0"/>
              <w:rPr>
                <w:sz w:val="18"/>
                <w:szCs w:val="18"/>
                <w:color w:val="auto"/>
              </w:rPr>
            </w:pPr>
          </w:p>
        </w:tc>
      </w:tr>
      <w:tr>
        <w:trPr>
          <w:trHeight w:val="169"/>
        </w:trPr>
        <w:tc>
          <w:tcPr>
            <w:tcW w:w="2180" w:type="dxa"/>
            <w:vAlign w:val="bottom"/>
            <w:tcBorders>
              <w:right w:val="single" w:sz="8" w:color="95B3D7"/>
            </w:tcBorders>
          </w:tcPr>
          <w:p>
            <w:pPr>
              <w:spacing w:after="0"/>
              <w:rPr>
                <w:sz w:val="14"/>
                <w:szCs w:val="14"/>
                <w:color w:val="auto"/>
              </w:rPr>
            </w:pPr>
          </w:p>
        </w:tc>
        <w:tc>
          <w:tcPr>
            <w:tcW w:w="2260" w:type="dxa"/>
            <w:vAlign w:val="bottom"/>
            <w:tcBorders>
              <w:right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b w:val="1"/>
                <w:bCs w:val="1"/>
                <w:color w:val="auto"/>
              </w:rPr>
              <w:t>Health Plan Membership as</w:t>
            </w:r>
          </w:p>
        </w:tc>
        <w:tc>
          <w:tcPr>
            <w:tcW w:w="1740" w:type="dxa"/>
            <w:vAlign w:val="bottom"/>
            <w:tcBorders>
              <w:right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b w:val="1"/>
                <w:bCs w:val="1"/>
                <w:color w:val="auto"/>
              </w:rPr>
              <w:t>Adjusted Gross</w:t>
            </w:r>
          </w:p>
        </w:tc>
        <w:tc>
          <w:tcPr>
            <w:tcW w:w="1960" w:type="dxa"/>
            <w:vAlign w:val="bottom"/>
            <w:shd w:val="clear" w:color="auto" w:fill="DBE5F1"/>
          </w:tcPr>
          <w:p>
            <w:pPr>
              <w:spacing w:after="0"/>
              <w:rPr>
                <w:sz w:val="14"/>
                <w:szCs w:val="14"/>
                <w:color w:val="auto"/>
              </w:rPr>
            </w:pPr>
          </w:p>
        </w:tc>
        <w:tc>
          <w:tcPr>
            <w:tcW w:w="20" w:type="dxa"/>
            <w:vAlign w:val="bottom"/>
          </w:tcPr>
          <w:p>
            <w:pPr>
              <w:spacing w:after="0"/>
              <w:rPr>
                <w:sz w:val="14"/>
                <w:szCs w:val="14"/>
                <w:color w:val="auto"/>
              </w:rPr>
            </w:pPr>
          </w:p>
        </w:tc>
      </w:tr>
      <w:tr>
        <w:trPr>
          <w:trHeight w:val="270"/>
        </w:trPr>
        <w:tc>
          <w:tcPr>
            <w:tcW w:w="2180" w:type="dxa"/>
            <w:vAlign w:val="bottom"/>
            <w:tcBorders>
              <w:right w:val="single" w:sz="8" w:color="95B3D7"/>
            </w:tcBorders>
          </w:tcPr>
          <w:p>
            <w:pPr>
              <w:spacing w:after="0"/>
              <w:rPr>
                <w:sz w:val="23"/>
                <w:szCs w:val="23"/>
                <w:color w:val="auto"/>
              </w:rPr>
            </w:pPr>
          </w:p>
        </w:tc>
        <w:tc>
          <w:tcPr>
            <w:tcW w:w="226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6"/>
                <w:szCs w:val="16"/>
                <w:b w:val="1"/>
                <w:bCs w:val="1"/>
                <w:color w:val="auto"/>
              </w:rPr>
              <w:t>of January 1, 2025</w:t>
            </w:r>
          </w:p>
        </w:tc>
        <w:tc>
          <w:tcPr>
            <w:tcW w:w="174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6"/>
                <w:szCs w:val="16"/>
                <w:b w:val="1"/>
                <w:bCs w:val="1"/>
                <w:color w:val="auto"/>
                <w:w w:val="95"/>
              </w:rPr>
              <w:t>Profit</w:t>
            </w:r>
            <w:r>
              <w:rPr>
                <w:rFonts w:ascii="Arial" w:cs="Arial" w:eastAsia="Arial" w:hAnsi="Arial"/>
                <w:sz w:val="21"/>
                <w:szCs w:val="21"/>
                <w:b w:val="1"/>
                <w:bCs w:val="1"/>
                <w:color w:val="auto"/>
                <w:w w:val="95"/>
                <w:vertAlign w:val="superscript"/>
              </w:rPr>
              <w:t>(1)</w:t>
            </w:r>
          </w:p>
        </w:tc>
        <w:tc>
          <w:tcPr>
            <w:tcW w:w="1960" w:type="dxa"/>
            <w:vAlign w:val="bottom"/>
            <w:tcBorders>
              <w:bottom w:val="single" w:sz="8" w:color="95B3D7"/>
            </w:tcBorders>
            <w:shd w:val="clear" w:color="auto" w:fill="DBE5F1"/>
          </w:tcPr>
          <w:p>
            <w:pPr>
              <w:jc w:val="center"/>
              <w:spacing w:after="0"/>
              <w:rPr>
                <w:sz w:val="20"/>
                <w:szCs w:val="20"/>
                <w:color w:val="auto"/>
              </w:rPr>
            </w:pPr>
            <w:r>
              <w:rPr>
                <w:rFonts w:ascii="Arial" w:cs="Arial" w:eastAsia="Arial" w:hAnsi="Arial"/>
                <w:sz w:val="16"/>
                <w:szCs w:val="16"/>
                <w:b w:val="1"/>
                <w:bCs w:val="1"/>
                <w:color w:val="auto"/>
                <w:w w:val="98"/>
              </w:rPr>
              <w:t>Adjusted EBITDA</w:t>
            </w:r>
            <w:r>
              <w:rPr>
                <w:rFonts w:ascii="Arial" w:cs="Arial" w:eastAsia="Arial" w:hAnsi="Arial"/>
                <w:sz w:val="21"/>
                <w:szCs w:val="21"/>
                <w:b w:val="1"/>
                <w:bCs w:val="1"/>
                <w:color w:val="auto"/>
                <w:w w:val="98"/>
                <w:vertAlign w:val="superscript"/>
              </w:rPr>
              <w:t>(1)</w:t>
            </w:r>
          </w:p>
        </w:tc>
        <w:tc>
          <w:tcPr>
            <w:tcW w:w="20" w:type="dxa"/>
            <w:vAlign w:val="bottom"/>
          </w:tcPr>
          <w:p>
            <w:pPr>
              <w:spacing w:after="0"/>
              <w:rPr>
                <w:sz w:val="23"/>
                <w:szCs w:val="23"/>
                <w:color w:val="auto"/>
              </w:rPr>
            </w:pPr>
          </w:p>
        </w:tc>
      </w:tr>
      <w:tr>
        <w:trPr>
          <w:trHeight w:val="216"/>
        </w:trPr>
        <w:tc>
          <w:tcPr>
            <w:tcW w:w="2180" w:type="dxa"/>
            <w:vAlign w:val="bottom"/>
            <w:tcBorders>
              <w:bottom w:val="single" w:sz="8" w:color="95B3D7"/>
              <w:right w:val="single" w:sz="8" w:color="95B3D7"/>
            </w:tcBorders>
          </w:tcPr>
          <w:p>
            <w:pPr>
              <w:spacing w:after="0"/>
              <w:rPr>
                <w:sz w:val="18"/>
                <w:szCs w:val="18"/>
                <w:color w:val="auto"/>
              </w:rPr>
            </w:pPr>
          </w:p>
        </w:tc>
        <w:tc>
          <w:tcPr>
            <w:tcW w:w="226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6"/>
                <w:szCs w:val="16"/>
                <w:i w:val="1"/>
                <w:iCs w:val="1"/>
                <w:color w:val="auto"/>
              </w:rPr>
              <w:t>(30% Weighting)</w:t>
            </w:r>
          </w:p>
        </w:tc>
        <w:tc>
          <w:tcPr>
            <w:tcW w:w="174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6"/>
                <w:szCs w:val="16"/>
                <w:i w:val="1"/>
                <w:iCs w:val="1"/>
                <w:color w:val="auto"/>
              </w:rPr>
              <w:t>(35% Weighting)</w:t>
            </w:r>
          </w:p>
        </w:tc>
        <w:tc>
          <w:tcPr>
            <w:tcW w:w="1960" w:type="dxa"/>
            <w:vAlign w:val="bottom"/>
            <w:tcBorders>
              <w:bottom w:val="single" w:sz="8" w:color="95B3D7"/>
            </w:tcBorders>
          </w:tcPr>
          <w:p>
            <w:pPr>
              <w:jc w:val="center"/>
              <w:spacing w:after="0"/>
              <w:rPr>
                <w:sz w:val="20"/>
                <w:szCs w:val="20"/>
                <w:color w:val="auto"/>
              </w:rPr>
            </w:pPr>
            <w:r>
              <w:rPr>
                <w:rFonts w:ascii="Arial" w:cs="Arial" w:eastAsia="Arial" w:hAnsi="Arial"/>
                <w:sz w:val="16"/>
                <w:szCs w:val="16"/>
                <w:i w:val="1"/>
                <w:iCs w:val="1"/>
                <w:color w:val="auto"/>
              </w:rPr>
              <w:t>(35% Weighting)</w:t>
            </w:r>
          </w:p>
        </w:tc>
        <w:tc>
          <w:tcPr>
            <w:tcW w:w="20" w:type="dxa"/>
            <w:vAlign w:val="bottom"/>
          </w:tcPr>
          <w:p>
            <w:pPr>
              <w:spacing w:after="0"/>
              <w:rPr>
                <w:sz w:val="18"/>
                <w:szCs w:val="18"/>
                <w:color w:val="auto"/>
              </w:rPr>
            </w:pPr>
          </w:p>
        </w:tc>
      </w:tr>
      <w:tr>
        <w:trPr>
          <w:trHeight w:val="216"/>
        </w:trPr>
        <w:tc>
          <w:tcPr>
            <w:tcW w:w="2180" w:type="dxa"/>
            <w:vAlign w:val="bottom"/>
            <w:tcBorders>
              <w:bottom w:val="single" w:sz="8" w:color="95B3D7"/>
              <w:right w:val="single" w:sz="8" w:color="95B3D7"/>
            </w:tcBorders>
            <w:shd w:val="clear" w:color="auto" w:fill="DBE5F1"/>
          </w:tcPr>
          <w:p>
            <w:pPr>
              <w:ind w:left="60"/>
              <w:spacing w:after="0"/>
              <w:rPr>
                <w:sz w:val="20"/>
                <w:szCs w:val="20"/>
                <w:color w:val="auto"/>
              </w:rPr>
            </w:pPr>
            <w:r>
              <w:rPr>
                <w:rFonts w:ascii="Arial" w:cs="Arial" w:eastAsia="Arial" w:hAnsi="Arial"/>
                <w:sz w:val="16"/>
                <w:szCs w:val="16"/>
                <w:b w:val="1"/>
                <w:bCs w:val="1"/>
                <w:color w:val="auto"/>
              </w:rPr>
              <w:t>Threshold</w:t>
            </w:r>
          </w:p>
        </w:tc>
        <w:tc>
          <w:tcPr>
            <w:tcW w:w="226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178,250</w:t>
            </w:r>
          </w:p>
        </w:tc>
        <w:tc>
          <w:tcPr>
            <w:tcW w:w="174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$282.4M</w:t>
            </w:r>
          </w:p>
        </w:tc>
        <w:tc>
          <w:tcPr>
            <w:tcW w:w="1960" w:type="dxa"/>
            <w:vAlign w:val="bottom"/>
            <w:tcBorders>
              <w:bottom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w w:val="99"/>
              </w:rPr>
              <w:t>($10.0M)</w:t>
            </w:r>
          </w:p>
        </w:tc>
        <w:tc>
          <w:tcPr>
            <w:tcW w:w="20" w:type="dxa"/>
            <w:vAlign w:val="bottom"/>
          </w:tcPr>
          <w:p>
            <w:pPr>
              <w:spacing w:after="0"/>
              <w:rPr>
                <w:sz w:val="18"/>
                <w:szCs w:val="18"/>
                <w:color w:val="auto"/>
              </w:rPr>
            </w:pPr>
          </w:p>
        </w:tc>
      </w:tr>
      <w:tr>
        <w:trPr>
          <w:trHeight w:val="209"/>
        </w:trPr>
        <w:tc>
          <w:tcPr>
            <w:tcW w:w="2180" w:type="dxa"/>
            <w:vAlign w:val="bottom"/>
            <w:tcBorders>
              <w:bottom w:val="single" w:sz="8" w:color="95B3D7"/>
              <w:right w:val="single" w:sz="8" w:color="95B3D7"/>
            </w:tcBorders>
          </w:tcPr>
          <w:p>
            <w:pPr>
              <w:ind w:left="60"/>
              <w:spacing w:after="0"/>
              <w:rPr>
                <w:sz w:val="20"/>
                <w:szCs w:val="20"/>
                <w:color w:val="auto"/>
              </w:rPr>
            </w:pPr>
            <w:r>
              <w:rPr>
                <w:rFonts w:ascii="Arial" w:cs="Arial" w:eastAsia="Arial" w:hAnsi="Arial"/>
                <w:sz w:val="16"/>
                <w:szCs w:val="16"/>
                <w:b w:val="1"/>
                <w:bCs w:val="1"/>
                <w:color w:val="auto"/>
              </w:rPr>
              <w:t>Target</w:t>
            </w:r>
          </w:p>
        </w:tc>
        <w:tc>
          <w:tcPr>
            <w:tcW w:w="226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6"/>
                <w:szCs w:val="16"/>
                <w:color w:val="auto"/>
              </w:rPr>
              <w:t>186,000</w:t>
            </w:r>
          </w:p>
        </w:tc>
        <w:tc>
          <w:tcPr>
            <w:tcW w:w="174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6"/>
                <w:szCs w:val="16"/>
                <w:color w:val="auto"/>
              </w:rPr>
              <w:t>$292.4M - $297.4M</w:t>
            </w:r>
          </w:p>
        </w:tc>
        <w:tc>
          <w:tcPr>
            <w:tcW w:w="1960" w:type="dxa"/>
            <w:vAlign w:val="bottom"/>
            <w:tcBorders>
              <w:bottom w:val="single" w:sz="8" w:color="95B3D7"/>
            </w:tcBorders>
          </w:tcPr>
          <w:p>
            <w:pPr>
              <w:jc w:val="center"/>
              <w:spacing w:after="0"/>
              <w:rPr>
                <w:sz w:val="20"/>
                <w:szCs w:val="20"/>
                <w:color w:val="auto"/>
              </w:rPr>
            </w:pPr>
            <w:r>
              <w:rPr>
                <w:rFonts w:ascii="Arial" w:cs="Arial" w:eastAsia="Arial" w:hAnsi="Arial"/>
                <w:sz w:val="16"/>
                <w:szCs w:val="16"/>
                <w:color w:val="auto"/>
              </w:rPr>
              <w:t>$0.0M - $5.0M</w:t>
            </w:r>
          </w:p>
        </w:tc>
        <w:tc>
          <w:tcPr>
            <w:tcW w:w="20" w:type="dxa"/>
            <w:vAlign w:val="bottom"/>
          </w:tcPr>
          <w:p>
            <w:pPr>
              <w:spacing w:after="0"/>
              <w:rPr>
                <w:sz w:val="18"/>
                <w:szCs w:val="18"/>
                <w:color w:val="auto"/>
              </w:rPr>
            </w:pPr>
          </w:p>
        </w:tc>
      </w:tr>
      <w:tr>
        <w:trPr>
          <w:trHeight w:val="210"/>
        </w:trPr>
        <w:tc>
          <w:tcPr>
            <w:tcW w:w="2180" w:type="dxa"/>
            <w:vAlign w:val="bottom"/>
            <w:tcBorders>
              <w:bottom w:val="single" w:sz="8" w:color="95B3D7"/>
              <w:right w:val="single" w:sz="8" w:color="95B3D7"/>
            </w:tcBorders>
            <w:shd w:val="clear" w:color="auto" w:fill="DBE5F1"/>
          </w:tcPr>
          <w:p>
            <w:pPr>
              <w:ind w:left="60"/>
              <w:spacing w:after="0"/>
              <w:rPr>
                <w:sz w:val="20"/>
                <w:szCs w:val="20"/>
                <w:color w:val="auto"/>
              </w:rPr>
            </w:pPr>
            <w:r>
              <w:rPr>
                <w:rFonts w:ascii="Arial" w:cs="Arial" w:eastAsia="Arial" w:hAnsi="Arial"/>
                <w:sz w:val="16"/>
                <w:szCs w:val="16"/>
                <w:b w:val="1"/>
                <w:bCs w:val="1"/>
                <w:color w:val="auto"/>
              </w:rPr>
              <w:t>Maximum</w:t>
            </w:r>
          </w:p>
        </w:tc>
        <w:tc>
          <w:tcPr>
            <w:tcW w:w="226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201,500</w:t>
            </w:r>
          </w:p>
        </w:tc>
        <w:tc>
          <w:tcPr>
            <w:tcW w:w="174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w w:val="98"/>
              </w:rPr>
              <w:t>$312M</w:t>
            </w:r>
          </w:p>
        </w:tc>
        <w:tc>
          <w:tcPr>
            <w:tcW w:w="1960" w:type="dxa"/>
            <w:vAlign w:val="bottom"/>
            <w:tcBorders>
              <w:bottom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w w:val="99"/>
              </w:rPr>
              <w:t>$20M</w:t>
            </w:r>
          </w:p>
        </w:tc>
        <w:tc>
          <w:tcPr>
            <w:tcW w:w="20" w:type="dxa"/>
            <w:vAlign w:val="bottom"/>
          </w:tcPr>
          <w:p>
            <w:pPr>
              <w:spacing w:after="0"/>
              <w:rPr>
                <w:sz w:val="18"/>
                <w:szCs w:val="18"/>
                <w:color w:val="auto"/>
              </w:rPr>
            </w:pPr>
          </w:p>
        </w:tc>
      </w:tr>
      <w:tr>
        <w:trPr>
          <w:trHeight w:val="237"/>
        </w:trPr>
        <w:tc>
          <w:tcPr>
            <w:tcW w:w="2180" w:type="dxa"/>
            <w:vAlign w:val="bottom"/>
            <w:tcBorders>
              <w:bottom w:val="single" w:sz="8" w:color="95B3D7"/>
              <w:right w:val="single" w:sz="8" w:color="95B3D7"/>
            </w:tcBorders>
          </w:tcPr>
          <w:p>
            <w:pPr>
              <w:jc w:val="center"/>
              <w:spacing w:after="0" w:line="237" w:lineRule="exact"/>
              <w:rPr>
                <w:sz w:val="20"/>
                <w:szCs w:val="20"/>
                <w:color w:val="auto"/>
              </w:rPr>
            </w:pPr>
            <w:r>
              <w:rPr>
                <w:rFonts w:ascii="Arial" w:cs="Arial" w:eastAsia="Arial" w:hAnsi="Arial"/>
                <w:sz w:val="16"/>
                <w:szCs w:val="16"/>
                <w:b w:val="1"/>
                <w:bCs w:val="1"/>
                <w:color w:val="auto"/>
                <w:w w:val="98"/>
              </w:rPr>
              <w:t>Actual Results</w:t>
            </w:r>
            <w:r>
              <w:rPr>
                <w:rFonts w:ascii="Arial" w:cs="Arial" w:eastAsia="Arial" w:hAnsi="Arial"/>
                <w:sz w:val="21"/>
                <w:szCs w:val="21"/>
                <w:b w:val="1"/>
                <w:bCs w:val="1"/>
                <w:color w:val="auto"/>
                <w:w w:val="98"/>
                <w:vertAlign w:val="superscript"/>
              </w:rPr>
              <w:t>(2)</w:t>
            </w:r>
          </w:p>
        </w:tc>
        <w:tc>
          <w:tcPr>
            <w:tcW w:w="226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6"/>
                <w:szCs w:val="16"/>
                <w:color w:val="auto"/>
              </w:rPr>
              <w:t>200% of Target</w:t>
            </w:r>
          </w:p>
        </w:tc>
        <w:tc>
          <w:tcPr>
            <w:tcW w:w="174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6"/>
                <w:szCs w:val="16"/>
                <w:color w:val="auto"/>
                <w:w w:val="98"/>
              </w:rPr>
              <w:t>133% of Target</w:t>
            </w:r>
          </w:p>
        </w:tc>
        <w:tc>
          <w:tcPr>
            <w:tcW w:w="1960" w:type="dxa"/>
            <w:vAlign w:val="bottom"/>
            <w:tcBorders>
              <w:bottom w:val="single" w:sz="8" w:color="95B3D7"/>
            </w:tcBorders>
          </w:tcPr>
          <w:p>
            <w:pPr>
              <w:jc w:val="center"/>
              <w:spacing w:after="0"/>
              <w:rPr>
                <w:sz w:val="20"/>
                <w:szCs w:val="20"/>
                <w:color w:val="auto"/>
              </w:rPr>
            </w:pPr>
            <w:r>
              <w:rPr>
                <w:rFonts w:ascii="Arial" w:cs="Arial" w:eastAsia="Arial" w:hAnsi="Arial"/>
                <w:sz w:val="16"/>
                <w:szCs w:val="16"/>
                <w:color w:val="auto"/>
                <w:w w:val="98"/>
              </w:rPr>
              <w:t>100% of Target</w:t>
            </w:r>
          </w:p>
        </w:tc>
        <w:tc>
          <w:tcPr>
            <w:tcW w:w="20" w:type="dxa"/>
            <w:vAlign w:val="bottom"/>
            <w:tcBorders>
              <w:bottom w:val="single" w:sz="8" w:color="95B3D7"/>
            </w:tcBorders>
          </w:tcPr>
          <w:p>
            <w:pPr>
              <w:spacing w:after="0"/>
              <w:rPr>
                <w:sz w:val="20"/>
                <w:szCs w:val="20"/>
                <w:color w:val="auto"/>
              </w:rPr>
            </w:pPr>
          </w:p>
        </w:tc>
      </w:tr>
      <w:tr>
        <w:trPr>
          <w:trHeight w:val="236"/>
        </w:trPr>
        <w:tc>
          <w:tcPr>
            <w:tcW w:w="2180" w:type="dxa"/>
            <w:vAlign w:val="bottom"/>
            <w:tcBorders>
              <w:bottom w:val="single" w:sz="8" w:color="95B3D7"/>
              <w:right w:val="single" w:sz="8" w:color="95B3D7"/>
            </w:tcBorders>
            <w:shd w:val="clear" w:color="auto" w:fill="DBE5F1"/>
          </w:tcPr>
          <w:p>
            <w:pPr>
              <w:jc w:val="center"/>
              <w:spacing w:after="0" w:line="237" w:lineRule="exact"/>
              <w:rPr>
                <w:sz w:val="20"/>
                <w:szCs w:val="20"/>
                <w:color w:val="auto"/>
              </w:rPr>
            </w:pPr>
            <w:r>
              <w:rPr>
                <w:rFonts w:ascii="Arial" w:cs="Arial" w:eastAsia="Arial" w:hAnsi="Arial"/>
                <w:sz w:val="16"/>
                <w:szCs w:val="16"/>
                <w:b w:val="1"/>
                <w:bCs w:val="1"/>
                <w:color w:val="auto"/>
                <w:w w:val="98"/>
              </w:rPr>
              <w:t>Funded Amount</w:t>
            </w:r>
            <w:r>
              <w:rPr>
                <w:rFonts w:ascii="Arial" w:cs="Arial" w:eastAsia="Arial" w:hAnsi="Arial"/>
                <w:sz w:val="21"/>
                <w:szCs w:val="21"/>
                <w:b w:val="1"/>
                <w:bCs w:val="1"/>
                <w:color w:val="auto"/>
                <w:w w:val="98"/>
                <w:vertAlign w:val="superscript"/>
              </w:rPr>
              <w:t>(3)</w:t>
            </w:r>
          </w:p>
        </w:tc>
        <w:tc>
          <w:tcPr>
            <w:tcW w:w="2260" w:type="dxa"/>
            <w:vAlign w:val="bottom"/>
            <w:tcBorders>
              <w:bottom w:val="single" w:sz="8" w:color="95B3D7"/>
              <w:right w:val="single" w:sz="8" w:color="DBE5F1"/>
            </w:tcBorders>
            <w:shd w:val="clear" w:color="auto" w:fill="DBE5F1"/>
          </w:tcPr>
          <w:p>
            <w:pPr>
              <w:spacing w:after="0"/>
              <w:rPr>
                <w:sz w:val="20"/>
                <w:szCs w:val="20"/>
                <w:color w:val="auto"/>
              </w:rPr>
            </w:pPr>
          </w:p>
        </w:tc>
        <w:tc>
          <w:tcPr>
            <w:tcW w:w="1740" w:type="dxa"/>
            <w:vAlign w:val="bottom"/>
            <w:tcBorders>
              <w:bottom w:val="single" w:sz="8" w:color="95B3D7"/>
              <w:right w:val="single" w:sz="8" w:color="DBE5F1"/>
            </w:tcBorders>
            <w:shd w:val="clear" w:color="auto" w:fill="DBE5F1"/>
          </w:tcPr>
          <w:p>
            <w:pPr>
              <w:jc w:val="center"/>
              <w:ind w:right="219"/>
              <w:spacing w:after="0"/>
              <w:rPr>
                <w:sz w:val="20"/>
                <w:szCs w:val="20"/>
                <w:color w:val="auto"/>
              </w:rPr>
            </w:pPr>
            <w:r>
              <w:rPr>
                <w:rFonts w:ascii="Arial" w:cs="Arial" w:eastAsia="Arial" w:hAnsi="Arial"/>
                <w:sz w:val="16"/>
                <w:szCs w:val="16"/>
                <w:b w:val="1"/>
                <w:bCs w:val="1"/>
                <w:i w:val="1"/>
                <w:iCs w:val="1"/>
                <w:color w:val="auto"/>
              </w:rPr>
              <w:t>141.7% of Target</w:t>
            </w:r>
          </w:p>
        </w:tc>
        <w:tc>
          <w:tcPr>
            <w:tcW w:w="1960" w:type="dxa"/>
            <w:vAlign w:val="bottom"/>
            <w:tcBorders>
              <w:bottom w:val="single" w:sz="8" w:color="95B3D7"/>
            </w:tcBorders>
            <w:shd w:val="clear" w:color="auto" w:fill="DBE5F1"/>
          </w:tcPr>
          <w:p>
            <w:pPr>
              <w:spacing w:after="0"/>
              <w:rPr>
                <w:sz w:val="20"/>
                <w:szCs w:val="20"/>
                <w:color w:val="auto"/>
              </w:rPr>
            </w:pPr>
          </w:p>
        </w:tc>
        <w:tc>
          <w:tcPr>
            <w:tcW w:w="20" w:type="dxa"/>
            <w:vAlign w:val="bottom"/>
            <w:tcBorders>
              <w:bottom w:val="single" w:sz="8" w:color="95B3D7"/>
            </w:tcBorders>
            <w:shd w:val="clear" w:color="auto" w:fill="95B3D7"/>
          </w:tcPr>
          <w:p>
            <w:pPr>
              <w:spacing w:after="0"/>
              <w:rPr>
                <w:sz w:val="20"/>
                <w:szCs w:val="20"/>
                <w:color w:val="auto"/>
              </w:rPr>
            </w:pPr>
          </w:p>
        </w:tc>
      </w:tr>
    </w:tbl>
    <w:p>
      <w:pPr>
        <w:spacing w:after="0" w:line="328" w:lineRule="exact"/>
        <w:rPr>
          <w:sz w:val="20"/>
          <w:szCs w:val="20"/>
          <w:color w:val="auto"/>
        </w:rPr>
      </w:pPr>
    </w:p>
    <w:p>
      <w:pPr>
        <w:ind w:left="820" w:right="300" w:hanging="320"/>
        <w:spacing w:after="0" w:line="283" w:lineRule="auto"/>
        <w:tabs>
          <w:tab w:leader="none" w:pos="807" w:val="left"/>
        </w:tabs>
        <w:numPr>
          <w:ilvl w:val="0"/>
          <w:numId w:val="38"/>
        </w:numPr>
        <w:rPr>
          <w:rFonts w:ascii="Arial" w:cs="Arial" w:eastAsia="Arial" w:hAnsi="Arial"/>
          <w:sz w:val="14"/>
          <w:szCs w:val="14"/>
          <w:color w:val="auto"/>
        </w:rPr>
      </w:pPr>
      <w:r>
        <w:rPr>
          <w:rFonts w:ascii="Arial" w:cs="Arial" w:eastAsia="Arial" w:hAnsi="Arial"/>
          <w:sz w:val="14"/>
          <w:szCs w:val="14"/>
          <w:color w:val="auto"/>
        </w:rPr>
        <w:t>Adjusted gross profit and adjusted EBITDA are non-GAAP measures. For a reconciliation to the most directly comparable GAAP measures, please see the Appendix to this proxy statement. For these measures, performance is measured from “Target” to “Maximum” on a linear basis excluding incremental additional accruals for Annual Incentive Plan payouts for performance above “Target.”</w:t>
      </w:r>
    </w:p>
    <w:p>
      <w:pPr>
        <w:spacing w:after="0" w:line="64" w:lineRule="exact"/>
        <w:rPr>
          <w:rFonts w:ascii="Arial" w:cs="Arial" w:eastAsia="Arial" w:hAnsi="Arial"/>
          <w:sz w:val="14"/>
          <w:szCs w:val="14"/>
          <w:color w:val="auto"/>
        </w:rPr>
      </w:pPr>
    </w:p>
    <w:p>
      <w:pPr>
        <w:ind w:left="820" w:right="220" w:hanging="320"/>
        <w:spacing w:after="0" w:line="285" w:lineRule="auto"/>
        <w:tabs>
          <w:tab w:leader="none" w:pos="807"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actual percent of target achieved is calculated based on straight-line interpolation between incremental goal levels established between threshold and target and target and maximum.</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56" w:name="page57"/>
    <w:bookmarkEnd w:id="56"/>
    <w:p>
      <w:pPr>
        <w:spacing w:after="0" w:line="95" w:lineRule="exact"/>
        <w:rPr>
          <w:sz w:val="20"/>
          <w:szCs w:val="20"/>
          <w:color w:val="auto"/>
        </w:rPr>
      </w:pPr>
    </w:p>
    <w:p>
      <w:pPr>
        <w:ind w:left="820" w:right="420" w:hanging="320"/>
        <w:spacing w:after="0" w:line="305" w:lineRule="auto"/>
        <w:tabs>
          <w:tab w:leader="none" w:pos="807"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percentage of corporate objectives achieved. Actual payouts to NEOs were adjusted to reflect level of achievement of individual objectives, which ranged from 100% to 200% (which the exception of our CEO, whose payout is entirely based on achievement of corporate objectives).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1F497D"/>
        </w:rPr>
        <w:t>2024 Annual Incentive Plan Payouts</w:t>
      </w:r>
    </w:p>
    <w:p>
      <w:pPr>
        <w:spacing w:after="0" w:line="129" w:lineRule="exact"/>
        <w:rPr>
          <w:sz w:val="20"/>
          <w:szCs w:val="20"/>
          <w:color w:val="auto"/>
        </w:rPr>
      </w:pPr>
    </w:p>
    <w:p>
      <w:pPr>
        <w:jc w:val="both"/>
        <w:ind w:firstLine="401"/>
        <w:spacing w:after="0" w:line="287" w:lineRule="auto"/>
        <w:rPr>
          <w:sz w:val="20"/>
          <w:szCs w:val="20"/>
          <w:color w:val="auto"/>
        </w:rPr>
      </w:pPr>
      <w:r>
        <w:rPr>
          <w:rFonts w:ascii="Arial" w:cs="Arial" w:eastAsia="Arial" w:hAnsi="Arial"/>
          <w:sz w:val="18"/>
          <w:szCs w:val="18"/>
          <w:color w:val="auto"/>
        </w:rPr>
        <w:t>Based on the above performance results, the funding of the Annual Incentive Plan was set at 141.7% of each NEO’s applicable target based on the achievement of corporate objectives and subsequently adjusted based on each NEO’s individual performance (excluding the CEO whose bonus is entirely based on the achievement of corporate objectives). Target bonus opportunities for the 2024 year and payout amounts reflect the weighted average of the target bonus opportunity percentages applicable to each NEO for each applicable period throughout the year. The table below sets forth the actual awards earned by the NEOs in 2024 (and paid in 2025):</w:t>
      </w:r>
    </w:p>
    <w:p>
      <w:pPr>
        <w:spacing w:after="0" w:line="150" w:lineRule="exact"/>
        <w:rPr>
          <w:sz w:val="20"/>
          <w:szCs w:val="20"/>
          <w:color w:val="auto"/>
        </w:rPr>
      </w:pPr>
    </w:p>
    <w:tbl>
      <w:tblPr>
        <w:tblLayout w:type="fixed"/>
        <w:tblInd w:w="1640" w:type="dxa"/>
        <w:tblCellMar>
          <w:top w:w="0" w:type="dxa"/>
          <w:left w:w="0" w:type="dxa"/>
          <w:bottom w:w="0" w:type="dxa"/>
          <w:right w:w="0" w:type="dxa"/>
        </w:tblCellMar>
      </w:tblPr>
      <w:tr>
        <w:trPr>
          <w:trHeight w:val="184"/>
        </w:trPr>
        <w:tc>
          <w:tcPr>
            <w:tcW w:w="10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2024</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2024 Target</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Corporate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Individual</w:t>
            </w:r>
          </w:p>
        </w:tc>
        <w:tc>
          <w:tcPr>
            <w:tcW w:w="112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Payout</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Payout as</w:t>
            </w:r>
          </w:p>
        </w:tc>
        <w:tc>
          <w:tcPr>
            <w:tcW w:w="0" w:type="dxa"/>
            <w:vAlign w:val="bottom"/>
          </w:tcPr>
          <w:p>
            <w:pPr>
              <w:spacing w:after="0"/>
              <w:rPr>
                <w:sz w:val="1"/>
                <w:szCs w:val="1"/>
                <w:color w:val="auto"/>
              </w:rPr>
            </w:pPr>
          </w:p>
        </w:tc>
      </w:tr>
      <w:tr>
        <w:trPr>
          <w:trHeight w:val="111"/>
        </w:trPr>
        <w:tc>
          <w:tcPr>
            <w:tcW w:w="1080" w:type="dxa"/>
            <w:vAlign w:val="bottom"/>
          </w:tcPr>
          <w:p>
            <w:pPr>
              <w:spacing w:after="0"/>
              <w:rPr>
                <w:sz w:val="9"/>
                <w:szCs w:val="9"/>
                <w:color w:val="auto"/>
              </w:rPr>
            </w:pPr>
          </w:p>
        </w:tc>
        <w:tc>
          <w:tcPr>
            <w:tcW w:w="800" w:type="dxa"/>
            <w:vAlign w:val="bottom"/>
            <w:vMerge w:val="restart"/>
          </w:tcPr>
          <w:p>
            <w:pPr>
              <w:ind w:left="120"/>
              <w:spacing w:after="0" w:line="162" w:lineRule="exact"/>
              <w:rPr>
                <w:sz w:val="20"/>
                <w:szCs w:val="20"/>
                <w:color w:val="auto"/>
              </w:rPr>
            </w:pPr>
            <w:r>
              <w:rPr>
                <w:rFonts w:ascii="Arial" w:cs="Arial" w:eastAsia="Arial" w:hAnsi="Arial"/>
                <w:sz w:val="16"/>
                <w:szCs w:val="16"/>
                <w:b w:val="1"/>
                <w:bCs w:val="1"/>
                <w:color w:val="auto"/>
              </w:rPr>
              <w:t>Bonus</w:t>
            </w:r>
          </w:p>
        </w:tc>
        <w:tc>
          <w:tcPr>
            <w:tcW w:w="130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Bonus</w:t>
            </w:r>
          </w:p>
        </w:tc>
        <w:tc>
          <w:tcPr>
            <w:tcW w:w="138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Performance</w:t>
            </w:r>
          </w:p>
        </w:tc>
        <w:tc>
          <w:tcPr>
            <w:tcW w:w="138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Performance</w:t>
            </w:r>
          </w:p>
        </w:tc>
        <w:tc>
          <w:tcPr>
            <w:tcW w:w="1120" w:type="dxa"/>
            <w:vAlign w:val="bottom"/>
            <w:vMerge w:val="continue"/>
          </w:tcPr>
          <w:p>
            <w:pPr>
              <w:spacing w:after="0"/>
              <w:rPr>
                <w:sz w:val="9"/>
                <w:szCs w:val="9"/>
                <w:color w:val="auto"/>
              </w:rPr>
            </w:pPr>
          </w:p>
        </w:tc>
        <w:tc>
          <w:tcPr>
            <w:tcW w:w="90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9"/>
              </w:rPr>
              <w:t>Percent of</w:t>
            </w:r>
          </w:p>
        </w:tc>
        <w:tc>
          <w:tcPr>
            <w:tcW w:w="0" w:type="dxa"/>
            <w:vAlign w:val="bottom"/>
          </w:tcPr>
          <w:p>
            <w:pPr>
              <w:spacing w:after="0"/>
              <w:rPr>
                <w:sz w:val="1"/>
                <w:szCs w:val="1"/>
                <w:color w:val="auto"/>
              </w:rPr>
            </w:pPr>
          </w:p>
        </w:tc>
      </w:tr>
      <w:tr>
        <w:trPr>
          <w:trHeight w:val="51"/>
        </w:trPr>
        <w:tc>
          <w:tcPr>
            <w:tcW w:w="10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120" w:type="dxa"/>
            <w:vAlign w:val="bottom"/>
            <w:vMerge w:val="restart"/>
          </w:tcPr>
          <w:p>
            <w:pPr>
              <w:ind w:left="140"/>
              <w:spacing w:after="0" w:line="213" w:lineRule="exact"/>
              <w:rPr>
                <w:sz w:val="20"/>
                <w:szCs w:val="20"/>
                <w:color w:val="auto"/>
              </w:rPr>
            </w:pPr>
            <w:r>
              <w:rPr>
                <w:rFonts w:ascii="Arial" w:cs="Arial" w:eastAsia="Arial" w:hAnsi="Arial"/>
                <w:sz w:val="16"/>
                <w:szCs w:val="16"/>
                <w:b w:val="1"/>
                <w:bCs w:val="1"/>
                <w:color w:val="auto"/>
              </w:rPr>
              <w:t>Amount</w:t>
            </w:r>
            <w:r>
              <w:rPr>
                <w:rFonts w:ascii="Arial" w:cs="Arial" w:eastAsia="Arial" w:hAnsi="Arial"/>
                <w:sz w:val="21"/>
                <w:szCs w:val="21"/>
                <w:b w:val="1"/>
                <w:bCs w:val="1"/>
                <w:color w:val="auto"/>
                <w:vertAlign w:val="superscript"/>
              </w:rPr>
              <w:t>(1)</w:t>
            </w: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08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Name</w:t>
            </w:r>
          </w:p>
        </w:tc>
        <w:tc>
          <w:tcPr>
            <w:tcW w:w="800" w:type="dxa"/>
            <w:vAlign w:val="bottom"/>
          </w:tcPr>
          <w:p>
            <w:pPr>
              <w:ind w:left="140"/>
              <w:spacing w:after="0" w:line="162" w:lineRule="exact"/>
              <w:rPr>
                <w:sz w:val="20"/>
                <w:szCs w:val="20"/>
                <w:color w:val="auto"/>
              </w:rPr>
            </w:pPr>
            <w:r>
              <w:rPr>
                <w:rFonts w:ascii="Arial" w:cs="Arial" w:eastAsia="Arial" w:hAnsi="Arial"/>
                <w:sz w:val="16"/>
                <w:szCs w:val="16"/>
                <w:b w:val="1"/>
                <w:bCs w:val="1"/>
                <w:color w:val="auto"/>
              </w:rPr>
              <w:t>Target</w:t>
            </w:r>
          </w:p>
        </w:tc>
        <w:tc>
          <w:tcPr>
            <w:tcW w:w="13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Opportunity</w:t>
            </w: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Results</w:t>
            </w: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Results</w:t>
            </w:r>
          </w:p>
        </w:tc>
        <w:tc>
          <w:tcPr>
            <w:tcW w:w="1120" w:type="dxa"/>
            <w:vAlign w:val="bottom"/>
            <w:vMerge w:val="continue"/>
          </w:tcPr>
          <w:p>
            <w:pPr>
              <w:spacing w:after="0"/>
              <w:rPr>
                <w:sz w:val="14"/>
                <w:szCs w:val="14"/>
                <w:color w:val="auto"/>
              </w:rPr>
            </w:pPr>
          </w:p>
        </w:tc>
        <w:tc>
          <w:tcPr>
            <w:tcW w:w="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8"/>
              </w:rPr>
              <w:t>Target</w:t>
            </w:r>
          </w:p>
        </w:tc>
        <w:tc>
          <w:tcPr>
            <w:tcW w:w="0" w:type="dxa"/>
            <w:vAlign w:val="bottom"/>
          </w:tcPr>
          <w:p>
            <w:pPr>
              <w:spacing w:after="0"/>
              <w:rPr>
                <w:sz w:val="1"/>
                <w:szCs w:val="1"/>
                <w:color w:val="auto"/>
              </w:rPr>
            </w:pPr>
          </w:p>
        </w:tc>
      </w:tr>
      <w:tr>
        <w:trPr>
          <w:trHeight w:val="216"/>
        </w:trPr>
        <w:tc>
          <w:tcPr>
            <w:tcW w:w="108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09"/>
        </w:trPr>
        <w:tc>
          <w:tcPr>
            <w:tcW w:w="1080" w:type="dxa"/>
            <w:vAlign w:val="bottom"/>
            <w:tcBorders>
              <w:bottom w:val="single" w:sz="8" w:color="DBE5F1"/>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John Kao</w:t>
            </w:r>
          </w:p>
        </w:tc>
        <w:tc>
          <w:tcPr>
            <w:tcW w:w="80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w w:val="97"/>
              </w:rPr>
              <w:t>120</w:t>
            </w:r>
          </w:p>
        </w:tc>
        <w:tc>
          <w:tcPr>
            <w:tcW w:w="130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943,770</w:t>
            </w:r>
          </w:p>
        </w:tc>
        <w:tc>
          <w:tcPr>
            <w:tcW w:w="138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w w:val="99"/>
              </w:rPr>
              <w:t>141.7</w:t>
            </w:r>
          </w:p>
        </w:tc>
        <w:tc>
          <w:tcPr>
            <w:tcW w:w="138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w w:val="98"/>
              </w:rPr>
              <w:t>n/a</w:t>
            </w:r>
          </w:p>
        </w:tc>
        <w:tc>
          <w:tcPr>
            <w:tcW w:w="112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1,337,223</w:t>
            </w:r>
          </w:p>
        </w:tc>
        <w:tc>
          <w:tcPr>
            <w:tcW w:w="90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6"/>
                <w:szCs w:val="16"/>
                <w:color w:val="auto"/>
                <w:w w:val="99"/>
              </w:rPr>
              <w:t>141.7</w:t>
            </w:r>
          </w:p>
        </w:tc>
        <w:tc>
          <w:tcPr>
            <w:tcW w:w="0" w:type="dxa"/>
            <w:vAlign w:val="bottom"/>
          </w:tcPr>
          <w:p>
            <w:pPr>
              <w:spacing w:after="0"/>
              <w:rPr>
                <w:sz w:val="1"/>
                <w:szCs w:val="1"/>
                <w:color w:val="auto"/>
              </w:rPr>
            </w:pPr>
          </w:p>
        </w:tc>
      </w:tr>
      <w:tr>
        <w:trPr>
          <w:trHeight w:val="209"/>
        </w:trPr>
        <w:tc>
          <w:tcPr>
            <w:tcW w:w="1080" w:type="dxa"/>
            <w:vAlign w:val="bottom"/>
            <w:tcBorders>
              <w:top w:val="single" w:sz="8" w:color="95B3D7"/>
              <w:right w:val="single" w:sz="8" w:color="95B3D7"/>
            </w:tcBorders>
          </w:tcPr>
          <w:p>
            <w:pPr>
              <w:ind w:left="60"/>
              <w:spacing w:after="0"/>
              <w:rPr>
                <w:sz w:val="20"/>
                <w:szCs w:val="20"/>
                <w:color w:val="auto"/>
              </w:rPr>
            </w:pPr>
            <w:r>
              <w:rPr>
                <w:rFonts w:ascii="Arial" w:cs="Arial" w:eastAsia="Arial" w:hAnsi="Arial"/>
                <w:sz w:val="16"/>
                <w:szCs w:val="16"/>
                <w:color w:val="auto"/>
              </w:rPr>
              <w:t>Thomas</w:t>
            </w:r>
          </w:p>
        </w:tc>
        <w:tc>
          <w:tcPr>
            <w:tcW w:w="800" w:type="dxa"/>
            <w:vAlign w:val="bottom"/>
            <w:tcBorders>
              <w:top w:val="single" w:sz="8" w:color="95B3D7"/>
              <w:right w:val="single" w:sz="8" w:color="95B3D7"/>
            </w:tcBorders>
            <w:vMerge w:val="restart"/>
          </w:tcPr>
          <w:p>
            <w:pPr>
              <w:jc w:val="center"/>
              <w:spacing w:after="0"/>
              <w:rPr>
                <w:sz w:val="20"/>
                <w:szCs w:val="20"/>
                <w:color w:val="auto"/>
              </w:rPr>
            </w:pPr>
            <w:r>
              <w:rPr>
                <w:rFonts w:ascii="Arial" w:cs="Arial" w:eastAsia="Arial" w:hAnsi="Arial"/>
                <w:sz w:val="16"/>
                <w:szCs w:val="16"/>
                <w:color w:val="auto"/>
              </w:rPr>
              <w:t>85</w:t>
            </w:r>
          </w:p>
        </w:tc>
        <w:tc>
          <w:tcPr>
            <w:tcW w:w="1300" w:type="dxa"/>
            <w:vAlign w:val="bottom"/>
            <w:tcBorders>
              <w:top w:val="single" w:sz="8" w:color="95B3D7"/>
              <w:right w:val="single" w:sz="8" w:color="95B3D7"/>
            </w:tcBorders>
            <w:vMerge w:val="restart"/>
          </w:tcPr>
          <w:p>
            <w:pPr>
              <w:jc w:val="center"/>
              <w:spacing w:after="0"/>
              <w:rPr>
                <w:sz w:val="20"/>
                <w:szCs w:val="20"/>
                <w:color w:val="auto"/>
              </w:rPr>
            </w:pPr>
            <w:r>
              <w:rPr>
                <w:rFonts w:ascii="Arial" w:cs="Arial" w:eastAsia="Arial" w:hAnsi="Arial"/>
                <w:sz w:val="16"/>
                <w:szCs w:val="16"/>
                <w:color w:val="auto"/>
              </w:rPr>
              <w:t>481,885</w:t>
            </w:r>
          </w:p>
        </w:tc>
        <w:tc>
          <w:tcPr>
            <w:tcW w:w="1380" w:type="dxa"/>
            <w:vAlign w:val="bottom"/>
            <w:tcBorders>
              <w:top w:val="single" w:sz="8" w:color="95B3D7"/>
              <w:right w:val="single" w:sz="8" w:color="95B3D7"/>
            </w:tcBorders>
            <w:vMerge w:val="restart"/>
          </w:tcPr>
          <w:p>
            <w:pPr>
              <w:jc w:val="center"/>
              <w:spacing w:after="0"/>
              <w:rPr>
                <w:sz w:val="20"/>
                <w:szCs w:val="20"/>
                <w:color w:val="auto"/>
              </w:rPr>
            </w:pPr>
            <w:r>
              <w:rPr>
                <w:rFonts w:ascii="Arial" w:cs="Arial" w:eastAsia="Arial" w:hAnsi="Arial"/>
                <w:sz w:val="16"/>
                <w:szCs w:val="16"/>
                <w:color w:val="auto"/>
                <w:w w:val="99"/>
              </w:rPr>
              <w:t>141.7</w:t>
            </w:r>
          </w:p>
        </w:tc>
        <w:tc>
          <w:tcPr>
            <w:tcW w:w="1380" w:type="dxa"/>
            <w:vAlign w:val="bottom"/>
            <w:tcBorders>
              <w:top w:val="single" w:sz="8" w:color="95B3D7"/>
              <w:right w:val="single" w:sz="8" w:color="95B3D7"/>
            </w:tcBorders>
            <w:vMerge w:val="restart"/>
          </w:tcPr>
          <w:p>
            <w:pPr>
              <w:jc w:val="center"/>
              <w:spacing w:after="0"/>
              <w:rPr>
                <w:sz w:val="20"/>
                <w:szCs w:val="20"/>
                <w:color w:val="auto"/>
              </w:rPr>
            </w:pPr>
            <w:r>
              <w:rPr>
                <w:rFonts w:ascii="Arial" w:cs="Arial" w:eastAsia="Arial" w:hAnsi="Arial"/>
                <w:sz w:val="16"/>
                <w:szCs w:val="16"/>
                <w:color w:val="auto"/>
                <w:w w:val="99"/>
              </w:rPr>
              <w:t>140.0</w:t>
            </w:r>
          </w:p>
        </w:tc>
        <w:tc>
          <w:tcPr>
            <w:tcW w:w="1120" w:type="dxa"/>
            <w:vAlign w:val="bottom"/>
            <w:tcBorders>
              <w:top w:val="single" w:sz="8" w:color="95B3D7"/>
              <w:right w:val="single" w:sz="8" w:color="95B3D7"/>
            </w:tcBorders>
            <w:vMerge w:val="restart"/>
          </w:tcPr>
          <w:p>
            <w:pPr>
              <w:jc w:val="center"/>
              <w:spacing w:after="0"/>
              <w:rPr>
                <w:sz w:val="20"/>
                <w:szCs w:val="20"/>
                <w:color w:val="auto"/>
              </w:rPr>
            </w:pPr>
            <w:r>
              <w:rPr>
                <w:rFonts w:ascii="Arial" w:cs="Arial" w:eastAsia="Arial" w:hAnsi="Arial"/>
                <w:sz w:val="16"/>
                <w:szCs w:val="16"/>
                <w:color w:val="auto"/>
              </w:rPr>
              <w:t>680,783</w:t>
            </w:r>
          </w:p>
        </w:tc>
        <w:tc>
          <w:tcPr>
            <w:tcW w:w="900" w:type="dxa"/>
            <w:vAlign w:val="bottom"/>
            <w:tcBorders>
              <w:top w:val="single" w:sz="8" w:color="95B3D7"/>
            </w:tcBorders>
            <w:vMerge w:val="restart"/>
          </w:tcPr>
          <w:p>
            <w:pPr>
              <w:jc w:val="center"/>
              <w:spacing w:after="0"/>
              <w:rPr>
                <w:sz w:val="20"/>
                <w:szCs w:val="20"/>
                <w:color w:val="auto"/>
              </w:rPr>
            </w:pPr>
            <w:r>
              <w:rPr>
                <w:rFonts w:ascii="Arial" w:cs="Arial" w:eastAsia="Arial" w:hAnsi="Arial"/>
                <w:sz w:val="16"/>
                <w:szCs w:val="16"/>
                <w:color w:val="auto"/>
                <w:w w:val="99"/>
              </w:rPr>
              <w:t>141.3</w:t>
            </w:r>
          </w:p>
        </w:tc>
        <w:tc>
          <w:tcPr>
            <w:tcW w:w="0" w:type="dxa"/>
            <w:vAlign w:val="bottom"/>
          </w:tcPr>
          <w:p>
            <w:pPr>
              <w:spacing w:after="0"/>
              <w:rPr>
                <w:sz w:val="1"/>
                <w:szCs w:val="1"/>
                <w:color w:val="auto"/>
              </w:rPr>
            </w:pPr>
          </w:p>
        </w:tc>
      </w:tr>
      <w:tr>
        <w:trPr>
          <w:trHeight w:val="120"/>
        </w:trPr>
        <w:tc>
          <w:tcPr>
            <w:tcW w:w="1080" w:type="dxa"/>
            <w:vAlign w:val="bottom"/>
            <w:tcBorders>
              <w:right w:val="single" w:sz="8" w:color="95B3D7"/>
            </w:tcBorders>
            <w:vMerge w:val="restart"/>
          </w:tcPr>
          <w:p>
            <w:pPr>
              <w:ind w:left="60"/>
              <w:spacing w:after="0"/>
              <w:rPr>
                <w:sz w:val="20"/>
                <w:szCs w:val="20"/>
                <w:color w:val="auto"/>
              </w:rPr>
            </w:pPr>
            <w:r>
              <w:rPr>
                <w:rFonts w:ascii="Arial" w:cs="Arial" w:eastAsia="Arial" w:hAnsi="Arial"/>
                <w:sz w:val="16"/>
                <w:szCs w:val="16"/>
                <w:color w:val="auto"/>
              </w:rPr>
              <w:t>Freeman</w:t>
            </w:r>
          </w:p>
        </w:tc>
        <w:tc>
          <w:tcPr>
            <w:tcW w:w="800" w:type="dxa"/>
            <w:vAlign w:val="bottom"/>
            <w:tcBorders>
              <w:right w:val="single" w:sz="8" w:color="95B3D7"/>
            </w:tcBorders>
            <w:vMerge w:val="continue"/>
          </w:tcPr>
          <w:p>
            <w:pPr>
              <w:spacing w:after="0"/>
              <w:rPr>
                <w:sz w:val="10"/>
                <w:szCs w:val="10"/>
                <w:color w:val="auto"/>
              </w:rPr>
            </w:pPr>
          </w:p>
        </w:tc>
        <w:tc>
          <w:tcPr>
            <w:tcW w:w="1300" w:type="dxa"/>
            <w:vAlign w:val="bottom"/>
            <w:tcBorders>
              <w:right w:val="single" w:sz="8" w:color="95B3D7"/>
            </w:tcBorders>
            <w:vMerge w:val="continue"/>
          </w:tcPr>
          <w:p>
            <w:pPr>
              <w:spacing w:after="0"/>
              <w:rPr>
                <w:sz w:val="10"/>
                <w:szCs w:val="10"/>
                <w:color w:val="auto"/>
              </w:rPr>
            </w:pPr>
          </w:p>
        </w:tc>
        <w:tc>
          <w:tcPr>
            <w:tcW w:w="1380" w:type="dxa"/>
            <w:vAlign w:val="bottom"/>
            <w:tcBorders>
              <w:right w:val="single" w:sz="8" w:color="95B3D7"/>
            </w:tcBorders>
            <w:vMerge w:val="continue"/>
          </w:tcPr>
          <w:p>
            <w:pPr>
              <w:spacing w:after="0"/>
              <w:rPr>
                <w:sz w:val="10"/>
                <w:szCs w:val="10"/>
                <w:color w:val="auto"/>
              </w:rPr>
            </w:pPr>
          </w:p>
        </w:tc>
        <w:tc>
          <w:tcPr>
            <w:tcW w:w="1380" w:type="dxa"/>
            <w:vAlign w:val="bottom"/>
            <w:tcBorders>
              <w:right w:val="single" w:sz="8" w:color="95B3D7"/>
            </w:tcBorders>
            <w:vMerge w:val="continue"/>
          </w:tcPr>
          <w:p>
            <w:pPr>
              <w:spacing w:after="0"/>
              <w:rPr>
                <w:sz w:val="10"/>
                <w:szCs w:val="10"/>
                <w:color w:val="auto"/>
              </w:rPr>
            </w:pPr>
          </w:p>
        </w:tc>
        <w:tc>
          <w:tcPr>
            <w:tcW w:w="1120" w:type="dxa"/>
            <w:vAlign w:val="bottom"/>
            <w:tcBorders>
              <w:right w:val="single" w:sz="8" w:color="95B3D7"/>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080" w:type="dxa"/>
            <w:vAlign w:val="bottom"/>
            <w:tcBorders>
              <w:right w:val="single" w:sz="8" w:color="95B3D7"/>
            </w:tcBorders>
            <w:vMerge w:val="continue"/>
          </w:tcPr>
          <w:p>
            <w:pPr>
              <w:spacing w:after="0"/>
              <w:rPr>
                <w:sz w:val="8"/>
                <w:szCs w:val="8"/>
                <w:color w:val="auto"/>
              </w:rPr>
            </w:pPr>
          </w:p>
        </w:tc>
        <w:tc>
          <w:tcPr>
            <w:tcW w:w="800" w:type="dxa"/>
            <w:vAlign w:val="bottom"/>
            <w:tcBorders>
              <w:right w:val="single" w:sz="8" w:color="95B3D7"/>
            </w:tcBorders>
          </w:tcPr>
          <w:p>
            <w:pPr>
              <w:spacing w:after="0"/>
              <w:rPr>
                <w:sz w:val="8"/>
                <w:szCs w:val="8"/>
                <w:color w:val="auto"/>
              </w:rPr>
            </w:pPr>
          </w:p>
        </w:tc>
        <w:tc>
          <w:tcPr>
            <w:tcW w:w="1300" w:type="dxa"/>
            <w:vAlign w:val="bottom"/>
            <w:tcBorders>
              <w:right w:val="single" w:sz="8" w:color="95B3D7"/>
            </w:tcBorders>
          </w:tcPr>
          <w:p>
            <w:pPr>
              <w:spacing w:after="0"/>
              <w:rPr>
                <w:sz w:val="8"/>
                <w:szCs w:val="8"/>
                <w:color w:val="auto"/>
              </w:rPr>
            </w:pPr>
          </w:p>
        </w:tc>
        <w:tc>
          <w:tcPr>
            <w:tcW w:w="1380" w:type="dxa"/>
            <w:vAlign w:val="bottom"/>
            <w:tcBorders>
              <w:right w:val="single" w:sz="8" w:color="95B3D7"/>
            </w:tcBorders>
          </w:tcPr>
          <w:p>
            <w:pPr>
              <w:spacing w:after="0"/>
              <w:rPr>
                <w:sz w:val="8"/>
                <w:szCs w:val="8"/>
                <w:color w:val="auto"/>
              </w:rPr>
            </w:pPr>
          </w:p>
        </w:tc>
        <w:tc>
          <w:tcPr>
            <w:tcW w:w="1380" w:type="dxa"/>
            <w:vAlign w:val="bottom"/>
            <w:tcBorders>
              <w:right w:val="single" w:sz="8" w:color="95B3D7"/>
            </w:tcBorders>
          </w:tcPr>
          <w:p>
            <w:pPr>
              <w:spacing w:after="0"/>
              <w:rPr>
                <w:sz w:val="8"/>
                <w:szCs w:val="8"/>
                <w:color w:val="auto"/>
              </w:rPr>
            </w:pPr>
          </w:p>
        </w:tc>
        <w:tc>
          <w:tcPr>
            <w:tcW w:w="1120" w:type="dxa"/>
            <w:vAlign w:val="bottom"/>
            <w:tcBorders>
              <w:right w:val="single" w:sz="8" w:color="95B3D7"/>
            </w:tcBorders>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080" w:type="dxa"/>
            <w:vAlign w:val="bottom"/>
            <w:tcBorders>
              <w:bottom w:val="single" w:sz="8" w:color="95B3D7"/>
              <w:right w:val="single" w:sz="8" w:color="95B3D7"/>
            </w:tcBorders>
          </w:tcPr>
          <w:p>
            <w:pPr>
              <w:spacing w:after="0"/>
              <w:rPr>
                <w:sz w:val="2"/>
                <w:szCs w:val="2"/>
                <w:color w:val="auto"/>
              </w:rPr>
            </w:pPr>
          </w:p>
        </w:tc>
        <w:tc>
          <w:tcPr>
            <w:tcW w:w="800" w:type="dxa"/>
            <w:vAlign w:val="bottom"/>
            <w:tcBorders>
              <w:bottom w:val="single" w:sz="8" w:color="95B3D7"/>
              <w:right w:val="single" w:sz="8" w:color="95B3D7"/>
            </w:tcBorders>
          </w:tcPr>
          <w:p>
            <w:pPr>
              <w:spacing w:after="0"/>
              <w:rPr>
                <w:sz w:val="2"/>
                <w:szCs w:val="2"/>
                <w:color w:val="auto"/>
              </w:rPr>
            </w:pPr>
          </w:p>
        </w:tc>
        <w:tc>
          <w:tcPr>
            <w:tcW w:w="1300" w:type="dxa"/>
            <w:vAlign w:val="bottom"/>
            <w:tcBorders>
              <w:bottom w:val="single" w:sz="8" w:color="95B3D7"/>
              <w:right w:val="single" w:sz="8" w:color="95B3D7"/>
            </w:tcBorders>
          </w:tcPr>
          <w:p>
            <w:pPr>
              <w:spacing w:after="0"/>
              <w:rPr>
                <w:sz w:val="2"/>
                <w:szCs w:val="2"/>
                <w:color w:val="auto"/>
              </w:rPr>
            </w:pPr>
          </w:p>
        </w:tc>
        <w:tc>
          <w:tcPr>
            <w:tcW w:w="1380" w:type="dxa"/>
            <w:vAlign w:val="bottom"/>
            <w:tcBorders>
              <w:bottom w:val="single" w:sz="8" w:color="95B3D7"/>
              <w:right w:val="single" w:sz="8" w:color="95B3D7"/>
            </w:tcBorders>
          </w:tcPr>
          <w:p>
            <w:pPr>
              <w:spacing w:after="0"/>
              <w:rPr>
                <w:sz w:val="2"/>
                <w:szCs w:val="2"/>
                <w:color w:val="auto"/>
              </w:rPr>
            </w:pPr>
          </w:p>
        </w:tc>
        <w:tc>
          <w:tcPr>
            <w:tcW w:w="1380" w:type="dxa"/>
            <w:vAlign w:val="bottom"/>
            <w:tcBorders>
              <w:bottom w:val="single" w:sz="8" w:color="95B3D7"/>
              <w:right w:val="single" w:sz="8" w:color="95B3D7"/>
            </w:tcBorders>
          </w:tcPr>
          <w:p>
            <w:pPr>
              <w:spacing w:after="0"/>
              <w:rPr>
                <w:sz w:val="2"/>
                <w:szCs w:val="2"/>
                <w:color w:val="auto"/>
              </w:rPr>
            </w:pPr>
          </w:p>
        </w:tc>
        <w:tc>
          <w:tcPr>
            <w:tcW w:w="1120" w:type="dxa"/>
            <w:vAlign w:val="bottom"/>
            <w:tcBorders>
              <w:bottom w:val="single" w:sz="8" w:color="95B3D7"/>
              <w:right w:val="single" w:sz="8" w:color="95B3D7"/>
            </w:tcBorders>
          </w:tcPr>
          <w:p>
            <w:pPr>
              <w:spacing w:after="0"/>
              <w:rPr>
                <w:sz w:val="2"/>
                <w:szCs w:val="2"/>
                <w:color w:val="auto"/>
              </w:rPr>
            </w:pPr>
          </w:p>
        </w:tc>
        <w:tc>
          <w:tcPr>
            <w:tcW w:w="900" w:type="dxa"/>
            <w:vAlign w:val="bottom"/>
            <w:tcBorders>
              <w:bottom w:val="single" w:sz="8" w:color="95B3D7"/>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08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Dawn</w:t>
            </w:r>
          </w:p>
        </w:tc>
        <w:tc>
          <w:tcPr>
            <w:tcW w:w="800" w:type="dxa"/>
            <w:vAlign w:val="bottom"/>
            <w:tcBorders>
              <w:right w:val="single" w:sz="8" w:color="95B3D7"/>
            </w:tcBorders>
            <w:vMerge w:val="restart"/>
            <w:shd w:val="clear" w:color="auto" w:fill="DBE5F1"/>
          </w:tcPr>
          <w:p>
            <w:pPr>
              <w:jc w:val="center"/>
              <w:spacing w:after="0"/>
              <w:rPr>
                <w:sz w:val="20"/>
                <w:szCs w:val="20"/>
                <w:color w:val="auto"/>
              </w:rPr>
            </w:pPr>
            <w:r>
              <w:rPr>
                <w:rFonts w:ascii="Arial" w:cs="Arial" w:eastAsia="Arial" w:hAnsi="Arial"/>
                <w:sz w:val="16"/>
                <w:szCs w:val="16"/>
                <w:color w:val="auto"/>
              </w:rPr>
              <w:t>85</w:t>
            </w:r>
          </w:p>
        </w:tc>
        <w:tc>
          <w:tcPr>
            <w:tcW w:w="1300" w:type="dxa"/>
            <w:vAlign w:val="bottom"/>
            <w:tcBorders>
              <w:right w:val="single" w:sz="8" w:color="95B3D7"/>
            </w:tcBorders>
            <w:vMerge w:val="restart"/>
            <w:shd w:val="clear" w:color="auto" w:fill="DBE5F1"/>
          </w:tcPr>
          <w:p>
            <w:pPr>
              <w:jc w:val="center"/>
              <w:spacing w:after="0"/>
              <w:rPr>
                <w:sz w:val="20"/>
                <w:szCs w:val="20"/>
                <w:color w:val="auto"/>
              </w:rPr>
            </w:pPr>
            <w:r>
              <w:rPr>
                <w:rFonts w:ascii="Arial" w:cs="Arial" w:eastAsia="Arial" w:hAnsi="Arial"/>
                <w:sz w:val="16"/>
                <w:szCs w:val="16"/>
                <w:color w:val="auto"/>
              </w:rPr>
              <w:t>487,770</w:t>
            </w:r>
          </w:p>
        </w:tc>
        <w:tc>
          <w:tcPr>
            <w:tcW w:w="1380" w:type="dxa"/>
            <w:vAlign w:val="bottom"/>
            <w:tcBorders>
              <w:right w:val="single" w:sz="8" w:color="95B3D7"/>
            </w:tcBorders>
            <w:vMerge w:val="restart"/>
            <w:shd w:val="clear" w:color="auto" w:fill="DBE5F1"/>
          </w:tcPr>
          <w:p>
            <w:pPr>
              <w:jc w:val="center"/>
              <w:spacing w:after="0"/>
              <w:rPr>
                <w:sz w:val="20"/>
                <w:szCs w:val="20"/>
                <w:color w:val="auto"/>
              </w:rPr>
            </w:pPr>
            <w:r>
              <w:rPr>
                <w:rFonts w:ascii="Arial" w:cs="Arial" w:eastAsia="Arial" w:hAnsi="Arial"/>
                <w:sz w:val="16"/>
                <w:szCs w:val="16"/>
                <w:color w:val="auto"/>
                <w:w w:val="99"/>
              </w:rPr>
              <w:t>141.7</w:t>
            </w:r>
          </w:p>
        </w:tc>
        <w:tc>
          <w:tcPr>
            <w:tcW w:w="1380" w:type="dxa"/>
            <w:vAlign w:val="bottom"/>
            <w:tcBorders>
              <w:right w:val="single" w:sz="8" w:color="95B3D7"/>
            </w:tcBorders>
            <w:vMerge w:val="restart"/>
            <w:shd w:val="clear" w:color="auto" w:fill="DBE5F1"/>
          </w:tcPr>
          <w:p>
            <w:pPr>
              <w:jc w:val="center"/>
              <w:spacing w:after="0"/>
              <w:rPr>
                <w:sz w:val="20"/>
                <w:szCs w:val="20"/>
                <w:color w:val="auto"/>
              </w:rPr>
            </w:pPr>
            <w:r>
              <w:rPr>
                <w:rFonts w:ascii="Arial" w:cs="Arial" w:eastAsia="Arial" w:hAnsi="Arial"/>
                <w:sz w:val="16"/>
                <w:szCs w:val="16"/>
                <w:color w:val="auto"/>
                <w:w w:val="99"/>
              </w:rPr>
              <w:t>155.0</w:t>
            </w:r>
          </w:p>
        </w:tc>
        <w:tc>
          <w:tcPr>
            <w:tcW w:w="1120" w:type="dxa"/>
            <w:vAlign w:val="bottom"/>
            <w:tcBorders>
              <w:right w:val="single" w:sz="8" w:color="95B3D7"/>
            </w:tcBorders>
            <w:vMerge w:val="restart"/>
            <w:shd w:val="clear" w:color="auto" w:fill="DBE5F1"/>
          </w:tcPr>
          <w:p>
            <w:pPr>
              <w:jc w:val="center"/>
              <w:spacing w:after="0"/>
              <w:rPr>
                <w:sz w:val="20"/>
                <w:szCs w:val="20"/>
                <w:color w:val="auto"/>
              </w:rPr>
            </w:pPr>
            <w:r>
              <w:rPr>
                <w:rFonts w:ascii="Arial" w:cs="Arial" w:eastAsia="Arial" w:hAnsi="Arial"/>
                <w:sz w:val="16"/>
                <w:szCs w:val="16"/>
                <w:color w:val="auto"/>
              </w:rPr>
              <w:t>707,388</w:t>
            </w:r>
          </w:p>
        </w:tc>
        <w:tc>
          <w:tcPr>
            <w:tcW w:w="900" w:type="dxa"/>
            <w:vAlign w:val="bottom"/>
            <w:vMerge w:val="restart"/>
            <w:shd w:val="clear" w:color="auto" w:fill="DBE5F1"/>
          </w:tcPr>
          <w:p>
            <w:pPr>
              <w:jc w:val="center"/>
              <w:spacing w:after="0"/>
              <w:rPr>
                <w:sz w:val="20"/>
                <w:szCs w:val="20"/>
                <w:color w:val="auto"/>
              </w:rPr>
            </w:pPr>
            <w:r>
              <w:rPr>
                <w:rFonts w:ascii="Arial" w:cs="Arial" w:eastAsia="Arial" w:hAnsi="Arial"/>
                <w:sz w:val="16"/>
                <w:szCs w:val="16"/>
                <w:color w:val="auto"/>
                <w:w w:val="99"/>
              </w:rPr>
              <w:t>145.0</w:t>
            </w:r>
          </w:p>
        </w:tc>
        <w:tc>
          <w:tcPr>
            <w:tcW w:w="0" w:type="dxa"/>
            <w:vAlign w:val="bottom"/>
          </w:tcPr>
          <w:p>
            <w:pPr>
              <w:spacing w:after="0"/>
              <w:rPr>
                <w:sz w:val="1"/>
                <w:szCs w:val="1"/>
                <w:color w:val="auto"/>
              </w:rPr>
            </w:pPr>
          </w:p>
        </w:tc>
      </w:tr>
      <w:tr>
        <w:trPr>
          <w:trHeight w:val="120"/>
        </w:trPr>
        <w:tc>
          <w:tcPr>
            <w:tcW w:w="1080" w:type="dxa"/>
            <w:vAlign w:val="bottom"/>
            <w:tcBorders>
              <w:right w:val="single" w:sz="8" w:color="95B3D7"/>
            </w:tcBorders>
            <w:vMerge w:val="restart"/>
            <w:shd w:val="clear" w:color="auto" w:fill="DBE5F1"/>
          </w:tcPr>
          <w:p>
            <w:pPr>
              <w:ind w:left="60"/>
              <w:spacing w:after="0"/>
              <w:rPr>
                <w:sz w:val="20"/>
                <w:szCs w:val="20"/>
                <w:color w:val="auto"/>
              </w:rPr>
            </w:pPr>
            <w:r>
              <w:rPr>
                <w:rFonts w:ascii="Arial" w:cs="Arial" w:eastAsia="Arial" w:hAnsi="Arial"/>
                <w:sz w:val="16"/>
                <w:szCs w:val="16"/>
                <w:color w:val="auto"/>
              </w:rPr>
              <w:t>Maroney</w:t>
            </w:r>
          </w:p>
        </w:tc>
        <w:tc>
          <w:tcPr>
            <w:tcW w:w="800" w:type="dxa"/>
            <w:vAlign w:val="bottom"/>
            <w:tcBorders>
              <w:right w:val="single" w:sz="8" w:color="95B3D7"/>
            </w:tcBorders>
            <w:vMerge w:val="continue"/>
            <w:shd w:val="clear" w:color="auto" w:fill="DBE5F1"/>
          </w:tcPr>
          <w:p>
            <w:pPr>
              <w:spacing w:after="0"/>
              <w:rPr>
                <w:sz w:val="10"/>
                <w:szCs w:val="10"/>
                <w:color w:val="auto"/>
              </w:rPr>
            </w:pPr>
          </w:p>
        </w:tc>
        <w:tc>
          <w:tcPr>
            <w:tcW w:w="1300" w:type="dxa"/>
            <w:vAlign w:val="bottom"/>
            <w:tcBorders>
              <w:right w:val="single" w:sz="8" w:color="95B3D7"/>
            </w:tcBorders>
            <w:vMerge w:val="continue"/>
            <w:shd w:val="clear" w:color="auto" w:fill="DBE5F1"/>
          </w:tcPr>
          <w:p>
            <w:pPr>
              <w:spacing w:after="0"/>
              <w:rPr>
                <w:sz w:val="10"/>
                <w:szCs w:val="10"/>
                <w:color w:val="auto"/>
              </w:rPr>
            </w:pPr>
          </w:p>
        </w:tc>
        <w:tc>
          <w:tcPr>
            <w:tcW w:w="1380" w:type="dxa"/>
            <w:vAlign w:val="bottom"/>
            <w:tcBorders>
              <w:right w:val="single" w:sz="8" w:color="95B3D7"/>
            </w:tcBorders>
            <w:vMerge w:val="continue"/>
            <w:shd w:val="clear" w:color="auto" w:fill="DBE5F1"/>
          </w:tcPr>
          <w:p>
            <w:pPr>
              <w:spacing w:after="0"/>
              <w:rPr>
                <w:sz w:val="10"/>
                <w:szCs w:val="10"/>
                <w:color w:val="auto"/>
              </w:rPr>
            </w:pPr>
          </w:p>
        </w:tc>
        <w:tc>
          <w:tcPr>
            <w:tcW w:w="1380" w:type="dxa"/>
            <w:vAlign w:val="bottom"/>
            <w:tcBorders>
              <w:right w:val="single" w:sz="8" w:color="95B3D7"/>
            </w:tcBorders>
            <w:vMerge w:val="continue"/>
            <w:shd w:val="clear" w:color="auto" w:fill="DBE5F1"/>
          </w:tcPr>
          <w:p>
            <w:pPr>
              <w:spacing w:after="0"/>
              <w:rPr>
                <w:sz w:val="10"/>
                <w:szCs w:val="10"/>
                <w:color w:val="auto"/>
              </w:rPr>
            </w:pPr>
          </w:p>
        </w:tc>
        <w:tc>
          <w:tcPr>
            <w:tcW w:w="1120" w:type="dxa"/>
            <w:vAlign w:val="bottom"/>
            <w:tcBorders>
              <w:right w:val="single" w:sz="8" w:color="95B3D7"/>
            </w:tcBorders>
            <w:vMerge w:val="continue"/>
            <w:shd w:val="clear" w:color="auto" w:fill="DBE5F1"/>
          </w:tcPr>
          <w:p>
            <w:pPr>
              <w:spacing w:after="0"/>
              <w:rPr>
                <w:sz w:val="10"/>
                <w:szCs w:val="10"/>
                <w:color w:val="auto"/>
              </w:rPr>
            </w:pPr>
          </w:p>
        </w:tc>
        <w:tc>
          <w:tcPr>
            <w:tcW w:w="900" w:type="dxa"/>
            <w:vAlign w:val="bottom"/>
            <w:vMerge w:val="continue"/>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080" w:type="dxa"/>
            <w:vAlign w:val="bottom"/>
            <w:tcBorders>
              <w:bottom w:val="single" w:sz="8" w:color="DBE5F1"/>
              <w:right w:val="single" w:sz="8" w:color="95B3D7"/>
            </w:tcBorders>
            <w:vMerge w:val="continue"/>
            <w:shd w:val="clear" w:color="auto" w:fill="DBE5F1"/>
          </w:tcPr>
          <w:p>
            <w:pPr>
              <w:spacing w:after="0"/>
              <w:rPr>
                <w:sz w:val="10"/>
                <w:szCs w:val="10"/>
                <w:color w:val="auto"/>
              </w:rPr>
            </w:pPr>
          </w:p>
        </w:tc>
        <w:tc>
          <w:tcPr>
            <w:tcW w:w="800" w:type="dxa"/>
            <w:vAlign w:val="bottom"/>
            <w:tcBorders>
              <w:bottom w:val="single" w:sz="8" w:color="DBE5F1"/>
              <w:right w:val="single" w:sz="8" w:color="95B3D7"/>
            </w:tcBorders>
            <w:shd w:val="clear" w:color="auto" w:fill="DBE5F1"/>
          </w:tcPr>
          <w:p>
            <w:pPr>
              <w:spacing w:after="0"/>
              <w:rPr>
                <w:sz w:val="10"/>
                <w:szCs w:val="10"/>
                <w:color w:val="auto"/>
              </w:rPr>
            </w:pPr>
          </w:p>
        </w:tc>
        <w:tc>
          <w:tcPr>
            <w:tcW w:w="1300" w:type="dxa"/>
            <w:vAlign w:val="bottom"/>
            <w:tcBorders>
              <w:bottom w:val="single" w:sz="8" w:color="DBE5F1"/>
              <w:right w:val="single" w:sz="8" w:color="95B3D7"/>
            </w:tcBorders>
            <w:shd w:val="clear" w:color="auto" w:fill="DBE5F1"/>
          </w:tcPr>
          <w:p>
            <w:pPr>
              <w:spacing w:after="0"/>
              <w:rPr>
                <w:sz w:val="10"/>
                <w:szCs w:val="10"/>
                <w:color w:val="auto"/>
              </w:rPr>
            </w:pPr>
          </w:p>
        </w:tc>
        <w:tc>
          <w:tcPr>
            <w:tcW w:w="1380" w:type="dxa"/>
            <w:vAlign w:val="bottom"/>
            <w:tcBorders>
              <w:bottom w:val="single" w:sz="8" w:color="DBE5F1"/>
              <w:right w:val="single" w:sz="8" w:color="95B3D7"/>
            </w:tcBorders>
            <w:shd w:val="clear" w:color="auto" w:fill="DBE5F1"/>
          </w:tcPr>
          <w:p>
            <w:pPr>
              <w:spacing w:after="0"/>
              <w:rPr>
                <w:sz w:val="10"/>
                <w:szCs w:val="10"/>
                <w:color w:val="auto"/>
              </w:rPr>
            </w:pPr>
          </w:p>
        </w:tc>
        <w:tc>
          <w:tcPr>
            <w:tcW w:w="1380" w:type="dxa"/>
            <w:vAlign w:val="bottom"/>
            <w:tcBorders>
              <w:bottom w:val="single" w:sz="8" w:color="DBE5F1"/>
              <w:right w:val="single" w:sz="8" w:color="95B3D7"/>
            </w:tcBorders>
            <w:shd w:val="clear" w:color="auto" w:fill="DBE5F1"/>
          </w:tcPr>
          <w:p>
            <w:pPr>
              <w:spacing w:after="0"/>
              <w:rPr>
                <w:sz w:val="10"/>
                <w:szCs w:val="10"/>
                <w:color w:val="auto"/>
              </w:rPr>
            </w:pPr>
          </w:p>
        </w:tc>
        <w:tc>
          <w:tcPr>
            <w:tcW w:w="1120" w:type="dxa"/>
            <w:vAlign w:val="bottom"/>
            <w:tcBorders>
              <w:bottom w:val="single" w:sz="8" w:color="DBE5F1"/>
              <w:right w:val="single" w:sz="8" w:color="95B3D7"/>
            </w:tcBorders>
            <w:shd w:val="clear" w:color="auto" w:fill="DBE5F1"/>
          </w:tcPr>
          <w:p>
            <w:pPr>
              <w:spacing w:after="0"/>
              <w:rPr>
                <w:sz w:val="10"/>
                <w:szCs w:val="10"/>
                <w:color w:val="auto"/>
              </w:rPr>
            </w:pPr>
          </w:p>
        </w:tc>
        <w:tc>
          <w:tcPr>
            <w:tcW w:w="900" w:type="dxa"/>
            <w:vAlign w:val="bottom"/>
            <w:tcBorders>
              <w:bottom w:val="single" w:sz="8" w:color="DBE5F1"/>
            </w:tcBorders>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1080" w:type="dxa"/>
            <w:vAlign w:val="bottom"/>
            <w:tcBorders>
              <w:top w:val="single" w:sz="8" w:color="95B3D7"/>
              <w:right w:val="single" w:sz="8" w:color="95B3D7"/>
            </w:tcBorders>
          </w:tcPr>
          <w:p>
            <w:pPr>
              <w:ind w:left="60"/>
              <w:spacing w:after="0"/>
              <w:rPr>
                <w:sz w:val="20"/>
                <w:szCs w:val="20"/>
                <w:color w:val="auto"/>
              </w:rPr>
            </w:pPr>
            <w:r>
              <w:rPr>
                <w:rFonts w:ascii="Arial" w:cs="Arial" w:eastAsia="Arial" w:hAnsi="Arial"/>
                <w:sz w:val="16"/>
                <w:szCs w:val="16"/>
                <w:color w:val="auto"/>
              </w:rPr>
              <w:t>Hyong (Ken)</w:t>
            </w:r>
          </w:p>
        </w:tc>
        <w:tc>
          <w:tcPr>
            <w:tcW w:w="800" w:type="dxa"/>
            <w:vAlign w:val="bottom"/>
            <w:tcBorders>
              <w:top w:val="single" w:sz="8" w:color="95B3D7"/>
              <w:right w:val="single" w:sz="8" w:color="95B3D7"/>
            </w:tcBorders>
            <w:vMerge w:val="restart"/>
          </w:tcPr>
          <w:p>
            <w:pPr>
              <w:jc w:val="center"/>
              <w:spacing w:after="0"/>
              <w:rPr>
                <w:sz w:val="20"/>
                <w:szCs w:val="20"/>
                <w:color w:val="auto"/>
              </w:rPr>
            </w:pPr>
            <w:r>
              <w:rPr>
                <w:rFonts w:ascii="Arial" w:cs="Arial" w:eastAsia="Arial" w:hAnsi="Arial"/>
                <w:sz w:val="16"/>
                <w:szCs w:val="16"/>
                <w:color w:val="auto"/>
              </w:rPr>
              <w:t>85</w:t>
            </w:r>
          </w:p>
        </w:tc>
        <w:tc>
          <w:tcPr>
            <w:tcW w:w="1300" w:type="dxa"/>
            <w:vAlign w:val="bottom"/>
            <w:tcBorders>
              <w:top w:val="single" w:sz="8" w:color="95B3D7"/>
              <w:right w:val="single" w:sz="8" w:color="95B3D7"/>
            </w:tcBorders>
            <w:vMerge w:val="restart"/>
          </w:tcPr>
          <w:p>
            <w:pPr>
              <w:jc w:val="center"/>
              <w:spacing w:after="0"/>
              <w:rPr>
                <w:sz w:val="20"/>
                <w:szCs w:val="20"/>
                <w:color w:val="auto"/>
              </w:rPr>
            </w:pPr>
            <w:r>
              <w:rPr>
                <w:rFonts w:ascii="Arial" w:cs="Arial" w:eastAsia="Arial" w:hAnsi="Arial"/>
                <w:sz w:val="16"/>
                <w:szCs w:val="16"/>
                <w:color w:val="auto"/>
              </w:rPr>
              <w:t>472,339</w:t>
            </w:r>
          </w:p>
        </w:tc>
        <w:tc>
          <w:tcPr>
            <w:tcW w:w="1380" w:type="dxa"/>
            <w:vAlign w:val="bottom"/>
            <w:tcBorders>
              <w:top w:val="single" w:sz="8" w:color="95B3D7"/>
              <w:right w:val="single" w:sz="8" w:color="95B3D7"/>
            </w:tcBorders>
            <w:vMerge w:val="restart"/>
          </w:tcPr>
          <w:p>
            <w:pPr>
              <w:jc w:val="center"/>
              <w:spacing w:after="0"/>
              <w:rPr>
                <w:sz w:val="20"/>
                <w:szCs w:val="20"/>
                <w:color w:val="auto"/>
              </w:rPr>
            </w:pPr>
            <w:r>
              <w:rPr>
                <w:rFonts w:ascii="Arial" w:cs="Arial" w:eastAsia="Arial" w:hAnsi="Arial"/>
                <w:sz w:val="16"/>
                <w:szCs w:val="16"/>
                <w:color w:val="auto"/>
                <w:w w:val="99"/>
              </w:rPr>
              <w:t>141.7</w:t>
            </w:r>
          </w:p>
        </w:tc>
        <w:tc>
          <w:tcPr>
            <w:tcW w:w="1380" w:type="dxa"/>
            <w:vAlign w:val="bottom"/>
            <w:tcBorders>
              <w:top w:val="single" w:sz="8" w:color="95B3D7"/>
              <w:right w:val="single" w:sz="8" w:color="95B3D7"/>
            </w:tcBorders>
            <w:vMerge w:val="restart"/>
          </w:tcPr>
          <w:p>
            <w:pPr>
              <w:jc w:val="center"/>
              <w:spacing w:after="0"/>
              <w:rPr>
                <w:sz w:val="20"/>
                <w:szCs w:val="20"/>
                <w:color w:val="auto"/>
              </w:rPr>
            </w:pPr>
            <w:r>
              <w:rPr>
                <w:rFonts w:ascii="Arial" w:cs="Arial" w:eastAsia="Arial" w:hAnsi="Arial"/>
                <w:sz w:val="16"/>
                <w:szCs w:val="16"/>
                <w:color w:val="auto"/>
                <w:w w:val="94"/>
              </w:rPr>
              <w:t>110.0</w:t>
            </w:r>
          </w:p>
        </w:tc>
        <w:tc>
          <w:tcPr>
            <w:tcW w:w="1120" w:type="dxa"/>
            <w:vAlign w:val="bottom"/>
            <w:tcBorders>
              <w:top w:val="single" w:sz="8" w:color="95B3D7"/>
              <w:right w:val="single" w:sz="8" w:color="95B3D7"/>
            </w:tcBorders>
            <w:vMerge w:val="restart"/>
          </w:tcPr>
          <w:p>
            <w:pPr>
              <w:jc w:val="center"/>
              <w:spacing w:after="0"/>
              <w:rPr>
                <w:sz w:val="20"/>
                <w:szCs w:val="20"/>
                <w:color w:val="auto"/>
              </w:rPr>
            </w:pPr>
            <w:r>
              <w:rPr>
                <w:rFonts w:ascii="Arial" w:cs="Arial" w:eastAsia="Arial" w:hAnsi="Arial"/>
                <w:sz w:val="16"/>
                <w:szCs w:val="16"/>
                <w:color w:val="auto"/>
              </w:rPr>
              <w:t>631,871</w:t>
            </w:r>
          </w:p>
        </w:tc>
        <w:tc>
          <w:tcPr>
            <w:tcW w:w="900" w:type="dxa"/>
            <w:vAlign w:val="bottom"/>
            <w:tcBorders>
              <w:top w:val="single" w:sz="8" w:color="95B3D7"/>
            </w:tcBorders>
            <w:vMerge w:val="restart"/>
          </w:tcPr>
          <w:p>
            <w:pPr>
              <w:jc w:val="center"/>
              <w:spacing w:after="0"/>
              <w:rPr>
                <w:sz w:val="20"/>
                <w:szCs w:val="20"/>
                <w:color w:val="auto"/>
              </w:rPr>
            </w:pPr>
            <w:r>
              <w:rPr>
                <w:rFonts w:ascii="Arial" w:cs="Arial" w:eastAsia="Arial" w:hAnsi="Arial"/>
                <w:sz w:val="16"/>
                <w:szCs w:val="16"/>
                <w:color w:val="auto"/>
                <w:w w:val="99"/>
              </w:rPr>
              <w:t>133.8</w:t>
            </w:r>
          </w:p>
        </w:tc>
        <w:tc>
          <w:tcPr>
            <w:tcW w:w="0" w:type="dxa"/>
            <w:vAlign w:val="bottom"/>
          </w:tcPr>
          <w:p>
            <w:pPr>
              <w:spacing w:after="0"/>
              <w:rPr>
                <w:sz w:val="1"/>
                <w:szCs w:val="1"/>
                <w:color w:val="auto"/>
              </w:rPr>
            </w:pPr>
          </w:p>
        </w:tc>
      </w:tr>
      <w:tr>
        <w:trPr>
          <w:trHeight w:val="120"/>
        </w:trPr>
        <w:tc>
          <w:tcPr>
            <w:tcW w:w="1080" w:type="dxa"/>
            <w:vAlign w:val="bottom"/>
            <w:tcBorders>
              <w:right w:val="single" w:sz="8" w:color="95B3D7"/>
            </w:tcBorders>
            <w:vMerge w:val="restart"/>
          </w:tcPr>
          <w:p>
            <w:pPr>
              <w:ind w:left="60"/>
              <w:spacing w:after="0"/>
              <w:rPr>
                <w:sz w:val="20"/>
                <w:szCs w:val="20"/>
                <w:color w:val="auto"/>
              </w:rPr>
            </w:pPr>
            <w:r>
              <w:rPr>
                <w:rFonts w:ascii="Arial" w:cs="Arial" w:eastAsia="Arial" w:hAnsi="Arial"/>
                <w:sz w:val="16"/>
                <w:szCs w:val="16"/>
                <w:color w:val="auto"/>
              </w:rPr>
              <w:t>Kim, M.D.</w:t>
            </w:r>
          </w:p>
        </w:tc>
        <w:tc>
          <w:tcPr>
            <w:tcW w:w="800" w:type="dxa"/>
            <w:vAlign w:val="bottom"/>
            <w:tcBorders>
              <w:right w:val="single" w:sz="8" w:color="95B3D7"/>
            </w:tcBorders>
            <w:vMerge w:val="continue"/>
          </w:tcPr>
          <w:p>
            <w:pPr>
              <w:spacing w:after="0"/>
              <w:rPr>
                <w:sz w:val="10"/>
                <w:szCs w:val="10"/>
                <w:color w:val="auto"/>
              </w:rPr>
            </w:pPr>
          </w:p>
        </w:tc>
        <w:tc>
          <w:tcPr>
            <w:tcW w:w="1300" w:type="dxa"/>
            <w:vAlign w:val="bottom"/>
            <w:tcBorders>
              <w:right w:val="single" w:sz="8" w:color="95B3D7"/>
            </w:tcBorders>
            <w:vMerge w:val="continue"/>
          </w:tcPr>
          <w:p>
            <w:pPr>
              <w:spacing w:after="0"/>
              <w:rPr>
                <w:sz w:val="10"/>
                <w:szCs w:val="10"/>
                <w:color w:val="auto"/>
              </w:rPr>
            </w:pPr>
          </w:p>
        </w:tc>
        <w:tc>
          <w:tcPr>
            <w:tcW w:w="1380" w:type="dxa"/>
            <w:vAlign w:val="bottom"/>
            <w:tcBorders>
              <w:right w:val="single" w:sz="8" w:color="95B3D7"/>
            </w:tcBorders>
            <w:vMerge w:val="continue"/>
          </w:tcPr>
          <w:p>
            <w:pPr>
              <w:spacing w:after="0"/>
              <w:rPr>
                <w:sz w:val="10"/>
                <w:szCs w:val="10"/>
                <w:color w:val="auto"/>
              </w:rPr>
            </w:pPr>
          </w:p>
        </w:tc>
        <w:tc>
          <w:tcPr>
            <w:tcW w:w="1380" w:type="dxa"/>
            <w:vAlign w:val="bottom"/>
            <w:tcBorders>
              <w:right w:val="single" w:sz="8" w:color="95B3D7"/>
            </w:tcBorders>
            <w:vMerge w:val="continue"/>
          </w:tcPr>
          <w:p>
            <w:pPr>
              <w:spacing w:after="0"/>
              <w:rPr>
                <w:sz w:val="10"/>
                <w:szCs w:val="10"/>
                <w:color w:val="auto"/>
              </w:rPr>
            </w:pPr>
          </w:p>
        </w:tc>
        <w:tc>
          <w:tcPr>
            <w:tcW w:w="1120" w:type="dxa"/>
            <w:vAlign w:val="bottom"/>
            <w:tcBorders>
              <w:right w:val="single" w:sz="8" w:color="95B3D7"/>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080" w:type="dxa"/>
            <w:vAlign w:val="bottom"/>
            <w:tcBorders>
              <w:right w:val="single" w:sz="8" w:color="95B3D7"/>
            </w:tcBorders>
            <w:vMerge w:val="continue"/>
          </w:tcPr>
          <w:p>
            <w:pPr>
              <w:spacing w:after="0"/>
              <w:rPr>
                <w:sz w:val="8"/>
                <w:szCs w:val="8"/>
                <w:color w:val="auto"/>
              </w:rPr>
            </w:pPr>
          </w:p>
        </w:tc>
        <w:tc>
          <w:tcPr>
            <w:tcW w:w="800" w:type="dxa"/>
            <w:vAlign w:val="bottom"/>
            <w:tcBorders>
              <w:right w:val="single" w:sz="8" w:color="95B3D7"/>
            </w:tcBorders>
          </w:tcPr>
          <w:p>
            <w:pPr>
              <w:spacing w:after="0"/>
              <w:rPr>
                <w:sz w:val="8"/>
                <w:szCs w:val="8"/>
                <w:color w:val="auto"/>
              </w:rPr>
            </w:pPr>
          </w:p>
        </w:tc>
        <w:tc>
          <w:tcPr>
            <w:tcW w:w="1300" w:type="dxa"/>
            <w:vAlign w:val="bottom"/>
            <w:tcBorders>
              <w:right w:val="single" w:sz="8" w:color="95B3D7"/>
            </w:tcBorders>
          </w:tcPr>
          <w:p>
            <w:pPr>
              <w:spacing w:after="0"/>
              <w:rPr>
                <w:sz w:val="8"/>
                <w:szCs w:val="8"/>
                <w:color w:val="auto"/>
              </w:rPr>
            </w:pPr>
          </w:p>
        </w:tc>
        <w:tc>
          <w:tcPr>
            <w:tcW w:w="1380" w:type="dxa"/>
            <w:vAlign w:val="bottom"/>
            <w:tcBorders>
              <w:right w:val="single" w:sz="8" w:color="95B3D7"/>
            </w:tcBorders>
          </w:tcPr>
          <w:p>
            <w:pPr>
              <w:spacing w:after="0"/>
              <w:rPr>
                <w:sz w:val="8"/>
                <w:szCs w:val="8"/>
                <w:color w:val="auto"/>
              </w:rPr>
            </w:pPr>
          </w:p>
        </w:tc>
        <w:tc>
          <w:tcPr>
            <w:tcW w:w="1380" w:type="dxa"/>
            <w:vAlign w:val="bottom"/>
            <w:tcBorders>
              <w:right w:val="single" w:sz="8" w:color="95B3D7"/>
            </w:tcBorders>
          </w:tcPr>
          <w:p>
            <w:pPr>
              <w:spacing w:after="0"/>
              <w:rPr>
                <w:sz w:val="8"/>
                <w:szCs w:val="8"/>
                <w:color w:val="auto"/>
              </w:rPr>
            </w:pPr>
          </w:p>
        </w:tc>
        <w:tc>
          <w:tcPr>
            <w:tcW w:w="1120" w:type="dxa"/>
            <w:vAlign w:val="bottom"/>
            <w:tcBorders>
              <w:right w:val="single" w:sz="8" w:color="95B3D7"/>
            </w:tcBorders>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080" w:type="dxa"/>
            <w:vAlign w:val="bottom"/>
            <w:tcBorders>
              <w:bottom w:val="single" w:sz="8" w:color="95B3D7"/>
              <w:right w:val="single" w:sz="8" w:color="95B3D7"/>
            </w:tcBorders>
          </w:tcPr>
          <w:p>
            <w:pPr>
              <w:spacing w:after="0"/>
              <w:rPr>
                <w:sz w:val="9"/>
                <w:szCs w:val="9"/>
                <w:color w:val="auto"/>
              </w:rPr>
            </w:pPr>
          </w:p>
        </w:tc>
        <w:tc>
          <w:tcPr>
            <w:tcW w:w="800" w:type="dxa"/>
            <w:vAlign w:val="bottom"/>
            <w:tcBorders>
              <w:bottom w:val="single" w:sz="8" w:color="95B3D7"/>
              <w:right w:val="single" w:sz="8" w:color="95B3D7"/>
            </w:tcBorders>
          </w:tcPr>
          <w:p>
            <w:pPr>
              <w:spacing w:after="0"/>
              <w:rPr>
                <w:sz w:val="9"/>
                <w:szCs w:val="9"/>
                <w:color w:val="auto"/>
              </w:rPr>
            </w:pPr>
          </w:p>
        </w:tc>
        <w:tc>
          <w:tcPr>
            <w:tcW w:w="1300" w:type="dxa"/>
            <w:vAlign w:val="bottom"/>
            <w:tcBorders>
              <w:bottom w:val="single" w:sz="8" w:color="95B3D7"/>
              <w:right w:val="single" w:sz="8" w:color="95B3D7"/>
            </w:tcBorders>
          </w:tcPr>
          <w:p>
            <w:pPr>
              <w:spacing w:after="0"/>
              <w:rPr>
                <w:sz w:val="9"/>
                <w:szCs w:val="9"/>
                <w:color w:val="auto"/>
              </w:rPr>
            </w:pPr>
          </w:p>
        </w:tc>
        <w:tc>
          <w:tcPr>
            <w:tcW w:w="1380" w:type="dxa"/>
            <w:vAlign w:val="bottom"/>
            <w:tcBorders>
              <w:bottom w:val="single" w:sz="8" w:color="95B3D7"/>
              <w:right w:val="single" w:sz="8" w:color="95B3D7"/>
            </w:tcBorders>
          </w:tcPr>
          <w:p>
            <w:pPr>
              <w:spacing w:after="0"/>
              <w:rPr>
                <w:sz w:val="9"/>
                <w:szCs w:val="9"/>
                <w:color w:val="auto"/>
              </w:rPr>
            </w:pPr>
          </w:p>
        </w:tc>
        <w:tc>
          <w:tcPr>
            <w:tcW w:w="1380" w:type="dxa"/>
            <w:vAlign w:val="bottom"/>
            <w:tcBorders>
              <w:bottom w:val="single" w:sz="8" w:color="95B3D7"/>
              <w:right w:val="single" w:sz="8" w:color="95B3D7"/>
            </w:tcBorders>
          </w:tcPr>
          <w:p>
            <w:pPr>
              <w:spacing w:after="0"/>
              <w:rPr>
                <w:sz w:val="9"/>
                <w:szCs w:val="9"/>
                <w:color w:val="auto"/>
              </w:rPr>
            </w:pPr>
          </w:p>
        </w:tc>
        <w:tc>
          <w:tcPr>
            <w:tcW w:w="1120" w:type="dxa"/>
            <w:vAlign w:val="bottom"/>
            <w:tcBorders>
              <w:bottom w:val="single" w:sz="8" w:color="95B3D7"/>
              <w:right w:val="single" w:sz="8" w:color="95B3D7"/>
            </w:tcBorders>
          </w:tcPr>
          <w:p>
            <w:pPr>
              <w:spacing w:after="0"/>
              <w:rPr>
                <w:sz w:val="9"/>
                <w:szCs w:val="9"/>
                <w:color w:val="auto"/>
              </w:rPr>
            </w:pPr>
          </w:p>
        </w:tc>
        <w:tc>
          <w:tcPr>
            <w:tcW w:w="900" w:type="dxa"/>
            <w:vAlign w:val="bottom"/>
            <w:tcBorders>
              <w:bottom w:val="single" w:sz="8" w:color="95B3D7"/>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08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Andreas</w:t>
            </w:r>
          </w:p>
        </w:tc>
        <w:tc>
          <w:tcPr>
            <w:tcW w:w="800" w:type="dxa"/>
            <w:vAlign w:val="bottom"/>
            <w:tcBorders>
              <w:right w:val="single" w:sz="8" w:color="95B3D7"/>
            </w:tcBorders>
            <w:vMerge w:val="restart"/>
            <w:shd w:val="clear" w:color="auto" w:fill="DBE5F1"/>
          </w:tcPr>
          <w:p>
            <w:pPr>
              <w:jc w:val="center"/>
              <w:spacing w:after="0"/>
              <w:rPr>
                <w:sz w:val="20"/>
                <w:szCs w:val="20"/>
                <w:color w:val="auto"/>
              </w:rPr>
            </w:pPr>
            <w:r>
              <w:rPr>
                <w:rFonts w:ascii="Arial" w:cs="Arial" w:eastAsia="Arial" w:hAnsi="Arial"/>
                <w:sz w:val="16"/>
                <w:szCs w:val="16"/>
                <w:color w:val="auto"/>
              </w:rPr>
              <w:t>85</w:t>
            </w:r>
          </w:p>
        </w:tc>
        <w:tc>
          <w:tcPr>
            <w:tcW w:w="1300" w:type="dxa"/>
            <w:vAlign w:val="bottom"/>
            <w:tcBorders>
              <w:right w:val="single" w:sz="8" w:color="95B3D7"/>
            </w:tcBorders>
            <w:vMerge w:val="restart"/>
            <w:shd w:val="clear" w:color="auto" w:fill="DBE5F1"/>
          </w:tcPr>
          <w:p>
            <w:pPr>
              <w:jc w:val="center"/>
              <w:spacing w:after="0"/>
              <w:rPr>
                <w:sz w:val="20"/>
                <w:szCs w:val="20"/>
                <w:color w:val="auto"/>
              </w:rPr>
            </w:pPr>
            <w:r>
              <w:rPr>
                <w:rFonts w:ascii="Arial" w:cs="Arial" w:eastAsia="Arial" w:hAnsi="Arial"/>
                <w:sz w:val="16"/>
                <w:szCs w:val="16"/>
                <w:color w:val="auto"/>
              </w:rPr>
              <w:t>384,462</w:t>
            </w:r>
          </w:p>
        </w:tc>
        <w:tc>
          <w:tcPr>
            <w:tcW w:w="1380" w:type="dxa"/>
            <w:vAlign w:val="bottom"/>
            <w:tcBorders>
              <w:right w:val="single" w:sz="8" w:color="95B3D7"/>
            </w:tcBorders>
            <w:vMerge w:val="restart"/>
            <w:shd w:val="clear" w:color="auto" w:fill="DBE5F1"/>
          </w:tcPr>
          <w:p>
            <w:pPr>
              <w:jc w:val="center"/>
              <w:spacing w:after="0"/>
              <w:rPr>
                <w:sz w:val="20"/>
                <w:szCs w:val="20"/>
                <w:color w:val="auto"/>
              </w:rPr>
            </w:pPr>
            <w:r>
              <w:rPr>
                <w:rFonts w:ascii="Arial" w:cs="Arial" w:eastAsia="Arial" w:hAnsi="Arial"/>
                <w:sz w:val="16"/>
                <w:szCs w:val="16"/>
                <w:color w:val="auto"/>
                <w:w w:val="99"/>
              </w:rPr>
              <w:t>141.7</w:t>
            </w:r>
          </w:p>
        </w:tc>
        <w:tc>
          <w:tcPr>
            <w:tcW w:w="1380" w:type="dxa"/>
            <w:vAlign w:val="bottom"/>
            <w:tcBorders>
              <w:right w:val="single" w:sz="8" w:color="95B3D7"/>
            </w:tcBorders>
            <w:vMerge w:val="restart"/>
            <w:shd w:val="clear" w:color="auto" w:fill="DBE5F1"/>
          </w:tcPr>
          <w:p>
            <w:pPr>
              <w:jc w:val="center"/>
              <w:spacing w:after="0"/>
              <w:rPr>
                <w:sz w:val="20"/>
                <w:szCs w:val="20"/>
                <w:color w:val="auto"/>
              </w:rPr>
            </w:pPr>
            <w:r>
              <w:rPr>
                <w:rFonts w:ascii="Arial" w:cs="Arial" w:eastAsia="Arial" w:hAnsi="Arial"/>
                <w:sz w:val="16"/>
                <w:szCs w:val="16"/>
                <w:color w:val="auto"/>
                <w:w w:val="94"/>
              </w:rPr>
              <w:t>115.0</w:t>
            </w:r>
          </w:p>
        </w:tc>
        <w:tc>
          <w:tcPr>
            <w:tcW w:w="1120" w:type="dxa"/>
            <w:vAlign w:val="bottom"/>
            <w:tcBorders>
              <w:right w:val="single" w:sz="8" w:color="95B3D7"/>
            </w:tcBorders>
            <w:vMerge w:val="restart"/>
            <w:shd w:val="clear" w:color="auto" w:fill="DBE5F1"/>
          </w:tcPr>
          <w:p>
            <w:pPr>
              <w:jc w:val="center"/>
              <w:spacing w:after="0"/>
              <w:rPr>
                <w:sz w:val="20"/>
                <w:szCs w:val="20"/>
                <w:color w:val="auto"/>
              </w:rPr>
            </w:pPr>
            <w:r>
              <w:rPr>
                <w:rFonts w:ascii="Arial" w:cs="Arial" w:eastAsia="Arial" w:hAnsi="Arial"/>
                <w:sz w:val="16"/>
                <w:szCs w:val="16"/>
                <w:color w:val="auto"/>
              </w:rPr>
              <w:t>519,119</w:t>
            </w:r>
          </w:p>
        </w:tc>
        <w:tc>
          <w:tcPr>
            <w:tcW w:w="900" w:type="dxa"/>
            <w:vAlign w:val="bottom"/>
            <w:vMerge w:val="restart"/>
            <w:shd w:val="clear" w:color="auto" w:fill="DBE5F1"/>
          </w:tcPr>
          <w:p>
            <w:pPr>
              <w:jc w:val="center"/>
              <w:spacing w:after="0"/>
              <w:rPr>
                <w:sz w:val="20"/>
                <w:szCs w:val="20"/>
                <w:color w:val="auto"/>
              </w:rPr>
            </w:pPr>
            <w:r>
              <w:rPr>
                <w:rFonts w:ascii="Arial" w:cs="Arial" w:eastAsia="Arial" w:hAnsi="Arial"/>
                <w:sz w:val="16"/>
                <w:szCs w:val="16"/>
                <w:color w:val="auto"/>
                <w:w w:val="99"/>
              </w:rPr>
              <w:t>135.0</w:t>
            </w:r>
          </w:p>
        </w:tc>
        <w:tc>
          <w:tcPr>
            <w:tcW w:w="0" w:type="dxa"/>
            <w:vAlign w:val="bottom"/>
          </w:tcPr>
          <w:p>
            <w:pPr>
              <w:spacing w:after="0"/>
              <w:rPr>
                <w:sz w:val="1"/>
                <w:szCs w:val="1"/>
                <w:color w:val="auto"/>
              </w:rPr>
            </w:pPr>
          </w:p>
        </w:tc>
      </w:tr>
      <w:tr>
        <w:trPr>
          <w:trHeight w:val="107"/>
        </w:trPr>
        <w:tc>
          <w:tcPr>
            <w:tcW w:w="1080" w:type="dxa"/>
            <w:vAlign w:val="bottom"/>
            <w:tcBorders>
              <w:right w:val="single" w:sz="8" w:color="95B3D7"/>
            </w:tcBorders>
            <w:vMerge w:val="restart"/>
            <w:shd w:val="clear" w:color="auto" w:fill="DBE5F1"/>
          </w:tcPr>
          <w:p>
            <w:pPr>
              <w:ind w:left="60"/>
              <w:spacing w:after="0"/>
              <w:rPr>
                <w:sz w:val="20"/>
                <w:szCs w:val="20"/>
                <w:color w:val="auto"/>
              </w:rPr>
            </w:pPr>
            <w:r>
              <w:rPr>
                <w:rFonts w:ascii="Arial" w:cs="Arial" w:eastAsia="Arial" w:hAnsi="Arial"/>
                <w:sz w:val="16"/>
                <w:szCs w:val="16"/>
                <w:color w:val="auto"/>
              </w:rPr>
              <w:t>Wagner</w:t>
            </w:r>
          </w:p>
        </w:tc>
        <w:tc>
          <w:tcPr>
            <w:tcW w:w="800" w:type="dxa"/>
            <w:vAlign w:val="bottom"/>
            <w:tcBorders>
              <w:right w:val="single" w:sz="8" w:color="95B3D7"/>
            </w:tcBorders>
            <w:vMerge w:val="continue"/>
            <w:shd w:val="clear" w:color="auto" w:fill="DBE5F1"/>
          </w:tcPr>
          <w:p>
            <w:pPr>
              <w:spacing w:after="0"/>
              <w:rPr>
                <w:sz w:val="9"/>
                <w:szCs w:val="9"/>
                <w:color w:val="auto"/>
              </w:rPr>
            </w:pPr>
          </w:p>
        </w:tc>
        <w:tc>
          <w:tcPr>
            <w:tcW w:w="1300" w:type="dxa"/>
            <w:vAlign w:val="bottom"/>
            <w:tcBorders>
              <w:right w:val="single" w:sz="8" w:color="95B3D7"/>
            </w:tcBorders>
            <w:vMerge w:val="continue"/>
            <w:shd w:val="clear" w:color="auto" w:fill="DBE5F1"/>
          </w:tcPr>
          <w:p>
            <w:pPr>
              <w:spacing w:after="0"/>
              <w:rPr>
                <w:sz w:val="9"/>
                <w:szCs w:val="9"/>
                <w:color w:val="auto"/>
              </w:rPr>
            </w:pPr>
          </w:p>
        </w:tc>
        <w:tc>
          <w:tcPr>
            <w:tcW w:w="1380" w:type="dxa"/>
            <w:vAlign w:val="bottom"/>
            <w:tcBorders>
              <w:right w:val="single" w:sz="8" w:color="95B3D7"/>
            </w:tcBorders>
            <w:vMerge w:val="continue"/>
            <w:shd w:val="clear" w:color="auto" w:fill="DBE5F1"/>
          </w:tcPr>
          <w:p>
            <w:pPr>
              <w:spacing w:after="0"/>
              <w:rPr>
                <w:sz w:val="9"/>
                <w:szCs w:val="9"/>
                <w:color w:val="auto"/>
              </w:rPr>
            </w:pPr>
          </w:p>
        </w:tc>
        <w:tc>
          <w:tcPr>
            <w:tcW w:w="1380" w:type="dxa"/>
            <w:vAlign w:val="bottom"/>
            <w:tcBorders>
              <w:right w:val="single" w:sz="8" w:color="95B3D7"/>
            </w:tcBorders>
            <w:vMerge w:val="continue"/>
            <w:shd w:val="clear" w:color="auto" w:fill="DBE5F1"/>
          </w:tcPr>
          <w:p>
            <w:pPr>
              <w:spacing w:after="0"/>
              <w:rPr>
                <w:sz w:val="9"/>
                <w:szCs w:val="9"/>
                <w:color w:val="auto"/>
              </w:rPr>
            </w:pPr>
          </w:p>
        </w:tc>
        <w:tc>
          <w:tcPr>
            <w:tcW w:w="1120" w:type="dxa"/>
            <w:vAlign w:val="bottom"/>
            <w:tcBorders>
              <w:right w:val="single" w:sz="8" w:color="95B3D7"/>
            </w:tcBorders>
            <w:vMerge w:val="continue"/>
            <w:shd w:val="clear" w:color="auto" w:fill="DBE5F1"/>
          </w:tcPr>
          <w:p>
            <w:pPr>
              <w:spacing w:after="0"/>
              <w:rPr>
                <w:sz w:val="9"/>
                <w:szCs w:val="9"/>
                <w:color w:val="auto"/>
              </w:rPr>
            </w:pPr>
          </w:p>
        </w:tc>
        <w:tc>
          <w:tcPr>
            <w:tcW w:w="900" w:type="dxa"/>
            <w:vAlign w:val="bottom"/>
            <w:vMerge w:val="continue"/>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080" w:type="dxa"/>
            <w:vAlign w:val="bottom"/>
            <w:tcBorders>
              <w:bottom w:val="single" w:sz="8" w:color="95B3D7"/>
              <w:right w:val="single" w:sz="8" w:color="95B3D7"/>
            </w:tcBorders>
            <w:vMerge w:val="continue"/>
            <w:shd w:val="clear" w:color="auto" w:fill="DBE5F1"/>
          </w:tcPr>
          <w:p>
            <w:pPr>
              <w:spacing w:after="0"/>
              <w:rPr>
                <w:sz w:val="10"/>
                <w:szCs w:val="10"/>
                <w:color w:val="auto"/>
              </w:rPr>
            </w:pPr>
          </w:p>
        </w:tc>
        <w:tc>
          <w:tcPr>
            <w:tcW w:w="800" w:type="dxa"/>
            <w:vAlign w:val="bottom"/>
            <w:tcBorders>
              <w:bottom w:val="single" w:sz="8" w:color="95B3D7"/>
              <w:right w:val="single" w:sz="8" w:color="95B3D7"/>
            </w:tcBorders>
            <w:shd w:val="clear" w:color="auto" w:fill="DBE5F1"/>
          </w:tcPr>
          <w:p>
            <w:pPr>
              <w:spacing w:after="0"/>
              <w:rPr>
                <w:sz w:val="10"/>
                <w:szCs w:val="10"/>
                <w:color w:val="auto"/>
              </w:rPr>
            </w:pPr>
          </w:p>
        </w:tc>
        <w:tc>
          <w:tcPr>
            <w:tcW w:w="1300" w:type="dxa"/>
            <w:vAlign w:val="bottom"/>
            <w:tcBorders>
              <w:bottom w:val="single" w:sz="8" w:color="95B3D7"/>
              <w:right w:val="single" w:sz="8" w:color="95B3D7"/>
            </w:tcBorders>
            <w:shd w:val="clear" w:color="auto" w:fill="DBE5F1"/>
          </w:tcPr>
          <w:p>
            <w:pPr>
              <w:spacing w:after="0"/>
              <w:rPr>
                <w:sz w:val="10"/>
                <w:szCs w:val="10"/>
                <w:color w:val="auto"/>
              </w:rPr>
            </w:pPr>
          </w:p>
        </w:tc>
        <w:tc>
          <w:tcPr>
            <w:tcW w:w="1380" w:type="dxa"/>
            <w:vAlign w:val="bottom"/>
            <w:tcBorders>
              <w:bottom w:val="single" w:sz="8" w:color="95B3D7"/>
              <w:right w:val="single" w:sz="8" w:color="95B3D7"/>
            </w:tcBorders>
            <w:shd w:val="clear" w:color="auto" w:fill="DBE5F1"/>
          </w:tcPr>
          <w:p>
            <w:pPr>
              <w:spacing w:after="0"/>
              <w:rPr>
                <w:sz w:val="10"/>
                <w:szCs w:val="10"/>
                <w:color w:val="auto"/>
              </w:rPr>
            </w:pPr>
          </w:p>
        </w:tc>
        <w:tc>
          <w:tcPr>
            <w:tcW w:w="1380" w:type="dxa"/>
            <w:vAlign w:val="bottom"/>
            <w:tcBorders>
              <w:bottom w:val="single" w:sz="8" w:color="95B3D7"/>
              <w:right w:val="single" w:sz="8" w:color="95B3D7"/>
            </w:tcBorders>
            <w:shd w:val="clear" w:color="auto" w:fill="DBE5F1"/>
          </w:tcPr>
          <w:p>
            <w:pPr>
              <w:spacing w:after="0"/>
              <w:rPr>
                <w:sz w:val="10"/>
                <w:szCs w:val="10"/>
                <w:color w:val="auto"/>
              </w:rPr>
            </w:pPr>
          </w:p>
        </w:tc>
        <w:tc>
          <w:tcPr>
            <w:tcW w:w="1120" w:type="dxa"/>
            <w:vAlign w:val="bottom"/>
            <w:tcBorders>
              <w:bottom w:val="single" w:sz="8" w:color="95B3D7"/>
              <w:right w:val="single" w:sz="8" w:color="95B3D7"/>
            </w:tcBorders>
            <w:shd w:val="clear" w:color="auto" w:fill="DBE5F1"/>
          </w:tcPr>
          <w:p>
            <w:pPr>
              <w:spacing w:after="0"/>
              <w:rPr>
                <w:sz w:val="10"/>
                <w:szCs w:val="10"/>
                <w:color w:val="auto"/>
              </w:rPr>
            </w:pPr>
          </w:p>
        </w:tc>
        <w:tc>
          <w:tcPr>
            <w:tcW w:w="900" w:type="dxa"/>
            <w:vAlign w:val="bottom"/>
            <w:tcBorders>
              <w:bottom w:val="single" w:sz="8" w:color="95B3D7"/>
            </w:tcBorders>
            <w:shd w:val="clear" w:color="auto" w:fill="DBE5F1"/>
          </w:tcPr>
          <w:p>
            <w:pPr>
              <w:spacing w:after="0"/>
              <w:rPr>
                <w:sz w:val="10"/>
                <w:szCs w:val="1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900" w:right="40" w:hanging="325"/>
        <w:spacing w:after="0" w:line="267" w:lineRule="auto"/>
        <w:tabs>
          <w:tab w:leader="none" w:pos="887"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potential payout based on achievement of corporate objectives established at 141.7% and individual objectives as shown in the table. Actual payout in March 2025 was 75% of these amounts, with the remaining 25% held back and potentially payable in the fourth quarter of 2025, subject to the modifier based on the Company’s CMS Star Ratings. See “—</w:t>
      </w:r>
      <w:r>
        <w:rPr>
          <w:rFonts w:ascii="Arial" w:cs="Arial" w:eastAsia="Arial" w:hAnsi="Arial"/>
          <w:sz w:val="14"/>
          <w:szCs w:val="14"/>
          <w:i w:val="1"/>
          <w:iCs w:val="1"/>
          <w:color w:val="auto"/>
        </w:rPr>
        <w:t>2024 Annual Incentive Plan Payouts—Adjustment for CMS Star Ratings</w:t>
      </w:r>
      <w:r>
        <w:rPr>
          <w:rFonts w:ascii="Arial" w:cs="Arial" w:eastAsia="Arial" w:hAnsi="Arial"/>
          <w:sz w:val="14"/>
          <w:szCs w:val="14"/>
          <w:color w:val="auto"/>
        </w:rPr>
        <w:t>” below. Does not include additional discretionary bonus amounts awarded for 2024. Executive officers were given the option to receive all or any portion of their AIP payouts in immediately vested equity awards. For more information, see “</w:t>
      </w:r>
      <w:r>
        <w:rPr>
          <w:rFonts w:ascii="Arial" w:cs="Arial" w:eastAsia="Arial" w:hAnsi="Arial"/>
          <w:sz w:val="14"/>
          <w:szCs w:val="14"/>
          <w:i w:val="1"/>
          <w:iCs w:val="1"/>
          <w:color w:val="auto"/>
        </w:rPr>
        <w:t>Executive and Director Compensation—Summary Compensation Table</w:t>
      </w:r>
      <w:r>
        <w:rPr>
          <w:rFonts w:ascii="Arial" w:cs="Arial" w:eastAsia="Arial" w:hAnsi="Arial"/>
          <w:sz w:val="14"/>
          <w:szCs w:val="14"/>
          <w:color w:val="auto"/>
        </w:rPr>
        <w:t>.”</w:t>
      </w:r>
    </w:p>
    <w:p>
      <w:pPr>
        <w:spacing w:after="0" w:line="13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As indicated by the percentages of target above, total bonus payout for 2024 performance did not exceed the plan cap of 200% of target for any individual.</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Adjustment for CMS Star Ratings. </w:t>
      </w:r>
      <w:r>
        <w:rPr>
          <w:rFonts w:ascii="Arial" w:cs="Arial" w:eastAsia="Arial" w:hAnsi="Arial"/>
          <w:sz w:val="17"/>
          <w:szCs w:val="17"/>
          <w:color w:val="auto"/>
        </w:rPr>
        <w:t>As described above, 25% of each NEO's total 2024 Annual Incentive Plan payout based on corporate</w:t>
      </w:r>
    </w:p>
    <w:p>
      <w:pPr>
        <w:spacing w:after="0" w:line="1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and individual performance will not be paid until the fourth quarter of 2025. The amount of the holdback that is paid to each NEO is subject to an adjustment based on the CMS Star Rating achieved by the Company’s Medicare Advantage plans. Each rated health plan has an “Overall” quality rating of 1 to 5 stars (5 is highest), which is based on the quality of medical care, member experience and plan</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administration (Part C), and on the quality, safety, and accessibility of the prescription drug benefit (Part D). All health plan ratings are calculated the same way, using the same information sources.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When the prior fiscal year’s results are available in the fourth quarter of 2025, the NEO’s final payouts will be adjusted as follows:</w:t>
      </w:r>
    </w:p>
    <w:p>
      <w:pPr>
        <w:spacing w:after="0" w:line="198" w:lineRule="exact"/>
        <w:rPr>
          <w:sz w:val="20"/>
          <w:szCs w:val="20"/>
          <w:color w:val="auto"/>
        </w:rPr>
      </w:pPr>
    </w:p>
    <w:p>
      <w:pPr>
        <w:ind w:left="720" w:hanging="311"/>
        <w:spacing w:after="0"/>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3.5 stars or lower will result in a 25% decrease in each NEO’s aggregate bonus (i.e., no payment of the 25% holdback will occur);</w:t>
      </w:r>
    </w:p>
    <w:p>
      <w:pPr>
        <w:spacing w:after="0" w:line="183" w:lineRule="exact"/>
        <w:rPr>
          <w:rFonts w:ascii="Times New Roman" w:cs="Times New Roman" w:eastAsia="Times New Roman" w:hAnsi="Times New Roman"/>
          <w:sz w:val="18"/>
          <w:szCs w:val="18"/>
          <w:color w:val="auto"/>
        </w:rPr>
      </w:pPr>
    </w:p>
    <w:p>
      <w:pPr>
        <w:ind w:left="720" w:hanging="311"/>
        <w:spacing w:after="0"/>
        <w:tabs>
          <w:tab w:leader="none" w:pos="7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4.0 stars will result in no increase or decrease in each NEO’s aggregate bonus (i.e., payment of the 25% holdback will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ind w:left="720" w:hanging="311"/>
        <w:spacing w:after="0"/>
        <w:tabs>
          <w:tab w:leader="none" w:pos="7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4.5 stars will result in a 35% increase in each NEO’s aggregate bonus; and</w:t>
      </w:r>
    </w:p>
    <w:p>
      <w:pPr>
        <w:spacing w:after="0" w:line="183" w:lineRule="exact"/>
        <w:rPr>
          <w:rFonts w:ascii="Times New Roman" w:cs="Times New Roman" w:eastAsia="Times New Roman" w:hAnsi="Times New Roman"/>
          <w:sz w:val="18"/>
          <w:szCs w:val="18"/>
          <w:color w:val="auto"/>
        </w:rPr>
      </w:pPr>
    </w:p>
    <w:p>
      <w:pPr>
        <w:ind w:left="720" w:hanging="311"/>
        <w:spacing w:after="0"/>
        <w:tabs>
          <w:tab w:leader="none" w:pos="7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5.0 stars will result in a 35% increase in each NEO’s aggregate bonus.</w:t>
      </w:r>
    </w:p>
    <w:p>
      <w:pPr>
        <w:spacing w:after="0" w:line="19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i w:val="1"/>
          <w:iCs w:val="1"/>
          <w:color w:val="auto"/>
        </w:rPr>
        <w:t>Discretionary Awards</w:t>
      </w:r>
      <w:r>
        <w:rPr>
          <w:rFonts w:ascii="Arial" w:cs="Arial" w:eastAsia="Arial" w:hAnsi="Arial"/>
          <w:sz w:val="18"/>
          <w:szCs w:val="18"/>
          <w:color w:val="auto"/>
        </w:rPr>
        <w:t>. In addition to the annual incentive payouts indicated above, the Compensation Committee determined that an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discretionary bonus to certain executives was warranted recognizing their individual contributions to achieve above-target membership growth and financial results. Discretionary bonus amounts are as follows and were paid in the form of immediately vested shares of common stock. The discretionary bonuses are further explained in the Summary Compensation Table.</w:t>
      </w:r>
    </w:p>
    <w:p>
      <w:pPr>
        <w:spacing w:after="0" w:line="181" w:lineRule="exact"/>
        <w:rPr>
          <w:sz w:val="20"/>
          <w:szCs w:val="20"/>
          <w:color w:val="auto"/>
        </w:rPr>
      </w:pPr>
    </w:p>
    <w:tbl>
      <w:tblPr>
        <w:tblLayout w:type="fixed"/>
        <w:tblInd w:w="2940" w:type="dxa"/>
        <w:tblCellMar>
          <w:top w:w="0" w:type="dxa"/>
          <w:left w:w="0" w:type="dxa"/>
          <w:bottom w:w="0" w:type="dxa"/>
          <w:right w:w="0" w:type="dxa"/>
        </w:tblCellMar>
      </w:tblPr>
      <w:tr>
        <w:trPr>
          <w:trHeight w:val="217"/>
        </w:trPr>
        <w:tc>
          <w:tcPr>
            <w:tcW w:w="27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Officer</w:t>
            </w:r>
          </w:p>
        </w:tc>
        <w:tc>
          <w:tcPr>
            <w:tcW w:w="2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Discretionary Bonus</w:t>
            </w:r>
          </w:p>
        </w:tc>
      </w:tr>
      <w:tr>
        <w:trPr>
          <w:trHeight w:val="230"/>
        </w:trPr>
        <w:tc>
          <w:tcPr>
            <w:tcW w:w="2700" w:type="dxa"/>
            <w:vAlign w:val="bottom"/>
            <w:tcBorders>
              <w:bottom w:val="single" w:sz="8" w:color="95B3D7"/>
              <w:right w:val="single" w:sz="8" w:color="95B3D7"/>
            </w:tcBorders>
            <w:shd w:val="clear" w:color="auto" w:fill="DBE5F1"/>
          </w:tcPr>
          <w:p>
            <w:pPr>
              <w:ind w:left="20"/>
              <w:spacing w:after="0"/>
              <w:rPr>
                <w:sz w:val="20"/>
                <w:szCs w:val="20"/>
                <w:color w:val="auto"/>
              </w:rPr>
            </w:pPr>
            <w:r>
              <w:rPr>
                <w:rFonts w:ascii="Arial" w:cs="Arial" w:eastAsia="Arial" w:hAnsi="Arial"/>
                <w:sz w:val="16"/>
                <w:szCs w:val="16"/>
                <w:color w:val="auto"/>
              </w:rPr>
              <w:t>John Kao</w:t>
            </w:r>
          </w:p>
        </w:tc>
        <w:tc>
          <w:tcPr>
            <w:tcW w:w="2680" w:type="dxa"/>
            <w:vAlign w:val="bottom"/>
            <w:tcBorders>
              <w:bottom w:val="single" w:sz="8" w:color="95B3D7"/>
            </w:tcBorders>
            <w:shd w:val="clear" w:color="auto" w:fill="DBE5F1"/>
          </w:tcPr>
          <w:p>
            <w:pPr>
              <w:jc w:val="right"/>
              <w:ind w:right="279"/>
              <w:spacing w:after="0"/>
              <w:rPr>
                <w:sz w:val="20"/>
                <w:szCs w:val="20"/>
                <w:color w:val="auto"/>
              </w:rPr>
            </w:pPr>
            <w:r>
              <w:rPr>
                <w:rFonts w:ascii="Arial" w:cs="Arial" w:eastAsia="Arial" w:hAnsi="Arial"/>
                <w:sz w:val="16"/>
                <w:szCs w:val="16"/>
                <w:color w:val="auto"/>
              </w:rPr>
              <w:t>$1,000,000</w:t>
            </w:r>
          </w:p>
        </w:tc>
      </w:tr>
      <w:tr>
        <w:trPr>
          <w:trHeight w:val="228"/>
        </w:trPr>
        <w:tc>
          <w:tcPr>
            <w:tcW w:w="2700" w:type="dxa"/>
            <w:vAlign w:val="bottom"/>
            <w:tcBorders>
              <w:right w:val="single" w:sz="8" w:color="95B3D7"/>
            </w:tcBorders>
          </w:tcPr>
          <w:p>
            <w:pPr>
              <w:ind w:left="20"/>
              <w:spacing w:after="0"/>
              <w:rPr>
                <w:sz w:val="20"/>
                <w:szCs w:val="20"/>
                <w:color w:val="auto"/>
              </w:rPr>
            </w:pPr>
            <w:r>
              <w:rPr>
                <w:rFonts w:ascii="Arial" w:cs="Arial" w:eastAsia="Arial" w:hAnsi="Arial"/>
                <w:sz w:val="16"/>
                <w:szCs w:val="16"/>
                <w:color w:val="auto"/>
              </w:rPr>
              <w:t>Thomas Freeman</w:t>
            </w:r>
          </w:p>
        </w:tc>
        <w:tc>
          <w:tcPr>
            <w:tcW w:w="2680" w:type="dxa"/>
            <w:vAlign w:val="bottom"/>
          </w:tcPr>
          <w:p>
            <w:pPr>
              <w:jc w:val="right"/>
              <w:ind w:right="279"/>
              <w:spacing w:after="0"/>
              <w:rPr>
                <w:sz w:val="20"/>
                <w:szCs w:val="20"/>
                <w:color w:val="auto"/>
              </w:rPr>
            </w:pPr>
            <w:r>
              <w:rPr>
                <w:rFonts w:ascii="Arial" w:cs="Arial" w:eastAsia="Arial" w:hAnsi="Arial"/>
                <w:sz w:val="16"/>
                <w:szCs w:val="16"/>
                <w:color w:val="auto"/>
              </w:rPr>
              <w:t>$500,000</w:t>
            </w:r>
          </w:p>
        </w:tc>
      </w:tr>
      <w:tr>
        <w:trPr>
          <w:trHeight w:val="29"/>
        </w:trPr>
        <w:tc>
          <w:tcPr>
            <w:tcW w:w="2700" w:type="dxa"/>
            <w:vAlign w:val="bottom"/>
            <w:tcBorders>
              <w:bottom w:val="single" w:sz="8" w:color="95B3D7"/>
              <w:right w:val="single" w:sz="8" w:color="95B3D7"/>
            </w:tcBorders>
          </w:tcPr>
          <w:p>
            <w:pPr>
              <w:spacing w:after="0"/>
              <w:rPr>
                <w:sz w:val="2"/>
                <w:szCs w:val="2"/>
                <w:color w:val="auto"/>
              </w:rPr>
            </w:pPr>
          </w:p>
        </w:tc>
        <w:tc>
          <w:tcPr>
            <w:tcW w:w="2680" w:type="dxa"/>
            <w:vAlign w:val="bottom"/>
            <w:tcBorders>
              <w:bottom w:val="single" w:sz="8" w:color="95B3D7"/>
            </w:tcBorders>
          </w:tcPr>
          <w:p>
            <w:pPr>
              <w:spacing w:after="0"/>
              <w:rPr>
                <w:sz w:val="2"/>
                <w:szCs w:val="2"/>
                <w:color w:val="auto"/>
              </w:rPr>
            </w:pPr>
          </w:p>
        </w:tc>
      </w:tr>
      <w:tr>
        <w:trPr>
          <w:trHeight w:val="230"/>
        </w:trPr>
        <w:tc>
          <w:tcPr>
            <w:tcW w:w="2700" w:type="dxa"/>
            <w:vAlign w:val="bottom"/>
            <w:tcBorders>
              <w:bottom w:val="single" w:sz="8" w:color="DBE5F1"/>
              <w:right w:val="single" w:sz="8" w:color="95B3D7"/>
            </w:tcBorders>
            <w:shd w:val="clear" w:color="auto" w:fill="DBE5F1"/>
          </w:tcPr>
          <w:p>
            <w:pPr>
              <w:ind w:left="20"/>
              <w:spacing w:after="0"/>
              <w:rPr>
                <w:sz w:val="20"/>
                <w:szCs w:val="20"/>
                <w:color w:val="auto"/>
              </w:rPr>
            </w:pPr>
            <w:r>
              <w:rPr>
                <w:rFonts w:ascii="Arial" w:cs="Arial" w:eastAsia="Arial" w:hAnsi="Arial"/>
                <w:sz w:val="16"/>
                <w:szCs w:val="16"/>
                <w:color w:val="auto"/>
              </w:rPr>
              <w:t>Dawn Maroney</w:t>
            </w:r>
          </w:p>
        </w:tc>
        <w:tc>
          <w:tcPr>
            <w:tcW w:w="2680" w:type="dxa"/>
            <w:vAlign w:val="bottom"/>
            <w:tcBorders>
              <w:bottom w:val="single" w:sz="8" w:color="DBE5F1"/>
            </w:tcBorders>
            <w:shd w:val="clear" w:color="auto" w:fill="DBE5F1"/>
          </w:tcPr>
          <w:p>
            <w:pPr>
              <w:jc w:val="right"/>
              <w:ind w:right="279"/>
              <w:spacing w:after="0"/>
              <w:rPr>
                <w:sz w:val="20"/>
                <w:szCs w:val="20"/>
                <w:color w:val="auto"/>
              </w:rPr>
            </w:pPr>
            <w:r>
              <w:rPr>
                <w:rFonts w:ascii="Arial" w:cs="Arial" w:eastAsia="Arial" w:hAnsi="Arial"/>
                <w:sz w:val="16"/>
                <w:szCs w:val="16"/>
                <w:color w:val="auto"/>
              </w:rPr>
              <w:t>$500,000</w:t>
            </w:r>
          </w:p>
        </w:tc>
      </w:tr>
      <w:tr>
        <w:trPr>
          <w:trHeight w:val="20"/>
        </w:trPr>
        <w:tc>
          <w:tcPr>
            <w:tcW w:w="2700" w:type="dxa"/>
            <w:vAlign w:val="bottom"/>
            <w:tcBorders>
              <w:right w:val="single" w:sz="8" w:color="95B3D7"/>
            </w:tcBorders>
            <w:shd w:val="clear" w:color="auto" w:fill="95B3D7"/>
          </w:tcPr>
          <w:p>
            <w:pPr>
              <w:spacing w:after="0" w:line="20" w:lineRule="exact"/>
              <w:rPr>
                <w:sz w:val="1"/>
                <w:szCs w:val="1"/>
                <w:color w:val="auto"/>
              </w:rPr>
            </w:pPr>
          </w:p>
        </w:tc>
        <w:tc>
          <w:tcPr>
            <w:tcW w:w="2680" w:type="dxa"/>
            <w:vAlign w:val="bottom"/>
            <w:shd w:val="clear" w:color="auto" w:fill="95B3D7"/>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Long-Term Equity Incentives</w:t>
      </w:r>
    </w:p>
    <w:p>
      <w:pPr>
        <w:spacing w:after="0" w:line="223" w:lineRule="exact"/>
        <w:rPr>
          <w:sz w:val="20"/>
          <w:szCs w:val="20"/>
          <w:color w:val="auto"/>
        </w:rPr>
      </w:pPr>
    </w:p>
    <w:p>
      <w:pPr>
        <w:jc w:val="both"/>
        <w:ind w:firstLine="401"/>
        <w:spacing w:after="0" w:line="268" w:lineRule="auto"/>
        <w:rPr>
          <w:sz w:val="20"/>
          <w:szCs w:val="20"/>
          <w:color w:val="auto"/>
        </w:rPr>
      </w:pPr>
      <w:r>
        <w:rPr>
          <w:rFonts w:ascii="Arial" w:cs="Arial" w:eastAsia="Arial" w:hAnsi="Arial"/>
          <w:sz w:val="18"/>
          <w:szCs w:val="18"/>
          <w:color w:val="auto"/>
        </w:rPr>
        <w:t>The Company’s long-term equity incentive program is designed to provide a portion of our executives’ compensation opportunity in equity-based instruments. We believe that long-term equity compensation is key to assuring our executives’ interests are aligned with those of our stockholders.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1F497D"/>
        </w:rPr>
        <w:t>2024 Equity Awards</w:t>
      </w:r>
    </w:p>
    <w:p>
      <w:pPr>
        <w:spacing w:after="0" w:line="223" w:lineRule="exact"/>
        <w:rPr>
          <w:sz w:val="20"/>
          <w:szCs w:val="20"/>
          <w:color w:val="auto"/>
        </w:rPr>
      </w:pPr>
    </w:p>
    <w:p>
      <w:pPr>
        <w:jc w:val="both"/>
        <w:ind w:firstLine="401"/>
        <w:spacing w:after="0" w:line="262" w:lineRule="auto"/>
        <w:rPr>
          <w:sz w:val="20"/>
          <w:szCs w:val="20"/>
          <w:color w:val="auto"/>
        </w:rPr>
      </w:pPr>
      <w:r>
        <w:rPr>
          <w:rFonts w:ascii="Arial" w:cs="Arial" w:eastAsia="Arial" w:hAnsi="Arial"/>
          <w:sz w:val="18"/>
          <w:szCs w:val="18"/>
          <w:color w:val="auto"/>
        </w:rPr>
        <w:t>In March 2024, the Compensation Committee and Board approved the award of the March 2024 Equity Awards to the NEOs under the Company’s 2021 Equity Incentive Plan (the “Plan”). In light of the Company’s retention objectives given competition for talent in the health care space, together with the preference of our stockholders to continue to see a strong focus on performance-based equity compensation, the Compensation Committee approved long-term incentive grants for 2024 using 50% RSUs and 50% PSUs.</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shows the RSU awards granted for fiscal year 2024 for each of the NEOs:</w:t>
      </w:r>
    </w:p>
    <w:p>
      <w:pPr>
        <w:spacing w:after="0" w:line="230" w:lineRule="exact"/>
        <w:rPr>
          <w:sz w:val="20"/>
          <w:szCs w:val="20"/>
          <w:color w:val="auto"/>
        </w:rPr>
      </w:pPr>
    </w:p>
    <w:tbl>
      <w:tblPr>
        <w:tblLayout w:type="fixed"/>
        <w:tblInd w:w="2240" w:type="dxa"/>
        <w:tblCellMar>
          <w:top w:w="0" w:type="dxa"/>
          <w:left w:w="0" w:type="dxa"/>
          <w:bottom w:w="0" w:type="dxa"/>
          <w:right w:w="0" w:type="dxa"/>
        </w:tblCellMar>
      </w:tblPr>
      <w:tr>
        <w:trPr>
          <w:trHeight w:val="217"/>
        </w:trPr>
        <w:tc>
          <w:tcPr>
            <w:tcW w:w="22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RSUs (#)</w:t>
            </w:r>
          </w:p>
        </w:tc>
        <w:tc>
          <w:tcPr>
            <w:tcW w:w="226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RSUs ($ Value)</w:t>
            </w:r>
          </w:p>
        </w:tc>
      </w:tr>
      <w:tr>
        <w:trPr>
          <w:trHeight w:val="237"/>
        </w:trPr>
        <w:tc>
          <w:tcPr>
            <w:tcW w:w="226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John Kao</w:t>
            </w:r>
          </w:p>
        </w:tc>
        <w:tc>
          <w:tcPr>
            <w:tcW w:w="226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330,000</w:t>
            </w:r>
          </w:p>
        </w:tc>
        <w:tc>
          <w:tcPr>
            <w:tcW w:w="2260" w:type="dxa"/>
            <w:vAlign w:val="bottom"/>
            <w:shd w:val="clear" w:color="auto" w:fill="DBE5F1"/>
          </w:tcPr>
          <w:p>
            <w:pPr>
              <w:jc w:val="center"/>
              <w:spacing w:after="0"/>
              <w:rPr>
                <w:sz w:val="20"/>
                <w:szCs w:val="20"/>
                <w:color w:val="auto"/>
              </w:rPr>
            </w:pPr>
            <w:r>
              <w:rPr>
                <w:rFonts w:ascii="Arial" w:cs="Arial" w:eastAsia="Arial" w:hAnsi="Arial"/>
                <w:sz w:val="16"/>
                <w:szCs w:val="16"/>
                <w:color w:val="auto"/>
              </w:rPr>
              <w:t>1,650,000</w:t>
            </w:r>
          </w:p>
        </w:tc>
      </w:tr>
      <w:tr>
        <w:trPr>
          <w:trHeight w:val="235"/>
        </w:trPr>
        <w:tc>
          <w:tcPr>
            <w:tcW w:w="2260" w:type="dxa"/>
            <w:vAlign w:val="bottom"/>
            <w:tcBorders>
              <w:right w:val="single" w:sz="8" w:color="95B3D7"/>
            </w:tcBorders>
          </w:tcPr>
          <w:p>
            <w:pPr>
              <w:ind w:left="80"/>
              <w:spacing w:after="0"/>
              <w:rPr>
                <w:sz w:val="20"/>
                <w:szCs w:val="20"/>
                <w:color w:val="auto"/>
              </w:rPr>
            </w:pPr>
            <w:r>
              <w:rPr>
                <w:rFonts w:ascii="Arial" w:cs="Arial" w:eastAsia="Arial" w:hAnsi="Arial"/>
                <w:sz w:val="16"/>
                <w:szCs w:val="16"/>
                <w:color w:val="auto"/>
              </w:rPr>
              <w:t>Thomas Freeman</w:t>
            </w:r>
          </w:p>
        </w:tc>
        <w:tc>
          <w:tcPr>
            <w:tcW w:w="226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rPr>
              <w:t>110,000</w:t>
            </w:r>
          </w:p>
        </w:tc>
        <w:tc>
          <w:tcPr>
            <w:tcW w:w="2260" w:type="dxa"/>
            <w:vAlign w:val="bottom"/>
          </w:tcPr>
          <w:p>
            <w:pPr>
              <w:jc w:val="center"/>
              <w:spacing w:after="0"/>
              <w:rPr>
                <w:sz w:val="20"/>
                <w:szCs w:val="20"/>
                <w:color w:val="auto"/>
              </w:rPr>
            </w:pPr>
            <w:r>
              <w:rPr>
                <w:rFonts w:ascii="Arial" w:cs="Arial" w:eastAsia="Arial" w:hAnsi="Arial"/>
                <w:sz w:val="16"/>
                <w:szCs w:val="16"/>
                <w:color w:val="auto"/>
              </w:rPr>
              <w:t>550,000</w:t>
            </w:r>
          </w:p>
        </w:tc>
      </w:tr>
      <w:tr>
        <w:trPr>
          <w:trHeight w:val="251"/>
        </w:trPr>
        <w:tc>
          <w:tcPr>
            <w:tcW w:w="226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Dawn Maroney</w:t>
            </w:r>
          </w:p>
        </w:tc>
        <w:tc>
          <w:tcPr>
            <w:tcW w:w="226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130,000</w:t>
            </w:r>
          </w:p>
        </w:tc>
        <w:tc>
          <w:tcPr>
            <w:tcW w:w="2260" w:type="dxa"/>
            <w:vAlign w:val="bottom"/>
            <w:shd w:val="clear" w:color="auto" w:fill="DBE5F1"/>
          </w:tcPr>
          <w:p>
            <w:pPr>
              <w:jc w:val="center"/>
              <w:spacing w:after="0"/>
              <w:rPr>
                <w:sz w:val="20"/>
                <w:szCs w:val="20"/>
                <w:color w:val="auto"/>
              </w:rPr>
            </w:pPr>
            <w:r>
              <w:rPr>
                <w:rFonts w:ascii="Arial" w:cs="Arial" w:eastAsia="Arial" w:hAnsi="Arial"/>
                <w:sz w:val="16"/>
                <w:szCs w:val="16"/>
                <w:color w:val="auto"/>
              </w:rPr>
              <w:t>650,000</w:t>
            </w:r>
          </w:p>
        </w:tc>
      </w:tr>
      <w:tr>
        <w:trPr>
          <w:trHeight w:val="243"/>
        </w:trPr>
        <w:tc>
          <w:tcPr>
            <w:tcW w:w="2260" w:type="dxa"/>
            <w:vAlign w:val="bottom"/>
            <w:tcBorders>
              <w:right w:val="single" w:sz="8" w:color="95B3D7"/>
            </w:tcBorders>
          </w:tcPr>
          <w:p>
            <w:pPr>
              <w:ind w:left="60"/>
              <w:spacing w:after="0"/>
              <w:rPr>
                <w:sz w:val="20"/>
                <w:szCs w:val="20"/>
                <w:color w:val="auto"/>
              </w:rPr>
            </w:pPr>
            <w:r>
              <w:rPr>
                <w:rFonts w:ascii="Arial" w:cs="Arial" w:eastAsia="Arial" w:hAnsi="Arial"/>
                <w:sz w:val="16"/>
                <w:szCs w:val="16"/>
                <w:color w:val="auto"/>
              </w:rPr>
              <w:t>Hyong (Ken) Kim, M.D.</w:t>
            </w:r>
          </w:p>
        </w:tc>
        <w:tc>
          <w:tcPr>
            <w:tcW w:w="226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rPr>
              <w:t>140,000</w:t>
            </w:r>
          </w:p>
        </w:tc>
        <w:tc>
          <w:tcPr>
            <w:tcW w:w="2260" w:type="dxa"/>
            <w:vAlign w:val="bottom"/>
          </w:tcPr>
          <w:p>
            <w:pPr>
              <w:jc w:val="center"/>
              <w:spacing w:after="0"/>
              <w:rPr>
                <w:sz w:val="20"/>
                <w:szCs w:val="20"/>
                <w:color w:val="auto"/>
              </w:rPr>
            </w:pPr>
            <w:r>
              <w:rPr>
                <w:rFonts w:ascii="Arial" w:cs="Arial" w:eastAsia="Arial" w:hAnsi="Arial"/>
                <w:sz w:val="16"/>
                <w:szCs w:val="16"/>
                <w:color w:val="auto"/>
              </w:rPr>
              <w:t>700,000</w:t>
            </w:r>
          </w:p>
        </w:tc>
      </w:tr>
      <w:tr>
        <w:trPr>
          <w:trHeight w:val="243"/>
        </w:trPr>
        <w:tc>
          <w:tcPr>
            <w:tcW w:w="2260" w:type="dxa"/>
            <w:vAlign w:val="bottom"/>
            <w:tcBorders>
              <w:right w:val="single" w:sz="8" w:color="DBE5F1"/>
            </w:tcBorders>
            <w:shd w:val="clear" w:color="auto" w:fill="DBE5F1"/>
          </w:tcPr>
          <w:p>
            <w:pPr>
              <w:ind w:left="60"/>
              <w:spacing w:after="0"/>
              <w:rPr>
                <w:sz w:val="20"/>
                <w:szCs w:val="20"/>
                <w:color w:val="auto"/>
              </w:rPr>
            </w:pPr>
            <w:r>
              <w:rPr>
                <w:rFonts w:ascii="Arial" w:cs="Arial" w:eastAsia="Arial" w:hAnsi="Arial"/>
                <w:sz w:val="16"/>
                <w:szCs w:val="16"/>
                <w:color w:val="auto"/>
              </w:rPr>
              <w:t>Andreas Wagner</w:t>
            </w:r>
          </w:p>
        </w:tc>
        <w:tc>
          <w:tcPr>
            <w:tcW w:w="2260" w:type="dxa"/>
            <w:vAlign w:val="bottom"/>
            <w:tcBorders>
              <w:bottom w:val="single" w:sz="8" w:color="95B3D7"/>
              <w:right w:val="single" w:sz="8" w:color="95B3D7"/>
            </w:tcBorders>
            <w:shd w:val="clear" w:color="auto" w:fill="DBE5F1"/>
          </w:tcPr>
          <w:p>
            <w:pPr>
              <w:jc w:val="right"/>
              <w:ind w:right="619"/>
              <w:spacing w:after="0"/>
              <w:rPr>
                <w:sz w:val="20"/>
                <w:szCs w:val="20"/>
                <w:color w:val="auto"/>
              </w:rPr>
            </w:pPr>
            <w:r>
              <w:rPr>
                <w:rFonts w:ascii="Arial" w:cs="Arial" w:eastAsia="Arial" w:hAnsi="Arial"/>
                <w:sz w:val="16"/>
                <w:szCs w:val="16"/>
                <w:color w:val="auto"/>
              </w:rPr>
              <w:t>60,000</w:t>
            </w:r>
            <w:r>
              <w:rPr>
                <w:rFonts w:ascii="Arial" w:cs="Arial" w:eastAsia="Arial" w:hAnsi="Arial"/>
                <w:sz w:val="21"/>
                <w:szCs w:val="21"/>
                <w:color w:val="auto"/>
                <w:vertAlign w:val="superscript"/>
              </w:rPr>
              <w:t>(1)</w:t>
            </w:r>
          </w:p>
        </w:tc>
        <w:tc>
          <w:tcPr>
            <w:tcW w:w="2260" w:type="dxa"/>
            <w:vAlign w:val="bottom"/>
            <w:tcBorders>
              <w:bottom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300,000</w:t>
            </w:r>
          </w:p>
        </w:tc>
      </w:tr>
    </w:tbl>
    <w:p>
      <w:pPr>
        <w:spacing w:after="0" w:line="301" w:lineRule="exact"/>
        <w:rPr>
          <w:sz w:val="20"/>
          <w:szCs w:val="20"/>
          <w:color w:val="auto"/>
        </w:rPr>
      </w:pPr>
    </w:p>
    <w:p>
      <w:pPr>
        <w:ind w:left="900" w:hanging="325"/>
        <w:spacing w:after="0" w:line="305" w:lineRule="auto"/>
        <w:tabs>
          <w:tab w:leader="none" w:pos="933" w:val="left"/>
        </w:tabs>
        <w:numPr>
          <w:ilvl w:val="0"/>
          <w:numId w:val="43"/>
        </w:numPr>
        <w:rPr>
          <w:rFonts w:ascii="Arial" w:cs="Arial" w:eastAsia="Arial" w:hAnsi="Arial"/>
          <w:sz w:val="14"/>
          <w:szCs w:val="14"/>
          <w:color w:val="auto"/>
        </w:rPr>
      </w:pPr>
      <w:r>
        <w:rPr>
          <w:rFonts w:ascii="Arial" w:cs="Arial" w:eastAsia="Arial" w:hAnsi="Arial"/>
          <w:sz w:val="14"/>
          <w:szCs w:val="14"/>
          <w:color w:val="auto"/>
        </w:rPr>
        <w:t>Amount reflects the regular annual equity award granted in March 2024. In January 2024, Mr. Wagner also received a one-time sign-on grant of 155,785 RSUs, which vest in four equal installments on each of the first four anniversaries of the grant date.</w:t>
      </w:r>
    </w:p>
    <w:p>
      <w:pPr>
        <w:spacing w:after="0" w:line="108"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With respect to the March 2024 PSUs, the NEOs are eligible to vest in a number of PSUs ranging from 0% to 200% of the target number of PSUs granted, based on the aggregate achievement by the Company of certain performance metrics (described below) during the fiscal year ended December 31, 2026 (the “Measurement Period”), with threshold, target and maximum goals for each performance metric set by the Compensation Committee. The Compensation Committee chose to grant these PSUs with a three-year time-based vesting period and fiscal year 2026 Measurement Period to incentivize long-term value creation and reward pay-for-performance. To the extent earned, shares will fully vest upon certification of results by the Committee (expected on or about February 28, 2027), subject to each grantee's continued employment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8" w:name="page59"/>
    <w:bookmarkEnd w:id="58"/>
    <w:p>
      <w:pPr>
        <w:ind w:left="500"/>
        <w:spacing w:after="0"/>
        <w:rPr>
          <w:sz w:val="20"/>
          <w:szCs w:val="20"/>
          <w:color w:val="auto"/>
        </w:rPr>
      </w:pPr>
      <w:r>
        <w:rPr>
          <w:rFonts w:ascii="Arial" w:cs="Arial" w:eastAsia="Arial" w:hAnsi="Arial"/>
          <w:sz w:val="18"/>
          <w:szCs w:val="18"/>
          <w:color w:val="auto"/>
        </w:rPr>
        <w:t>The table below shows the target PSU awards granted for fiscal year 2024 for each of the NEOs:</w:t>
      </w:r>
    </w:p>
    <w:p>
      <w:pPr>
        <w:spacing w:after="0" w:line="81" w:lineRule="exact"/>
        <w:rPr>
          <w:sz w:val="20"/>
          <w:szCs w:val="20"/>
          <w:color w:val="auto"/>
        </w:rPr>
      </w:pPr>
    </w:p>
    <w:tbl>
      <w:tblPr>
        <w:tblLayout w:type="fixed"/>
        <w:tblInd w:w="1920" w:type="dxa"/>
        <w:tblCellMar>
          <w:top w:w="0" w:type="dxa"/>
          <w:left w:w="0" w:type="dxa"/>
          <w:bottom w:w="0" w:type="dxa"/>
          <w:right w:w="0" w:type="dxa"/>
        </w:tblCellMar>
      </w:tblPr>
      <w:tr>
        <w:trPr>
          <w:trHeight w:val="217"/>
        </w:trPr>
        <w:tc>
          <w:tcPr>
            <w:tcW w:w="24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w:t>
            </w:r>
          </w:p>
        </w:tc>
        <w:tc>
          <w:tcPr>
            <w:tcW w:w="250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PSUs at Target (#)</w:t>
            </w:r>
          </w:p>
        </w:tc>
        <w:tc>
          <w:tcPr>
            <w:tcW w:w="246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PSUs at Target ($ Value)</w:t>
            </w:r>
          </w:p>
        </w:tc>
      </w:tr>
      <w:tr>
        <w:trPr>
          <w:trHeight w:val="230"/>
        </w:trPr>
        <w:tc>
          <w:tcPr>
            <w:tcW w:w="2460" w:type="dxa"/>
            <w:vAlign w:val="bottom"/>
            <w:tcBorders>
              <w:bottom w:val="single" w:sz="8" w:color="95B3D7"/>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John Kao</w:t>
            </w:r>
          </w:p>
        </w:tc>
        <w:tc>
          <w:tcPr>
            <w:tcW w:w="250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330,000</w:t>
            </w:r>
          </w:p>
        </w:tc>
        <w:tc>
          <w:tcPr>
            <w:tcW w:w="2460" w:type="dxa"/>
            <w:vAlign w:val="bottom"/>
            <w:tcBorders>
              <w:bottom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1,650,000</w:t>
            </w:r>
          </w:p>
        </w:tc>
      </w:tr>
      <w:tr>
        <w:trPr>
          <w:trHeight w:val="237"/>
        </w:trPr>
        <w:tc>
          <w:tcPr>
            <w:tcW w:w="2460" w:type="dxa"/>
            <w:vAlign w:val="bottom"/>
            <w:tcBorders>
              <w:bottom w:val="single" w:sz="8" w:color="95B3D7"/>
              <w:right w:val="single" w:sz="8" w:color="95B3D7"/>
            </w:tcBorders>
          </w:tcPr>
          <w:p>
            <w:pPr>
              <w:ind w:left="60"/>
              <w:spacing w:after="0"/>
              <w:rPr>
                <w:sz w:val="20"/>
                <w:szCs w:val="20"/>
                <w:color w:val="auto"/>
              </w:rPr>
            </w:pPr>
            <w:r>
              <w:rPr>
                <w:rFonts w:ascii="Arial" w:cs="Arial" w:eastAsia="Arial" w:hAnsi="Arial"/>
                <w:sz w:val="16"/>
                <w:szCs w:val="16"/>
                <w:color w:val="auto"/>
              </w:rPr>
              <w:t>Thomas Freeman</w:t>
            </w:r>
          </w:p>
        </w:tc>
        <w:tc>
          <w:tcPr>
            <w:tcW w:w="250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6"/>
                <w:szCs w:val="16"/>
                <w:color w:val="auto"/>
              </w:rPr>
              <w:t>110,000</w:t>
            </w:r>
          </w:p>
        </w:tc>
        <w:tc>
          <w:tcPr>
            <w:tcW w:w="2460" w:type="dxa"/>
            <w:vAlign w:val="bottom"/>
            <w:tcBorders>
              <w:bottom w:val="single" w:sz="8" w:color="95B3D7"/>
            </w:tcBorders>
          </w:tcPr>
          <w:p>
            <w:pPr>
              <w:jc w:val="center"/>
              <w:spacing w:after="0"/>
              <w:rPr>
                <w:sz w:val="20"/>
                <w:szCs w:val="20"/>
                <w:color w:val="auto"/>
              </w:rPr>
            </w:pPr>
            <w:r>
              <w:rPr>
                <w:rFonts w:ascii="Arial" w:cs="Arial" w:eastAsia="Arial" w:hAnsi="Arial"/>
                <w:sz w:val="16"/>
                <w:szCs w:val="16"/>
                <w:color w:val="auto"/>
              </w:rPr>
              <w:t>550,000</w:t>
            </w:r>
          </w:p>
        </w:tc>
      </w:tr>
      <w:tr>
        <w:trPr>
          <w:trHeight w:val="236"/>
        </w:trPr>
        <w:tc>
          <w:tcPr>
            <w:tcW w:w="2460" w:type="dxa"/>
            <w:vAlign w:val="bottom"/>
            <w:tcBorders>
              <w:bottom w:val="single" w:sz="8" w:color="95B3D7"/>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Dawn Maroney</w:t>
            </w:r>
          </w:p>
        </w:tc>
        <w:tc>
          <w:tcPr>
            <w:tcW w:w="250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130,000</w:t>
            </w:r>
          </w:p>
        </w:tc>
        <w:tc>
          <w:tcPr>
            <w:tcW w:w="2460" w:type="dxa"/>
            <w:vAlign w:val="bottom"/>
            <w:tcBorders>
              <w:bottom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650,000</w:t>
            </w:r>
          </w:p>
        </w:tc>
      </w:tr>
      <w:tr>
        <w:trPr>
          <w:trHeight w:val="237"/>
        </w:trPr>
        <w:tc>
          <w:tcPr>
            <w:tcW w:w="2460" w:type="dxa"/>
            <w:vAlign w:val="bottom"/>
            <w:tcBorders>
              <w:bottom w:val="single" w:sz="8" w:color="95B3D7"/>
              <w:right w:val="single" w:sz="8" w:color="95B3D7"/>
            </w:tcBorders>
          </w:tcPr>
          <w:p>
            <w:pPr>
              <w:ind w:left="60"/>
              <w:spacing w:after="0"/>
              <w:rPr>
                <w:sz w:val="20"/>
                <w:szCs w:val="20"/>
                <w:color w:val="auto"/>
              </w:rPr>
            </w:pPr>
            <w:r>
              <w:rPr>
                <w:rFonts w:ascii="Arial" w:cs="Arial" w:eastAsia="Arial" w:hAnsi="Arial"/>
                <w:sz w:val="16"/>
                <w:szCs w:val="16"/>
                <w:color w:val="auto"/>
              </w:rPr>
              <w:t>Hyong (Ken) Kim, M.D.</w:t>
            </w:r>
          </w:p>
        </w:tc>
        <w:tc>
          <w:tcPr>
            <w:tcW w:w="250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6"/>
                <w:szCs w:val="16"/>
                <w:color w:val="auto"/>
              </w:rPr>
              <w:t>140,000</w:t>
            </w:r>
          </w:p>
        </w:tc>
        <w:tc>
          <w:tcPr>
            <w:tcW w:w="2460" w:type="dxa"/>
            <w:vAlign w:val="bottom"/>
            <w:tcBorders>
              <w:bottom w:val="single" w:sz="8" w:color="95B3D7"/>
            </w:tcBorders>
          </w:tcPr>
          <w:p>
            <w:pPr>
              <w:jc w:val="center"/>
              <w:spacing w:after="0"/>
              <w:rPr>
                <w:sz w:val="20"/>
                <w:szCs w:val="20"/>
                <w:color w:val="auto"/>
              </w:rPr>
            </w:pPr>
            <w:r>
              <w:rPr>
                <w:rFonts w:ascii="Arial" w:cs="Arial" w:eastAsia="Arial" w:hAnsi="Arial"/>
                <w:sz w:val="16"/>
                <w:szCs w:val="16"/>
                <w:color w:val="auto"/>
              </w:rPr>
              <w:t>700,000</w:t>
            </w:r>
          </w:p>
        </w:tc>
      </w:tr>
      <w:tr>
        <w:trPr>
          <w:trHeight w:val="242"/>
        </w:trPr>
        <w:tc>
          <w:tcPr>
            <w:tcW w:w="2460" w:type="dxa"/>
            <w:vAlign w:val="bottom"/>
            <w:tcBorders>
              <w:bottom w:val="single" w:sz="8" w:color="95B3D7"/>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Andreas Wagner</w:t>
            </w:r>
          </w:p>
        </w:tc>
        <w:tc>
          <w:tcPr>
            <w:tcW w:w="250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60,000</w:t>
            </w:r>
          </w:p>
        </w:tc>
        <w:tc>
          <w:tcPr>
            <w:tcW w:w="2460" w:type="dxa"/>
            <w:vAlign w:val="bottom"/>
            <w:tcBorders>
              <w:bottom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300,000</w:t>
            </w:r>
          </w:p>
        </w:tc>
      </w:tr>
    </w:tbl>
    <w:p>
      <w:pPr>
        <w:spacing w:after="0" w:line="29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achievement of PSUs relative to the approved target awards is based on the following performance metrics and relative weighting:</w:t>
      </w:r>
    </w:p>
    <w:p>
      <w:pPr>
        <w:spacing w:after="0" w:line="245" w:lineRule="exact"/>
        <w:rPr>
          <w:sz w:val="20"/>
          <w:szCs w:val="20"/>
          <w:color w:val="auto"/>
        </w:rPr>
      </w:pPr>
    </w:p>
    <w:tbl>
      <w:tblPr>
        <w:tblLayout w:type="fixed"/>
        <w:tblInd w:w="2660" w:type="dxa"/>
        <w:tblCellMar>
          <w:top w:w="0" w:type="dxa"/>
          <w:left w:w="0" w:type="dxa"/>
          <w:bottom w:w="0" w:type="dxa"/>
          <w:right w:w="0" w:type="dxa"/>
        </w:tblCellMar>
      </w:tblPr>
      <w:tr>
        <w:trPr>
          <w:trHeight w:val="241"/>
        </w:trPr>
        <w:tc>
          <w:tcPr>
            <w:tcW w:w="29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Performance Metric</w:t>
            </w:r>
            <w:r>
              <w:rPr>
                <w:rFonts w:ascii="Arial" w:cs="Arial" w:eastAsia="Arial" w:hAnsi="Arial"/>
                <w:sz w:val="21"/>
                <w:szCs w:val="21"/>
                <w:b w:val="1"/>
                <w:bCs w:val="1"/>
                <w:color w:val="auto"/>
                <w:vertAlign w:val="superscript"/>
              </w:rPr>
              <w:t>(1)</w:t>
            </w:r>
          </w:p>
        </w:tc>
        <w:tc>
          <w:tcPr>
            <w:tcW w:w="2940" w:type="dxa"/>
            <w:vAlign w:val="bottom"/>
            <w:tcBorders>
              <w:bottom w:val="single" w:sz="8" w:color="auto"/>
            </w:tcBorders>
          </w:tcPr>
          <w:p>
            <w:pPr>
              <w:jc w:val="right"/>
              <w:ind w:right="1013"/>
              <w:spacing w:after="0"/>
              <w:rPr>
                <w:sz w:val="20"/>
                <w:szCs w:val="20"/>
                <w:color w:val="auto"/>
              </w:rPr>
            </w:pPr>
            <w:r>
              <w:rPr>
                <w:rFonts w:ascii="Arial" w:cs="Arial" w:eastAsia="Arial" w:hAnsi="Arial"/>
                <w:sz w:val="16"/>
                <w:szCs w:val="16"/>
                <w:b w:val="1"/>
                <w:bCs w:val="1"/>
                <w:color w:val="auto"/>
              </w:rPr>
              <w:t>Weighting</w:t>
            </w:r>
          </w:p>
        </w:tc>
      </w:tr>
      <w:tr>
        <w:trPr>
          <w:trHeight w:val="237"/>
        </w:trPr>
        <w:tc>
          <w:tcPr>
            <w:tcW w:w="2980" w:type="dxa"/>
            <w:vAlign w:val="bottom"/>
            <w:tcBorders>
              <w:bottom w:val="single" w:sz="8" w:color="95B3D7"/>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Revenue</w:t>
            </w:r>
          </w:p>
        </w:tc>
        <w:tc>
          <w:tcPr>
            <w:tcW w:w="2940" w:type="dxa"/>
            <w:vAlign w:val="bottom"/>
            <w:tcBorders>
              <w:bottom w:val="single" w:sz="8" w:color="95B3D7"/>
            </w:tcBorders>
            <w:shd w:val="clear" w:color="auto" w:fill="DBE5F1"/>
          </w:tcPr>
          <w:p>
            <w:pPr>
              <w:jc w:val="right"/>
              <w:ind w:right="1293"/>
              <w:spacing w:after="0"/>
              <w:rPr>
                <w:sz w:val="20"/>
                <w:szCs w:val="20"/>
                <w:color w:val="auto"/>
              </w:rPr>
            </w:pPr>
            <w:r>
              <w:rPr>
                <w:rFonts w:ascii="Arial" w:cs="Arial" w:eastAsia="Arial" w:hAnsi="Arial"/>
                <w:sz w:val="18"/>
                <w:szCs w:val="18"/>
                <w:color w:val="auto"/>
              </w:rPr>
              <w:t>50%</w:t>
            </w:r>
          </w:p>
        </w:tc>
      </w:tr>
      <w:tr>
        <w:trPr>
          <w:trHeight w:val="237"/>
        </w:trPr>
        <w:tc>
          <w:tcPr>
            <w:tcW w:w="2980" w:type="dxa"/>
            <w:vAlign w:val="bottom"/>
            <w:tcBorders>
              <w:bottom w:val="single" w:sz="8" w:color="95B3D7"/>
              <w:right w:val="single" w:sz="8" w:color="95B3D7"/>
            </w:tcBorders>
          </w:tcPr>
          <w:p>
            <w:pPr>
              <w:ind w:left="80"/>
              <w:spacing w:after="0" w:line="237"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(2)</w:t>
            </w:r>
          </w:p>
        </w:tc>
        <w:tc>
          <w:tcPr>
            <w:tcW w:w="2940" w:type="dxa"/>
            <w:vAlign w:val="bottom"/>
            <w:tcBorders>
              <w:bottom w:val="single" w:sz="8" w:color="95B3D7"/>
            </w:tcBorders>
          </w:tcPr>
          <w:p>
            <w:pPr>
              <w:jc w:val="right"/>
              <w:ind w:right="1293"/>
              <w:spacing w:after="0"/>
              <w:rPr>
                <w:sz w:val="20"/>
                <w:szCs w:val="20"/>
                <w:color w:val="auto"/>
              </w:rPr>
            </w:pPr>
            <w:r>
              <w:rPr>
                <w:rFonts w:ascii="Arial" w:cs="Arial" w:eastAsia="Arial" w:hAnsi="Arial"/>
                <w:sz w:val="18"/>
                <w:szCs w:val="18"/>
                <w:color w:val="auto"/>
              </w:rPr>
              <w:t>50%</w:t>
            </w:r>
          </w:p>
        </w:tc>
      </w:tr>
    </w:tbl>
    <w:p>
      <w:pPr>
        <w:spacing w:after="0" w:line="220" w:lineRule="exact"/>
        <w:rPr>
          <w:sz w:val="20"/>
          <w:szCs w:val="20"/>
          <w:color w:val="auto"/>
        </w:rPr>
      </w:pPr>
    </w:p>
    <w:p>
      <w:pPr>
        <w:ind w:left="660" w:right="620" w:hanging="328"/>
        <w:spacing w:after="0" w:line="305" w:lineRule="auto"/>
        <w:tabs>
          <w:tab w:leader="none" w:pos="647" w:val="left"/>
        </w:tabs>
        <w:numPr>
          <w:ilvl w:val="0"/>
          <w:numId w:val="44"/>
        </w:numPr>
        <w:rPr>
          <w:rFonts w:ascii="Arial" w:cs="Arial" w:eastAsia="Arial" w:hAnsi="Arial"/>
          <w:sz w:val="14"/>
          <w:szCs w:val="14"/>
          <w:color w:val="auto"/>
        </w:rPr>
      </w:pPr>
      <w:r>
        <w:rPr>
          <w:rFonts w:ascii="Arial" w:cs="Arial" w:eastAsia="Arial" w:hAnsi="Arial"/>
          <w:sz w:val="14"/>
          <w:szCs w:val="14"/>
          <w:color w:val="auto"/>
        </w:rPr>
        <w:t>If any financial metric is attained at a level above the threshold goal but below the target low goal, or above the target high goal but below the maximum goal, percentage achievement for such metric will be determined on a straight-line basis between the applicable goals.</w:t>
      </w:r>
    </w:p>
    <w:p>
      <w:pPr>
        <w:spacing w:after="0" w:line="36" w:lineRule="exact"/>
        <w:rPr>
          <w:rFonts w:ascii="Arial" w:cs="Arial" w:eastAsia="Arial" w:hAnsi="Arial"/>
          <w:sz w:val="14"/>
          <w:szCs w:val="14"/>
          <w:color w:val="auto"/>
        </w:rPr>
      </w:pPr>
    </w:p>
    <w:p>
      <w:pPr>
        <w:ind w:left="660" w:right="140" w:hanging="328"/>
        <w:spacing w:after="0" w:line="242" w:lineRule="auto"/>
        <w:tabs>
          <w:tab w:leader="none" w:pos="652" w:val="left"/>
        </w:tabs>
        <w:numPr>
          <w:ilvl w:val="0"/>
          <w:numId w:val="44"/>
        </w:numPr>
        <w:rPr>
          <w:rFonts w:ascii="Times New Roman" w:cs="Times New Roman" w:eastAsia="Times New Roman" w:hAnsi="Times New Roman"/>
          <w:sz w:val="14"/>
          <w:szCs w:val="14"/>
          <w:color w:val="auto"/>
        </w:rPr>
      </w:pPr>
      <w:r>
        <w:rPr>
          <w:rFonts w:ascii="Arial" w:cs="Arial" w:eastAsia="Arial" w:hAnsi="Arial"/>
          <w:sz w:val="14"/>
          <w:szCs w:val="14"/>
          <w:color w:val="auto"/>
        </w:rPr>
        <w:t>“Adjusted EBITDA” means net loss before interest expense, income taxes, depreciation and amortization expense, reorganization and transaction-related expenses, gains or losses from subleases and equity-based compensation expense for the Measurement Period, subject to any adjustments deemed appropriate by the Committee.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the completion of the Measurement Period, the Compensation Committee will certify the Company’s achievement of each of the performance metrics, as a percentage of the target established for each metric (the date of such certification, the “Certification Date”). The Committee will then determine, based on the relative weighting of the performance metrics and the percentage achievement of each metric, the aggregated percentage achievement of the performance metrics. The number of PSUs that each NEO earns is determined by multiplying his or her target award by the aggregated percentage achievement of the performance metrics. Awards will become fully vested as of the certification date. Any PSUs that do not become earned and vested on such date will be cancelled and forfeited for no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1F497D"/>
        </w:rPr>
        <w:t>September 2023 Performance Share Awards</w:t>
      </w:r>
    </w:p>
    <w:p>
      <w:pPr>
        <w:spacing w:after="0" w:line="223"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In March 2025, the Compensation Committee certified the results of the corporate metrics applicable to the September 2023 PSUs, which had a performance measurement period from January 1, 2024 to December 31, 2024. In the aggregate, the September 2023 PSUs were earned at 116.8% of target. Corporate metrics applicable to the September 2023 PSUs were health plan revenue growth (weighted 60%), at-risk loyal medical benefit ratio (weighted 20%) and adjusted EBITDA (less capital expenditures) (weighted 20%). The PSUs vested 50% on the certification date and the remaining 50% will vest on December 31, 2025, subject to each grantee's continue service to the Company as of such date. Based on the aggregate performance achieved at 116.8%, our NEOs earned the following numbers of PSUs:</w:t>
      </w:r>
    </w:p>
    <w:p>
      <w:pPr>
        <w:spacing w:after="0" w:line="247"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27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Name</w:t>
            </w:r>
          </w:p>
        </w:tc>
        <w:tc>
          <w:tcPr>
            <w:tcW w:w="286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Vested on Certification Date</w:t>
            </w:r>
          </w:p>
        </w:tc>
        <w:tc>
          <w:tcPr>
            <w:tcW w:w="2840" w:type="dxa"/>
            <w:vAlign w:val="bottom"/>
          </w:tcPr>
          <w:p>
            <w:pPr>
              <w:ind w:left="40"/>
              <w:spacing w:after="0"/>
              <w:rPr>
                <w:sz w:val="20"/>
                <w:szCs w:val="20"/>
                <w:color w:val="auto"/>
              </w:rPr>
            </w:pPr>
            <w:r>
              <w:rPr>
                <w:rFonts w:ascii="Arial" w:cs="Arial" w:eastAsia="Arial" w:hAnsi="Arial"/>
                <w:sz w:val="16"/>
                <w:szCs w:val="16"/>
                <w:b w:val="1"/>
                <w:bCs w:val="1"/>
                <w:color w:val="auto"/>
              </w:rPr>
              <w:t>Subject to Time-Based Vesting until</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auto"/>
            </w:tcBorders>
            <w:vMerge w:val="continue"/>
          </w:tcPr>
          <w:p>
            <w:pPr>
              <w:spacing w:after="0"/>
              <w:rPr>
                <w:sz w:val="18"/>
                <w:szCs w:val="18"/>
                <w:color w:val="auto"/>
              </w:rPr>
            </w:pPr>
          </w:p>
        </w:tc>
        <w:tc>
          <w:tcPr>
            <w:tcW w:w="2860" w:type="dxa"/>
            <w:vAlign w:val="bottom"/>
            <w:tcBorders>
              <w:bottom w:val="single" w:sz="8" w:color="auto"/>
            </w:tcBorders>
            <w:vMerge w:val="continue"/>
          </w:tcPr>
          <w:p>
            <w:pPr>
              <w:spacing w:after="0"/>
              <w:rPr>
                <w:sz w:val="18"/>
                <w:szCs w:val="18"/>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12/31/2025</w:t>
            </w:r>
          </w:p>
        </w:tc>
        <w:tc>
          <w:tcPr>
            <w:tcW w:w="0" w:type="dxa"/>
            <w:vAlign w:val="bottom"/>
          </w:tcPr>
          <w:p>
            <w:pPr>
              <w:spacing w:after="0"/>
              <w:rPr>
                <w:sz w:val="1"/>
                <w:szCs w:val="1"/>
                <w:color w:val="auto"/>
              </w:rPr>
            </w:pPr>
          </w:p>
        </w:tc>
      </w:tr>
      <w:tr>
        <w:trPr>
          <w:trHeight w:val="236"/>
        </w:trPr>
        <w:tc>
          <w:tcPr>
            <w:tcW w:w="274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John Kao</w:t>
            </w:r>
          </w:p>
        </w:tc>
        <w:tc>
          <w:tcPr>
            <w:tcW w:w="286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1,271,561</w:t>
            </w:r>
          </w:p>
        </w:tc>
        <w:tc>
          <w:tcPr>
            <w:tcW w:w="2840" w:type="dxa"/>
            <w:vAlign w:val="bottom"/>
            <w:shd w:val="clear" w:color="auto" w:fill="DBE5F1"/>
          </w:tcPr>
          <w:p>
            <w:pPr>
              <w:jc w:val="center"/>
              <w:spacing w:after="0"/>
              <w:rPr>
                <w:sz w:val="20"/>
                <w:szCs w:val="20"/>
                <w:color w:val="auto"/>
              </w:rPr>
            </w:pPr>
            <w:r>
              <w:rPr>
                <w:rFonts w:ascii="Arial" w:cs="Arial" w:eastAsia="Arial" w:hAnsi="Arial"/>
                <w:sz w:val="16"/>
                <w:szCs w:val="16"/>
                <w:color w:val="auto"/>
              </w:rPr>
              <w:t>1,271,563</w:t>
            </w:r>
          </w:p>
        </w:tc>
        <w:tc>
          <w:tcPr>
            <w:tcW w:w="0" w:type="dxa"/>
            <w:vAlign w:val="bottom"/>
          </w:tcPr>
          <w:p>
            <w:pPr>
              <w:spacing w:after="0"/>
              <w:rPr>
                <w:sz w:val="1"/>
                <w:szCs w:val="1"/>
                <w:color w:val="auto"/>
              </w:rPr>
            </w:pPr>
          </w:p>
        </w:tc>
      </w:tr>
      <w:tr>
        <w:trPr>
          <w:trHeight w:val="235"/>
        </w:trPr>
        <w:tc>
          <w:tcPr>
            <w:tcW w:w="2740" w:type="dxa"/>
            <w:vAlign w:val="bottom"/>
            <w:tcBorders>
              <w:right w:val="single" w:sz="8" w:color="95B3D7"/>
            </w:tcBorders>
          </w:tcPr>
          <w:p>
            <w:pPr>
              <w:ind w:left="60"/>
              <w:spacing w:after="0"/>
              <w:rPr>
                <w:sz w:val="20"/>
                <w:szCs w:val="20"/>
                <w:color w:val="auto"/>
              </w:rPr>
            </w:pPr>
            <w:r>
              <w:rPr>
                <w:rFonts w:ascii="Arial" w:cs="Arial" w:eastAsia="Arial" w:hAnsi="Arial"/>
                <w:sz w:val="16"/>
                <w:szCs w:val="16"/>
                <w:color w:val="auto"/>
              </w:rPr>
              <w:t>Thomas Freeman</w:t>
            </w:r>
          </w:p>
        </w:tc>
        <w:tc>
          <w:tcPr>
            <w:tcW w:w="286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rPr>
              <w:t>510,220</w:t>
            </w:r>
          </w:p>
        </w:tc>
        <w:tc>
          <w:tcPr>
            <w:tcW w:w="2840" w:type="dxa"/>
            <w:vAlign w:val="bottom"/>
          </w:tcPr>
          <w:p>
            <w:pPr>
              <w:jc w:val="center"/>
              <w:spacing w:after="0"/>
              <w:rPr>
                <w:sz w:val="20"/>
                <w:szCs w:val="20"/>
                <w:color w:val="auto"/>
              </w:rPr>
            </w:pPr>
            <w:r>
              <w:rPr>
                <w:rFonts w:ascii="Arial" w:cs="Arial" w:eastAsia="Arial" w:hAnsi="Arial"/>
                <w:sz w:val="16"/>
                <w:szCs w:val="16"/>
                <w:color w:val="auto"/>
              </w:rPr>
              <w:t>510,222</w:t>
            </w:r>
          </w:p>
        </w:tc>
        <w:tc>
          <w:tcPr>
            <w:tcW w:w="0" w:type="dxa"/>
            <w:vAlign w:val="bottom"/>
          </w:tcPr>
          <w:p>
            <w:pPr>
              <w:spacing w:after="0"/>
              <w:rPr>
                <w:sz w:val="1"/>
                <w:szCs w:val="1"/>
                <w:color w:val="auto"/>
              </w:rPr>
            </w:pPr>
          </w:p>
        </w:tc>
      </w:tr>
      <w:tr>
        <w:trPr>
          <w:trHeight w:val="251"/>
        </w:trPr>
        <w:tc>
          <w:tcPr>
            <w:tcW w:w="274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Dawn Maroney</w:t>
            </w:r>
          </w:p>
        </w:tc>
        <w:tc>
          <w:tcPr>
            <w:tcW w:w="286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510,220</w:t>
            </w:r>
          </w:p>
        </w:tc>
        <w:tc>
          <w:tcPr>
            <w:tcW w:w="2840" w:type="dxa"/>
            <w:vAlign w:val="bottom"/>
            <w:shd w:val="clear" w:color="auto" w:fill="DBE5F1"/>
          </w:tcPr>
          <w:p>
            <w:pPr>
              <w:jc w:val="center"/>
              <w:spacing w:after="0"/>
              <w:rPr>
                <w:sz w:val="20"/>
                <w:szCs w:val="20"/>
                <w:color w:val="auto"/>
              </w:rPr>
            </w:pPr>
            <w:r>
              <w:rPr>
                <w:rFonts w:ascii="Arial" w:cs="Arial" w:eastAsia="Arial" w:hAnsi="Arial"/>
                <w:sz w:val="16"/>
                <w:szCs w:val="16"/>
                <w:color w:val="auto"/>
              </w:rPr>
              <w:t>510,222</w:t>
            </w:r>
          </w:p>
        </w:tc>
        <w:tc>
          <w:tcPr>
            <w:tcW w:w="0" w:type="dxa"/>
            <w:vAlign w:val="bottom"/>
          </w:tcPr>
          <w:p>
            <w:pPr>
              <w:spacing w:after="0"/>
              <w:rPr>
                <w:sz w:val="1"/>
                <w:szCs w:val="1"/>
                <w:color w:val="auto"/>
              </w:rPr>
            </w:pPr>
          </w:p>
        </w:tc>
      </w:tr>
      <w:tr>
        <w:trPr>
          <w:trHeight w:val="235"/>
        </w:trPr>
        <w:tc>
          <w:tcPr>
            <w:tcW w:w="2740" w:type="dxa"/>
            <w:vAlign w:val="bottom"/>
            <w:tcBorders>
              <w:right w:val="single" w:sz="8" w:color="95B3D7"/>
            </w:tcBorders>
          </w:tcPr>
          <w:p>
            <w:pPr>
              <w:ind w:left="60"/>
              <w:spacing w:after="0"/>
              <w:rPr>
                <w:sz w:val="20"/>
                <w:szCs w:val="20"/>
                <w:color w:val="auto"/>
              </w:rPr>
            </w:pPr>
            <w:r>
              <w:rPr>
                <w:rFonts w:ascii="Arial" w:cs="Arial" w:eastAsia="Arial" w:hAnsi="Arial"/>
                <w:sz w:val="16"/>
                <w:szCs w:val="16"/>
                <w:color w:val="auto"/>
              </w:rPr>
              <w:t>Hyong (Ken) Kim, M.D.</w:t>
            </w:r>
          </w:p>
        </w:tc>
        <w:tc>
          <w:tcPr>
            <w:tcW w:w="286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rPr>
              <w:t>29,200</w:t>
            </w:r>
          </w:p>
        </w:tc>
        <w:tc>
          <w:tcPr>
            <w:tcW w:w="2840" w:type="dxa"/>
            <w:vAlign w:val="bottom"/>
          </w:tcPr>
          <w:p>
            <w:pPr>
              <w:jc w:val="center"/>
              <w:spacing w:after="0"/>
              <w:rPr>
                <w:sz w:val="20"/>
                <w:szCs w:val="20"/>
                <w:color w:val="auto"/>
              </w:rPr>
            </w:pPr>
            <w:r>
              <w:rPr>
                <w:rFonts w:ascii="Arial" w:cs="Arial" w:eastAsia="Arial" w:hAnsi="Arial"/>
                <w:sz w:val="16"/>
                <w:szCs w:val="16"/>
                <w:color w:val="auto"/>
              </w:rPr>
              <w:t>29,200</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95B3D7"/>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Andreas Wagner</w:t>
            </w:r>
          </w:p>
        </w:tc>
        <w:tc>
          <w:tcPr>
            <w:tcW w:w="286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w w:val="99"/>
              </w:rPr>
              <w:t>—</w:t>
            </w:r>
          </w:p>
        </w:tc>
        <w:tc>
          <w:tcPr>
            <w:tcW w:w="2840" w:type="dxa"/>
            <w:vAlign w:val="bottom"/>
            <w:tcBorders>
              <w:bottom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59" w:name="page60"/>
    <w:bookmarkEnd w:id="59"/>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Other Compensation Matters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Alignment Healthcare, Inc. Clawback Policy</w:t>
      </w:r>
    </w:p>
    <w:p>
      <w:pPr>
        <w:spacing w:after="0" w:line="183"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We maintain the Alignment Healthcare, Inc. Clawback Policy, which is designed to comply with Section 10D-1 of the Exchange Act and the applicable listing standards of the Nasdaq Stock Market and requires the Company to recoup any erroneously awarded cash and equity incentive-based compensation received by certain executives, including each NEO, in the event the Company is required to prepare an accounting restatement due to material noncompliance with any financial reporting requirement under the federal securities laws. The Clawback Policy generally applies to all incentive-based compensation received by a covered executive during the three completed fiscal years immediately preceding the date that the Company is required to prepare a restatement after the policy’s effective date. The Clawback Policy is filed as an exhibit to the Company’s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Equity Granting Policy for Senior Executives</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Compensation Committee has a well-established, disciplined process for granting equity awards to employees. Awards generally are granted on regularly scheduled predetermined dates in March of each calendar year. As part of the Company's annual performance and compensation review process, the Compensation Committee approves RSU, PSU and any other equity awards to our executive officers and other senior employees after fiscal year-end financial results are reported to the Compensation Committee, enabling the members to appropriately assess corporate performance. The Compensation Committee generally grants annual awards during the periods of time that trading would be permitted under our insider trading policy, which is referred to above as an “open window period.” Typically, as was the case in 2024, our annual awards have been granted several days after the public release of our fiscal year financial results and the filing of our Annual Report on Form 10-K. The Compensation Committee does not time the release of material nonpublic information based on equity award grant dates.</w:t>
      </w:r>
    </w:p>
    <w:p>
      <w:pPr>
        <w:spacing w:after="0" w:line="15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Board has also established procedures for equity awards granted by our CEO under authority delegated from the Compensation Committee. The CEO may grant equity awards to newly hired employees, newly promoted employees or in recognition of the performance or achievement of an employee, provided that the employee is not an executive officer of Alignment, the equity award does not exceed the applicable per grant limitation, and all awards granted under delegated authority do not exceed, in the aggregate, the total amount established on an annual basis by the Compensation Committee, if any. The CEO's delegation of granting authority also requires concurrent documentation and reporting to the Compensation Committee of all equity awards granted under such delegated authority. The grant date for a new hire grant or recognition grant to non-officer employees under delegated authority will be the first Wednesday of the calendar month following the employee’s start date or the recognition date, or if the Nasdaq Stock Market was closed on such date, the next succeeding trading day.</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grant stock options to any employees during the last completed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Stock Ownership Guidelines</w:t>
      </w:r>
    </w:p>
    <w:p>
      <w:pPr>
        <w:spacing w:after="0" w:line="115"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We maintain stock ownership guidelines applicable to our executive officers and directors. To ensure continued alignment of interests among the Company's management, directors, and stockholders, the ownership requirements are as follows:</w:t>
      </w:r>
    </w:p>
    <w:p>
      <w:pPr>
        <w:spacing w:after="0" w:line="90" w:lineRule="exact"/>
        <w:rPr>
          <w:sz w:val="20"/>
          <w:szCs w:val="20"/>
          <w:color w:val="auto"/>
        </w:rPr>
      </w:pPr>
    </w:p>
    <w:tbl>
      <w:tblPr>
        <w:tblLayout w:type="fixed"/>
        <w:tblInd w:w="2720" w:type="dxa"/>
        <w:tblCellMar>
          <w:top w:w="0" w:type="dxa"/>
          <w:left w:w="0" w:type="dxa"/>
          <w:bottom w:w="0" w:type="dxa"/>
          <w:right w:w="0" w:type="dxa"/>
        </w:tblCellMar>
      </w:tblPr>
      <w:tr>
        <w:trPr>
          <w:trHeight w:val="217"/>
        </w:trPr>
        <w:tc>
          <w:tcPr>
            <w:tcW w:w="29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Role</w:t>
            </w:r>
          </w:p>
        </w:tc>
        <w:tc>
          <w:tcPr>
            <w:tcW w:w="28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Minimum Value of Stock Ownership</w:t>
            </w:r>
          </w:p>
        </w:tc>
      </w:tr>
      <w:tr>
        <w:trPr>
          <w:trHeight w:val="209"/>
        </w:trPr>
        <w:tc>
          <w:tcPr>
            <w:tcW w:w="2920" w:type="dxa"/>
            <w:vAlign w:val="bottom"/>
            <w:tcBorders>
              <w:bottom w:val="single" w:sz="8" w:color="95B3D7"/>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Chief Executive Officer</w:t>
            </w:r>
          </w:p>
        </w:tc>
        <w:tc>
          <w:tcPr>
            <w:tcW w:w="2880" w:type="dxa"/>
            <w:vAlign w:val="bottom"/>
            <w:tcBorders>
              <w:bottom w:val="single" w:sz="8" w:color="95B3D7"/>
            </w:tcBorders>
            <w:shd w:val="clear" w:color="auto" w:fill="DBE5F1"/>
          </w:tcPr>
          <w:p>
            <w:pPr>
              <w:spacing w:after="0"/>
              <w:rPr>
                <w:sz w:val="20"/>
                <w:szCs w:val="20"/>
                <w:color w:val="auto"/>
              </w:rPr>
            </w:pPr>
            <w:r>
              <w:rPr>
                <w:rFonts w:ascii="Arial" w:cs="Arial" w:eastAsia="Arial" w:hAnsi="Arial"/>
                <w:sz w:val="16"/>
                <w:szCs w:val="16"/>
                <w:color w:val="auto"/>
              </w:rPr>
              <w:t>6x base salary</w:t>
            </w:r>
          </w:p>
        </w:tc>
      </w:tr>
      <w:tr>
        <w:trPr>
          <w:trHeight w:val="209"/>
        </w:trPr>
        <w:tc>
          <w:tcPr>
            <w:tcW w:w="2920" w:type="dxa"/>
            <w:vAlign w:val="bottom"/>
            <w:tcBorders>
              <w:bottom w:val="single" w:sz="8" w:color="95B3D7"/>
              <w:right w:val="single" w:sz="8" w:color="95B3D7"/>
            </w:tcBorders>
          </w:tcPr>
          <w:p>
            <w:pPr>
              <w:ind w:left="60"/>
              <w:spacing w:after="0"/>
              <w:rPr>
                <w:sz w:val="20"/>
                <w:szCs w:val="20"/>
                <w:color w:val="auto"/>
              </w:rPr>
            </w:pPr>
            <w:r>
              <w:rPr>
                <w:rFonts w:ascii="Arial" w:cs="Arial" w:eastAsia="Arial" w:hAnsi="Arial"/>
                <w:sz w:val="16"/>
                <w:szCs w:val="16"/>
                <w:color w:val="auto"/>
              </w:rPr>
              <w:t>All Other Executive Officers</w:t>
            </w:r>
          </w:p>
        </w:tc>
        <w:tc>
          <w:tcPr>
            <w:tcW w:w="2880" w:type="dxa"/>
            <w:vAlign w:val="bottom"/>
            <w:tcBorders>
              <w:bottom w:val="single" w:sz="8" w:color="95B3D7"/>
            </w:tcBorders>
          </w:tcPr>
          <w:p>
            <w:pPr>
              <w:spacing w:after="0"/>
              <w:rPr>
                <w:sz w:val="20"/>
                <w:szCs w:val="20"/>
                <w:color w:val="auto"/>
              </w:rPr>
            </w:pPr>
            <w:r>
              <w:rPr>
                <w:rFonts w:ascii="Arial" w:cs="Arial" w:eastAsia="Arial" w:hAnsi="Arial"/>
                <w:sz w:val="16"/>
                <w:szCs w:val="16"/>
                <w:color w:val="auto"/>
              </w:rPr>
              <w:t>2X base salary</w:t>
            </w:r>
          </w:p>
        </w:tc>
      </w:tr>
      <w:tr>
        <w:trPr>
          <w:trHeight w:val="156"/>
        </w:trPr>
        <w:tc>
          <w:tcPr>
            <w:tcW w:w="2920" w:type="dxa"/>
            <w:vAlign w:val="bottom"/>
            <w:tcBorders>
              <w:right w:val="single" w:sz="8" w:color="95B3D7"/>
            </w:tcBorders>
            <w:shd w:val="clear" w:color="auto" w:fill="DBE5F1"/>
          </w:tcPr>
          <w:p>
            <w:pPr>
              <w:ind w:left="60"/>
              <w:spacing w:after="0" w:line="156" w:lineRule="exact"/>
              <w:rPr>
                <w:sz w:val="20"/>
                <w:szCs w:val="20"/>
                <w:color w:val="auto"/>
              </w:rPr>
            </w:pPr>
            <w:r>
              <w:rPr>
                <w:rFonts w:ascii="Arial" w:cs="Arial" w:eastAsia="Arial" w:hAnsi="Arial"/>
                <w:sz w:val="16"/>
                <w:szCs w:val="16"/>
                <w:color w:val="auto"/>
              </w:rPr>
              <w:t>Non-Employee Directors</w:t>
            </w:r>
          </w:p>
        </w:tc>
        <w:tc>
          <w:tcPr>
            <w:tcW w:w="2880" w:type="dxa"/>
            <w:vAlign w:val="bottom"/>
            <w:shd w:val="clear" w:color="auto" w:fill="DBE5F1"/>
          </w:tcPr>
          <w:p>
            <w:pPr>
              <w:spacing w:after="0" w:line="156" w:lineRule="exact"/>
              <w:rPr>
                <w:sz w:val="20"/>
                <w:szCs w:val="20"/>
                <w:color w:val="auto"/>
              </w:rPr>
            </w:pPr>
            <w:r>
              <w:rPr>
                <w:rFonts w:ascii="Arial" w:cs="Arial" w:eastAsia="Arial" w:hAnsi="Arial"/>
                <w:sz w:val="16"/>
                <w:szCs w:val="16"/>
                <w:color w:val="auto"/>
              </w:rPr>
              <w:t>5x annual cash Board retainer</w:t>
            </w:r>
          </w:p>
        </w:tc>
      </w:tr>
      <w:tr>
        <w:trPr>
          <w:trHeight w:val="215"/>
        </w:trPr>
        <w:tc>
          <w:tcPr>
            <w:tcW w:w="2920" w:type="dxa"/>
            <w:vAlign w:val="bottom"/>
            <w:tcBorders>
              <w:bottom w:val="single" w:sz="8" w:color="95B3D7"/>
              <w:right w:val="single" w:sz="8" w:color="95B3D7"/>
            </w:tcBorders>
            <w:shd w:val="clear" w:color="auto" w:fill="DBE5F1"/>
          </w:tcPr>
          <w:p>
            <w:pPr>
              <w:spacing w:after="0"/>
              <w:rPr>
                <w:sz w:val="18"/>
                <w:szCs w:val="18"/>
                <w:color w:val="auto"/>
              </w:rPr>
            </w:pPr>
          </w:p>
        </w:tc>
        <w:tc>
          <w:tcPr>
            <w:tcW w:w="2880" w:type="dxa"/>
            <w:vAlign w:val="bottom"/>
            <w:tcBorders>
              <w:bottom w:val="single" w:sz="8" w:color="95B3D7"/>
            </w:tcBorders>
            <w:shd w:val="clear" w:color="auto" w:fill="DBE5F1"/>
          </w:tcPr>
          <w:p>
            <w:pPr>
              <w:spacing w:after="0"/>
              <w:rPr>
                <w:sz w:val="20"/>
                <w:szCs w:val="20"/>
                <w:color w:val="auto"/>
              </w:rPr>
            </w:pPr>
            <w:r>
              <w:rPr>
                <w:rFonts w:ascii="Arial" w:cs="Arial" w:eastAsia="Arial" w:hAnsi="Arial"/>
                <w:sz w:val="16"/>
                <w:szCs w:val="16"/>
                <w:color w:val="auto"/>
              </w:rPr>
              <w:t>($500,000)</w:t>
            </w:r>
          </w:p>
        </w:tc>
      </w:tr>
    </w:tbl>
    <w:p>
      <w:pPr>
        <w:spacing w:after="0" w:line="29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Individuals must comply within five years after becoming subject to the requirements. Shares that count toward this requirement include shares owned by the individual, unvested shares or stock units where vesting is solely contingent on future service, shares held in retirement accounts, shares held in trust, and shares or stock units that have vested but receipt of which has been deferred. As of December 31, 2024, all NEOs and non-employee directors were in compliance with the ownership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Compensation Risk Assessment</w:t>
      </w:r>
    </w:p>
    <w:p>
      <w:pPr>
        <w:spacing w:after="0" w:line="11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conducted a review of its key compensation programs, policies, and practices in conjunction with FW Cook, the Compensation Committee’s independent compensation consultant, which prepared a report on our company-wide compensation programs. This analysis was reviewed with the Compensation Committee at its October 14, 2024 meeting. The review and analysis did not identify any compensation programs, policies, or practices that create incentives to take risks that are reasonably likely to have a material adverse effect on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Employment Agreements</w:t>
      </w:r>
    </w:p>
    <w:p>
      <w:pPr>
        <w:spacing w:after="0" w:line="196"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The terms of the employment agreements applicable to each NEO are described under “</w:t>
      </w:r>
      <w:r>
        <w:rPr>
          <w:rFonts w:ascii="Arial" w:cs="Arial" w:eastAsia="Arial" w:hAnsi="Arial"/>
          <w:sz w:val="18"/>
          <w:szCs w:val="18"/>
          <w:i w:val="1"/>
          <w:iCs w:val="1"/>
          <w:color w:val="auto"/>
        </w:rPr>
        <w:t>Executive and Director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Employment Agreements</w:t>
      </w:r>
      <w:r>
        <w:rPr>
          <w:rFonts w:ascii="Arial" w:cs="Arial" w:eastAsia="Arial" w:hAnsi="Arial"/>
          <w:sz w:val="18"/>
          <w:szCs w:val="18"/>
          <w:color w:val="auto"/>
        </w:rPr>
        <w:t>” below. In addition to the terms described therein, the employment agreements provide for certain severance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and benefits following a qualifying termination of employment under certain circumstances. For details on the potential severance payment and benefits under each NEO’s respective employment agreement and the 2021 Plan, see “</w:t>
      </w:r>
      <w:r>
        <w:rPr>
          <w:rFonts w:ascii="Arial" w:cs="Arial" w:eastAsia="Arial" w:hAnsi="Arial"/>
          <w:sz w:val="18"/>
          <w:szCs w:val="18"/>
          <w:i w:val="1"/>
          <w:iCs w:val="1"/>
          <w:color w:val="auto"/>
        </w:rPr>
        <w:t>Executive and Director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Retirement Benefits</w:t>
      </w:r>
    </w:p>
    <w:p>
      <w:pPr>
        <w:spacing w:after="0" w:line="223"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We maintain a tax-qualified retirement plan that provides all regular employees with an opportunity to save for retirement on a tax-efficient basis. Under our 401(k) plan, participants may elect to defer a portion of their compensation on a pre-tax or after-tax basis and have it contributed to the plan subject to applicable annual limits under the Code. The Company makes a matching contribution on 100% of employee deferrals up to 4% of the eligible employee’s compensation eligible for deferral. Contributions are allocated to each participant’s individual account and are then invested in selected investment alternatives according to the participants’ directions. Employee elective deferrals and matching contributions are 100% vested at all times. As a U.S. tax-qualified retirement plan, contributions to the 401(k) plan and earnings on those contributions are not taxable to the employees until distributed from the 401(k) plan and employer matching contributions are deductible by us when made. We do not maintain any defined benefit pension plans or any nonqualified deferred compensation plans.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Executive Benefits</w:t>
      </w:r>
    </w:p>
    <w:p>
      <w:pPr>
        <w:spacing w:after="0" w:line="183" w:lineRule="exact"/>
        <w:rPr>
          <w:sz w:val="20"/>
          <w:szCs w:val="20"/>
          <w:color w:val="auto"/>
        </w:rPr>
      </w:pPr>
    </w:p>
    <w:p>
      <w:pPr>
        <w:jc w:val="both"/>
        <w:ind w:firstLine="401"/>
        <w:spacing w:after="0" w:line="268" w:lineRule="auto"/>
        <w:rPr>
          <w:sz w:val="20"/>
          <w:szCs w:val="20"/>
          <w:color w:val="auto"/>
        </w:rPr>
      </w:pPr>
      <w:r>
        <w:rPr>
          <w:rFonts w:ascii="Arial" w:cs="Arial" w:eastAsia="Arial" w:hAnsi="Arial"/>
          <w:sz w:val="18"/>
          <w:szCs w:val="18"/>
          <w:color w:val="auto"/>
        </w:rPr>
        <w:t>The Company’s executive officers, including the NEOs, are eligible to participate in the benefit plans that are available to substantially all of the Company’s employees, including our 401(k) plan described above, medical, dental and life insurance plans and long-term disability plans. None of the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participate in a defined benefit pension plan. We provide limited perquisites to our NEOs, including an internet stipend.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Impact of Tax and Accounting</w:t>
      </w:r>
    </w:p>
    <w:p>
      <w:pPr>
        <w:spacing w:after="0" w:line="183"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We regularly consider the various tax and accounting implications of our compensation plans. When determining the amount of long-term incentives and equity grants to executives and employees, the compensation costs associated with the grants are reviewed, as required by FASB ASC Topic 718.</w:t>
      </w:r>
    </w:p>
    <w:p>
      <w:pPr>
        <w:spacing w:after="0" w:line="130"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While considering tax deductibility as only one of several considerations in determining compensation, the Committee believes that the tax deduction limitation should not compromise its ability to structure compensation programs that provide benefits to the Company that outweigh the potential benefit of a tax deduction and, therefore, may approve compensation that is not deductible for tax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Compensation Committee Report</w:t>
      </w:r>
    </w:p>
    <w:p>
      <w:pPr>
        <w:spacing w:after="0" w:line="19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Compensation Committee has reviewed and discussed the “Compensation Discussion and Analysis” contained in this proxy statement with management. Based on its review and discussions, the Compensation Committee recommended to the Board that the “Compensation Discussion and Analysis” be included in this proxy statement and incorporated by reference into the Company’s Annual Report on Form 10-K for the year ended December 31, 2024.</w:t>
      </w:r>
    </w:p>
    <w:p>
      <w:pPr>
        <w:spacing w:after="0" w:line="13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The Compensation Committee:</w:t>
      </w:r>
    </w:p>
    <w:p>
      <w:pPr>
        <w:spacing w:after="0" w:line="18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Jacqueline Kosecoff, Chair</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Margaret McCarthy</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Robbert Vorhoff</w:t>
      </w:r>
    </w:p>
    <w:p>
      <w:pPr>
        <w:spacing w:after="0" w:line="18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This report shall not be deemed soliciting material or to be filed with the SEC, or incorporated by reference in any document so filed, whether made before or after the date hereof, except to the extent we specifically request that it be treated as soliciting material or it is specifically incorporated by reference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5"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This section discusses the material components of the executive compensation program for our Chief Executive Officer, Chief Financial Officer and our three other most highly compensated officers as of December 31, 2024, who we refer to as our “Named Executive Officers” or “NEOs.” This discussion may contain forward-looking statements that are based on our current plans, considerations, expectations and determinations regarding future compensation programs. Actual compensation programs that we adopt in the future may differ materially from the currently planned programs summarized in this discussion.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Summary Compensation Table</w:t>
      </w:r>
    </w:p>
    <w:p>
      <w:pPr>
        <w:spacing w:after="0" w:line="117" w:lineRule="exact"/>
        <w:rPr>
          <w:sz w:val="20"/>
          <w:szCs w:val="20"/>
          <w:color w:val="auto"/>
        </w:rPr>
      </w:pPr>
    </w:p>
    <w:p>
      <w:pPr>
        <w:ind w:right="420" w:firstLine="405"/>
        <w:spacing w:after="0" w:line="285" w:lineRule="auto"/>
        <w:rPr>
          <w:sz w:val="20"/>
          <w:szCs w:val="20"/>
          <w:color w:val="auto"/>
        </w:rPr>
      </w:pPr>
      <w:r>
        <w:rPr>
          <w:rFonts w:ascii="Arial" w:cs="Arial" w:eastAsia="Arial" w:hAnsi="Arial"/>
          <w:sz w:val="18"/>
          <w:szCs w:val="18"/>
          <w:color w:val="auto"/>
        </w:rPr>
        <w:t>The following table presents summary information regarding the total compensation awarded to, earned by, and paid to our Named Executive Officers for the fiscal years ending December 31, 2024, December 31, 2023, and December 31, 2022, as applicable.</w:t>
      </w:r>
    </w:p>
    <w:tbl>
      <w:tblPr>
        <w:tblLayout w:type="fixed"/>
        <w:tblInd w:w="0" w:type="dxa"/>
        <w:tblCellMar>
          <w:top w:w="0" w:type="dxa"/>
          <w:left w:w="0" w:type="dxa"/>
          <w:bottom w:w="0" w:type="dxa"/>
          <w:right w:w="0" w:type="dxa"/>
        </w:tblCellMar>
      </w:tblPr>
      <w:tr>
        <w:trPr>
          <w:trHeight w:val="135"/>
        </w:trPr>
        <w:tc>
          <w:tcPr>
            <w:tcW w:w="1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95"/>
              </w:rPr>
              <w:t>Non-Equity</w:t>
            </w:r>
          </w:p>
        </w:tc>
        <w:tc>
          <w:tcPr>
            <w:tcW w:w="1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jc w:val="right"/>
              <w:ind w:right="420"/>
              <w:spacing w:after="0" w:line="122" w:lineRule="exact"/>
              <w:rPr>
                <w:sz w:val="20"/>
                <w:szCs w:val="20"/>
                <w:color w:val="auto"/>
              </w:rPr>
            </w:pPr>
            <w:r>
              <w:rPr>
                <w:rFonts w:ascii="Arial" w:cs="Arial" w:eastAsia="Arial" w:hAnsi="Arial"/>
                <w:sz w:val="11"/>
                <w:szCs w:val="11"/>
                <w:b w:val="1"/>
                <w:bCs w:val="1"/>
                <w:color w:val="auto"/>
              </w:rPr>
              <w:t>Stock</w:t>
            </w:r>
          </w:p>
        </w:tc>
        <w:tc>
          <w:tcPr>
            <w:tcW w:w="1220" w:type="dxa"/>
            <w:vAlign w:val="bottom"/>
          </w:tcPr>
          <w:p>
            <w:pPr>
              <w:jc w:val="right"/>
              <w:ind w:right="400"/>
              <w:spacing w:after="0" w:line="122" w:lineRule="exact"/>
              <w:rPr>
                <w:sz w:val="20"/>
                <w:szCs w:val="20"/>
                <w:color w:val="auto"/>
              </w:rPr>
            </w:pPr>
            <w:r>
              <w:rPr>
                <w:rFonts w:ascii="Arial" w:cs="Arial" w:eastAsia="Arial" w:hAnsi="Arial"/>
                <w:sz w:val="11"/>
                <w:szCs w:val="11"/>
                <w:b w:val="1"/>
                <w:bCs w:val="1"/>
                <w:color w:val="auto"/>
              </w:rPr>
              <w:t>Option</w:t>
            </w: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Incentive Plan</w:t>
            </w:r>
          </w:p>
        </w:tc>
        <w:tc>
          <w:tcPr>
            <w:tcW w:w="1380" w:type="dxa"/>
            <w:vAlign w:val="bottom"/>
          </w:tcPr>
          <w:p>
            <w:pPr>
              <w:jc w:val="right"/>
              <w:ind w:right="420"/>
              <w:spacing w:after="0" w:line="122" w:lineRule="exact"/>
              <w:rPr>
                <w:sz w:val="20"/>
                <w:szCs w:val="20"/>
                <w:color w:val="auto"/>
              </w:rPr>
            </w:pPr>
            <w:r>
              <w:rPr>
                <w:rFonts w:ascii="Arial" w:cs="Arial" w:eastAsia="Arial" w:hAnsi="Arial"/>
                <w:sz w:val="11"/>
                <w:szCs w:val="11"/>
                <w:b w:val="1"/>
                <w:bCs w:val="1"/>
                <w:color w:val="auto"/>
              </w:rPr>
              <w:t>All Other</w:t>
            </w: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vMerge w:val="restart"/>
          </w:tcPr>
          <w:p>
            <w:pPr>
              <w:jc w:val="right"/>
              <w:ind w:right="398"/>
              <w:spacing w:after="0"/>
              <w:rPr>
                <w:sz w:val="20"/>
                <w:szCs w:val="20"/>
                <w:color w:val="auto"/>
              </w:rPr>
            </w:pPr>
            <w:r>
              <w:rPr>
                <w:rFonts w:ascii="Arial" w:cs="Arial" w:eastAsia="Arial" w:hAnsi="Arial"/>
                <w:sz w:val="11"/>
                <w:szCs w:val="11"/>
                <w:b w:val="1"/>
                <w:bCs w:val="1"/>
                <w:color w:val="auto"/>
              </w:rPr>
              <w:t>Salary</w:t>
            </w:r>
          </w:p>
        </w:tc>
        <w:tc>
          <w:tcPr>
            <w:tcW w:w="1200" w:type="dxa"/>
            <w:vAlign w:val="bottom"/>
          </w:tcPr>
          <w:p>
            <w:pPr>
              <w:jc w:val="right"/>
              <w:ind w:right="400"/>
              <w:spacing w:after="0"/>
              <w:rPr>
                <w:sz w:val="20"/>
                <w:szCs w:val="20"/>
                <w:color w:val="auto"/>
              </w:rPr>
            </w:pPr>
            <w:r>
              <w:rPr>
                <w:rFonts w:ascii="Arial" w:cs="Arial" w:eastAsia="Arial" w:hAnsi="Arial"/>
                <w:sz w:val="11"/>
                <w:szCs w:val="11"/>
                <w:b w:val="1"/>
                <w:bCs w:val="1"/>
                <w:color w:val="auto"/>
              </w:rPr>
              <w:t>Bonus</w:t>
            </w:r>
          </w:p>
        </w:tc>
        <w:tc>
          <w:tcPr>
            <w:tcW w:w="1220" w:type="dxa"/>
            <w:vAlign w:val="bottom"/>
          </w:tcPr>
          <w:p>
            <w:pPr>
              <w:jc w:val="right"/>
              <w:ind w:right="380"/>
              <w:spacing w:after="0"/>
              <w:rPr>
                <w:sz w:val="20"/>
                <w:szCs w:val="20"/>
                <w:color w:val="auto"/>
              </w:rPr>
            </w:pPr>
            <w:r>
              <w:rPr>
                <w:rFonts w:ascii="Arial" w:cs="Arial" w:eastAsia="Arial" w:hAnsi="Arial"/>
                <w:sz w:val="11"/>
                <w:szCs w:val="11"/>
                <w:b w:val="1"/>
                <w:bCs w:val="1"/>
                <w:color w:val="auto"/>
              </w:rPr>
              <w:t>Awards</w:t>
            </w:r>
          </w:p>
        </w:tc>
        <w:tc>
          <w:tcPr>
            <w:tcW w:w="1220" w:type="dxa"/>
            <w:vAlign w:val="bottom"/>
          </w:tcPr>
          <w:p>
            <w:pPr>
              <w:jc w:val="right"/>
              <w:ind w:right="380"/>
              <w:spacing w:after="0"/>
              <w:rPr>
                <w:sz w:val="20"/>
                <w:szCs w:val="20"/>
                <w:color w:val="auto"/>
              </w:rPr>
            </w:pPr>
            <w:r>
              <w:rPr>
                <w:rFonts w:ascii="Arial" w:cs="Arial" w:eastAsia="Arial" w:hAnsi="Arial"/>
                <w:sz w:val="11"/>
                <w:szCs w:val="11"/>
                <w:b w:val="1"/>
                <w:bCs w:val="1"/>
                <w:color w:val="auto"/>
              </w:rPr>
              <w:t>Awards</w:t>
            </w: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99"/>
              </w:rPr>
              <w:t>Compensation</w:t>
            </w:r>
          </w:p>
        </w:tc>
        <w:tc>
          <w:tcPr>
            <w:tcW w:w="1380" w:type="dxa"/>
            <w:vAlign w:val="bottom"/>
          </w:tcPr>
          <w:p>
            <w:pPr>
              <w:jc w:val="right"/>
              <w:ind w:right="260"/>
              <w:spacing w:after="0"/>
              <w:rPr>
                <w:sz w:val="20"/>
                <w:szCs w:val="20"/>
                <w:color w:val="auto"/>
              </w:rPr>
            </w:pPr>
            <w:r>
              <w:rPr>
                <w:rFonts w:ascii="Arial" w:cs="Arial" w:eastAsia="Arial" w:hAnsi="Arial"/>
                <w:sz w:val="11"/>
                <w:szCs w:val="11"/>
                <w:b w:val="1"/>
                <w:bCs w:val="1"/>
                <w:color w:val="auto"/>
              </w:rPr>
              <w:t>Compensation</w:t>
            </w:r>
          </w:p>
        </w:tc>
        <w:tc>
          <w:tcPr>
            <w:tcW w:w="1200" w:type="dxa"/>
            <w:vAlign w:val="bottom"/>
            <w:vMerge w:val="restart"/>
          </w:tcPr>
          <w:p>
            <w:pPr>
              <w:jc w:val="right"/>
              <w:ind w:right="41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200" w:type="dxa"/>
            <w:vAlign w:val="bottom"/>
          </w:tcPr>
          <w:p>
            <w:pPr>
              <w:jc w:val="right"/>
              <w:ind w:right="520"/>
              <w:spacing w:after="0"/>
              <w:rPr>
                <w:sz w:val="20"/>
                <w:szCs w:val="20"/>
                <w:color w:val="auto"/>
              </w:rPr>
            </w:pPr>
            <w:r>
              <w:rPr>
                <w:rFonts w:ascii="Arial" w:cs="Arial" w:eastAsia="Arial" w:hAnsi="Arial"/>
                <w:sz w:val="7"/>
                <w:szCs w:val="7"/>
                <w:b w:val="1"/>
                <w:bCs w:val="1"/>
                <w:color w:val="auto"/>
              </w:rPr>
              <w:t>(1)</w:t>
            </w:r>
          </w:p>
        </w:tc>
        <w:tc>
          <w:tcPr>
            <w:tcW w:w="1220" w:type="dxa"/>
            <w:vAlign w:val="bottom"/>
          </w:tcPr>
          <w:p>
            <w:pPr>
              <w:jc w:val="right"/>
              <w:ind w:right="520"/>
              <w:spacing w:after="0"/>
              <w:rPr>
                <w:sz w:val="20"/>
                <w:szCs w:val="20"/>
                <w:color w:val="auto"/>
              </w:rPr>
            </w:pPr>
            <w:r>
              <w:rPr>
                <w:rFonts w:ascii="Arial" w:cs="Arial" w:eastAsia="Arial" w:hAnsi="Arial"/>
                <w:sz w:val="7"/>
                <w:szCs w:val="7"/>
                <w:b w:val="1"/>
                <w:bCs w:val="1"/>
                <w:color w:val="auto"/>
              </w:rPr>
              <w:t>(2)</w:t>
            </w:r>
          </w:p>
        </w:tc>
        <w:tc>
          <w:tcPr>
            <w:tcW w:w="1220" w:type="dxa"/>
            <w:vAlign w:val="bottom"/>
          </w:tcPr>
          <w:p>
            <w:pPr>
              <w:jc w:val="right"/>
              <w:ind w:right="540"/>
              <w:spacing w:after="0"/>
              <w:rPr>
                <w:sz w:val="20"/>
                <w:szCs w:val="20"/>
                <w:color w:val="auto"/>
              </w:rPr>
            </w:pPr>
            <w:r>
              <w:rPr>
                <w:rFonts w:ascii="Arial" w:cs="Arial" w:eastAsia="Arial" w:hAnsi="Arial"/>
                <w:sz w:val="7"/>
                <w:szCs w:val="7"/>
                <w:b w:val="1"/>
                <w:bCs w:val="1"/>
                <w:color w:val="auto"/>
              </w:rPr>
              <w:t>(3)</w:t>
            </w:r>
          </w:p>
        </w:tc>
        <w:tc>
          <w:tcPr>
            <w:tcW w:w="1360" w:type="dxa"/>
            <w:vAlign w:val="bottom"/>
          </w:tcPr>
          <w:p>
            <w:pPr>
              <w:jc w:val="right"/>
              <w:ind w:right="601"/>
              <w:spacing w:after="0"/>
              <w:rPr>
                <w:sz w:val="20"/>
                <w:szCs w:val="20"/>
                <w:color w:val="auto"/>
              </w:rPr>
            </w:pPr>
            <w:r>
              <w:rPr>
                <w:rFonts w:ascii="Arial" w:cs="Arial" w:eastAsia="Arial" w:hAnsi="Arial"/>
                <w:sz w:val="7"/>
                <w:szCs w:val="7"/>
                <w:b w:val="1"/>
                <w:bCs w:val="1"/>
                <w:color w:val="auto"/>
              </w:rPr>
              <w:t>(4)</w:t>
            </w:r>
          </w:p>
        </w:tc>
        <w:tc>
          <w:tcPr>
            <w:tcW w:w="1380" w:type="dxa"/>
            <w:vAlign w:val="bottom"/>
          </w:tcPr>
          <w:p>
            <w:pPr>
              <w:jc w:val="right"/>
              <w:ind w:right="600"/>
              <w:spacing w:after="0"/>
              <w:rPr>
                <w:sz w:val="20"/>
                <w:szCs w:val="20"/>
                <w:color w:val="auto"/>
              </w:rPr>
            </w:pPr>
            <w:r>
              <w:rPr>
                <w:rFonts w:ascii="Arial" w:cs="Arial" w:eastAsia="Arial" w:hAnsi="Arial"/>
                <w:sz w:val="7"/>
                <w:szCs w:val="7"/>
                <w:b w:val="1"/>
                <w:bCs w:val="1"/>
                <w:color w:val="auto"/>
              </w:rPr>
              <w:t>(5)</w:t>
            </w: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Year</w:t>
            </w:r>
          </w:p>
        </w:tc>
        <w:tc>
          <w:tcPr>
            <w:tcW w:w="1200" w:type="dxa"/>
            <w:vAlign w:val="bottom"/>
            <w:tcBorders>
              <w:bottom w:val="single" w:sz="8" w:color="auto"/>
            </w:tcBorders>
          </w:tcPr>
          <w:p>
            <w:pPr>
              <w:jc w:val="right"/>
              <w:ind w:right="498"/>
              <w:spacing w:after="0"/>
              <w:rPr>
                <w:sz w:val="20"/>
                <w:szCs w:val="20"/>
                <w:color w:val="auto"/>
              </w:rPr>
            </w:pPr>
            <w:r>
              <w:rPr>
                <w:rFonts w:ascii="Arial" w:cs="Arial" w:eastAsia="Arial" w:hAnsi="Arial"/>
                <w:sz w:val="11"/>
                <w:szCs w:val="11"/>
                <w:b w:val="1"/>
                <w:bCs w:val="1"/>
                <w:color w:val="auto"/>
              </w:rPr>
              <w:t>($)</w:t>
            </w:r>
          </w:p>
        </w:tc>
        <w:tc>
          <w:tcPr>
            <w:tcW w:w="1200" w:type="dxa"/>
            <w:vAlign w:val="bottom"/>
            <w:tcBorders>
              <w:bottom w:val="single" w:sz="8" w:color="auto"/>
            </w:tcBorders>
          </w:tcPr>
          <w:p>
            <w:pPr>
              <w:jc w:val="right"/>
              <w:ind w:right="500"/>
              <w:spacing w:after="0"/>
              <w:rPr>
                <w:sz w:val="20"/>
                <w:szCs w:val="20"/>
                <w:color w:val="auto"/>
              </w:rPr>
            </w:pPr>
            <w:r>
              <w:rPr>
                <w:rFonts w:ascii="Arial" w:cs="Arial" w:eastAsia="Arial" w:hAnsi="Arial"/>
                <w:sz w:val="11"/>
                <w:szCs w:val="11"/>
                <w:b w:val="1"/>
                <w:bCs w:val="1"/>
                <w:color w:val="auto"/>
              </w:rPr>
              <w:t>($)</w:t>
            </w:r>
          </w:p>
        </w:tc>
        <w:tc>
          <w:tcPr>
            <w:tcW w:w="1220" w:type="dxa"/>
            <w:vAlign w:val="bottom"/>
            <w:tcBorders>
              <w:bottom w:val="single" w:sz="8" w:color="auto"/>
            </w:tcBorders>
          </w:tcPr>
          <w:p>
            <w:pPr>
              <w:jc w:val="right"/>
              <w:ind w:right="500"/>
              <w:spacing w:after="0"/>
              <w:rPr>
                <w:sz w:val="20"/>
                <w:szCs w:val="20"/>
                <w:color w:val="auto"/>
              </w:rPr>
            </w:pPr>
            <w:r>
              <w:rPr>
                <w:rFonts w:ascii="Arial" w:cs="Arial" w:eastAsia="Arial" w:hAnsi="Arial"/>
                <w:sz w:val="11"/>
                <w:szCs w:val="11"/>
                <w:b w:val="1"/>
                <w:bCs w:val="1"/>
                <w:color w:val="auto"/>
              </w:rPr>
              <w:t>($)</w:t>
            </w:r>
          </w:p>
        </w:tc>
        <w:tc>
          <w:tcPr>
            <w:tcW w:w="1220" w:type="dxa"/>
            <w:vAlign w:val="bottom"/>
            <w:tcBorders>
              <w:bottom w:val="single" w:sz="8" w:color="auto"/>
            </w:tcBorders>
          </w:tcPr>
          <w:p>
            <w:pPr>
              <w:jc w:val="right"/>
              <w:ind w:right="520"/>
              <w:spacing w:after="0"/>
              <w:rPr>
                <w:sz w:val="20"/>
                <w:szCs w:val="20"/>
                <w:color w:val="auto"/>
              </w:rPr>
            </w:pPr>
            <w:r>
              <w:rPr>
                <w:rFonts w:ascii="Arial" w:cs="Arial" w:eastAsia="Arial" w:hAnsi="Arial"/>
                <w:sz w:val="11"/>
                <w:szCs w:val="11"/>
                <w:b w:val="1"/>
                <w:bCs w:val="1"/>
                <w:color w:val="auto"/>
              </w:rPr>
              <w:t>($)</w:t>
            </w:r>
          </w:p>
        </w:tc>
        <w:tc>
          <w:tcPr>
            <w:tcW w:w="1360" w:type="dxa"/>
            <w:vAlign w:val="bottom"/>
            <w:tcBorders>
              <w:bottom w:val="single" w:sz="8" w:color="auto"/>
            </w:tcBorders>
          </w:tcPr>
          <w:p>
            <w:pPr>
              <w:jc w:val="right"/>
              <w:ind w:right="581"/>
              <w:spacing w:after="0"/>
              <w:rPr>
                <w:sz w:val="20"/>
                <w:szCs w:val="20"/>
                <w:color w:val="auto"/>
              </w:rPr>
            </w:pPr>
            <w:r>
              <w:rPr>
                <w:rFonts w:ascii="Arial" w:cs="Arial" w:eastAsia="Arial" w:hAnsi="Arial"/>
                <w:sz w:val="11"/>
                <w:szCs w:val="11"/>
                <w:b w:val="1"/>
                <w:bCs w:val="1"/>
                <w:color w:val="auto"/>
              </w:rPr>
              <w:t>($)</w:t>
            </w:r>
          </w:p>
        </w:tc>
        <w:tc>
          <w:tcPr>
            <w:tcW w:w="1380" w:type="dxa"/>
            <w:vAlign w:val="bottom"/>
            <w:tcBorders>
              <w:bottom w:val="single" w:sz="8" w:color="auto"/>
            </w:tcBorders>
          </w:tcPr>
          <w:p>
            <w:pPr>
              <w:jc w:val="right"/>
              <w:ind w:right="580"/>
              <w:spacing w:after="0"/>
              <w:rPr>
                <w:sz w:val="20"/>
                <w:szCs w:val="20"/>
                <w:color w:val="auto"/>
              </w:rPr>
            </w:pPr>
            <w:r>
              <w:rPr>
                <w:rFonts w:ascii="Arial" w:cs="Arial" w:eastAsia="Arial" w:hAnsi="Arial"/>
                <w:sz w:val="11"/>
                <w:szCs w:val="11"/>
                <w:b w:val="1"/>
                <w:bCs w:val="1"/>
                <w:color w:val="auto"/>
              </w:rPr>
              <w:t>($)</w:t>
            </w:r>
          </w:p>
        </w:tc>
        <w:tc>
          <w:tcPr>
            <w:tcW w:w="1200" w:type="dxa"/>
            <w:vAlign w:val="bottom"/>
            <w:tcBorders>
              <w:bottom w:val="single" w:sz="8" w:color="auto"/>
            </w:tcBorders>
          </w:tcPr>
          <w:p>
            <w:pPr>
              <w:jc w:val="right"/>
              <w:ind w:right="478"/>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66"/>
        </w:trPr>
        <w:tc>
          <w:tcPr>
            <w:tcW w:w="1580" w:type="dxa"/>
            <w:vAlign w:val="bottom"/>
            <w:tcBorders>
              <w:right w:val="single" w:sz="8" w:color="95B3D7"/>
            </w:tcBorders>
            <w:vMerge w:val="restart"/>
            <w:shd w:val="clear" w:color="auto" w:fill="DBE5F1"/>
          </w:tcPr>
          <w:p>
            <w:pPr>
              <w:ind w:left="80"/>
              <w:spacing w:after="0"/>
              <w:rPr>
                <w:sz w:val="20"/>
                <w:szCs w:val="20"/>
                <w:color w:val="auto"/>
              </w:rPr>
            </w:pPr>
            <w:r>
              <w:rPr>
                <w:rFonts w:ascii="Arial" w:cs="Arial" w:eastAsia="Arial" w:hAnsi="Arial"/>
                <w:sz w:val="13"/>
                <w:szCs w:val="13"/>
                <w:b w:val="1"/>
                <w:bCs w:val="1"/>
                <w:color w:val="auto"/>
              </w:rPr>
              <w:t>John Kao</w:t>
            </w:r>
          </w:p>
        </w:tc>
        <w:tc>
          <w:tcPr>
            <w:tcW w:w="8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3"/>
                <w:szCs w:val="13"/>
                <w:color w:val="auto"/>
                <w:w w:val="96"/>
              </w:rPr>
              <w:t>2024</w:t>
            </w:r>
          </w:p>
        </w:tc>
        <w:tc>
          <w:tcPr>
            <w:tcW w:w="12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3"/>
                <w:szCs w:val="13"/>
                <w:color w:val="auto"/>
              </w:rPr>
              <w:t>817,308</w:t>
            </w:r>
          </w:p>
        </w:tc>
        <w:tc>
          <w:tcPr>
            <w:tcW w:w="120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1,000,000</w:t>
            </w:r>
          </w:p>
        </w:tc>
        <w:tc>
          <w:tcPr>
            <w:tcW w:w="1220" w:type="dxa"/>
            <w:vAlign w:val="bottom"/>
            <w:tcBorders>
              <w:right w:val="single" w:sz="8" w:color="95B3D7"/>
            </w:tcBorders>
            <w:shd w:val="clear" w:color="auto" w:fill="DBE5F1"/>
          </w:tcPr>
          <w:p>
            <w:pPr>
              <w:jc w:val="right"/>
              <w:ind w:right="40"/>
              <w:spacing w:after="0"/>
              <w:rPr>
                <w:sz w:val="20"/>
                <w:szCs w:val="20"/>
                <w:color w:val="auto"/>
              </w:rPr>
            </w:pPr>
            <w:r>
              <w:rPr>
                <w:rFonts w:ascii="Arial" w:cs="Arial" w:eastAsia="Arial" w:hAnsi="Arial"/>
                <w:sz w:val="13"/>
                <w:szCs w:val="13"/>
                <w:color w:val="auto"/>
              </w:rPr>
              <w:t>3,300,000</w:t>
            </w:r>
          </w:p>
        </w:tc>
        <w:tc>
          <w:tcPr>
            <w:tcW w:w="1220" w:type="dxa"/>
            <w:vAlign w:val="bottom"/>
            <w:tcBorders>
              <w:right w:val="single" w:sz="8" w:color="95B3D7"/>
            </w:tcBorders>
            <w:shd w:val="clear" w:color="auto" w:fill="DBE5F1"/>
          </w:tcPr>
          <w:p>
            <w:pPr>
              <w:jc w:val="right"/>
              <w:ind w:right="40"/>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95B3D7"/>
            </w:tcBorders>
            <w:shd w:val="clear" w:color="auto" w:fill="DBE5F1"/>
          </w:tcPr>
          <w:p>
            <w:pPr>
              <w:jc w:val="right"/>
              <w:ind w:right="21"/>
              <w:spacing w:after="0"/>
              <w:rPr>
                <w:sz w:val="20"/>
                <w:szCs w:val="20"/>
                <w:color w:val="auto"/>
              </w:rPr>
            </w:pPr>
            <w:r>
              <w:rPr>
                <w:rFonts w:ascii="Arial" w:cs="Arial" w:eastAsia="Arial" w:hAnsi="Arial"/>
                <w:sz w:val="13"/>
                <w:szCs w:val="13"/>
                <w:color w:val="auto"/>
              </w:rPr>
              <w:t>1,246,053</w:t>
            </w:r>
          </w:p>
        </w:tc>
        <w:tc>
          <w:tcPr>
            <w:tcW w:w="138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5,804</w:t>
            </w:r>
          </w:p>
        </w:tc>
        <w:tc>
          <w:tcPr>
            <w:tcW w:w="1200" w:type="dxa"/>
            <w:vAlign w:val="bottom"/>
            <w:shd w:val="clear" w:color="auto" w:fill="DBE5F1"/>
          </w:tcPr>
          <w:p>
            <w:pPr>
              <w:jc w:val="right"/>
              <w:spacing w:after="0"/>
              <w:rPr>
                <w:sz w:val="20"/>
                <w:szCs w:val="20"/>
                <w:color w:val="auto"/>
              </w:rPr>
            </w:pPr>
            <w:r>
              <w:rPr>
                <w:rFonts w:ascii="Arial" w:cs="Arial" w:eastAsia="Arial" w:hAnsi="Arial"/>
                <w:sz w:val="13"/>
                <w:szCs w:val="13"/>
                <w:color w:val="auto"/>
              </w:rPr>
              <w:t>6,369,165</w:t>
            </w:r>
          </w:p>
        </w:tc>
        <w:tc>
          <w:tcPr>
            <w:tcW w:w="0" w:type="dxa"/>
            <w:vAlign w:val="bottom"/>
          </w:tcPr>
          <w:p>
            <w:pPr>
              <w:spacing w:after="0"/>
              <w:rPr>
                <w:sz w:val="1"/>
                <w:szCs w:val="1"/>
                <w:color w:val="auto"/>
              </w:rPr>
            </w:pPr>
          </w:p>
        </w:tc>
      </w:tr>
      <w:tr>
        <w:trPr>
          <w:trHeight w:val="100"/>
        </w:trPr>
        <w:tc>
          <w:tcPr>
            <w:tcW w:w="1580" w:type="dxa"/>
            <w:vAlign w:val="bottom"/>
            <w:tcBorders>
              <w:right w:val="single" w:sz="8" w:color="95B3D7"/>
            </w:tcBorders>
            <w:vMerge w:val="continue"/>
            <w:shd w:val="clear" w:color="auto" w:fill="DBE5F1"/>
          </w:tcPr>
          <w:p>
            <w:pPr>
              <w:spacing w:after="0"/>
              <w:rPr>
                <w:sz w:val="8"/>
                <w:szCs w:val="8"/>
                <w:color w:val="auto"/>
              </w:rPr>
            </w:pPr>
          </w:p>
        </w:tc>
        <w:tc>
          <w:tcPr>
            <w:tcW w:w="880" w:type="dxa"/>
            <w:vAlign w:val="bottom"/>
            <w:tcBorders>
              <w:right w:val="single" w:sz="8" w:color="95B3D7"/>
            </w:tcBorders>
            <w:shd w:val="clear" w:color="auto" w:fill="DBE5F1"/>
          </w:tcPr>
          <w:p>
            <w:pPr>
              <w:spacing w:after="0"/>
              <w:rPr>
                <w:sz w:val="8"/>
                <w:szCs w:val="8"/>
                <w:color w:val="auto"/>
              </w:rPr>
            </w:pPr>
          </w:p>
        </w:tc>
        <w:tc>
          <w:tcPr>
            <w:tcW w:w="1200" w:type="dxa"/>
            <w:vAlign w:val="bottom"/>
            <w:tcBorders>
              <w:right w:val="single" w:sz="8" w:color="95B3D7"/>
            </w:tcBorders>
            <w:shd w:val="clear" w:color="auto" w:fill="DBE5F1"/>
          </w:tcPr>
          <w:p>
            <w:pPr>
              <w:spacing w:after="0"/>
              <w:rPr>
                <w:sz w:val="8"/>
                <w:szCs w:val="8"/>
                <w:color w:val="auto"/>
              </w:rPr>
            </w:pPr>
          </w:p>
        </w:tc>
        <w:tc>
          <w:tcPr>
            <w:tcW w:w="1200" w:type="dxa"/>
            <w:vAlign w:val="bottom"/>
            <w:tcBorders>
              <w:right w:val="single" w:sz="8" w:color="95B3D7"/>
            </w:tcBorders>
            <w:shd w:val="clear" w:color="auto" w:fill="DBE5F1"/>
          </w:tcPr>
          <w:p>
            <w:pPr>
              <w:spacing w:after="0"/>
              <w:rPr>
                <w:sz w:val="8"/>
                <w:szCs w:val="8"/>
                <w:color w:val="auto"/>
              </w:rPr>
            </w:pPr>
          </w:p>
        </w:tc>
        <w:tc>
          <w:tcPr>
            <w:tcW w:w="1220" w:type="dxa"/>
            <w:vAlign w:val="bottom"/>
            <w:tcBorders>
              <w:right w:val="single" w:sz="8" w:color="95B3D7"/>
            </w:tcBorders>
            <w:shd w:val="clear" w:color="auto" w:fill="DBE5F1"/>
          </w:tcPr>
          <w:p>
            <w:pPr>
              <w:spacing w:after="0"/>
              <w:rPr>
                <w:sz w:val="8"/>
                <w:szCs w:val="8"/>
                <w:color w:val="auto"/>
              </w:rPr>
            </w:pPr>
          </w:p>
        </w:tc>
        <w:tc>
          <w:tcPr>
            <w:tcW w:w="1220" w:type="dxa"/>
            <w:vAlign w:val="bottom"/>
            <w:tcBorders>
              <w:right w:val="single" w:sz="8" w:color="95B3D7"/>
            </w:tcBorders>
            <w:shd w:val="clear" w:color="auto" w:fill="DBE5F1"/>
          </w:tcPr>
          <w:p>
            <w:pPr>
              <w:spacing w:after="0"/>
              <w:rPr>
                <w:sz w:val="8"/>
                <w:szCs w:val="8"/>
                <w:color w:val="auto"/>
              </w:rPr>
            </w:pPr>
          </w:p>
        </w:tc>
        <w:tc>
          <w:tcPr>
            <w:tcW w:w="1360" w:type="dxa"/>
            <w:vAlign w:val="bottom"/>
            <w:tcBorders>
              <w:right w:val="single" w:sz="8" w:color="95B3D7"/>
            </w:tcBorders>
            <w:shd w:val="clear" w:color="auto" w:fill="DBE5F1"/>
          </w:tcPr>
          <w:p>
            <w:pPr>
              <w:spacing w:after="0"/>
              <w:rPr>
                <w:sz w:val="8"/>
                <w:szCs w:val="8"/>
                <w:color w:val="auto"/>
              </w:rPr>
            </w:pPr>
          </w:p>
        </w:tc>
        <w:tc>
          <w:tcPr>
            <w:tcW w:w="1380" w:type="dxa"/>
            <w:vAlign w:val="bottom"/>
            <w:tcBorders>
              <w:right w:val="single" w:sz="8" w:color="95B3D7"/>
            </w:tcBorders>
            <w:shd w:val="clear" w:color="auto" w:fill="DBE5F1"/>
          </w:tcPr>
          <w:p>
            <w:pPr>
              <w:spacing w:after="0"/>
              <w:rPr>
                <w:sz w:val="8"/>
                <w:szCs w:val="8"/>
                <w:color w:val="auto"/>
              </w:rPr>
            </w:pPr>
          </w:p>
        </w:tc>
        <w:tc>
          <w:tcPr>
            <w:tcW w:w="1200" w:type="dxa"/>
            <w:vAlign w:val="bottom"/>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1580" w:type="dxa"/>
            <w:vAlign w:val="bottom"/>
            <w:tcBorders>
              <w:right w:val="single" w:sz="8" w:color="95B3D7"/>
            </w:tcBorders>
            <w:shd w:val="clear" w:color="auto" w:fill="DBE5F1"/>
          </w:tcPr>
          <w:p>
            <w:pPr>
              <w:ind w:left="220"/>
              <w:spacing w:after="0"/>
              <w:rPr>
                <w:sz w:val="20"/>
                <w:szCs w:val="20"/>
                <w:color w:val="auto"/>
              </w:rPr>
            </w:pPr>
            <w:r>
              <w:rPr>
                <w:rFonts w:ascii="Arial" w:cs="Arial" w:eastAsia="Arial" w:hAnsi="Arial"/>
                <w:sz w:val="13"/>
                <w:szCs w:val="13"/>
                <w:color w:val="auto"/>
              </w:rPr>
              <w:t>Chief Executive</w:t>
            </w:r>
          </w:p>
        </w:tc>
        <w:tc>
          <w:tcPr>
            <w:tcW w:w="8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3"/>
                <w:szCs w:val="13"/>
                <w:color w:val="auto"/>
                <w:w w:val="96"/>
              </w:rPr>
              <w:t>2023</w:t>
            </w:r>
          </w:p>
        </w:tc>
        <w:tc>
          <w:tcPr>
            <w:tcW w:w="12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3"/>
                <w:szCs w:val="13"/>
                <w:color w:val="auto"/>
              </w:rPr>
              <w:t>786,539</w:t>
            </w:r>
          </w:p>
        </w:tc>
        <w:tc>
          <w:tcPr>
            <w:tcW w:w="120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95B3D7"/>
            </w:tcBorders>
            <w:shd w:val="clear" w:color="auto" w:fill="DBE5F1"/>
          </w:tcPr>
          <w:p>
            <w:pPr>
              <w:jc w:val="right"/>
              <w:ind w:right="40"/>
              <w:spacing w:after="0"/>
              <w:rPr>
                <w:sz w:val="20"/>
                <w:szCs w:val="20"/>
                <w:color w:val="auto"/>
              </w:rPr>
            </w:pPr>
            <w:r>
              <w:rPr>
                <w:rFonts w:ascii="Arial" w:cs="Arial" w:eastAsia="Arial" w:hAnsi="Arial"/>
                <w:sz w:val="13"/>
                <w:szCs w:val="13"/>
                <w:color w:val="auto"/>
              </w:rPr>
              <w:t>12,497,891</w:t>
            </w:r>
          </w:p>
        </w:tc>
        <w:tc>
          <w:tcPr>
            <w:tcW w:w="1220" w:type="dxa"/>
            <w:vAlign w:val="bottom"/>
            <w:tcBorders>
              <w:right w:val="single" w:sz="8" w:color="95B3D7"/>
            </w:tcBorders>
            <w:shd w:val="clear" w:color="auto" w:fill="DBE5F1"/>
          </w:tcPr>
          <w:p>
            <w:pPr>
              <w:jc w:val="right"/>
              <w:ind w:right="40"/>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95B3D7"/>
            </w:tcBorders>
            <w:shd w:val="clear" w:color="auto" w:fill="DBE5F1"/>
          </w:tcPr>
          <w:p>
            <w:pPr>
              <w:jc w:val="right"/>
              <w:ind w:right="21"/>
              <w:spacing w:after="0"/>
              <w:rPr>
                <w:sz w:val="20"/>
                <w:szCs w:val="20"/>
                <w:color w:val="auto"/>
              </w:rPr>
            </w:pPr>
            <w:r>
              <w:rPr>
                <w:rFonts w:ascii="Arial" w:cs="Arial" w:eastAsia="Arial" w:hAnsi="Arial"/>
                <w:sz w:val="13"/>
                <w:szCs w:val="13"/>
                <w:color w:val="auto"/>
              </w:rPr>
              <w:t>1,006,837</w:t>
            </w:r>
          </w:p>
        </w:tc>
        <w:tc>
          <w:tcPr>
            <w:tcW w:w="138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5,209</w:t>
            </w:r>
          </w:p>
        </w:tc>
        <w:tc>
          <w:tcPr>
            <w:tcW w:w="1200" w:type="dxa"/>
            <w:vAlign w:val="bottom"/>
            <w:shd w:val="clear" w:color="auto" w:fill="DBE5F1"/>
          </w:tcPr>
          <w:p>
            <w:pPr>
              <w:jc w:val="right"/>
              <w:spacing w:after="0"/>
              <w:rPr>
                <w:sz w:val="20"/>
                <w:szCs w:val="20"/>
                <w:color w:val="auto"/>
              </w:rPr>
            </w:pPr>
            <w:r>
              <w:rPr>
                <w:rFonts w:ascii="Arial" w:cs="Arial" w:eastAsia="Arial" w:hAnsi="Arial"/>
                <w:sz w:val="13"/>
                <w:szCs w:val="13"/>
                <w:color w:val="auto"/>
              </w:rPr>
              <w:t>14,296,476</w:t>
            </w:r>
          </w:p>
        </w:tc>
        <w:tc>
          <w:tcPr>
            <w:tcW w:w="0" w:type="dxa"/>
            <w:vAlign w:val="bottom"/>
          </w:tcPr>
          <w:p>
            <w:pPr>
              <w:spacing w:after="0"/>
              <w:rPr>
                <w:sz w:val="1"/>
                <w:szCs w:val="1"/>
                <w:color w:val="auto"/>
              </w:rPr>
            </w:pPr>
          </w:p>
        </w:tc>
      </w:tr>
      <w:tr>
        <w:trPr>
          <w:trHeight w:val="162"/>
        </w:trPr>
        <w:tc>
          <w:tcPr>
            <w:tcW w:w="1580" w:type="dxa"/>
            <w:vAlign w:val="bottom"/>
            <w:tcBorders>
              <w:right w:val="single" w:sz="8" w:color="95B3D7"/>
            </w:tcBorders>
            <w:shd w:val="clear" w:color="auto" w:fill="DBE5F1"/>
          </w:tcPr>
          <w:p>
            <w:pPr>
              <w:ind w:left="220"/>
              <w:spacing w:after="0"/>
              <w:rPr>
                <w:sz w:val="20"/>
                <w:szCs w:val="20"/>
                <w:color w:val="auto"/>
              </w:rPr>
            </w:pPr>
            <w:r>
              <w:rPr>
                <w:rFonts w:ascii="Arial" w:cs="Arial" w:eastAsia="Arial" w:hAnsi="Arial"/>
                <w:sz w:val="13"/>
                <w:szCs w:val="13"/>
                <w:color w:val="auto"/>
              </w:rPr>
              <w:t>Officer</w:t>
            </w:r>
          </w:p>
        </w:tc>
        <w:tc>
          <w:tcPr>
            <w:tcW w:w="880" w:type="dxa"/>
            <w:vAlign w:val="bottom"/>
            <w:tcBorders>
              <w:right w:val="single" w:sz="8" w:color="95B3D7"/>
            </w:tcBorders>
            <w:shd w:val="clear" w:color="auto" w:fill="DBE5F1"/>
          </w:tcPr>
          <w:p>
            <w:pPr>
              <w:spacing w:after="0"/>
              <w:rPr>
                <w:sz w:val="14"/>
                <w:szCs w:val="14"/>
                <w:color w:val="auto"/>
              </w:rPr>
            </w:pPr>
          </w:p>
        </w:tc>
        <w:tc>
          <w:tcPr>
            <w:tcW w:w="1200" w:type="dxa"/>
            <w:vAlign w:val="bottom"/>
            <w:tcBorders>
              <w:right w:val="single" w:sz="8" w:color="95B3D7"/>
            </w:tcBorders>
            <w:shd w:val="clear" w:color="auto" w:fill="DBE5F1"/>
          </w:tcPr>
          <w:p>
            <w:pPr>
              <w:spacing w:after="0"/>
              <w:rPr>
                <w:sz w:val="14"/>
                <w:szCs w:val="14"/>
                <w:color w:val="auto"/>
              </w:rPr>
            </w:pPr>
          </w:p>
        </w:tc>
        <w:tc>
          <w:tcPr>
            <w:tcW w:w="1200" w:type="dxa"/>
            <w:vAlign w:val="bottom"/>
            <w:tcBorders>
              <w:right w:val="single" w:sz="8" w:color="95B3D7"/>
            </w:tcBorders>
            <w:shd w:val="clear" w:color="auto" w:fill="DBE5F1"/>
          </w:tcPr>
          <w:p>
            <w:pPr>
              <w:spacing w:after="0"/>
              <w:rPr>
                <w:sz w:val="14"/>
                <w:szCs w:val="14"/>
                <w:color w:val="auto"/>
              </w:rPr>
            </w:pPr>
          </w:p>
        </w:tc>
        <w:tc>
          <w:tcPr>
            <w:tcW w:w="1220" w:type="dxa"/>
            <w:vAlign w:val="bottom"/>
            <w:tcBorders>
              <w:right w:val="single" w:sz="8" w:color="95B3D7"/>
            </w:tcBorders>
            <w:shd w:val="clear" w:color="auto" w:fill="DBE5F1"/>
          </w:tcPr>
          <w:p>
            <w:pPr>
              <w:spacing w:after="0"/>
              <w:rPr>
                <w:sz w:val="14"/>
                <w:szCs w:val="14"/>
                <w:color w:val="auto"/>
              </w:rPr>
            </w:pPr>
          </w:p>
        </w:tc>
        <w:tc>
          <w:tcPr>
            <w:tcW w:w="1220" w:type="dxa"/>
            <w:vAlign w:val="bottom"/>
            <w:tcBorders>
              <w:right w:val="single" w:sz="8" w:color="95B3D7"/>
            </w:tcBorders>
            <w:shd w:val="clear" w:color="auto" w:fill="DBE5F1"/>
          </w:tcPr>
          <w:p>
            <w:pPr>
              <w:spacing w:after="0"/>
              <w:rPr>
                <w:sz w:val="14"/>
                <w:szCs w:val="14"/>
                <w:color w:val="auto"/>
              </w:rPr>
            </w:pPr>
          </w:p>
        </w:tc>
        <w:tc>
          <w:tcPr>
            <w:tcW w:w="1360" w:type="dxa"/>
            <w:vAlign w:val="bottom"/>
            <w:tcBorders>
              <w:right w:val="single" w:sz="8" w:color="95B3D7"/>
            </w:tcBorders>
            <w:shd w:val="clear" w:color="auto" w:fill="DBE5F1"/>
          </w:tcPr>
          <w:p>
            <w:pPr>
              <w:spacing w:after="0"/>
              <w:rPr>
                <w:sz w:val="14"/>
                <w:szCs w:val="14"/>
                <w:color w:val="auto"/>
              </w:rPr>
            </w:pPr>
          </w:p>
        </w:tc>
        <w:tc>
          <w:tcPr>
            <w:tcW w:w="1380" w:type="dxa"/>
            <w:vAlign w:val="bottom"/>
            <w:tcBorders>
              <w:right w:val="single" w:sz="8" w:color="95B3D7"/>
            </w:tcBorders>
            <w:shd w:val="clear" w:color="auto" w:fill="DBE5F1"/>
          </w:tcPr>
          <w:p>
            <w:pPr>
              <w:spacing w:after="0"/>
              <w:rPr>
                <w:sz w:val="14"/>
                <w:szCs w:val="14"/>
                <w:color w:val="auto"/>
              </w:rPr>
            </w:pPr>
          </w:p>
        </w:tc>
        <w:tc>
          <w:tcPr>
            <w:tcW w:w="1200" w:type="dxa"/>
            <w:vAlign w:val="bottom"/>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580" w:type="dxa"/>
            <w:vAlign w:val="bottom"/>
            <w:tcBorders>
              <w:right w:val="single" w:sz="8" w:color="95B3D7"/>
            </w:tcBorders>
            <w:shd w:val="clear" w:color="auto" w:fill="DBE5F1"/>
          </w:tcPr>
          <w:p>
            <w:pPr>
              <w:spacing w:after="0"/>
              <w:rPr>
                <w:sz w:val="14"/>
                <w:szCs w:val="14"/>
                <w:color w:val="auto"/>
              </w:rPr>
            </w:pPr>
          </w:p>
        </w:tc>
        <w:tc>
          <w:tcPr>
            <w:tcW w:w="8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3"/>
                <w:szCs w:val="13"/>
                <w:color w:val="auto"/>
                <w:w w:val="96"/>
              </w:rPr>
              <w:t>2022</w:t>
            </w:r>
          </w:p>
        </w:tc>
        <w:tc>
          <w:tcPr>
            <w:tcW w:w="12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3"/>
                <w:szCs w:val="13"/>
                <w:color w:val="auto"/>
              </w:rPr>
              <w:t>729,827</w:t>
            </w:r>
          </w:p>
        </w:tc>
        <w:tc>
          <w:tcPr>
            <w:tcW w:w="120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95B3D7"/>
            </w:tcBorders>
            <w:shd w:val="clear" w:color="auto" w:fill="DBE5F1"/>
          </w:tcPr>
          <w:p>
            <w:pPr>
              <w:jc w:val="right"/>
              <w:ind w:right="40"/>
              <w:spacing w:after="0"/>
              <w:rPr>
                <w:sz w:val="20"/>
                <w:szCs w:val="20"/>
                <w:color w:val="auto"/>
              </w:rPr>
            </w:pPr>
            <w:r>
              <w:rPr>
                <w:rFonts w:ascii="Arial" w:cs="Arial" w:eastAsia="Arial" w:hAnsi="Arial"/>
                <w:sz w:val="13"/>
                <w:szCs w:val="13"/>
                <w:color w:val="auto"/>
              </w:rPr>
              <w:t>30,937,508</w:t>
            </w:r>
          </w:p>
        </w:tc>
        <w:tc>
          <w:tcPr>
            <w:tcW w:w="1220" w:type="dxa"/>
            <w:vAlign w:val="bottom"/>
            <w:tcBorders>
              <w:right w:val="single" w:sz="8" w:color="95B3D7"/>
            </w:tcBorders>
            <w:shd w:val="clear" w:color="auto" w:fill="DBE5F1"/>
          </w:tcPr>
          <w:p>
            <w:pPr>
              <w:jc w:val="right"/>
              <w:ind w:right="40"/>
              <w:spacing w:after="0"/>
              <w:rPr>
                <w:sz w:val="20"/>
                <w:szCs w:val="20"/>
                <w:color w:val="auto"/>
              </w:rPr>
            </w:pPr>
            <w:r>
              <w:rPr>
                <w:rFonts w:ascii="Arial" w:cs="Arial" w:eastAsia="Arial" w:hAnsi="Arial"/>
                <w:sz w:val="13"/>
                <w:szCs w:val="13"/>
                <w:color w:val="auto"/>
              </w:rPr>
              <w:t>1,500,002</w:t>
            </w:r>
          </w:p>
        </w:tc>
        <w:tc>
          <w:tcPr>
            <w:tcW w:w="1360" w:type="dxa"/>
            <w:vAlign w:val="bottom"/>
            <w:tcBorders>
              <w:right w:val="single" w:sz="8" w:color="95B3D7"/>
            </w:tcBorders>
            <w:shd w:val="clear" w:color="auto" w:fill="DBE5F1"/>
          </w:tcPr>
          <w:p>
            <w:pPr>
              <w:jc w:val="right"/>
              <w:ind w:right="21"/>
              <w:spacing w:after="0"/>
              <w:rPr>
                <w:sz w:val="20"/>
                <w:szCs w:val="20"/>
                <w:color w:val="auto"/>
              </w:rPr>
            </w:pPr>
            <w:r>
              <w:rPr>
                <w:rFonts w:ascii="Arial" w:cs="Arial" w:eastAsia="Arial" w:hAnsi="Arial"/>
                <w:sz w:val="13"/>
                <w:szCs w:val="13"/>
                <w:color w:val="auto"/>
              </w:rPr>
              <w:t>902,835</w:t>
            </w:r>
          </w:p>
        </w:tc>
        <w:tc>
          <w:tcPr>
            <w:tcW w:w="138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420</w:t>
            </w:r>
          </w:p>
        </w:tc>
        <w:tc>
          <w:tcPr>
            <w:tcW w:w="1200" w:type="dxa"/>
            <w:vAlign w:val="bottom"/>
            <w:shd w:val="clear" w:color="auto" w:fill="DBE5F1"/>
          </w:tcPr>
          <w:p>
            <w:pPr>
              <w:jc w:val="right"/>
              <w:spacing w:after="0"/>
              <w:rPr>
                <w:sz w:val="20"/>
                <w:szCs w:val="20"/>
                <w:color w:val="auto"/>
              </w:rPr>
            </w:pPr>
            <w:r>
              <w:rPr>
                <w:rFonts w:ascii="Arial" w:cs="Arial" w:eastAsia="Arial" w:hAnsi="Arial"/>
                <w:sz w:val="13"/>
                <w:szCs w:val="13"/>
                <w:color w:val="auto"/>
              </w:rPr>
              <w:t>34,070,592</w:t>
            </w:r>
          </w:p>
        </w:tc>
        <w:tc>
          <w:tcPr>
            <w:tcW w:w="0" w:type="dxa"/>
            <w:vAlign w:val="bottom"/>
          </w:tcPr>
          <w:p>
            <w:pPr>
              <w:spacing w:after="0"/>
              <w:rPr>
                <w:sz w:val="1"/>
                <w:szCs w:val="1"/>
                <w:color w:val="auto"/>
              </w:rPr>
            </w:pPr>
          </w:p>
        </w:tc>
      </w:tr>
      <w:tr>
        <w:trPr>
          <w:trHeight w:val="158"/>
        </w:trPr>
        <w:tc>
          <w:tcPr>
            <w:tcW w:w="1580" w:type="dxa"/>
            <w:vAlign w:val="bottom"/>
            <w:tcBorders>
              <w:right w:val="single" w:sz="8" w:color="95B3D7"/>
            </w:tcBorders>
            <w:shd w:val="clear" w:color="auto" w:fill="DBE5F1"/>
          </w:tcPr>
          <w:p>
            <w:pPr>
              <w:spacing w:after="0"/>
              <w:rPr>
                <w:sz w:val="13"/>
                <w:szCs w:val="13"/>
                <w:color w:val="auto"/>
              </w:rPr>
            </w:pPr>
          </w:p>
        </w:tc>
        <w:tc>
          <w:tcPr>
            <w:tcW w:w="880" w:type="dxa"/>
            <w:vAlign w:val="bottom"/>
            <w:tcBorders>
              <w:right w:val="single" w:sz="8" w:color="95B3D7"/>
            </w:tcBorders>
            <w:shd w:val="clear" w:color="auto" w:fill="DBE5F1"/>
          </w:tcPr>
          <w:p>
            <w:pPr>
              <w:spacing w:after="0"/>
              <w:rPr>
                <w:sz w:val="13"/>
                <w:szCs w:val="13"/>
                <w:color w:val="auto"/>
              </w:rPr>
            </w:pPr>
          </w:p>
        </w:tc>
        <w:tc>
          <w:tcPr>
            <w:tcW w:w="1200" w:type="dxa"/>
            <w:vAlign w:val="bottom"/>
            <w:tcBorders>
              <w:right w:val="single" w:sz="8" w:color="95B3D7"/>
            </w:tcBorders>
            <w:shd w:val="clear" w:color="auto" w:fill="DBE5F1"/>
          </w:tcPr>
          <w:p>
            <w:pPr>
              <w:spacing w:after="0"/>
              <w:rPr>
                <w:sz w:val="13"/>
                <w:szCs w:val="13"/>
                <w:color w:val="auto"/>
              </w:rPr>
            </w:pPr>
          </w:p>
        </w:tc>
        <w:tc>
          <w:tcPr>
            <w:tcW w:w="1200" w:type="dxa"/>
            <w:vAlign w:val="bottom"/>
            <w:tcBorders>
              <w:right w:val="single" w:sz="8" w:color="95B3D7"/>
            </w:tcBorders>
            <w:shd w:val="clear" w:color="auto" w:fill="DBE5F1"/>
          </w:tcPr>
          <w:p>
            <w:pPr>
              <w:spacing w:after="0"/>
              <w:rPr>
                <w:sz w:val="13"/>
                <w:szCs w:val="13"/>
                <w:color w:val="auto"/>
              </w:rPr>
            </w:pPr>
          </w:p>
        </w:tc>
        <w:tc>
          <w:tcPr>
            <w:tcW w:w="1220" w:type="dxa"/>
            <w:vAlign w:val="bottom"/>
            <w:tcBorders>
              <w:right w:val="single" w:sz="8" w:color="95B3D7"/>
            </w:tcBorders>
            <w:shd w:val="clear" w:color="auto" w:fill="DBE5F1"/>
          </w:tcPr>
          <w:p>
            <w:pPr>
              <w:spacing w:after="0"/>
              <w:rPr>
                <w:sz w:val="13"/>
                <w:szCs w:val="13"/>
                <w:color w:val="auto"/>
              </w:rPr>
            </w:pPr>
          </w:p>
        </w:tc>
        <w:tc>
          <w:tcPr>
            <w:tcW w:w="1220" w:type="dxa"/>
            <w:vAlign w:val="bottom"/>
            <w:tcBorders>
              <w:right w:val="single" w:sz="8" w:color="95B3D7"/>
            </w:tcBorders>
            <w:shd w:val="clear" w:color="auto" w:fill="DBE5F1"/>
          </w:tcPr>
          <w:p>
            <w:pPr>
              <w:spacing w:after="0"/>
              <w:rPr>
                <w:sz w:val="13"/>
                <w:szCs w:val="13"/>
                <w:color w:val="auto"/>
              </w:rPr>
            </w:pPr>
          </w:p>
        </w:tc>
        <w:tc>
          <w:tcPr>
            <w:tcW w:w="1360" w:type="dxa"/>
            <w:vAlign w:val="bottom"/>
            <w:tcBorders>
              <w:right w:val="single" w:sz="8" w:color="95B3D7"/>
            </w:tcBorders>
            <w:shd w:val="clear" w:color="auto" w:fill="DBE5F1"/>
          </w:tcPr>
          <w:p>
            <w:pPr>
              <w:spacing w:after="0"/>
              <w:rPr>
                <w:sz w:val="13"/>
                <w:szCs w:val="13"/>
                <w:color w:val="auto"/>
              </w:rPr>
            </w:pPr>
          </w:p>
        </w:tc>
        <w:tc>
          <w:tcPr>
            <w:tcW w:w="1380" w:type="dxa"/>
            <w:vAlign w:val="bottom"/>
            <w:tcBorders>
              <w:right w:val="single" w:sz="8" w:color="95B3D7"/>
            </w:tcBorders>
            <w:shd w:val="clear" w:color="auto" w:fill="DBE5F1"/>
          </w:tcPr>
          <w:p>
            <w:pPr>
              <w:spacing w:after="0"/>
              <w:rPr>
                <w:sz w:val="13"/>
                <w:szCs w:val="13"/>
                <w:color w:val="auto"/>
              </w:rPr>
            </w:pPr>
          </w:p>
        </w:tc>
        <w:tc>
          <w:tcPr>
            <w:tcW w:w="1200" w:type="dxa"/>
            <w:vAlign w:val="bottom"/>
            <w:shd w:val="clear" w:color="auto" w:fill="DBE5F1"/>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580" w:type="dxa"/>
            <w:vAlign w:val="bottom"/>
            <w:tcBorders>
              <w:right w:val="single" w:sz="8" w:color="95B3D7"/>
            </w:tcBorders>
            <w:vMerge w:val="restart"/>
          </w:tcPr>
          <w:p>
            <w:pPr>
              <w:ind w:left="80"/>
              <w:spacing w:after="0"/>
              <w:rPr>
                <w:sz w:val="20"/>
                <w:szCs w:val="20"/>
                <w:color w:val="auto"/>
              </w:rPr>
            </w:pPr>
            <w:r>
              <w:rPr>
                <w:rFonts w:ascii="Arial" w:cs="Arial" w:eastAsia="Arial" w:hAnsi="Arial"/>
                <w:sz w:val="13"/>
                <w:szCs w:val="13"/>
                <w:b w:val="1"/>
                <w:bCs w:val="1"/>
                <w:color w:val="auto"/>
              </w:rPr>
              <w:t>Thomas Freeman</w:t>
            </w:r>
          </w:p>
        </w:tc>
        <w:tc>
          <w:tcPr>
            <w:tcW w:w="880" w:type="dxa"/>
            <w:vAlign w:val="bottom"/>
            <w:tcBorders>
              <w:right w:val="single" w:sz="8" w:color="95B3D7"/>
            </w:tcBorders>
          </w:tcPr>
          <w:p>
            <w:pPr>
              <w:jc w:val="center"/>
              <w:spacing w:after="0"/>
              <w:rPr>
                <w:sz w:val="20"/>
                <w:szCs w:val="20"/>
                <w:color w:val="auto"/>
              </w:rPr>
            </w:pPr>
            <w:r>
              <w:rPr>
                <w:rFonts w:ascii="Arial" w:cs="Arial" w:eastAsia="Arial" w:hAnsi="Arial"/>
                <w:sz w:val="13"/>
                <w:szCs w:val="13"/>
                <w:color w:val="auto"/>
                <w:w w:val="96"/>
              </w:rPr>
              <w:t>2024</w:t>
            </w:r>
          </w:p>
        </w:tc>
        <w:tc>
          <w:tcPr>
            <w:tcW w:w="1200" w:type="dxa"/>
            <w:vAlign w:val="bottom"/>
            <w:tcBorders>
              <w:right w:val="single" w:sz="8" w:color="95B3D7"/>
            </w:tcBorders>
          </w:tcPr>
          <w:p>
            <w:pPr>
              <w:jc w:val="right"/>
              <w:spacing w:after="0"/>
              <w:rPr>
                <w:sz w:val="20"/>
                <w:szCs w:val="20"/>
                <w:color w:val="auto"/>
              </w:rPr>
            </w:pPr>
            <w:r>
              <w:rPr>
                <w:rFonts w:ascii="Arial" w:cs="Arial" w:eastAsia="Arial" w:hAnsi="Arial"/>
                <w:sz w:val="13"/>
                <w:szCs w:val="13"/>
                <w:color w:val="auto"/>
              </w:rPr>
              <w:t>566,923</w:t>
            </w:r>
          </w:p>
        </w:tc>
        <w:tc>
          <w:tcPr>
            <w:tcW w:w="1200" w:type="dxa"/>
            <w:vAlign w:val="bottom"/>
            <w:tcBorders>
              <w:right w:val="single" w:sz="8" w:color="95B3D7"/>
            </w:tcBorders>
          </w:tcPr>
          <w:p>
            <w:pPr>
              <w:jc w:val="right"/>
              <w:ind w:right="20"/>
              <w:spacing w:after="0"/>
              <w:rPr>
                <w:sz w:val="20"/>
                <w:szCs w:val="20"/>
                <w:color w:val="auto"/>
              </w:rPr>
            </w:pPr>
            <w:r>
              <w:rPr>
                <w:rFonts w:ascii="Arial" w:cs="Arial" w:eastAsia="Arial" w:hAnsi="Arial"/>
                <w:sz w:val="13"/>
                <w:szCs w:val="13"/>
                <w:color w:val="auto"/>
              </w:rPr>
              <w:t>500,000</w:t>
            </w:r>
          </w:p>
        </w:tc>
        <w:tc>
          <w:tcPr>
            <w:tcW w:w="1220" w:type="dxa"/>
            <w:vAlign w:val="bottom"/>
            <w:tcBorders>
              <w:right w:val="single" w:sz="8" w:color="95B3D7"/>
            </w:tcBorders>
          </w:tcPr>
          <w:p>
            <w:pPr>
              <w:jc w:val="right"/>
              <w:ind w:right="40"/>
              <w:spacing w:after="0"/>
              <w:rPr>
                <w:sz w:val="20"/>
                <w:szCs w:val="20"/>
                <w:color w:val="auto"/>
              </w:rPr>
            </w:pPr>
            <w:r>
              <w:rPr>
                <w:rFonts w:ascii="Arial" w:cs="Arial" w:eastAsia="Arial" w:hAnsi="Arial"/>
                <w:sz w:val="13"/>
                <w:szCs w:val="13"/>
                <w:color w:val="auto"/>
              </w:rPr>
              <w:t>1,100,000</w:t>
            </w:r>
          </w:p>
        </w:tc>
        <w:tc>
          <w:tcPr>
            <w:tcW w:w="1220" w:type="dxa"/>
            <w:vAlign w:val="bottom"/>
            <w:tcBorders>
              <w:right w:val="single" w:sz="8" w:color="95B3D7"/>
            </w:tcBorders>
          </w:tcPr>
          <w:p>
            <w:pPr>
              <w:jc w:val="right"/>
              <w:ind w:right="40"/>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95B3D7"/>
            </w:tcBorders>
          </w:tcPr>
          <w:p>
            <w:pPr>
              <w:jc w:val="right"/>
              <w:ind w:right="21"/>
              <w:spacing w:after="0"/>
              <w:rPr>
                <w:sz w:val="20"/>
                <w:szCs w:val="20"/>
                <w:color w:val="auto"/>
              </w:rPr>
            </w:pPr>
            <w:r>
              <w:rPr>
                <w:rFonts w:ascii="Arial" w:cs="Arial" w:eastAsia="Arial" w:hAnsi="Arial"/>
                <w:sz w:val="13"/>
                <w:szCs w:val="13"/>
                <w:color w:val="auto"/>
              </w:rPr>
              <w:t>670,920</w:t>
            </w:r>
          </w:p>
        </w:tc>
        <w:tc>
          <w:tcPr>
            <w:tcW w:w="1380" w:type="dxa"/>
            <w:vAlign w:val="bottom"/>
            <w:tcBorders>
              <w:right w:val="single" w:sz="8" w:color="95B3D7"/>
            </w:tcBorders>
          </w:tcPr>
          <w:p>
            <w:pPr>
              <w:jc w:val="right"/>
              <w:ind w:right="20"/>
              <w:spacing w:after="0"/>
              <w:rPr>
                <w:sz w:val="20"/>
                <w:szCs w:val="20"/>
                <w:color w:val="auto"/>
              </w:rPr>
            </w:pPr>
            <w:r>
              <w:rPr>
                <w:rFonts w:ascii="Arial" w:cs="Arial" w:eastAsia="Arial" w:hAnsi="Arial"/>
                <w:sz w:val="13"/>
                <w:szCs w:val="13"/>
                <w:color w:val="auto"/>
              </w:rPr>
              <w:t>10,647</w:t>
            </w:r>
          </w:p>
        </w:tc>
        <w:tc>
          <w:tcPr>
            <w:tcW w:w="1200" w:type="dxa"/>
            <w:vAlign w:val="bottom"/>
          </w:tcPr>
          <w:p>
            <w:pPr>
              <w:jc w:val="right"/>
              <w:spacing w:after="0"/>
              <w:rPr>
                <w:sz w:val="20"/>
                <w:szCs w:val="20"/>
                <w:color w:val="auto"/>
              </w:rPr>
            </w:pPr>
            <w:r>
              <w:rPr>
                <w:rFonts w:ascii="Arial" w:cs="Arial" w:eastAsia="Arial" w:hAnsi="Arial"/>
                <w:sz w:val="13"/>
                <w:szCs w:val="13"/>
                <w:color w:val="auto"/>
              </w:rPr>
              <w:t>2,848,490</w:t>
            </w:r>
          </w:p>
        </w:tc>
        <w:tc>
          <w:tcPr>
            <w:tcW w:w="0" w:type="dxa"/>
            <w:vAlign w:val="bottom"/>
          </w:tcPr>
          <w:p>
            <w:pPr>
              <w:spacing w:after="0"/>
              <w:rPr>
                <w:sz w:val="1"/>
                <w:szCs w:val="1"/>
                <w:color w:val="auto"/>
              </w:rPr>
            </w:pPr>
          </w:p>
        </w:tc>
      </w:tr>
      <w:tr>
        <w:trPr>
          <w:trHeight w:val="100"/>
        </w:trPr>
        <w:tc>
          <w:tcPr>
            <w:tcW w:w="1580" w:type="dxa"/>
            <w:vAlign w:val="bottom"/>
            <w:tcBorders>
              <w:right w:val="single" w:sz="8" w:color="95B3D7"/>
            </w:tcBorders>
            <w:vMerge w:val="continue"/>
          </w:tcPr>
          <w:p>
            <w:pPr>
              <w:spacing w:after="0"/>
              <w:rPr>
                <w:sz w:val="8"/>
                <w:szCs w:val="8"/>
                <w:color w:val="auto"/>
              </w:rPr>
            </w:pPr>
          </w:p>
        </w:tc>
        <w:tc>
          <w:tcPr>
            <w:tcW w:w="880" w:type="dxa"/>
            <w:vAlign w:val="bottom"/>
            <w:tcBorders>
              <w:right w:val="single" w:sz="8" w:color="95B3D7"/>
            </w:tcBorders>
          </w:tcPr>
          <w:p>
            <w:pPr>
              <w:spacing w:after="0"/>
              <w:rPr>
                <w:sz w:val="8"/>
                <w:szCs w:val="8"/>
                <w:color w:val="auto"/>
              </w:rPr>
            </w:pPr>
          </w:p>
        </w:tc>
        <w:tc>
          <w:tcPr>
            <w:tcW w:w="1200" w:type="dxa"/>
            <w:vAlign w:val="bottom"/>
            <w:tcBorders>
              <w:right w:val="single" w:sz="8" w:color="95B3D7"/>
            </w:tcBorders>
          </w:tcPr>
          <w:p>
            <w:pPr>
              <w:spacing w:after="0"/>
              <w:rPr>
                <w:sz w:val="8"/>
                <w:szCs w:val="8"/>
                <w:color w:val="auto"/>
              </w:rPr>
            </w:pPr>
          </w:p>
        </w:tc>
        <w:tc>
          <w:tcPr>
            <w:tcW w:w="1200" w:type="dxa"/>
            <w:vAlign w:val="bottom"/>
            <w:tcBorders>
              <w:right w:val="single" w:sz="8" w:color="95B3D7"/>
            </w:tcBorders>
          </w:tcPr>
          <w:p>
            <w:pPr>
              <w:spacing w:after="0"/>
              <w:rPr>
                <w:sz w:val="8"/>
                <w:szCs w:val="8"/>
                <w:color w:val="auto"/>
              </w:rPr>
            </w:pPr>
          </w:p>
        </w:tc>
        <w:tc>
          <w:tcPr>
            <w:tcW w:w="1220" w:type="dxa"/>
            <w:vAlign w:val="bottom"/>
            <w:tcBorders>
              <w:right w:val="single" w:sz="8" w:color="95B3D7"/>
            </w:tcBorders>
          </w:tcPr>
          <w:p>
            <w:pPr>
              <w:spacing w:after="0"/>
              <w:rPr>
                <w:sz w:val="8"/>
                <w:szCs w:val="8"/>
                <w:color w:val="auto"/>
              </w:rPr>
            </w:pPr>
          </w:p>
        </w:tc>
        <w:tc>
          <w:tcPr>
            <w:tcW w:w="1220" w:type="dxa"/>
            <w:vAlign w:val="bottom"/>
            <w:tcBorders>
              <w:right w:val="single" w:sz="8" w:color="95B3D7"/>
            </w:tcBorders>
          </w:tcPr>
          <w:p>
            <w:pPr>
              <w:spacing w:after="0"/>
              <w:rPr>
                <w:sz w:val="8"/>
                <w:szCs w:val="8"/>
                <w:color w:val="auto"/>
              </w:rPr>
            </w:pPr>
          </w:p>
        </w:tc>
        <w:tc>
          <w:tcPr>
            <w:tcW w:w="1360" w:type="dxa"/>
            <w:vAlign w:val="bottom"/>
            <w:tcBorders>
              <w:right w:val="single" w:sz="8" w:color="95B3D7"/>
            </w:tcBorders>
          </w:tcPr>
          <w:p>
            <w:pPr>
              <w:spacing w:after="0"/>
              <w:rPr>
                <w:sz w:val="8"/>
                <w:szCs w:val="8"/>
                <w:color w:val="auto"/>
              </w:rPr>
            </w:pPr>
          </w:p>
        </w:tc>
        <w:tc>
          <w:tcPr>
            <w:tcW w:w="1380" w:type="dxa"/>
            <w:vAlign w:val="bottom"/>
            <w:tcBorders>
              <w:right w:val="single" w:sz="8" w:color="95B3D7"/>
            </w:tcBorders>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1580" w:type="dxa"/>
            <w:vAlign w:val="bottom"/>
            <w:tcBorders>
              <w:right w:val="single" w:sz="8" w:color="95B3D7"/>
            </w:tcBorders>
          </w:tcPr>
          <w:p>
            <w:pPr>
              <w:ind w:left="220"/>
              <w:spacing w:after="0"/>
              <w:rPr>
                <w:sz w:val="20"/>
                <w:szCs w:val="20"/>
                <w:color w:val="auto"/>
              </w:rPr>
            </w:pPr>
            <w:r>
              <w:rPr>
                <w:rFonts w:ascii="Arial" w:cs="Arial" w:eastAsia="Arial" w:hAnsi="Arial"/>
                <w:sz w:val="13"/>
                <w:szCs w:val="13"/>
                <w:color w:val="auto"/>
              </w:rPr>
              <w:t>Chief Financial Officer</w:t>
            </w:r>
          </w:p>
        </w:tc>
        <w:tc>
          <w:tcPr>
            <w:tcW w:w="880" w:type="dxa"/>
            <w:vAlign w:val="bottom"/>
            <w:tcBorders>
              <w:right w:val="single" w:sz="8" w:color="95B3D7"/>
            </w:tcBorders>
            <w:vMerge w:val="restart"/>
          </w:tcPr>
          <w:p>
            <w:pPr>
              <w:jc w:val="center"/>
              <w:spacing w:after="0"/>
              <w:rPr>
                <w:sz w:val="20"/>
                <w:szCs w:val="20"/>
                <w:color w:val="auto"/>
              </w:rPr>
            </w:pPr>
            <w:r>
              <w:rPr>
                <w:rFonts w:ascii="Arial" w:cs="Arial" w:eastAsia="Arial" w:hAnsi="Arial"/>
                <w:sz w:val="13"/>
                <w:szCs w:val="13"/>
                <w:color w:val="auto"/>
                <w:w w:val="96"/>
              </w:rPr>
              <w:t>2023</w:t>
            </w:r>
          </w:p>
        </w:tc>
        <w:tc>
          <w:tcPr>
            <w:tcW w:w="1200" w:type="dxa"/>
            <w:vAlign w:val="bottom"/>
            <w:tcBorders>
              <w:right w:val="single" w:sz="8" w:color="95B3D7"/>
            </w:tcBorders>
            <w:vMerge w:val="restart"/>
          </w:tcPr>
          <w:p>
            <w:pPr>
              <w:jc w:val="right"/>
              <w:spacing w:after="0"/>
              <w:rPr>
                <w:sz w:val="20"/>
                <w:szCs w:val="20"/>
                <w:color w:val="auto"/>
              </w:rPr>
            </w:pPr>
            <w:r>
              <w:rPr>
                <w:rFonts w:ascii="Arial" w:cs="Arial" w:eastAsia="Arial" w:hAnsi="Arial"/>
                <w:sz w:val="13"/>
                <w:szCs w:val="13"/>
                <w:color w:val="auto"/>
              </w:rPr>
              <w:t>543,846</w:t>
            </w:r>
          </w:p>
        </w:tc>
        <w:tc>
          <w:tcPr>
            <w:tcW w:w="1200" w:type="dxa"/>
            <w:vAlign w:val="bottom"/>
            <w:tcBorders>
              <w:right w:val="single" w:sz="8" w:color="95B3D7"/>
            </w:tcBorders>
            <w:vMerge w:val="restart"/>
          </w:tcPr>
          <w:p>
            <w:pPr>
              <w:jc w:val="right"/>
              <w:ind w:right="20"/>
              <w:spacing w:after="0"/>
              <w:rPr>
                <w:sz w:val="20"/>
                <w:szCs w:val="20"/>
                <w:color w:val="auto"/>
              </w:rPr>
            </w:pPr>
            <w:r>
              <w:rPr>
                <w:rFonts w:ascii="Arial" w:cs="Arial" w:eastAsia="Arial" w:hAnsi="Arial"/>
                <w:sz w:val="13"/>
                <w:szCs w:val="13"/>
                <w:color w:val="auto"/>
              </w:rPr>
              <w:t>105,000</w:t>
            </w:r>
          </w:p>
        </w:tc>
        <w:tc>
          <w:tcPr>
            <w:tcW w:w="1220" w:type="dxa"/>
            <w:vAlign w:val="bottom"/>
            <w:tcBorders>
              <w:right w:val="single" w:sz="8" w:color="95B3D7"/>
            </w:tcBorders>
            <w:vMerge w:val="restart"/>
          </w:tcPr>
          <w:p>
            <w:pPr>
              <w:jc w:val="right"/>
              <w:ind w:right="40"/>
              <w:spacing w:after="0"/>
              <w:rPr>
                <w:sz w:val="20"/>
                <w:szCs w:val="20"/>
                <w:color w:val="auto"/>
              </w:rPr>
            </w:pPr>
            <w:r>
              <w:rPr>
                <w:rFonts w:ascii="Arial" w:cs="Arial" w:eastAsia="Arial" w:hAnsi="Arial"/>
                <w:sz w:val="13"/>
                <w:szCs w:val="13"/>
                <w:color w:val="auto"/>
              </w:rPr>
              <w:t>5,014,849</w:t>
            </w:r>
          </w:p>
        </w:tc>
        <w:tc>
          <w:tcPr>
            <w:tcW w:w="1220" w:type="dxa"/>
            <w:vAlign w:val="bottom"/>
            <w:tcBorders>
              <w:right w:val="single" w:sz="8" w:color="95B3D7"/>
            </w:tcBorders>
            <w:vMerge w:val="restart"/>
          </w:tcPr>
          <w:p>
            <w:pPr>
              <w:jc w:val="right"/>
              <w:ind w:right="40"/>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95B3D7"/>
            </w:tcBorders>
            <w:vMerge w:val="restart"/>
          </w:tcPr>
          <w:p>
            <w:pPr>
              <w:jc w:val="right"/>
              <w:ind w:right="21"/>
              <w:spacing w:after="0"/>
              <w:rPr>
                <w:sz w:val="20"/>
                <w:szCs w:val="20"/>
                <w:color w:val="auto"/>
              </w:rPr>
            </w:pPr>
            <w:r>
              <w:rPr>
                <w:rFonts w:ascii="Arial" w:cs="Arial" w:eastAsia="Arial" w:hAnsi="Arial"/>
                <w:sz w:val="13"/>
                <w:szCs w:val="13"/>
                <w:color w:val="auto"/>
              </w:rPr>
              <w:t>624,730</w:t>
            </w:r>
          </w:p>
        </w:tc>
        <w:tc>
          <w:tcPr>
            <w:tcW w:w="1380" w:type="dxa"/>
            <w:vAlign w:val="bottom"/>
            <w:tcBorders>
              <w:right w:val="single" w:sz="8" w:color="95B3D7"/>
            </w:tcBorders>
            <w:vMerge w:val="restart"/>
          </w:tcPr>
          <w:p>
            <w:pPr>
              <w:jc w:val="right"/>
              <w:ind w:right="20"/>
              <w:spacing w:after="0"/>
              <w:rPr>
                <w:sz w:val="20"/>
                <w:szCs w:val="20"/>
                <w:color w:val="auto"/>
              </w:rPr>
            </w:pPr>
            <w:r>
              <w:rPr>
                <w:rFonts w:ascii="Arial" w:cs="Arial" w:eastAsia="Arial" w:hAnsi="Arial"/>
                <w:sz w:val="13"/>
                <w:szCs w:val="13"/>
                <w:color w:val="auto"/>
              </w:rPr>
              <w:t>13,620</w:t>
            </w: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6,302,045</w:t>
            </w:r>
          </w:p>
        </w:tc>
        <w:tc>
          <w:tcPr>
            <w:tcW w:w="0" w:type="dxa"/>
            <w:vAlign w:val="bottom"/>
          </w:tcPr>
          <w:p>
            <w:pPr>
              <w:spacing w:after="0"/>
              <w:rPr>
                <w:sz w:val="1"/>
                <w:szCs w:val="1"/>
                <w:color w:val="auto"/>
              </w:rPr>
            </w:pPr>
          </w:p>
        </w:tc>
      </w:tr>
      <w:tr>
        <w:trPr>
          <w:trHeight w:val="54"/>
        </w:trPr>
        <w:tc>
          <w:tcPr>
            <w:tcW w:w="1580" w:type="dxa"/>
            <w:vAlign w:val="bottom"/>
            <w:tcBorders>
              <w:right w:val="single" w:sz="8" w:color="95B3D7"/>
            </w:tcBorders>
          </w:tcPr>
          <w:p>
            <w:pPr>
              <w:spacing w:after="0"/>
              <w:rPr>
                <w:sz w:val="4"/>
                <w:szCs w:val="4"/>
                <w:color w:val="auto"/>
              </w:rPr>
            </w:pPr>
          </w:p>
        </w:tc>
        <w:tc>
          <w:tcPr>
            <w:tcW w:w="880" w:type="dxa"/>
            <w:vAlign w:val="bottom"/>
            <w:tcBorders>
              <w:right w:val="single" w:sz="8" w:color="95B3D7"/>
            </w:tcBorders>
            <w:vMerge w:val="continue"/>
          </w:tcPr>
          <w:p>
            <w:pPr>
              <w:spacing w:after="0"/>
              <w:rPr>
                <w:sz w:val="4"/>
                <w:szCs w:val="4"/>
                <w:color w:val="auto"/>
              </w:rPr>
            </w:pPr>
          </w:p>
        </w:tc>
        <w:tc>
          <w:tcPr>
            <w:tcW w:w="1200" w:type="dxa"/>
            <w:vAlign w:val="bottom"/>
            <w:tcBorders>
              <w:right w:val="single" w:sz="8" w:color="95B3D7"/>
            </w:tcBorders>
            <w:vMerge w:val="continue"/>
          </w:tcPr>
          <w:p>
            <w:pPr>
              <w:spacing w:after="0"/>
              <w:rPr>
                <w:sz w:val="4"/>
                <w:szCs w:val="4"/>
                <w:color w:val="auto"/>
              </w:rPr>
            </w:pPr>
          </w:p>
        </w:tc>
        <w:tc>
          <w:tcPr>
            <w:tcW w:w="1200" w:type="dxa"/>
            <w:vAlign w:val="bottom"/>
            <w:tcBorders>
              <w:right w:val="single" w:sz="8" w:color="95B3D7"/>
            </w:tcBorders>
            <w:vMerge w:val="continue"/>
          </w:tcPr>
          <w:p>
            <w:pPr>
              <w:spacing w:after="0"/>
              <w:rPr>
                <w:sz w:val="4"/>
                <w:szCs w:val="4"/>
                <w:color w:val="auto"/>
              </w:rPr>
            </w:pPr>
          </w:p>
        </w:tc>
        <w:tc>
          <w:tcPr>
            <w:tcW w:w="1220" w:type="dxa"/>
            <w:vAlign w:val="bottom"/>
            <w:tcBorders>
              <w:right w:val="single" w:sz="8" w:color="95B3D7"/>
            </w:tcBorders>
            <w:vMerge w:val="continue"/>
          </w:tcPr>
          <w:p>
            <w:pPr>
              <w:spacing w:after="0"/>
              <w:rPr>
                <w:sz w:val="4"/>
                <w:szCs w:val="4"/>
                <w:color w:val="auto"/>
              </w:rPr>
            </w:pPr>
          </w:p>
        </w:tc>
        <w:tc>
          <w:tcPr>
            <w:tcW w:w="1220" w:type="dxa"/>
            <w:vAlign w:val="bottom"/>
            <w:tcBorders>
              <w:right w:val="single" w:sz="8" w:color="95B3D7"/>
            </w:tcBorders>
            <w:vMerge w:val="continue"/>
          </w:tcPr>
          <w:p>
            <w:pPr>
              <w:spacing w:after="0"/>
              <w:rPr>
                <w:sz w:val="4"/>
                <w:szCs w:val="4"/>
                <w:color w:val="auto"/>
              </w:rPr>
            </w:pPr>
          </w:p>
        </w:tc>
        <w:tc>
          <w:tcPr>
            <w:tcW w:w="1360" w:type="dxa"/>
            <w:vAlign w:val="bottom"/>
            <w:tcBorders>
              <w:right w:val="single" w:sz="8" w:color="95B3D7"/>
            </w:tcBorders>
            <w:vMerge w:val="continue"/>
          </w:tcPr>
          <w:p>
            <w:pPr>
              <w:spacing w:after="0"/>
              <w:rPr>
                <w:sz w:val="4"/>
                <w:szCs w:val="4"/>
                <w:color w:val="auto"/>
              </w:rPr>
            </w:pPr>
          </w:p>
        </w:tc>
        <w:tc>
          <w:tcPr>
            <w:tcW w:w="1380" w:type="dxa"/>
            <w:vAlign w:val="bottom"/>
            <w:tcBorders>
              <w:right w:val="single" w:sz="8" w:color="95B3D7"/>
            </w:tcBorders>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8"/>
        </w:trPr>
        <w:tc>
          <w:tcPr>
            <w:tcW w:w="1580" w:type="dxa"/>
            <w:vAlign w:val="bottom"/>
            <w:tcBorders>
              <w:right w:val="single" w:sz="8" w:color="95B3D7"/>
            </w:tcBorders>
          </w:tcPr>
          <w:p>
            <w:pPr>
              <w:spacing w:after="0"/>
              <w:rPr>
                <w:sz w:val="24"/>
                <w:szCs w:val="24"/>
                <w:color w:val="auto"/>
              </w:rPr>
            </w:pPr>
          </w:p>
        </w:tc>
        <w:tc>
          <w:tcPr>
            <w:tcW w:w="880" w:type="dxa"/>
            <w:vAlign w:val="bottom"/>
            <w:tcBorders>
              <w:right w:val="single" w:sz="8" w:color="95B3D7"/>
            </w:tcBorders>
          </w:tcPr>
          <w:p>
            <w:pPr>
              <w:jc w:val="center"/>
              <w:spacing w:after="0"/>
              <w:rPr>
                <w:sz w:val="20"/>
                <w:szCs w:val="20"/>
                <w:color w:val="auto"/>
              </w:rPr>
            </w:pPr>
            <w:r>
              <w:rPr>
                <w:rFonts w:ascii="Arial" w:cs="Arial" w:eastAsia="Arial" w:hAnsi="Arial"/>
                <w:sz w:val="13"/>
                <w:szCs w:val="13"/>
                <w:color w:val="auto"/>
                <w:w w:val="96"/>
              </w:rPr>
              <w:t>2022</w:t>
            </w:r>
          </w:p>
        </w:tc>
        <w:tc>
          <w:tcPr>
            <w:tcW w:w="1200" w:type="dxa"/>
            <w:vAlign w:val="bottom"/>
            <w:tcBorders>
              <w:right w:val="single" w:sz="8" w:color="95B3D7"/>
            </w:tcBorders>
          </w:tcPr>
          <w:p>
            <w:pPr>
              <w:jc w:val="right"/>
              <w:spacing w:after="0"/>
              <w:rPr>
                <w:sz w:val="20"/>
                <w:szCs w:val="20"/>
                <w:color w:val="auto"/>
              </w:rPr>
            </w:pPr>
            <w:r>
              <w:rPr>
                <w:rFonts w:ascii="Arial" w:cs="Arial" w:eastAsia="Arial" w:hAnsi="Arial"/>
                <w:sz w:val="13"/>
                <w:szCs w:val="13"/>
                <w:color w:val="auto"/>
              </w:rPr>
              <w:t>486,539</w:t>
            </w:r>
          </w:p>
        </w:tc>
        <w:tc>
          <w:tcPr>
            <w:tcW w:w="1200" w:type="dxa"/>
            <w:vAlign w:val="bottom"/>
            <w:tcBorders>
              <w:right w:val="single" w:sz="8" w:color="95B3D7"/>
            </w:tcBorders>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95B3D7"/>
            </w:tcBorders>
          </w:tcPr>
          <w:p>
            <w:pPr>
              <w:jc w:val="right"/>
              <w:ind w:right="40"/>
              <w:spacing w:after="0"/>
              <w:rPr>
                <w:sz w:val="20"/>
                <w:szCs w:val="20"/>
                <w:color w:val="auto"/>
              </w:rPr>
            </w:pPr>
            <w:r>
              <w:rPr>
                <w:rFonts w:ascii="Arial" w:cs="Arial" w:eastAsia="Arial" w:hAnsi="Arial"/>
                <w:sz w:val="13"/>
                <w:szCs w:val="13"/>
                <w:color w:val="auto"/>
              </w:rPr>
              <w:t>6,385,854</w:t>
            </w:r>
          </w:p>
        </w:tc>
        <w:tc>
          <w:tcPr>
            <w:tcW w:w="1220" w:type="dxa"/>
            <w:vAlign w:val="bottom"/>
            <w:tcBorders>
              <w:right w:val="single" w:sz="8" w:color="95B3D7"/>
            </w:tcBorders>
          </w:tcPr>
          <w:p>
            <w:pPr>
              <w:jc w:val="right"/>
              <w:ind w:right="40"/>
              <w:spacing w:after="0"/>
              <w:rPr>
                <w:sz w:val="20"/>
                <w:szCs w:val="20"/>
                <w:color w:val="auto"/>
              </w:rPr>
            </w:pPr>
            <w:r>
              <w:rPr>
                <w:rFonts w:ascii="Arial" w:cs="Arial" w:eastAsia="Arial" w:hAnsi="Arial"/>
                <w:sz w:val="13"/>
                <w:szCs w:val="13"/>
                <w:color w:val="auto"/>
              </w:rPr>
              <w:t>412,500</w:t>
            </w:r>
          </w:p>
        </w:tc>
        <w:tc>
          <w:tcPr>
            <w:tcW w:w="1360" w:type="dxa"/>
            <w:vAlign w:val="bottom"/>
            <w:tcBorders>
              <w:right w:val="single" w:sz="8" w:color="95B3D7"/>
            </w:tcBorders>
          </w:tcPr>
          <w:p>
            <w:pPr>
              <w:jc w:val="right"/>
              <w:ind w:right="21"/>
              <w:spacing w:after="0"/>
              <w:rPr>
                <w:sz w:val="20"/>
                <w:szCs w:val="20"/>
                <w:color w:val="auto"/>
              </w:rPr>
            </w:pPr>
            <w:r>
              <w:rPr>
                <w:rFonts w:ascii="Arial" w:cs="Arial" w:eastAsia="Arial" w:hAnsi="Arial"/>
                <w:sz w:val="13"/>
                <w:szCs w:val="13"/>
                <w:color w:val="auto"/>
              </w:rPr>
              <w:t>448,501</w:t>
            </w:r>
          </w:p>
        </w:tc>
        <w:tc>
          <w:tcPr>
            <w:tcW w:w="1380" w:type="dxa"/>
            <w:vAlign w:val="bottom"/>
            <w:tcBorders>
              <w:right w:val="single" w:sz="8" w:color="95B3D7"/>
            </w:tcBorders>
          </w:tcPr>
          <w:p>
            <w:pPr>
              <w:jc w:val="right"/>
              <w:ind w:right="20"/>
              <w:spacing w:after="0"/>
              <w:rPr>
                <w:sz w:val="20"/>
                <w:szCs w:val="20"/>
                <w:color w:val="auto"/>
              </w:rPr>
            </w:pPr>
            <w:r>
              <w:rPr>
                <w:rFonts w:ascii="Arial" w:cs="Arial" w:eastAsia="Arial" w:hAnsi="Arial"/>
                <w:sz w:val="13"/>
                <w:szCs w:val="13"/>
                <w:color w:val="auto"/>
              </w:rPr>
              <w:t>13,703</w:t>
            </w:r>
          </w:p>
        </w:tc>
        <w:tc>
          <w:tcPr>
            <w:tcW w:w="1200" w:type="dxa"/>
            <w:vAlign w:val="bottom"/>
          </w:tcPr>
          <w:p>
            <w:pPr>
              <w:jc w:val="right"/>
              <w:spacing w:after="0"/>
              <w:rPr>
                <w:sz w:val="20"/>
                <w:szCs w:val="20"/>
                <w:color w:val="auto"/>
              </w:rPr>
            </w:pPr>
            <w:r>
              <w:rPr>
                <w:rFonts w:ascii="Arial" w:cs="Arial" w:eastAsia="Arial" w:hAnsi="Arial"/>
                <w:sz w:val="13"/>
                <w:szCs w:val="13"/>
                <w:color w:val="auto"/>
              </w:rPr>
              <w:t>7,747,097</w:t>
            </w:r>
          </w:p>
        </w:tc>
        <w:tc>
          <w:tcPr>
            <w:tcW w:w="0" w:type="dxa"/>
            <w:vAlign w:val="bottom"/>
          </w:tcPr>
          <w:p>
            <w:pPr>
              <w:spacing w:after="0"/>
              <w:rPr>
                <w:sz w:val="1"/>
                <w:szCs w:val="1"/>
                <w:color w:val="auto"/>
              </w:rPr>
            </w:pPr>
          </w:p>
        </w:tc>
      </w:tr>
      <w:tr>
        <w:trPr>
          <w:trHeight w:val="108"/>
        </w:trPr>
        <w:tc>
          <w:tcPr>
            <w:tcW w:w="1580" w:type="dxa"/>
            <w:vAlign w:val="bottom"/>
            <w:tcBorders>
              <w:right w:val="single" w:sz="8" w:color="95B3D7"/>
            </w:tcBorders>
          </w:tcPr>
          <w:p>
            <w:pPr>
              <w:spacing w:after="0"/>
              <w:rPr>
                <w:sz w:val="9"/>
                <w:szCs w:val="9"/>
                <w:color w:val="auto"/>
              </w:rPr>
            </w:pPr>
          </w:p>
        </w:tc>
        <w:tc>
          <w:tcPr>
            <w:tcW w:w="880" w:type="dxa"/>
            <w:vAlign w:val="bottom"/>
            <w:tcBorders>
              <w:right w:val="single" w:sz="8" w:color="95B3D7"/>
            </w:tcBorders>
          </w:tcPr>
          <w:p>
            <w:pPr>
              <w:spacing w:after="0"/>
              <w:rPr>
                <w:sz w:val="9"/>
                <w:szCs w:val="9"/>
                <w:color w:val="auto"/>
              </w:rPr>
            </w:pPr>
          </w:p>
        </w:tc>
        <w:tc>
          <w:tcPr>
            <w:tcW w:w="1200" w:type="dxa"/>
            <w:vAlign w:val="bottom"/>
            <w:tcBorders>
              <w:right w:val="single" w:sz="8" w:color="95B3D7"/>
            </w:tcBorders>
          </w:tcPr>
          <w:p>
            <w:pPr>
              <w:spacing w:after="0"/>
              <w:rPr>
                <w:sz w:val="9"/>
                <w:szCs w:val="9"/>
                <w:color w:val="auto"/>
              </w:rPr>
            </w:pPr>
          </w:p>
        </w:tc>
        <w:tc>
          <w:tcPr>
            <w:tcW w:w="1200" w:type="dxa"/>
            <w:vAlign w:val="bottom"/>
            <w:tcBorders>
              <w:right w:val="single" w:sz="8" w:color="95B3D7"/>
            </w:tcBorders>
          </w:tcPr>
          <w:p>
            <w:pPr>
              <w:spacing w:after="0"/>
              <w:rPr>
                <w:sz w:val="9"/>
                <w:szCs w:val="9"/>
                <w:color w:val="auto"/>
              </w:rPr>
            </w:pPr>
          </w:p>
        </w:tc>
        <w:tc>
          <w:tcPr>
            <w:tcW w:w="1220" w:type="dxa"/>
            <w:vAlign w:val="bottom"/>
            <w:tcBorders>
              <w:right w:val="single" w:sz="8" w:color="95B3D7"/>
            </w:tcBorders>
          </w:tcPr>
          <w:p>
            <w:pPr>
              <w:spacing w:after="0"/>
              <w:rPr>
                <w:sz w:val="9"/>
                <w:szCs w:val="9"/>
                <w:color w:val="auto"/>
              </w:rPr>
            </w:pPr>
          </w:p>
        </w:tc>
        <w:tc>
          <w:tcPr>
            <w:tcW w:w="1220" w:type="dxa"/>
            <w:vAlign w:val="bottom"/>
            <w:tcBorders>
              <w:right w:val="single" w:sz="8" w:color="95B3D7"/>
            </w:tcBorders>
          </w:tcPr>
          <w:p>
            <w:pPr>
              <w:spacing w:after="0"/>
              <w:rPr>
                <w:sz w:val="9"/>
                <w:szCs w:val="9"/>
                <w:color w:val="auto"/>
              </w:rPr>
            </w:pPr>
          </w:p>
        </w:tc>
        <w:tc>
          <w:tcPr>
            <w:tcW w:w="1360" w:type="dxa"/>
            <w:vAlign w:val="bottom"/>
            <w:tcBorders>
              <w:right w:val="single" w:sz="8" w:color="95B3D7"/>
            </w:tcBorders>
          </w:tcPr>
          <w:p>
            <w:pPr>
              <w:spacing w:after="0"/>
              <w:rPr>
                <w:sz w:val="9"/>
                <w:szCs w:val="9"/>
                <w:color w:val="auto"/>
              </w:rPr>
            </w:pPr>
          </w:p>
        </w:tc>
        <w:tc>
          <w:tcPr>
            <w:tcW w:w="1380" w:type="dxa"/>
            <w:vAlign w:val="bottom"/>
            <w:tcBorders>
              <w:right w:val="single" w:sz="8" w:color="95B3D7"/>
            </w:tcBorders>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580" w:type="dxa"/>
            <w:vAlign w:val="bottom"/>
            <w:tcBorders>
              <w:right w:val="single" w:sz="8" w:color="95B3D7"/>
            </w:tcBorders>
            <w:vMerge w:val="restart"/>
            <w:shd w:val="clear" w:color="auto" w:fill="DBE5F1"/>
          </w:tcPr>
          <w:p>
            <w:pPr>
              <w:ind w:left="80"/>
              <w:spacing w:after="0"/>
              <w:rPr>
                <w:sz w:val="20"/>
                <w:szCs w:val="20"/>
                <w:color w:val="auto"/>
              </w:rPr>
            </w:pPr>
            <w:r>
              <w:rPr>
                <w:rFonts w:ascii="Arial" w:cs="Arial" w:eastAsia="Arial" w:hAnsi="Arial"/>
                <w:sz w:val="13"/>
                <w:szCs w:val="13"/>
                <w:b w:val="1"/>
                <w:bCs w:val="1"/>
                <w:color w:val="auto"/>
              </w:rPr>
              <w:t>Dawn Maroney</w:t>
            </w:r>
          </w:p>
        </w:tc>
        <w:tc>
          <w:tcPr>
            <w:tcW w:w="8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3"/>
                <w:szCs w:val="13"/>
                <w:color w:val="auto"/>
                <w:w w:val="96"/>
              </w:rPr>
              <w:t>2024</w:t>
            </w:r>
          </w:p>
        </w:tc>
        <w:tc>
          <w:tcPr>
            <w:tcW w:w="12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3"/>
                <w:szCs w:val="13"/>
                <w:color w:val="auto"/>
              </w:rPr>
              <w:t>573,847</w:t>
            </w:r>
          </w:p>
        </w:tc>
        <w:tc>
          <w:tcPr>
            <w:tcW w:w="120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500,000</w:t>
            </w:r>
          </w:p>
        </w:tc>
        <w:tc>
          <w:tcPr>
            <w:tcW w:w="1220" w:type="dxa"/>
            <w:vAlign w:val="bottom"/>
            <w:tcBorders>
              <w:right w:val="single" w:sz="8" w:color="95B3D7"/>
            </w:tcBorders>
            <w:shd w:val="clear" w:color="auto" w:fill="DBE5F1"/>
          </w:tcPr>
          <w:p>
            <w:pPr>
              <w:jc w:val="right"/>
              <w:ind w:right="40"/>
              <w:spacing w:after="0"/>
              <w:rPr>
                <w:sz w:val="20"/>
                <w:szCs w:val="20"/>
                <w:color w:val="auto"/>
              </w:rPr>
            </w:pPr>
            <w:r>
              <w:rPr>
                <w:rFonts w:ascii="Arial" w:cs="Arial" w:eastAsia="Arial" w:hAnsi="Arial"/>
                <w:sz w:val="13"/>
                <w:szCs w:val="13"/>
                <w:color w:val="auto"/>
              </w:rPr>
              <w:t>1,300,000</w:t>
            </w:r>
          </w:p>
        </w:tc>
        <w:tc>
          <w:tcPr>
            <w:tcW w:w="1220" w:type="dxa"/>
            <w:vAlign w:val="bottom"/>
            <w:tcBorders>
              <w:right w:val="single" w:sz="8" w:color="95B3D7"/>
            </w:tcBorders>
            <w:shd w:val="clear" w:color="auto" w:fill="DBE5F1"/>
          </w:tcPr>
          <w:p>
            <w:pPr>
              <w:jc w:val="right"/>
              <w:ind w:right="40"/>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95B3D7"/>
            </w:tcBorders>
            <w:shd w:val="clear" w:color="auto" w:fill="DBE5F1"/>
          </w:tcPr>
          <w:p>
            <w:pPr>
              <w:jc w:val="right"/>
              <w:ind w:right="21"/>
              <w:spacing w:after="0"/>
              <w:rPr>
                <w:sz w:val="20"/>
                <w:szCs w:val="20"/>
                <w:color w:val="auto"/>
              </w:rPr>
            </w:pPr>
            <w:r>
              <w:rPr>
                <w:rFonts w:ascii="Arial" w:cs="Arial" w:eastAsia="Arial" w:hAnsi="Arial"/>
                <w:sz w:val="13"/>
                <w:szCs w:val="13"/>
                <w:color w:val="auto"/>
              </w:rPr>
              <w:t>695,637</w:t>
            </w:r>
          </w:p>
        </w:tc>
        <w:tc>
          <w:tcPr>
            <w:tcW w:w="138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13,800</w:t>
            </w:r>
          </w:p>
        </w:tc>
        <w:tc>
          <w:tcPr>
            <w:tcW w:w="1200" w:type="dxa"/>
            <w:vAlign w:val="bottom"/>
            <w:shd w:val="clear" w:color="auto" w:fill="DBE5F1"/>
          </w:tcPr>
          <w:p>
            <w:pPr>
              <w:jc w:val="right"/>
              <w:spacing w:after="0"/>
              <w:rPr>
                <w:sz w:val="20"/>
                <w:szCs w:val="20"/>
                <w:color w:val="auto"/>
              </w:rPr>
            </w:pPr>
            <w:r>
              <w:rPr>
                <w:rFonts w:ascii="Arial" w:cs="Arial" w:eastAsia="Arial" w:hAnsi="Arial"/>
                <w:sz w:val="13"/>
                <w:szCs w:val="13"/>
                <w:color w:val="auto"/>
              </w:rPr>
              <w:t>3,083,284</w:t>
            </w:r>
          </w:p>
        </w:tc>
        <w:tc>
          <w:tcPr>
            <w:tcW w:w="0" w:type="dxa"/>
            <w:vAlign w:val="bottom"/>
          </w:tcPr>
          <w:p>
            <w:pPr>
              <w:spacing w:after="0"/>
              <w:rPr>
                <w:sz w:val="1"/>
                <w:szCs w:val="1"/>
                <w:color w:val="auto"/>
              </w:rPr>
            </w:pPr>
          </w:p>
        </w:tc>
      </w:tr>
      <w:tr>
        <w:trPr>
          <w:trHeight w:val="100"/>
        </w:trPr>
        <w:tc>
          <w:tcPr>
            <w:tcW w:w="1580" w:type="dxa"/>
            <w:vAlign w:val="bottom"/>
            <w:tcBorders>
              <w:right w:val="single" w:sz="8" w:color="95B3D7"/>
            </w:tcBorders>
            <w:vMerge w:val="continue"/>
            <w:shd w:val="clear" w:color="auto" w:fill="DBE5F1"/>
          </w:tcPr>
          <w:p>
            <w:pPr>
              <w:spacing w:after="0"/>
              <w:rPr>
                <w:sz w:val="8"/>
                <w:szCs w:val="8"/>
                <w:color w:val="auto"/>
              </w:rPr>
            </w:pPr>
          </w:p>
        </w:tc>
        <w:tc>
          <w:tcPr>
            <w:tcW w:w="880" w:type="dxa"/>
            <w:vAlign w:val="bottom"/>
            <w:tcBorders>
              <w:right w:val="single" w:sz="8" w:color="95B3D7"/>
            </w:tcBorders>
            <w:shd w:val="clear" w:color="auto" w:fill="DBE5F1"/>
          </w:tcPr>
          <w:p>
            <w:pPr>
              <w:spacing w:after="0"/>
              <w:rPr>
                <w:sz w:val="8"/>
                <w:szCs w:val="8"/>
                <w:color w:val="auto"/>
              </w:rPr>
            </w:pPr>
          </w:p>
        </w:tc>
        <w:tc>
          <w:tcPr>
            <w:tcW w:w="1200" w:type="dxa"/>
            <w:vAlign w:val="bottom"/>
            <w:tcBorders>
              <w:right w:val="single" w:sz="8" w:color="95B3D7"/>
            </w:tcBorders>
            <w:shd w:val="clear" w:color="auto" w:fill="DBE5F1"/>
          </w:tcPr>
          <w:p>
            <w:pPr>
              <w:spacing w:after="0"/>
              <w:rPr>
                <w:sz w:val="8"/>
                <w:szCs w:val="8"/>
                <w:color w:val="auto"/>
              </w:rPr>
            </w:pPr>
          </w:p>
        </w:tc>
        <w:tc>
          <w:tcPr>
            <w:tcW w:w="1200" w:type="dxa"/>
            <w:vAlign w:val="bottom"/>
            <w:tcBorders>
              <w:right w:val="single" w:sz="8" w:color="95B3D7"/>
            </w:tcBorders>
            <w:shd w:val="clear" w:color="auto" w:fill="DBE5F1"/>
          </w:tcPr>
          <w:p>
            <w:pPr>
              <w:spacing w:after="0"/>
              <w:rPr>
                <w:sz w:val="8"/>
                <w:szCs w:val="8"/>
                <w:color w:val="auto"/>
              </w:rPr>
            </w:pPr>
          </w:p>
        </w:tc>
        <w:tc>
          <w:tcPr>
            <w:tcW w:w="1220" w:type="dxa"/>
            <w:vAlign w:val="bottom"/>
            <w:tcBorders>
              <w:right w:val="single" w:sz="8" w:color="95B3D7"/>
            </w:tcBorders>
            <w:shd w:val="clear" w:color="auto" w:fill="DBE5F1"/>
          </w:tcPr>
          <w:p>
            <w:pPr>
              <w:spacing w:after="0"/>
              <w:rPr>
                <w:sz w:val="8"/>
                <w:szCs w:val="8"/>
                <w:color w:val="auto"/>
              </w:rPr>
            </w:pPr>
          </w:p>
        </w:tc>
        <w:tc>
          <w:tcPr>
            <w:tcW w:w="1220" w:type="dxa"/>
            <w:vAlign w:val="bottom"/>
            <w:tcBorders>
              <w:right w:val="single" w:sz="8" w:color="95B3D7"/>
            </w:tcBorders>
            <w:shd w:val="clear" w:color="auto" w:fill="DBE5F1"/>
          </w:tcPr>
          <w:p>
            <w:pPr>
              <w:spacing w:after="0"/>
              <w:rPr>
                <w:sz w:val="8"/>
                <w:szCs w:val="8"/>
                <w:color w:val="auto"/>
              </w:rPr>
            </w:pPr>
          </w:p>
        </w:tc>
        <w:tc>
          <w:tcPr>
            <w:tcW w:w="1360" w:type="dxa"/>
            <w:vAlign w:val="bottom"/>
            <w:tcBorders>
              <w:right w:val="single" w:sz="8" w:color="95B3D7"/>
            </w:tcBorders>
            <w:shd w:val="clear" w:color="auto" w:fill="DBE5F1"/>
          </w:tcPr>
          <w:p>
            <w:pPr>
              <w:spacing w:after="0"/>
              <w:rPr>
                <w:sz w:val="8"/>
                <w:szCs w:val="8"/>
                <w:color w:val="auto"/>
              </w:rPr>
            </w:pPr>
          </w:p>
        </w:tc>
        <w:tc>
          <w:tcPr>
            <w:tcW w:w="1380" w:type="dxa"/>
            <w:vAlign w:val="bottom"/>
            <w:tcBorders>
              <w:right w:val="single" w:sz="8" w:color="95B3D7"/>
            </w:tcBorders>
            <w:shd w:val="clear" w:color="auto" w:fill="DBE5F1"/>
          </w:tcPr>
          <w:p>
            <w:pPr>
              <w:spacing w:after="0"/>
              <w:rPr>
                <w:sz w:val="8"/>
                <w:szCs w:val="8"/>
                <w:color w:val="auto"/>
              </w:rPr>
            </w:pPr>
          </w:p>
        </w:tc>
        <w:tc>
          <w:tcPr>
            <w:tcW w:w="1200" w:type="dxa"/>
            <w:vAlign w:val="bottom"/>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1580" w:type="dxa"/>
            <w:vAlign w:val="bottom"/>
            <w:tcBorders>
              <w:right w:val="single" w:sz="8" w:color="95B3D7"/>
            </w:tcBorders>
            <w:shd w:val="clear" w:color="auto" w:fill="DBE5F1"/>
          </w:tcPr>
          <w:p>
            <w:pPr>
              <w:ind w:left="160"/>
              <w:spacing w:after="0"/>
              <w:rPr>
                <w:sz w:val="20"/>
                <w:szCs w:val="20"/>
                <w:color w:val="auto"/>
              </w:rPr>
            </w:pPr>
            <w:r>
              <w:rPr>
                <w:rFonts w:ascii="Arial" w:cs="Arial" w:eastAsia="Arial" w:hAnsi="Arial"/>
                <w:sz w:val="13"/>
                <w:szCs w:val="13"/>
                <w:color w:val="auto"/>
              </w:rPr>
              <w:t>President</w:t>
            </w:r>
          </w:p>
        </w:tc>
        <w:tc>
          <w:tcPr>
            <w:tcW w:w="880" w:type="dxa"/>
            <w:vAlign w:val="bottom"/>
            <w:tcBorders>
              <w:right w:val="single" w:sz="8" w:color="95B3D7"/>
            </w:tcBorders>
            <w:vMerge w:val="restart"/>
            <w:shd w:val="clear" w:color="auto" w:fill="DBE5F1"/>
          </w:tcPr>
          <w:p>
            <w:pPr>
              <w:jc w:val="center"/>
              <w:spacing w:after="0"/>
              <w:rPr>
                <w:sz w:val="20"/>
                <w:szCs w:val="20"/>
                <w:color w:val="auto"/>
              </w:rPr>
            </w:pPr>
            <w:r>
              <w:rPr>
                <w:rFonts w:ascii="Arial" w:cs="Arial" w:eastAsia="Arial" w:hAnsi="Arial"/>
                <w:sz w:val="13"/>
                <w:szCs w:val="13"/>
                <w:color w:val="auto"/>
                <w:w w:val="96"/>
              </w:rPr>
              <w:t>2023</w:t>
            </w:r>
          </w:p>
        </w:tc>
        <w:tc>
          <w:tcPr>
            <w:tcW w:w="1200" w:type="dxa"/>
            <w:vAlign w:val="bottom"/>
            <w:tcBorders>
              <w:right w:val="single" w:sz="8" w:color="95B3D7"/>
            </w:tcBorders>
            <w:vMerge w:val="restart"/>
            <w:shd w:val="clear" w:color="auto" w:fill="DBE5F1"/>
          </w:tcPr>
          <w:p>
            <w:pPr>
              <w:jc w:val="right"/>
              <w:spacing w:after="0"/>
              <w:rPr>
                <w:sz w:val="20"/>
                <w:szCs w:val="20"/>
                <w:color w:val="auto"/>
              </w:rPr>
            </w:pPr>
            <w:r>
              <w:rPr>
                <w:rFonts w:ascii="Arial" w:cs="Arial" w:eastAsia="Arial" w:hAnsi="Arial"/>
                <w:sz w:val="13"/>
                <w:szCs w:val="13"/>
                <w:color w:val="auto"/>
              </w:rPr>
              <w:t>560,000</w:t>
            </w:r>
          </w:p>
        </w:tc>
        <w:tc>
          <w:tcPr>
            <w:tcW w:w="1200" w:type="dxa"/>
            <w:vAlign w:val="bottom"/>
            <w:tcBorders>
              <w:right w:val="single" w:sz="8" w:color="95B3D7"/>
            </w:tcBorders>
            <w:vMerge w:val="restart"/>
            <w:shd w:val="clear" w:color="auto" w:fill="DBE5F1"/>
          </w:tcPr>
          <w:p>
            <w:pPr>
              <w:jc w:val="right"/>
              <w:ind w:right="20"/>
              <w:spacing w:after="0"/>
              <w:rPr>
                <w:sz w:val="20"/>
                <w:szCs w:val="20"/>
                <w:color w:val="auto"/>
              </w:rPr>
            </w:pPr>
            <w:r>
              <w:rPr>
                <w:rFonts w:ascii="Arial" w:cs="Arial" w:eastAsia="Arial" w:hAnsi="Arial"/>
                <w:sz w:val="13"/>
                <w:szCs w:val="13"/>
                <w:color w:val="auto"/>
              </w:rPr>
              <w:t>205,000</w:t>
            </w:r>
          </w:p>
        </w:tc>
        <w:tc>
          <w:tcPr>
            <w:tcW w:w="1220" w:type="dxa"/>
            <w:vAlign w:val="bottom"/>
            <w:tcBorders>
              <w:right w:val="single" w:sz="8" w:color="95B3D7"/>
            </w:tcBorders>
            <w:vMerge w:val="restart"/>
            <w:shd w:val="clear" w:color="auto" w:fill="DBE5F1"/>
          </w:tcPr>
          <w:p>
            <w:pPr>
              <w:jc w:val="right"/>
              <w:ind w:right="40"/>
              <w:spacing w:after="0"/>
              <w:rPr>
                <w:sz w:val="20"/>
                <w:szCs w:val="20"/>
                <w:color w:val="auto"/>
              </w:rPr>
            </w:pPr>
            <w:r>
              <w:rPr>
                <w:rFonts w:ascii="Arial" w:cs="Arial" w:eastAsia="Arial" w:hAnsi="Arial"/>
                <w:sz w:val="13"/>
                <w:szCs w:val="13"/>
                <w:color w:val="auto"/>
              </w:rPr>
              <w:t>5,014,849</w:t>
            </w:r>
          </w:p>
        </w:tc>
        <w:tc>
          <w:tcPr>
            <w:tcW w:w="1220" w:type="dxa"/>
            <w:vAlign w:val="bottom"/>
            <w:tcBorders>
              <w:right w:val="single" w:sz="8" w:color="95B3D7"/>
            </w:tcBorders>
            <w:vMerge w:val="restart"/>
            <w:shd w:val="clear" w:color="auto" w:fill="DBE5F1"/>
          </w:tcPr>
          <w:p>
            <w:pPr>
              <w:jc w:val="right"/>
              <w:ind w:right="40"/>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95B3D7"/>
            </w:tcBorders>
            <w:vMerge w:val="restart"/>
            <w:shd w:val="clear" w:color="auto" w:fill="DBE5F1"/>
          </w:tcPr>
          <w:p>
            <w:pPr>
              <w:jc w:val="right"/>
              <w:ind w:right="21"/>
              <w:spacing w:after="0"/>
              <w:rPr>
                <w:sz w:val="20"/>
                <w:szCs w:val="20"/>
                <w:color w:val="auto"/>
              </w:rPr>
            </w:pPr>
            <w:r>
              <w:rPr>
                <w:rFonts w:ascii="Arial" w:cs="Arial" w:eastAsia="Arial" w:hAnsi="Arial"/>
                <w:sz w:val="13"/>
                <w:szCs w:val="13"/>
                <w:color w:val="auto"/>
              </w:rPr>
              <w:t>665,635</w:t>
            </w:r>
          </w:p>
        </w:tc>
        <w:tc>
          <w:tcPr>
            <w:tcW w:w="1380" w:type="dxa"/>
            <w:vAlign w:val="bottom"/>
            <w:tcBorders>
              <w:right w:val="single" w:sz="8" w:color="95B3D7"/>
            </w:tcBorders>
            <w:vMerge w:val="restart"/>
            <w:shd w:val="clear" w:color="auto" w:fill="DBE5F1"/>
          </w:tcPr>
          <w:p>
            <w:pPr>
              <w:jc w:val="right"/>
              <w:ind w:right="20"/>
              <w:spacing w:after="0"/>
              <w:rPr>
                <w:sz w:val="20"/>
                <w:szCs w:val="20"/>
                <w:color w:val="auto"/>
              </w:rPr>
            </w:pPr>
            <w:r>
              <w:rPr>
                <w:rFonts w:ascii="Arial" w:cs="Arial" w:eastAsia="Arial" w:hAnsi="Arial"/>
                <w:sz w:val="13"/>
                <w:szCs w:val="13"/>
                <w:color w:val="auto"/>
              </w:rPr>
              <w:t>13,515</w:t>
            </w:r>
          </w:p>
        </w:tc>
        <w:tc>
          <w:tcPr>
            <w:tcW w:w="1200" w:type="dxa"/>
            <w:vAlign w:val="bottom"/>
            <w:vMerge w:val="restart"/>
            <w:shd w:val="clear" w:color="auto" w:fill="DBE5F1"/>
          </w:tcPr>
          <w:p>
            <w:pPr>
              <w:jc w:val="right"/>
              <w:spacing w:after="0"/>
              <w:rPr>
                <w:sz w:val="20"/>
                <w:szCs w:val="20"/>
                <w:color w:val="auto"/>
              </w:rPr>
            </w:pPr>
            <w:r>
              <w:rPr>
                <w:rFonts w:ascii="Arial" w:cs="Arial" w:eastAsia="Arial" w:hAnsi="Arial"/>
                <w:sz w:val="13"/>
                <w:szCs w:val="13"/>
                <w:color w:val="auto"/>
              </w:rPr>
              <w:t>6,458,999</w:t>
            </w:r>
          </w:p>
        </w:tc>
        <w:tc>
          <w:tcPr>
            <w:tcW w:w="0" w:type="dxa"/>
            <w:vAlign w:val="bottom"/>
          </w:tcPr>
          <w:p>
            <w:pPr>
              <w:spacing w:after="0"/>
              <w:rPr>
                <w:sz w:val="1"/>
                <w:szCs w:val="1"/>
                <w:color w:val="auto"/>
              </w:rPr>
            </w:pPr>
          </w:p>
        </w:tc>
      </w:tr>
      <w:tr>
        <w:trPr>
          <w:trHeight w:val="54"/>
        </w:trPr>
        <w:tc>
          <w:tcPr>
            <w:tcW w:w="1580" w:type="dxa"/>
            <w:vAlign w:val="bottom"/>
            <w:tcBorders>
              <w:right w:val="single" w:sz="8" w:color="95B3D7"/>
            </w:tcBorders>
            <w:shd w:val="clear" w:color="auto" w:fill="DBE5F1"/>
          </w:tcPr>
          <w:p>
            <w:pPr>
              <w:spacing w:after="0"/>
              <w:rPr>
                <w:sz w:val="4"/>
                <w:szCs w:val="4"/>
                <w:color w:val="auto"/>
              </w:rPr>
            </w:pPr>
          </w:p>
        </w:tc>
        <w:tc>
          <w:tcPr>
            <w:tcW w:w="880" w:type="dxa"/>
            <w:vAlign w:val="bottom"/>
            <w:tcBorders>
              <w:right w:val="single" w:sz="8" w:color="95B3D7"/>
            </w:tcBorders>
            <w:vMerge w:val="continue"/>
            <w:shd w:val="clear" w:color="auto" w:fill="DBE5F1"/>
          </w:tcPr>
          <w:p>
            <w:pPr>
              <w:spacing w:after="0"/>
              <w:rPr>
                <w:sz w:val="4"/>
                <w:szCs w:val="4"/>
                <w:color w:val="auto"/>
              </w:rPr>
            </w:pPr>
          </w:p>
        </w:tc>
        <w:tc>
          <w:tcPr>
            <w:tcW w:w="1200" w:type="dxa"/>
            <w:vAlign w:val="bottom"/>
            <w:tcBorders>
              <w:right w:val="single" w:sz="8" w:color="95B3D7"/>
            </w:tcBorders>
            <w:vMerge w:val="continue"/>
            <w:shd w:val="clear" w:color="auto" w:fill="DBE5F1"/>
          </w:tcPr>
          <w:p>
            <w:pPr>
              <w:spacing w:after="0"/>
              <w:rPr>
                <w:sz w:val="4"/>
                <w:szCs w:val="4"/>
                <w:color w:val="auto"/>
              </w:rPr>
            </w:pPr>
          </w:p>
        </w:tc>
        <w:tc>
          <w:tcPr>
            <w:tcW w:w="1200" w:type="dxa"/>
            <w:vAlign w:val="bottom"/>
            <w:tcBorders>
              <w:right w:val="single" w:sz="8" w:color="95B3D7"/>
            </w:tcBorders>
            <w:vMerge w:val="continue"/>
            <w:shd w:val="clear" w:color="auto" w:fill="DBE5F1"/>
          </w:tcPr>
          <w:p>
            <w:pPr>
              <w:spacing w:after="0"/>
              <w:rPr>
                <w:sz w:val="4"/>
                <w:szCs w:val="4"/>
                <w:color w:val="auto"/>
              </w:rPr>
            </w:pPr>
          </w:p>
        </w:tc>
        <w:tc>
          <w:tcPr>
            <w:tcW w:w="1220" w:type="dxa"/>
            <w:vAlign w:val="bottom"/>
            <w:tcBorders>
              <w:right w:val="single" w:sz="8" w:color="95B3D7"/>
            </w:tcBorders>
            <w:vMerge w:val="continue"/>
            <w:shd w:val="clear" w:color="auto" w:fill="DBE5F1"/>
          </w:tcPr>
          <w:p>
            <w:pPr>
              <w:spacing w:after="0"/>
              <w:rPr>
                <w:sz w:val="4"/>
                <w:szCs w:val="4"/>
                <w:color w:val="auto"/>
              </w:rPr>
            </w:pPr>
          </w:p>
        </w:tc>
        <w:tc>
          <w:tcPr>
            <w:tcW w:w="1220" w:type="dxa"/>
            <w:vAlign w:val="bottom"/>
            <w:tcBorders>
              <w:right w:val="single" w:sz="8" w:color="95B3D7"/>
            </w:tcBorders>
            <w:vMerge w:val="continue"/>
            <w:shd w:val="clear" w:color="auto" w:fill="DBE5F1"/>
          </w:tcPr>
          <w:p>
            <w:pPr>
              <w:spacing w:after="0"/>
              <w:rPr>
                <w:sz w:val="4"/>
                <w:szCs w:val="4"/>
                <w:color w:val="auto"/>
              </w:rPr>
            </w:pPr>
          </w:p>
        </w:tc>
        <w:tc>
          <w:tcPr>
            <w:tcW w:w="1360" w:type="dxa"/>
            <w:vAlign w:val="bottom"/>
            <w:tcBorders>
              <w:right w:val="single" w:sz="8" w:color="95B3D7"/>
            </w:tcBorders>
            <w:vMerge w:val="continue"/>
            <w:shd w:val="clear" w:color="auto" w:fill="DBE5F1"/>
          </w:tcPr>
          <w:p>
            <w:pPr>
              <w:spacing w:after="0"/>
              <w:rPr>
                <w:sz w:val="4"/>
                <w:szCs w:val="4"/>
                <w:color w:val="auto"/>
              </w:rPr>
            </w:pPr>
          </w:p>
        </w:tc>
        <w:tc>
          <w:tcPr>
            <w:tcW w:w="1380" w:type="dxa"/>
            <w:vAlign w:val="bottom"/>
            <w:tcBorders>
              <w:right w:val="single" w:sz="8" w:color="95B3D7"/>
            </w:tcBorders>
            <w:vMerge w:val="continue"/>
            <w:shd w:val="clear" w:color="auto" w:fill="DBE5F1"/>
          </w:tcPr>
          <w:p>
            <w:pPr>
              <w:spacing w:after="0"/>
              <w:rPr>
                <w:sz w:val="4"/>
                <w:szCs w:val="4"/>
                <w:color w:val="auto"/>
              </w:rPr>
            </w:pPr>
          </w:p>
        </w:tc>
        <w:tc>
          <w:tcPr>
            <w:tcW w:w="1200" w:type="dxa"/>
            <w:vAlign w:val="bottom"/>
            <w:vMerge w:val="continue"/>
            <w:shd w:val="clear" w:color="auto" w:fill="DBE5F1"/>
          </w:tcPr>
          <w:p>
            <w:pPr>
              <w:spacing w:after="0"/>
              <w:rPr>
                <w:sz w:val="4"/>
                <w:szCs w:val="4"/>
                <w:color w:val="auto"/>
              </w:rPr>
            </w:pPr>
          </w:p>
        </w:tc>
        <w:tc>
          <w:tcPr>
            <w:tcW w:w="0" w:type="dxa"/>
            <w:vAlign w:val="bottom"/>
          </w:tcPr>
          <w:p>
            <w:pPr>
              <w:spacing w:after="0"/>
              <w:rPr>
                <w:sz w:val="1"/>
                <w:szCs w:val="1"/>
                <w:color w:val="auto"/>
              </w:rPr>
            </w:pPr>
          </w:p>
        </w:tc>
      </w:tr>
      <w:tr>
        <w:trPr>
          <w:trHeight w:val="418"/>
        </w:trPr>
        <w:tc>
          <w:tcPr>
            <w:tcW w:w="1580" w:type="dxa"/>
            <w:vAlign w:val="bottom"/>
            <w:tcBorders>
              <w:right w:val="single" w:sz="8" w:color="95B3D7"/>
            </w:tcBorders>
            <w:shd w:val="clear" w:color="auto" w:fill="DBE5F1"/>
          </w:tcPr>
          <w:p>
            <w:pPr>
              <w:spacing w:after="0"/>
              <w:rPr>
                <w:sz w:val="24"/>
                <w:szCs w:val="24"/>
                <w:color w:val="auto"/>
              </w:rPr>
            </w:pPr>
          </w:p>
        </w:tc>
        <w:tc>
          <w:tcPr>
            <w:tcW w:w="8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3"/>
                <w:szCs w:val="13"/>
                <w:color w:val="auto"/>
                <w:w w:val="96"/>
              </w:rPr>
              <w:t>2022</w:t>
            </w:r>
          </w:p>
        </w:tc>
        <w:tc>
          <w:tcPr>
            <w:tcW w:w="12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3"/>
                <w:szCs w:val="13"/>
                <w:color w:val="auto"/>
              </w:rPr>
              <w:t>557,308</w:t>
            </w:r>
          </w:p>
        </w:tc>
        <w:tc>
          <w:tcPr>
            <w:tcW w:w="120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95B3D7"/>
            </w:tcBorders>
            <w:shd w:val="clear" w:color="auto" w:fill="DBE5F1"/>
          </w:tcPr>
          <w:p>
            <w:pPr>
              <w:jc w:val="right"/>
              <w:ind w:right="40"/>
              <w:spacing w:after="0"/>
              <w:rPr>
                <w:sz w:val="20"/>
                <w:szCs w:val="20"/>
                <w:color w:val="auto"/>
              </w:rPr>
            </w:pPr>
            <w:r>
              <w:rPr>
                <w:rFonts w:ascii="Arial" w:cs="Arial" w:eastAsia="Arial" w:hAnsi="Arial"/>
                <w:sz w:val="13"/>
                <w:szCs w:val="13"/>
                <w:color w:val="auto"/>
              </w:rPr>
              <w:t>8,832,243</w:t>
            </w:r>
          </w:p>
        </w:tc>
        <w:tc>
          <w:tcPr>
            <w:tcW w:w="1220" w:type="dxa"/>
            <w:vAlign w:val="bottom"/>
            <w:tcBorders>
              <w:right w:val="single" w:sz="8" w:color="95B3D7"/>
            </w:tcBorders>
            <w:shd w:val="clear" w:color="auto" w:fill="DBE5F1"/>
          </w:tcPr>
          <w:p>
            <w:pPr>
              <w:jc w:val="right"/>
              <w:ind w:right="40"/>
              <w:spacing w:after="0"/>
              <w:rPr>
                <w:sz w:val="20"/>
                <w:szCs w:val="20"/>
                <w:color w:val="auto"/>
              </w:rPr>
            </w:pPr>
            <w:r>
              <w:rPr>
                <w:rFonts w:ascii="Arial" w:cs="Arial" w:eastAsia="Arial" w:hAnsi="Arial"/>
                <w:sz w:val="13"/>
                <w:szCs w:val="13"/>
                <w:color w:val="auto"/>
              </w:rPr>
              <w:t>624,999</w:t>
            </w:r>
          </w:p>
        </w:tc>
        <w:tc>
          <w:tcPr>
            <w:tcW w:w="1360" w:type="dxa"/>
            <w:vAlign w:val="bottom"/>
            <w:tcBorders>
              <w:right w:val="single" w:sz="8" w:color="95B3D7"/>
            </w:tcBorders>
            <w:shd w:val="clear" w:color="auto" w:fill="DBE5F1"/>
          </w:tcPr>
          <w:p>
            <w:pPr>
              <w:jc w:val="right"/>
              <w:ind w:right="21"/>
              <w:spacing w:after="0"/>
              <w:rPr>
                <w:sz w:val="20"/>
                <w:szCs w:val="20"/>
                <w:color w:val="auto"/>
              </w:rPr>
            </w:pPr>
            <w:r>
              <w:rPr>
                <w:rFonts w:ascii="Arial" w:cs="Arial" w:eastAsia="Arial" w:hAnsi="Arial"/>
                <w:sz w:val="13"/>
                <w:szCs w:val="13"/>
                <w:color w:val="auto"/>
              </w:rPr>
              <w:t>553,589</w:t>
            </w:r>
          </w:p>
        </w:tc>
        <w:tc>
          <w:tcPr>
            <w:tcW w:w="138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12,620</w:t>
            </w:r>
          </w:p>
        </w:tc>
        <w:tc>
          <w:tcPr>
            <w:tcW w:w="1200" w:type="dxa"/>
            <w:vAlign w:val="bottom"/>
            <w:shd w:val="clear" w:color="auto" w:fill="DBE5F1"/>
          </w:tcPr>
          <w:p>
            <w:pPr>
              <w:jc w:val="right"/>
              <w:spacing w:after="0"/>
              <w:rPr>
                <w:sz w:val="20"/>
                <w:szCs w:val="20"/>
                <w:color w:val="auto"/>
              </w:rPr>
            </w:pPr>
            <w:r>
              <w:rPr>
                <w:rFonts w:ascii="Arial" w:cs="Arial" w:eastAsia="Arial" w:hAnsi="Arial"/>
                <w:sz w:val="13"/>
                <w:szCs w:val="13"/>
                <w:color w:val="auto"/>
              </w:rPr>
              <w:t>10,580,760</w:t>
            </w:r>
          </w:p>
        </w:tc>
        <w:tc>
          <w:tcPr>
            <w:tcW w:w="0" w:type="dxa"/>
            <w:vAlign w:val="bottom"/>
          </w:tcPr>
          <w:p>
            <w:pPr>
              <w:spacing w:after="0"/>
              <w:rPr>
                <w:sz w:val="1"/>
                <w:szCs w:val="1"/>
                <w:color w:val="auto"/>
              </w:rPr>
            </w:pPr>
          </w:p>
        </w:tc>
      </w:tr>
      <w:tr>
        <w:trPr>
          <w:trHeight w:val="108"/>
        </w:trPr>
        <w:tc>
          <w:tcPr>
            <w:tcW w:w="1580" w:type="dxa"/>
            <w:vAlign w:val="bottom"/>
            <w:tcBorders>
              <w:right w:val="single" w:sz="8" w:color="95B3D7"/>
            </w:tcBorders>
            <w:shd w:val="clear" w:color="auto" w:fill="DBE5F1"/>
          </w:tcPr>
          <w:p>
            <w:pPr>
              <w:spacing w:after="0"/>
              <w:rPr>
                <w:sz w:val="9"/>
                <w:szCs w:val="9"/>
                <w:color w:val="auto"/>
              </w:rPr>
            </w:pPr>
          </w:p>
        </w:tc>
        <w:tc>
          <w:tcPr>
            <w:tcW w:w="880" w:type="dxa"/>
            <w:vAlign w:val="bottom"/>
            <w:tcBorders>
              <w:right w:val="single" w:sz="8" w:color="95B3D7"/>
            </w:tcBorders>
            <w:shd w:val="clear" w:color="auto" w:fill="DBE5F1"/>
          </w:tcPr>
          <w:p>
            <w:pPr>
              <w:spacing w:after="0"/>
              <w:rPr>
                <w:sz w:val="9"/>
                <w:szCs w:val="9"/>
                <w:color w:val="auto"/>
              </w:rPr>
            </w:pPr>
          </w:p>
        </w:tc>
        <w:tc>
          <w:tcPr>
            <w:tcW w:w="1200" w:type="dxa"/>
            <w:vAlign w:val="bottom"/>
            <w:tcBorders>
              <w:right w:val="single" w:sz="8" w:color="95B3D7"/>
            </w:tcBorders>
            <w:shd w:val="clear" w:color="auto" w:fill="DBE5F1"/>
          </w:tcPr>
          <w:p>
            <w:pPr>
              <w:spacing w:after="0"/>
              <w:rPr>
                <w:sz w:val="9"/>
                <w:szCs w:val="9"/>
                <w:color w:val="auto"/>
              </w:rPr>
            </w:pPr>
          </w:p>
        </w:tc>
        <w:tc>
          <w:tcPr>
            <w:tcW w:w="1200" w:type="dxa"/>
            <w:vAlign w:val="bottom"/>
            <w:tcBorders>
              <w:right w:val="single" w:sz="8" w:color="95B3D7"/>
            </w:tcBorders>
            <w:shd w:val="clear" w:color="auto" w:fill="DBE5F1"/>
          </w:tcPr>
          <w:p>
            <w:pPr>
              <w:spacing w:after="0"/>
              <w:rPr>
                <w:sz w:val="9"/>
                <w:szCs w:val="9"/>
                <w:color w:val="auto"/>
              </w:rPr>
            </w:pPr>
          </w:p>
        </w:tc>
        <w:tc>
          <w:tcPr>
            <w:tcW w:w="1220" w:type="dxa"/>
            <w:vAlign w:val="bottom"/>
            <w:tcBorders>
              <w:right w:val="single" w:sz="8" w:color="95B3D7"/>
            </w:tcBorders>
            <w:shd w:val="clear" w:color="auto" w:fill="DBE5F1"/>
          </w:tcPr>
          <w:p>
            <w:pPr>
              <w:spacing w:after="0"/>
              <w:rPr>
                <w:sz w:val="9"/>
                <w:szCs w:val="9"/>
                <w:color w:val="auto"/>
              </w:rPr>
            </w:pPr>
          </w:p>
        </w:tc>
        <w:tc>
          <w:tcPr>
            <w:tcW w:w="1220" w:type="dxa"/>
            <w:vAlign w:val="bottom"/>
            <w:tcBorders>
              <w:right w:val="single" w:sz="8" w:color="95B3D7"/>
            </w:tcBorders>
            <w:shd w:val="clear" w:color="auto" w:fill="DBE5F1"/>
          </w:tcPr>
          <w:p>
            <w:pPr>
              <w:spacing w:after="0"/>
              <w:rPr>
                <w:sz w:val="9"/>
                <w:szCs w:val="9"/>
                <w:color w:val="auto"/>
              </w:rPr>
            </w:pPr>
          </w:p>
        </w:tc>
        <w:tc>
          <w:tcPr>
            <w:tcW w:w="1360" w:type="dxa"/>
            <w:vAlign w:val="bottom"/>
            <w:tcBorders>
              <w:right w:val="single" w:sz="8" w:color="95B3D7"/>
            </w:tcBorders>
            <w:shd w:val="clear" w:color="auto" w:fill="DBE5F1"/>
          </w:tcPr>
          <w:p>
            <w:pPr>
              <w:spacing w:after="0"/>
              <w:rPr>
                <w:sz w:val="9"/>
                <w:szCs w:val="9"/>
                <w:color w:val="auto"/>
              </w:rPr>
            </w:pPr>
          </w:p>
        </w:tc>
        <w:tc>
          <w:tcPr>
            <w:tcW w:w="1380" w:type="dxa"/>
            <w:vAlign w:val="bottom"/>
            <w:tcBorders>
              <w:right w:val="single" w:sz="8" w:color="95B3D7"/>
            </w:tcBorders>
            <w:shd w:val="clear" w:color="auto" w:fill="DBE5F1"/>
          </w:tcPr>
          <w:p>
            <w:pPr>
              <w:spacing w:after="0"/>
              <w:rPr>
                <w:sz w:val="9"/>
                <w:szCs w:val="9"/>
                <w:color w:val="auto"/>
              </w:rPr>
            </w:pPr>
          </w:p>
        </w:tc>
        <w:tc>
          <w:tcPr>
            <w:tcW w:w="1200" w:type="dxa"/>
            <w:vAlign w:val="bottom"/>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580" w:type="dxa"/>
            <w:vAlign w:val="bottom"/>
            <w:tcBorders>
              <w:right w:val="single" w:sz="8" w:color="95B3D7"/>
            </w:tcBorders>
            <w:vMerge w:val="restart"/>
          </w:tcPr>
          <w:p>
            <w:pPr>
              <w:ind w:left="100"/>
              <w:spacing w:after="0"/>
              <w:rPr>
                <w:sz w:val="20"/>
                <w:szCs w:val="20"/>
                <w:color w:val="auto"/>
              </w:rPr>
            </w:pPr>
            <w:r>
              <w:rPr>
                <w:rFonts w:ascii="Arial" w:cs="Arial" w:eastAsia="Arial" w:hAnsi="Arial"/>
                <w:sz w:val="13"/>
                <w:szCs w:val="13"/>
                <w:b w:val="1"/>
                <w:bCs w:val="1"/>
                <w:color w:val="auto"/>
              </w:rPr>
              <w:t>Hyong (Ken) Kim, M.D.</w:t>
            </w:r>
          </w:p>
        </w:tc>
        <w:tc>
          <w:tcPr>
            <w:tcW w:w="880" w:type="dxa"/>
            <w:vAlign w:val="bottom"/>
            <w:tcBorders>
              <w:right w:val="single" w:sz="8" w:color="95B3D7"/>
            </w:tcBorders>
          </w:tcPr>
          <w:p>
            <w:pPr>
              <w:jc w:val="center"/>
              <w:spacing w:after="0"/>
              <w:rPr>
                <w:sz w:val="20"/>
                <w:szCs w:val="20"/>
                <w:color w:val="auto"/>
              </w:rPr>
            </w:pPr>
            <w:r>
              <w:rPr>
                <w:rFonts w:ascii="Arial" w:cs="Arial" w:eastAsia="Arial" w:hAnsi="Arial"/>
                <w:sz w:val="13"/>
                <w:szCs w:val="13"/>
                <w:color w:val="auto"/>
                <w:w w:val="96"/>
              </w:rPr>
              <w:t>2024</w:t>
            </w:r>
          </w:p>
        </w:tc>
        <w:tc>
          <w:tcPr>
            <w:tcW w:w="1200" w:type="dxa"/>
            <w:vAlign w:val="bottom"/>
            <w:tcBorders>
              <w:right w:val="single" w:sz="8" w:color="95B3D7"/>
            </w:tcBorders>
          </w:tcPr>
          <w:p>
            <w:pPr>
              <w:jc w:val="right"/>
              <w:spacing w:after="0"/>
              <w:rPr>
                <w:sz w:val="20"/>
                <w:szCs w:val="20"/>
                <w:color w:val="auto"/>
              </w:rPr>
            </w:pPr>
            <w:r>
              <w:rPr>
                <w:rFonts w:ascii="Arial" w:cs="Arial" w:eastAsia="Arial" w:hAnsi="Arial"/>
                <w:sz w:val="13"/>
                <w:szCs w:val="13"/>
                <w:color w:val="auto"/>
              </w:rPr>
              <w:t>555,693</w:t>
            </w:r>
          </w:p>
        </w:tc>
        <w:tc>
          <w:tcPr>
            <w:tcW w:w="1200" w:type="dxa"/>
            <w:vAlign w:val="bottom"/>
            <w:tcBorders>
              <w:right w:val="single" w:sz="8" w:color="95B3D7"/>
            </w:tcBorders>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95B3D7"/>
            </w:tcBorders>
          </w:tcPr>
          <w:p>
            <w:pPr>
              <w:jc w:val="right"/>
              <w:ind w:right="40"/>
              <w:spacing w:after="0"/>
              <w:rPr>
                <w:sz w:val="20"/>
                <w:szCs w:val="20"/>
                <w:color w:val="auto"/>
              </w:rPr>
            </w:pPr>
            <w:r>
              <w:rPr>
                <w:rFonts w:ascii="Arial" w:cs="Arial" w:eastAsia="Arial" w:hAnsi="Arial"/>
                <w:sz w:val="13"/>
                <w:szCs w:val="13"/>
                <w:color w:val="auto"/>
              </w:rPr>
              <w:t>1,400,000</w:t>
            </w:r>
          </w:p>
        </w:tc>
        <w:tc>
          <w:tcPr>
            <w:tcW w:w="1220" w:type="dxa"/>
            <w:vAlign w:val="bottom"/>
            <w:tcBorders>
              <w:right w:val="single" w:sz="8" w:color="95B3D7"/>
            </w:tcBorders>
          </w:tcPr>
          <w:p>
            <w:pPr>
              <w:jc w:val="right"/>
              <w:ind w:right="40"/>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95B3D7"/>
            </w:tcBorders>
          </w:tcPr>
          <w:p>
            <w:pPr>
              <w:jc w:val="right"/>
              <w:ind w:right="21"/>
              <w:spacing w:after="0"/>
              <w:rPr>
                <w:sz w:val="20"/>
                <w:szCs w:val="20"/>
                <w:color w:val="auto"/>
              </w:rPr>
            </w:pPr>
            <w:r>
              <w:rPr>
                <w:rFonts w:ascii="Arial" w:cs="Arial" w:eastAsia="Arial" w:hAnsi="Arial"/>
                <w:sz w:val="13"/>
                <w:szCs w:val="13"/>
                <w:color w:val="auto"/>
              </w:rPr>
              <w:t>508,334</w:t>
            </w:r>
          </w:p>
        </w:tc>
        <w:tc>
          <w:tcPr>
            <w:tcW w:w="1380" w:type="dxa"/>
            <w:vAlign w:val="bottom"/>
            <w:tcBorders>
              <w:right w:val="single" w:sz="8" w:color="95B3D7"/>
            </w:tcBorders>
          </w:tcPr>
          <w:p>
            <w:pPr>
              <w:jc w:val="right"/>
              <w:ind w:right="20"/>
              <w:spacing w:after="0"/>
              <w:rPr>
                <w:sz w:val="20"/>
                <w:szCs w:val="20"/>
                <w:color w:val="auto"/>
              </w:rPr>
            </w:pPr>
            <w:r>
              <w:rPr>
                <w:rFonts w:ascii="Arial" w:cs="Arial" w:eastAsia="Arial" w:hAnsi="Arial"/>
                <w:sz w:val="13"/>
                <w:szCs w:val="13"/>
                <w:color w:val="auto"/>
              </w:rPr>
              <w:t>14,045</w:t>
            </w:r>
          </w:p>
        </w:tc>
        <w:tc>
          <w:tcPr>
            <w:tcW w:w="1200" w:type="dxa"/>
            <w:vAlign w:val="bottom"/>
          </w:tcPr>
          <w:p>
            <w:pPr>
              <w:jc w:val="right"/>
              <w:spacing w:after="0"/>
              <w:rPr>
                <w:sz w:val="20"/>
                <w:szCs w:val="20"/>
                <w:color w:val="auto"/>
              </w:rPr>
            </w:pPr>
            <w:r>
              <w:rPr>
                <w:rFonts w:ascii="Arial" w:cs="Arial" w:eastAsia="Arial" w:hAnsi="Arial"/>
                <w:sz w:val="13"/>
                <w:szCs w:val="13"/>
                <w:color w:val="auto"/>
              </w:rPr>
              <w:t>2,478,072</w:t>
            </w:r>
          </w:p>
        </w:tc>
        <w:tc>
          <w:tcPr>
            <w:tcW w:w="0" w:type="dxa"/>
            <w:vAlign w:val="bottom"/>
          </w:tcPr>
          <w:p>
            <w:pPr>
              <w:spacing w:after="0"/>
              <w:rPr>
                <w:sz w:val="1"/>
                <w:szCs w:val="1"/>
                <w:color w:val="auto"/>
              </w:rPr>
            </w:pPr>
          </w:p>
        </w:tc>
      </w:tr>
      <w:tr>
        <w:trPr>
          <w:trHeight w:val="100"/>
        </w:trPr>
        <w:tc>
          <w:tcPr>
            <w:tcW w:w="1580" w:type="dxa"/>
            <w:vAlign w:val="bottom"/>
            <w:tcBorders>
              <w:right w:val="single" w:sz="8" w:color="95B3D7"/>
            </w:tcBorders>
            <w:vMerge w:val="continue"/>
          </w:tcPr>
          <w:p>
            <w:pPr>
              <w:spacing w:after="0"/>
              <w:rPr>
                <w:sz w:val="8"/>
                <w:szCs w:val="8"/>
                <w:color w:val="auto"/>
              </w:rPr>
            </w:pPr>
          </w:p>
        </w:tc>
        <w:tc>
          <w:tcPr>
            <w:tcW w:w="880" w:type="dxa"/>
            <w:vAlign w:val="bottom"/>
            <w:tcBorders>
              <w:right w:val="single" w:sz="8" w:color="95B3D7"/>
            </w:tcBorders>
          </w:tcPr>
          <w:p>
            <w:pPr>
              <w:spacing w:after="0"/>
              <w:rPr>
                <w:sz w:val="8"/>
                <w:szCs w:val="8"/>
                <w:color w:val="auto"/>
              </w:rPr>
            </w:pPr>
          </w:p>
        </w:tc>
        <w:tc>
          <w:tcPr>
            <w:tcW w:w="1200" w:type="dxa"/>
            <w:vAlign w:val="bottom"/>
            <w:tcBorders>
              <w:right w:val="single" w:sz="8" w:color="95B3D7"/>
            </w:tcBorders>
          </w:tcPr>
          <w:p>
            <w:pPr>
              <w:spacing w:after="0"/>
              <w:rPr>
                <w:sz w:val="8"/>
                <w:szCs w:val="8"/>
                <w:color w:val="auto"/>
              </w:rPr>
            </w:pPr>
          </w:p>
        </w:tc>
        <w:tc>
          <w:tcPr>
            <w:tcW w:w="1200" w:type="dxa"/>
            <w:vAlign w:val="bottom"/>
            <w:tcBorders>
              <w:right w:val="single" w:sz="8" w:color="95B3D7"/>
            </w:tcBorders>
          </w:tcPr>
          <w:p>
            <w:pPr>
              <w:spacing w:after="0"/>
              <w:rPr>
                <w:sz w:val="8"/>
                <w:szCs w:val="8"/>
                <w:color w:val="auto"/>
              </w:rPr>
            </w:pPr>
          </w:p>
        </w:tc>
        <w:tc>
          <w:tcPr>
            <w:tcW w:w="1220" w:type="dxa"/>
            <w:vAlign w:val="bottom"/>
            <w:tcBorders>
              <w:right w:val="single" w:sz="8" w:color="95B3D7"/>
            </w:tcBorders>
          </w:tcPr>
          <w:p>
            <w:pPr>
              <w:spacing w:after="0"/>
              <w:rPr>
                <w:sz w:val="8"/>
                <w:szCs w:val="8"/>
                <w:color w:val="auto"/>
              </w:rPr>
            </w:pPr>
          </w:p>
        </w:tc>
        <w:tc>
          <w:tcPr>
            <w:tcW w:w="1220" w:type="dxa"/>
            <w:vAlign w:val="bottom"/>
            <w:tcBorders>
              <w:right w:val="single" w:sz="8" w:color="95B3D7"/>
            </w:tcBorders>
          </w:tcPr>
          <w:p>
            <w:pPr>
              <w:spacing w:after="0"/>
              <w:rPr>
                <w:sz w:val="8"/>
                <w:szCs w:val="8"/>
                <w:color w:val="auto"/>
              </w:rPr>
            </w:pPr>
          </w:p>
        </w:tc>
        <w:tc>
          <w:tcPr>
            <w:tcW w:w="1360" w:type="dxa"/>
            <w:vAlign w:val="bottom"/>
            <w:tcBorders>
              <w:right w:val="single" w:sz="8" w:color="95B3D7"/>
            </w:tcBorders>
          </w:tcPr>
          <w:p>
            <w:pPr>
              <w:spacing w:after="0"/>
              <w:rPr>
                <w:sz w:val="8"/>
                <w:szCs w:val="8"/>
                <w:color w:val="auto"/>
              </w:rPr>
            </w:pPr>
          </w:p>
        </w:tc>
        <w:tc>
          <w:tcPr>
            <w:tcW w:w="1380" w:type="dxa"/>
            <w:vAlign w:val="bottom"/>
            <w:tcBorders>
              <w:right w:val="single" w:sz="8" w:color="95B3D7"/>
            </w:tcBorders>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580" w:type="dxa"/>
            <w:vAlign w:val="bottom"/>
            <w:tcBorders>
              <w:right w:val="single" w:sz="8" w:color="95B3D7"/>
            </w:tcBorders>
          </w:tcPr>
          <w:p>
            <w:pPr>
              <w:ind w:left="180"/>
              <w:spacing w:after="0"/>
              <w:rPr>
                <w:sz w:val="20"/>
                <w:szCs w:val="20"/>
                <w:color w:val="auto"/>
              </w:rPr>
            </w:pPr>
            <w:r>
              <w:rPr>
                <w:rFonts w:ascii="Arial" w:cs="Arial" w:eastAsia="Arial" w:hAnsi="Arial"/>
                <w:sz w:val="13"/>
                <w:szCs w:val="13"/>
                <w:color w:val="auto"/>
              </w:rPr>
              <w:t>Chief Medical Officer</w:t>
            </w:r>
            <w:r>
              <w:rPr>
                <w:rFonts w:ascii="Arial" w:cs="Arial" w:eastAsia="Arial" w:hAnsi="Arial"/>
                <w:sz w:val="16"/>
                <w:szCs w:val="16"/>
                <w:color w:val="auto"/>
                <w:vertAlign w:val="superscript"/>
              </w:rPr>
              <w:t>(6)</w:t>
            </w:r>
          </w:p>
        </w:tc>
        <w:tc>
          <w:tcPr>
            <w:tcW w:w="880" w:type="dxa"/>
            <w:vAlign w:val="bottom"/>
            <w:tcBorders>
              <w:right w:val="single" w:sz="8" w:color="95B3D7"/>
            </w:tcBorders>
          </w:tcPr>
          <w:p>
            <w:pPr>
              <w:jc w:val="center"/>
              <w:spacing w:after="0"/>
              <w:rPr>
                <w:sz w:val="20"/>
                <w:szCs w:val="20"/>
                <w:color w:val="auto"/>
              </w:rPr>
            </w:pPr>
            <w:r>
              <w:rPr>
                <w:rFonts w:ascii="Arial" w:cs="Arial" w:eastAsia="Arial" w:hAnsi="Arial"/>
                <w:sz w:val="13"/>
                <w:szCs w:val="13"/>
                <w:color w:val="auto"/>
                <w:w w:val="96"/>
              </w:rPr>
              <w:t>2023</w:t>
            </w:r>
          </w:p>
        </w:tc>
        <w:tc>
          <w:tcPr>
            <w:tcW w:w="1200" w:type="dxa"/>
            <w:vAlign w:val="bottom"/>
            <w:tcBorders>
              <w:right w:val="single" w:sz="8" w:color="95B3D7"/>
            </w:tcBorders>
          </w:tcPr>
          <w:p>
            <w:pPr>
              <w:jc w:val="right"/>
              <w:spacing w:after="0"/>
              <w:rPr>
                <w:sz w:val="20"/>
                <w:szCs w:val="20"/>
                <w:color w:val="auto"/>
              </w:rPr>
            </w:pPr>
            <w:r>
              <w:rPr>
                <w:rFonts w:ascii="Arial" w:cs="Arial" w:eastAsia="Arial" w:hAnsi="Arial"/>
                <w:sz w:val="13"/>
                <w:szCs w:val="13"/>
                <w:color w:val="auto"/>
              </w:rPr>
              <w:t>140,000</w:t>
            </w:r>
            <w:r>
              <w:rPr>
                <w:rFonts w:ascii="Arial" w:cs="Arial" w:eastAsia="Arial" w:hAnsi="Arial"/>
                <w:sz w:val="16"/>
                <w:szCs w:val="16"/>
                <w:color w:val="auto"/>
                <w:vertAlign w:val="superscript"/>
              </w:rPr>
              <w:t>(7)</w:t>
            </w:r>
          </w:p>
        </w:tc>
        <w:tc>
          <w:tcPr>
            <w:tcW w:w="1200" w:type="dxa"/>
            <w:vAlign w:val="bottom"/>
            <w:tcBorders>
              <w:right w:val="single" w:sz="8" w:color="95B3D7"/>
            </w:tcBorders>
          </w:tcPr>
          <w:p>
            <w:pPr>
              <w:jc w:val="right"/>
              <w:ind w:right="20"/>
              <w:spacing w:after="0"/>
              <w:rPr>
                <w:sz w:val="20"/>
                <w:szCs w:val="20"/>
                <w:color w:val="auto"/>
              </w:rPr>
            </w:pPr>
            <w:r>
              <w:rPr>
                <w:rFonts w:ascii="Arial" w:cs="Arial" w:eastAsia="Arial" w:hAnsi="Arial"/>
                <w:sz w:val="13"/>
                <w:szCs w:val="13"/>
                <w:color w:val="auto"/>
              </w:rPr>
              <w:t>20,000</w:t>
            </w:r>
          </w:p>
        </w:tc>
        <w:tc>
          <w:tcPr>
            <w:tcW w:w="1220" w:type="dxa"/>
            <w:vAlign w:val="bottom"/>
            <w:tcBorders>
              <w:right w:val="single" w:sz="8" w:color="95B3D7"/>
            </w:tcBorders>
          </w:tcPr>
          <w:p>
            <w:pPr>
              <w:jc w:val="right"/>
              <w:ind w:right="40"/>
              <w:spacing w:after="0"/>
              <w:rPr>
                <w:sz w:val="20"/>
                <w:szCs w:val="20"/>
                <w:color w:val="auto"/>
              </w:rPr>
            </w:pPr>
            <w:r>
              <w:rPr>
                <w:rFonts w:ascii="Arial" w:cs="Arial" w:eastAsia="Arial" w:hAnsi="Arial"/>
                <w:sz w:val="13"/>
                <w:szCs w:val="13"/>
                <w:color w:val="auto"/>
              </w:rPr>
              <w:t>2,787,000</w:t>
            </w:r>
          </w:p>
        </w:tc>
        <w:tc>
          <w:tcPr>
            <w:tcW w:w="1220" w:type="dxa"/>
            <w:vAlign w:val="bottom"/>
            <w:tcBorders>
              <w:right w:val="single" w:sz="8" w:color="95B3D7"/>
            </w:tcBorders>
          </w:tcPr>
          <w:p>
            <w:pPr>
              <w:jc w:val="right"/>
              <w:ind w:right="40"/>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95B3D7"/>
            </w:tcBorders>
          </w:tcPr>
          <w:p>
            <w:pPr>
              <w:jc w:val="right"/>
              <w:ind w:right="21"/>
              <w:spacing w:after="0"/>
              <w:rPr>
                <w:sz w:val="20"/>
                <w:szCs w:val="20"/>
                <w:color w:val="auto"/>
              </w:rPr>
            </w:pPr>
            <w:r>
              <w:rPr>
                <w:rFonts w:ascii="Arial" w:cs="Arial" w:eastAsia="Arial" w:hAnsi="Arial"/>
                <w:sz w:val="13"/>
                <w:szCs w:val="13"/>
                <w:color w:val="auto"/>
              </w:rPr>
              <w:t>112,277</w:t>
            </w:r>
          </w:p>
        </w:tc>
        <w:tc>
          <w:tcPr>
            <w:tcW w:w="1380" w:type="dxa"/>
            <w:vAlign w:val="bottom"/>
            <w:tcBorders>
              <w:right w:val="single" w:sz="8" w:color="95B3D7"/>
            </w:tcBorders>
          </w:tcPr>
          <w:p>
            <w:pPr>
              <w:jc w:val="right"/>
              <w:ind w:right="2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3,059,277</w:t>
            </w:r>
          </w:p>
        </w:tc>
        <w:tc>
          <w:tcPr>
            <w:tcW w:w="0" w:type="dxa"/>
            <w:vAlign w:val="bottom"/>
          </w:tcPr>
          <w:p>
            <w:pPr>
              <w:spacing w:after="0"/>
              <w:rPr>
                <w:sz w:val="1"/>
                <w:szCs w:val="1"/>
                <w:color w:val="auto"/>
              </w:rPr>
            </w:pPr>
          </w:p>
        </w:tc>
      </w:tr>
      <w:tr>
        <w:trPr>
          <w:trHeight w:val="214"/>
        </w:trPr>
        <w:tc>
          <w:tcPr>
            <w:tcW w:w="1580" w:type="dxa"/>
            <w:vAlign w:val="bottom"/>
            <w:tcBorders>
              <w:right w:val="single" w:sz="8" w:color="95B3D7"/>
            </w:tcBorders>
          </w:tcPr>
          <w:p>
            <w:pPr>
              <w:spacing w:after="0"/>
              <w:rPr>
                <w:sz w:val="18"/>
                <w:szCs w:val="18"/>
                <w:color w:val="auto"/>
              </w:rPr>
            </w:pPr>
          </w:p>
        </w:tc>
        <w:tc>
          <w:tcPr>
            <w:tcW w:w="880" w:type="dxa"/>
            <w:vAlign w:val="bottom"/>
            <w:tcBorders>
              <w:right w:val="single" w:sz="8" w:color="95B3D7"/>
            </w:tcBorders>
          </w:tcPr>
          <w:p>
            <w:pPr>
              <w:spacing w:after="0"/>
              <w:rPr>
                <w:sz w:val="18"/>
                <w:szCs w:val="18"/>
                <w:color w:val="auto"/>
              </w:rPr>
            </w:pPr>
          </w:p>
        </w:tc>
        <w:tc>
          <w:tcPr>
            <w:tcW w:w="1200" w:type="dxa"/>
            <w:vAlign w:val="bottom"/>
            <w:tcBorders>
              <w:right w:val="single" w:sz="8" w:color="95B3D7"/>
            </w:tcBorders>
          </w:tcPr>
          <w:p>
            <w:pPr>
              <w:spacing w:after="0"/>
              <w:rPr>
                <w:sz w:val="18"/>
                <w:szCs w:val="18"/>
                <w:color w:val="auto"/>
              </w:rPr>
            </w:pPr>
          </w:p>
        </w:tc>
        <w:tc>
          <w:tcPr>
            <w:tcW w:w="1200" w:type="dxa"/>
            <w:vAlign w:val="bottom"/>
            <w:tcBorders>
              <w:right w:val="single" w:sz="8" w:color="95B3D7"/>
            </w:tcBorders>
          </w:tcPr>
          <w:p>
            <w:pPr>
              <w:spacing w:after="0"/>
              <w:rPr>
                <w:sz w:val="18"/>
                <w:szCs w:val="18"/>
                <w:color w:val="auto"/>
              </w:rPr>
            </w:pPr>
          </w:p>
        </w:tc>
        <w:tc>
          <w:tcPr>
            <w:tcW w:w="1220" w:type="dxa"/>
            <w:vAlign w:val="bottom"/>
            <w:tcBorders>
              <w:right w:val="single" w:sz="8" w:color="95B3D7"/>
            </w:tcBorders>
          </w:tcPr>
          <w:p>
            <w:pPr>
              <w:spacing w:after="0"/>
              <w:rPr>
                <w:sz w:val="18"/>
                <w:szCs w:val="18"/>
                <w:color w:val="auto"/>
              </w:rPr>
            </w:pPr>
          </w:p>
        </w:tc>
        <w:tc>
          <w:tcPr>
            <w:tcW w:w="1220" w:type="dxa"/>
            <w:vAlign w:val="bottom"/>
            <w:tcBorders>
              <w:right w:val="single" w:sz="8" w:color="95B3D7"/>
            </w:tcBorders>
          </w:tcPr>
          <w:p>
            <w:pPr>
              <w:spacing w:after="0"/>
              <w:rPr>
                <w:sz w:val="18"/>
                <w:szCs w:val="18"/>
                <w:color w:val="auto"/>
              </w:rPr>
            </w:pPr>
          </w:p>
        </w:tc>
        <w:tc>
          <w:tcPr>
            <w:tcW w:w="1360" w:type="dxa"/>
            <w:vAlign w:val="bottom"/>
            <w:tcBorders>
              <w:right w:val="single" w:sz="8" w:color="95B3D7"/>
            </w:tcBorders>
          </w:tcPr>
          <w:p>
            <w:pPr>
              <w:spacing w:after="0"/>
              <w:rPr>
                <w:sz w:val="18"/>
                <w:szCs w:val="18"/>
                <w:color w:val="auto"/>
              </w:rPr>
            </w:pPr>
          </w:p>
        </w:tc>
        <w:tc>
          <w:tcPr>
            <w:tcW w:w="1380" w:type="dxa"/>
            <w:vAlign w:val="bottom"/>
            <w:tcBorders>
              <w:right w:val="single" w:sz="8" w:color="95B3D7"/>
            </w:tcBorders>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80" w:type="dxa"/>
            <w:vAlign w:val="bottom"/>
            <w:tcBorders>
              <w:right w:val="single" w:sz="8" w:color="95B3D7"/>
            </w:tcBorders>
            <w:vMerge w:val="restart"/>
            <w:shd w:val="clear" w:color="auto" w:fill="DBE5F1"/>
          </w:tcPr>
          <w:p>
            <w:pPr>
              <w:ind w:left="100"/>
              <w:spacing w:after="0"/>
              <w:rPr>
                <w:sz w:val="20"/>
                <w:szCs w:val="20"/>
                <w:color w:val="auto"/>
              </w:rPr>
            </w:pPr>
            <w:r>
              <w:rPr>
                <w:rFonts w:ascii="Arial" w:cs="Arial" w:eastAsia="Arial" w:hAnsi="Arial"/>
                <w:sz w:val="13"/>
                <w:szCs w:val="13"/>
                <w:b w:val="1"/>
                <w:bCs w:val="1"/>
                <w:color w:val="auto"/>
              </w:rPr>
              <w:t>Andreas Wagner</w:t>
            </w:r>
          </w:p>
        </w:tc>
        <w:tc>
          <w:tcPr>
            <w:tcW w:w="8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3"/>
                <w:szCs w:val="13"/>
                <w:color w:val="auto"/>
                <w:w w:val="96"/>
              </w:rPr>
              <w:t>2024</w:t>
            </w:r>
          </w:p>
        </w:tc>
        <w:tc>
          <w:tcPr>
            <w:tcW w:w="12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3"/>
                <w:szCs w:val="13"/>
                <w:color w:val="auto"/>
              </w:rPr>
              <w:t>452,308</w:t>
            </w:r>
          </w:p>
        </w:tc>
        <w:tc>
          <w:tcPr>
            <w:tcW w:w="120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95B3D7"/>
            </w:tcBorders>
            <w:shd w:val="clear" w:color="auto" w:fill="DBE5F1"/>
          </w:tcPr>
          <w:p>
            <w:pPr>
              <w:jc w:val="right"/>
              <w:ind w:right="40"/>
              <w:spacing w:after="0"/>
              <w:rPr>
                <w:sz w:val="20"/>
                <w:szCs w:val="20"/>
                <w:color w:val="auto"/>
              </w:rPr>
            </w:pPr>
            <w:r>
              <w:rPr>
                <w:rFonts w:ascii="Arial" w:cs="Arial" w:eastAsia="Arial" w:hAnsi="Arial"/>
                <w:sz w:val="13"/>
                <w:szCs w:val="13"/>
                <w:color w:val="auto"/>
              </w:rPr>
              <w:t>1,600,000</w:t>
            </w:r>
          </w:p>
        </w:tc>
        <w:tc>
          <w:tcPr>
            <w:tcW w:w="1220" w:type="dxa"/>
            <w:vAlign w:val="bottom"/>
            <w:tcBorders>
              <w:right w:val="single" w:sz="8" w:color="95B3D7"/>
            </w:tcBorders>
            <w:shd w:val="clear" w:color="auto" w:fill="DBE5F1"/>
          </w:tcPr>
          <w:p>
            <w:pPr>
              <w:jc w:val="right"/>
              <w:ind w:right="40"/>
              <w:spacing w:after="0"/>
              <w:rPr>
                <w:sz w:val="20"/>
                <w:szCs w:val="20"/>
                <w:color w:val="auto"/>
              </w:rPr>
            </w:pPr>
            <w:r>
              <w:rPr>
                <w:rFonts w:ascii="Arial" w:cs="Arial" w:eastAsia="Arial" w:hAnsi="Arial"/>
                <w:sz w:val="13"/>
                <w:szCs w:val="13"/>
                <w:color w:val="auto"/>
              </w:rPr>
              <w:t>—</w:t>
            </w:r>
          </w:p>
        </w:tc>
        <w:tc>
          <w:tcPr>
            <w:tcW w:w="1360" w:type="dxa"/>
            <w:vAlign w:val="bottom"/>
            <w:tcBorders>
              <w:right w:val="single" w:sz="8" w:color="95B3D7"/>
            </w:tcBorders>
            <w:shd w:val="clear" w:color="auto" w:fill="DBE5F1"/>
          </w:tcPr>
          <w:p>
            <w:pPr>
              <w:jc w:val="right"/>
              <w:ind w:right="21"/>
              <w:spacing w:after="0"/>
              <w:rPr>
                <w:sz w:val="20"/>
                <w:szCs w:val="20"/>
                <w:color w:val="auto"/>
              </w:rPr>
            </w:pPr>
            <w:r>
              <w:rPr>
                <w:rFonts w:ascii="Arial" w:cs="Arial" w:eastAsia="Arial" w:hAnsi="Arial"/>
                <w:sz w:val="13"/>
                <w:szCs w:val="13"/>
                <w:color w:val="auto"/>
              </w:rPr>
              <w:t>389,339</w:t>
            </w:r>
          </w:p>
        </w:tc>
        <w:tc>
          <w:tcPr>
            <w:tcW w:w="1380" w:type="dxa"/>
            <w:vAlign w:val="bottom"/>
            <w:tcBorders>
              <w:right w:val="single" w:sz="8" w:color="95B3D7"/>
            </w:tcBorders>
            <w:vMerge w:val="restart"/>
            <w:shd w:val="clear" w:color="auto" w:fill="DBE5F1"/>
          </w:tcPr>
          <w:p>
            <w:pPr>
              <w:jc w:val="right"/>
              <w:ind w:right="20"/>
              <w:spacing w:after="0"/>
              <w:rPr>
                <w:sz w:val="20"/>
                <w:szCs w:val="20"/>
                <w:color w:val="auto"/>
              </w:rPr>
            </w:pPr>
            <w:r>
              <w:rPr>
                <w:rFonts w:ascii="Arial" w:cs="Arial" w:eastAsia="Arial" w:hAnsi="Arial"/>
                <w:sz w:val="13"/>
                <w:szCs w:val="13"/>
                <w:color w:val="auto"/>
              </w:rPr>
              <w:t>8,515</w:t>
            </w:r>
          </w:p>
        </w:tc>
        <w:tc>
          <w:tcPr>
            <w:tcW w:w="1200" w:type="dxa"/>
            <w:vAlign w:val="bottom"/>
            <w:shd w:val="clear" w:color="auto" w:fill="DBE5F1"/>
          </w:tcPr>
          <w:p>
            <w:pPr>
              <w:jc w:val="right"/>
              <w:spacing w:after="0"/>
              <w:rPr>
                <w:sz w:val="20"/>
                <w:szCs w:val="20"/>
                <w:color w:val="auto"/>
              </w:rPr>
            </w:pPr>
            <w:r>
              <w:rPr>
                <w:rFonts w:ascii="Arial" w:cs="Arial" w:eastAsia="Arial" w:hAnsi="Arial"/>
                <w:sz w:val="13"/>
                <w:szCs w:val="13"/>
                <w:color w:val="auto"/>
              </w:rPr>
              <w:t>2,450,162</w:t>
            </w:r>
          </w:p>
        </w:tc>
        <w:tc>
          <w:tcPr>
            <w:tcW w:w="0" w:type="dxa"/>
            <w:vAlign w:val="bottom"/>
          </w:tcPr>
          <w:p>
            <w:pPr>
              <w:spacing w:after="0"/>
              <w:rPr>
                <w:sz w:val="1"/>
                <w:szCs w:val="1"/>
                <w:color w:val="auto"/>
              </w:rPr>
            </w:pPr>
          </w:p>
        </w:tc>
      </w:tr>
      <w:tr>
        <w:trPr>
          <w:trHeight w:val="100"/>
        </w:trPr>
        <w:tc>
          <w:tcPr>
            <w:tcW w:w="1580" w:type="dxa"/>
            <w:vAlign w:val="bottom"/>
            <w:tcBorders>
              <w:right w:val="single" w:sz="8" w:color="95B3D7"/>
            </w:tcBorders>
            <w:vMerge w:val="continue"/>
            <w:shd w:val="clear" w:color="auto" w:fill="DBE5F1"/>
          </w:tcPr>
          <w:p>
            <w:pPr>
              <w:spacing w:after="0"/>
              <w:rPr>
                <w:sz w:val="8"/>
                <w:szCs w:val="8"/>
                <w:color w:val="auto"/>
              </w:rPr>
            </w:pPr>
          </w:p>
        </w:tc>
        <w:tc>
          <w:tcPr>
            <w:tcW w:w="880" w:type="dxa"/>
            <w:vAlign w:val="bottom"/>
            <w:tcBorders>
              <w:right w:val="single" w:sz="8" w:color="95B3D7"/>
            </w:tcBorders>
            <w:shd w:val="clear" w:color="auto" w:fill="DBE5F1"/>
          </w:tcPr>
          <w:p>
            <w:pPr>
              <w:spacing w:after="0"/>
              <w:rPr>
                <w:sz w:val="8"/>
                <w:szCs w:val="8"/>
                <w:color w:val="auto"/>
              </w:rPr>
            </w:pPr>
          </w:p>
        </w:tc>
        <w:tc>
          <w:tcPr>
            <w:tcW w:w="1200" w:type="dxa"/>
            <w:vAlign w:val="bottom"/>
            <w:tcBorders>
              <w:right w:val="single" w:sz="8" w:color="95B3D7"/>
            </w:tcBorders>
            <w:shd w:val="clear" w:color="auto" w:fill="DBE5F1"/>
          </w:tcPr>
          <w:p>
            <w:pPr>
              <w:spacing w:after="0"/>
              <w:rPr>
                <w:sz w:val="8"/>
                <w:szCs w:val="8"/>
                <w:color w:val="auto"/>
              </w:rPr>
            </w:pPr>
          </w:p>
        </w:tc>
        <w:tc>
          <w:tcPr>
            <w:tcW w:w="1200" w:type="dxa"/>
            <w:vAlign w:val="bottom"/>
            <w:tcBorders>
              <w:right w:val="single" w:sz="8" w:color="95B3D7"/>
            </w:tcBorders>
            <w:shd w:val="clear" w:color="auto" w:fill="DBE5F1"/>
          </w:tcPr>
          <w:p>
            <w:pPr>
              <w:spacing w:after="0"/>
              <w:rPr>
                <w:sz w:val="8"/>
                <w:szCs w:val="8"/>
                <w:color w:val="auto"/>
              </w:rPr>
            </w:pPr>
          </w:p>
        </w:tc>
        <w:tc>
          <w:tcPr>
            <w:tcW w:w="1220" w:type="dxa"/>
            <w:vAlign w:val="bottom"/>
            <w:tcBorders>
              <w:right w:val="single" w:sz="8" w:color="95B3D7"/>
            </w:tcBorders>
            <w:shd w:val="clear" w:color="auto" w:fill="DBE5F1"/>
          </w:tcPr>
          <w:p>
            <w:pPr>
              <w:spacing w:after="0"/>
              <w:rPr>
                <w:sz w:val="8"/>
                <w:szCs w:val="8"/>
                <w:color w:val="auto"/>
              </w:rPr>
            </w:pPr>
          </w:p>
        </w:tc>
        <w:tc>
          <w:tcPr>
            <w:tcW w:w="1220" w:type="dxa"/>
            <w:vAlign w:val="bottom"/>
            <w:tcBorders>
              <w:right w:val="single" w:sz="8" w:color="95B3D7"/>
            </w:tcBorders>
            <w:shd w:val="clear" w:color="auto" w:fill="DBE5F1"/>
          </w:tcPr>
          <w:p>
            <w:pPr>
              <w:spacing w:after="0"/>
              <w:rPr>
                <w:sz w:val="8"/>
                <w:szCs w:val="8"/>
                <w:color w:val="auto"/>
              </w:rPr>
            </w:pPr>
          </w:p>
        </w:tc>
        <w:tc>
          <w:tcPr>
            <w:tcW w:w="1360" w:type="dxa"/>
            <w:vAlign w:val="bottom"/>
            <w:tcBorders>
              <w:right w:val="single" w:sz="8" w:color="95B3D7"/>
            </w:tcBorders>
            <w:shd w:val="clear" w:color="auto" w:fill="DBE5F1"/>
          </w:tcPr>
          <w:p>
            <w:pPr>
              <w:spacing w:after="0"/>
              <w:rPr>
                <w:sz w:val="8"/>
                <w:szCs w:val="8"/>
                <w:color w:val="auto"/>
              </w:rPr>
            </w:pPr>
          </w:p>
        </w:tc>
        <w:tc>
          <w:tcPr>
            <w:tcW w:w="1380" w:type="dxa"/>
            <w:vAlign w:val="bottom"/>
            <w:tcBorders>
              <w:right w:val="single" w:sz="8" w:color="95B3D7"/>
            </w:tcBorders>
            <w:vMerge w:val="continue"/>
            <w:shd w:val="clear" w:color="auto" w:fill="DBE5F1"/>
          </w:tcPr>
          <w:p>
            <w:pPr>
              <w:spacing w:after="0"/>
              <w:rPr>
                <w:sz w:val="8"/>
                <w:szCs w:val="8"/>
                <w:color w:val="auto"/>
              </w:rPr>
            </w:pPr>
          </w:p>
        </w:tc>
        <w:tc>
          <w:tcPr>
            <w:tcW w:w="1200" w:type="dxa"/>
            <w:vAlign w:val="bottom"/>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580" w:type="dxa"/>
            <w:vAlign w:val="bottom"/>
            <w:tcBorders>
              <w:right w:val="single" w:sz="8" w:color="95B3D7"/>
            </w:tcBorders>
            <w:shd w:val="clear" w:color="auto" w:fill="DBE5F1"/>
          </w:tcPr>
          <w:p>
            <w:pPr>
              <w:ind w:left="180"/>
              <w:spacing w:after="0"/>
              <w:rPr>
                <w:sz w:val="20"/>
                <w:szCs w:val="20"/>
                <w:color w:val="auto"/>
              </w:rPr>
            </w:pPr>
            <w:r>
              <w:rPr>
                <w:rFonts w:ascii="Arial" w:cs="Arial" w:eastAsia="Arial" w:hAnsi="Arial"/>
                <w:sz w:val="13"/>
                <w:szCs w:val="13"/>
                <w:color w:val="auto"/>
              </w:rPr>
              <w:t>Chief Human</w:t>
            </w:r>
          </w:p>
        </w:tc>
        <w:tc>
          <w:tcPr>
            <w:tcW w:w="880" w:type="dxa"/>
            <w:vAlign w:val="bottom"/>
            <w:tcBorders>
              <w:right w:val="single" w:sz="8" w:color="95B3D7"/>
            </w:tcBorders>
            <w:shd w:val="clear" w:color="auto" w:fill="DBE5F1"/>
          </w:tcPr>
          <w:p>
            <w:pPr>
              <w:spacing w:after="0"/>
              <w:rPr>
                <w:sz w:val="12"/>
                <w:szCs w:val="12"/>
                <w:color w:val="auto"/>
              </w:rPr>
            </w:pPr>
          </w:p>
        </w:tc>
        <w:tc>
          <w:tcPr>
            <w:tcW w:w="1200" w:type="dxa"/>
            <w:vAlign w:val="bottom"/>
            <w:tcBorders>
              <w:right w:val="single" w:sz="8" w:color="95B3D7"/>
            </w:tcBorders>
            <w:shd w:val="clear" w:color="auto" w:fill="DBE5F1"/>
          </w:tcPr>
          <w:p>
            <w:pPr>
              <w:spacing w:after="0"/>
              <w:rPr>
                <w:sz w:val="12"/>
                <w:szCs w:val="12"/>
                <w:color w:val="auto"/>
              </w:rPr>
            </w:pPr>
          </w:p>
        </w:tc>
        <w:tc>
          <w:tcPr>
            <w:tcW w:w="1200" w:type="dxa"/>
            <w:vAlign w:val="bottom"/>
            <w:tcBorders>
              <w:right w:val="single" w:sz="8" w:color="95B3D7"/>
            </w:tcBorders>
            <w:shd w:val="clear" w:color="auto" w:fill="DBE5F1"/>
          </w:tcPr>
          <w:p>
            <w:pPr>
              <w:spacing w:after="0"/>
              <w:rPr>
                <w:sz w:val="12"/>
                <w:szCs w:val="12"/>
                <w:color w:val="auto"/>
              </w:rPr>
            </w:pPr>
          </w:p>
        </w:tc>
        <w:tc>
          <w:tcPr>
            <w:tcW w:w="1220" w:type="dxa"/>
            <w:vAlign w:val="bottom"/>
            <w:tcBorders>
              <w:right w:val="single" w:sz="8" w:color="95B3D7"/>
            </w:tcBorders>
            <w:shd w:val="clear" w:color="auto" w:fill="DBE5F1"/>
          </w:tcPr>
          <w:p>
            <w:pPr>
              <w:spacing w:after="0"/>
              <w:rPr>
                <w:sz w:val="12"/>
                <w:szCs w:val="12"/>
                <w:color w:val="auto"/>
              </w:rPr>
            </w:pPr>
          </w:p>
        </w:tc>
        <w:tc>
          <w:tcPr>
            <w:tcW w:w="1220" w:type="dxa"/>
            <w:vAlign w:val="bottom"/>
            <w:tcBorders>
              <w:right w:val="single" w:sz="8" w:color="95B3D7"/>
            </w:tcBorders>
            <w:shd w:val="clear" w:color="auto" w:fill="DBE5F1"/>
          </w:tcPr>
          <w:p>
            <w:pPr>
              <w:spacing w:after="0"/>
              <w:rPr>
                <w:sz w:val="12"/>
                <w:szCs w:val="12"/>
                <w:color w:val="auto"/>
              </w:rPr>
            </w:pPr>
          </w:p>
        </w:tc>
        <w:tc>
          <w:tcPr>
            <w:tcW w:w="1360" w:type="dxa"/>
            <w:vAlign w:val="bottom"/>
            <w:tcBorders>
              <w:right w:val="single" w:sz="8" w:color="95B3D7"/>
            </w:tcBorders>
            <w:shd w:val="clear" w:color="auto" w:fill="DBE5F1"/>
          </w:tcPr>
          <w:p>
            <w:pPr>
              <w:spacing w:after="0"/>
              <w:rPr>
                <w:sz w:val="12"/>
                <w:szCs w:val="12"/>
                <w:color w:val="auto"/>
              </w:rPr>
            </w:pPr>
          </w:p>
        </w:tc>
        <w:tc>
          <w:tcPr>
            <w:tcW w:w="1380" w:type="dxa"/>
            <w:vAlign w:val="bottom"/>
            <w:tcBorders>
              <w:right w:val="single" w:sz="8" w:color="95B3D7"/>
            </w:tcBorders>
            <w:shd w:val="clear" w:color="auto" w:fill="DBE5F1"/>
          </w:tcPr>
          <w:p>
            <w:pPr>
              <w:spacing w:after="0"/>
              <w:rPr>
                <w:sz w:val="12"/>
                <w:szCs w:val="12"/>
                <w:color w:val="auto"/>
              </w:rPr>
            </w:pPr>
          </w:p>
        </w:tc>
        <w:tc>
          <w:tcPr>
            <w:tcW w:w="1200" w:type="dxa"/>
            <w:vAlign w:val="bottom"/>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580" w:type="dxa"/>
            <w:vAlign w:val="bottom"/>
            <w:tcBorders>
              <w:right w:val="single" w:sz="8" w:color="95B3D7"/>
            </w:tcBorders>
            <w:shd w:val="clear" w:color="auto" w:fill="DBE5F1"/>
          </w:tcPr>
          <w:p>
            <w:pPr>
              <w:ind w:left="180"/>
              <w:spacing w:after="0"/>
              <w:rPr>
                <w:sz w:val="20"/>
                <w:szCs w:val="20"/>
                <w:color w:val="auto"/>
              </w:rPr>
            </w:pPr>
            <w:r>
              <w:rPr>
                <w:rFonts w:ascii="Arial" w:cs="Arial" w:eastAsia="Arial" w:hAnsi="Arial"/>
                <w:sz w:val="13"/>
                <w:szCs w:val="13"/>
                <w:color w:val="auto"/>
              </w:rPr>
              <w:t>Resources Officer</w:t>
            </w:r>
            <w:r>
              <w:rPr>
                <w:rFonts w:ascii="Arial" w:cs="Arial" w:eastAsia="Arial" w:hAnsi="Arial"/>
                <w:sz w:val="16"/>
                <w:szCs w:val="16"/>
                <w:color w:val="auto"/>
                <w:vertAlign w:val="superscript"/>
              </w:rPr>
              <w:t>(8)</w:t>
            </w:r>
          </w:p>
        </w:tc>
        <w:tc>
          <w:tcPr>
            <w:tcW w:w="880" w:type="dxa"/>
            <w:vAlign w:val="bottom"/>
            <w:tcBorders>
              <w:right w:val="single" w:sz="8" w:color="95B3D7"/>
            </w:tcBorders>
            <w:shd w:val="clear" w:color="auto" w:fill="DBE5F1"/>
          </w:tcPr>
          <w:p>
            <w:pPr>
              <w:spacing w:after="0"/>
              <w:rPr>
                <w:sz w:val="19"/>
                <w:szCs w:val="19"/>
                <w:color w:val="auto"/>
              </w:rPr>
            </w:pPr>
          </w:p>
        </w:tc>
        <w:tc>
          <w:tcPr>
            <w:tcW w:w="1200" w:type="dxa"/>
            <w:vAlign w:val="bottom"/>
            <w:tcBorders>
              <w:right w:val="single" w:sz="8" w:color="95B3D7"/>
            </w:tcBorders>
            <w:shd w:val="clear" w:color="auto" w:fill="DBE5F1"/>
          </w:tcPr>
          <w:p>
            <w:pPr>
              <w:spacing w:after="0"/>
              <w:rPr>
                <w:sz w:val="19"/>
                <w:szCs w:val="19"/>
                <w:color w:val="auto"/>
              </w:rPr>
            </w:pPr>
          </w:p>
        </w:tc>
        <w:tc>
          <w:tcPr>
            <w:tcW w:w="1200" w:type="dxa"/>
            <w:vAlign w:val="bottom"/>
            <w:tcBorders>
              <w:right w:val="single" w:sz="8" w:color="95B3D7"/>
            </w:tcBorders>
            <w:shd w:val="clear" w:color="auto" w:fill="DBE5F1"/>
          </w:tcPr>
          <w:p>
            <w:pPr>
              <w:spacing w:after="0"/>
              <w:rPr>
                <w:sz w:val="19"/>
                <w:szCs w:val="19"/>
                <w:color w:val="auto"/>
              </w:rPr>
            </w:pPr>
          </w:p>
        </w:tc>
        <w:tc>
          <w:tcPr>
            <w:tcW w:w="1220" w:type="dxa"/>
            <w:vAlign w:val="bottom"/>
            <w:tcBorders>
              <w:right w:val="single" w:sz="8" w:color="95B3D7"/>
            </w:tcBorders>
            <w:shd w:val="clear" w:color="auto" w:fill="DBE5F1"/>
          </w:tcPr>
          <w:p>
            <w:pPr>
              <w:spacing w:after="0"/>
              <w:rPr>
                <w:sz w:val="19"/>
                <w:szCs w:val="19"/>
                <w:color w:val="auto"/>
              </w:rPr>
            </w:pPr>
          </w:p>
        </w:tc>
        <w:tc>
          <w:tcPr>
            <w:tcW w:w="1220" w:type="dxa"/>
            <w:vAlign w:val="bottom"/>
            <w:tcBorders>
              <w:right w:val="single" w:sz="8" w:color="95B3D7"/>
            </w:tcBorders>
            <w:shd w:val="clear" w:color="auto" w:fill="DBE5F1"/>
          </w:tcPr>
          <w:p>
            <w:pPr>
              <w:spacing w:after="0"/>
              <w:rPr>
                <w:sz w:val="19"/>
                <w:szCs w:val="19"/>
                <w:color w:val="auto"/>
              </w:rPr>
            </w:pPr>
          </w:p>
        </w:tc>
        <w:tc>
          <w:tcPr>
            <w:tcW w:w="1360" w:type="dxa"/>
            <w:vAlign w:val="bottom"/>
            <w:tcBorders>
              <w:right w:val="single" w:sz="8" w:color="95B3D7"/>
            </w:tcBorders>
            <w:shd w:val="clear" w:color="auto" w:fill="DBE5F1"/>
          </w:tcPr>
          <w:p>
            <w:pPr>
              <w:spacing w:after="0"/>
              <w:rPr>
                <w:sz w:val="19"/>
                <w:szCs w:val="19"/>
                <w:color w:val="auto"/>
              </w:rPr>
            </w:pPr>
          </w:p>
        </w:tc>
        <w:tc>
          <w:tcPr>
            <w:tcW w:w="1380" w:type="dxa"/>
            <w:vAlign w:val="bottom"/>
            <w:tcBorders>
              <w:right w:val="single" w:sz="8" w:color="95B3D7"/>
            </w:tcBorders>
            <w:shd w:val="clear" w:color="auto" w:fill="DBE5F1"/>
          </w:tcPr>
          <w:p>
            <w:pPr>
              <w:spacing w:after="0"/>
              <w:rPr>
                <w:sz w:val="19"/>
                <w:szCs w:val="19"/>
                <w:color w:val="auto"/>
              </w:rPr>
            </w:pPr>
          </w:p>
        </w:tc>
        <w:tc>
          <w:tcPr>
            <w:tcW w:w="1200" w:type="dxa"/>
            <w:vAlign w:val="bottom"/>
            <w:shd w:val="clear" w:color="auto" w:fill="DBE5F1"/>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1580" w:type="dxa"/>
            <w:vAlign w:val="bottom"/>
            <w:tcBorders>
              <w:bottom w:val="single" w:sz="8" w:color="95B3D7"/>
              <w:right w:val="single" w:sz="8" w:color="95B3D7"/>
            </w:tcBorders>
            <w:shd w:val="clear" w:color="auto" w:fill="DBE5F1"/>
          </w:tcPr>
          <w:p>
            <w:pPr>
              <w:spacing w:after="0"/>
              <w:rPr>
                <w:sz w:val="8"/>
                <w:szCs w:val="8"/>
                <w:color w:val="auto"/>
              </w:rPr>
            </w:pPr>
          </w:p>
        </w:tc>
        <w:tc>
          <w:tcPr>
            <w:tcW w:w="880" w:type="dxa"/>
            <w:vAlign w:val="bottom"/>
            <w:tcBorders>
              <w:bottom w:val="single" w:sz="8" w:color="95B3D7"/>
              <w:right w:val="single" w:sz="8" w:color="95B3D7"/>
            </w:tcBorders>
            <w:shd w:val="clear" w:color="auto" w:fill="DBE5F1"/>
          </w:tcPr>
          <w:p>
            <w:pPr>
              <w:spacing w:after="0"/>
              <w:rPr>
                <w:sz w:val="8"/>
                <w:szCs w:val="8"/>
                <w:color w:val="auto"/>
              </w:rPr>
            </w:pPr>
          </w:p>
        </w:tc>
        <w:tc>
          <w:tcPr>
            <w:tcW w:w="1200" w:type="dxa"/>
            <w:vAlign w:val="bottom"/>
            <w:tcBorders>
              <w:bottom w:val="single" w:sz="8" w:color="95B3D7"/>
              <w:right w:val="single" w:sz="8" w:color="95B3D7"/>
            </w:tcBorders>
            <w:shd w:val="clear" w:color="auto" w:fill="DBE5F1"/>
          </w:tcPr>
          <w:p>
            <w:pPr>
              <w:spacing w:after="0"/>
              <w:rPr>
                <w:sz w:val="8"/>
                <w:szCs w:val="8"/>
                <w:color w:val="auto"/>
              </w:rPr>
            </w:pPr>
          </w:p>
        </w:tc>
        <w:tc>
          <w:tcPr>
            <w:tcW w:w="1200" w:type="dxa"/>
            <w:vAlign w:val="bottom"/>
            <w:tcBorders>
              <w:bottom w:val="single" w:sz="8" w:color="95B3D7"/>
              <w:right w:val="single" w:sz="8" w:color="95B3D7"/>
            </w:tcBorders>
            <w:shd w:val="clear" w:color="auto" w:fill="DBE5F1"/>
          </w:tcPr>
          <w:p>
            <w:pPr>
              <w:spacing w:after="0"/>
              <w:rPr>
                <w:sz w:val="8"/>
                <w:szCs w:val="8"/>
                <w:color w:val="auto"/>
              </w:rPr>
            </w:pPr>
          </w:p>
        </w:tc>
        <w:tc>
          <w:tcPr>
            <w:tcW w:w="1220" w:type="dxa"/>
            <w:vAlign w:val="bottom"/>
            <w:tcBorders>
              <w:bottom w:val="single" w:sz="8" w:color="95B3D7"/>
              <w:right w:val="single" w:sz="8" w:color="95B3D7"/>
            </w:tcBorders>
            <w:shd w:val="clear" w:color="auto" w:fill="DBE5F1"/>
          </w:tcPr>
          <w:p>
            <w:pPr>
              <w:spacing w:after="0"/>
              <w:rPr>
                <w:sz w:val="8"/>
                <w:szCs w:val="8"/>
                <w:color w:val="auto"/>
              </w:rPr>
            </w:pPr>
          </w:p>
        </w:tc>
        <w:tc>
          <w:tcPr>
            <w:tcW w:w="1220" w:type="dxa"/>
            <w:vAlign w:val="bottom"/>
            <w:tcBorders>
              <w:bottom w:val="single" w:sz="8" w:color="95B3D7"/>
              <w:right w:val="single" w:sz="8" w:color="95B3D7"/>
            </w:tcBorders>
            <w:shd w:val="clear" w:color="auto" w:fill="DBE5F1"/>
          </w:tcPr>
          <w:p>
            <w:pPr>
              <w:spacing w:after="0"/>
              <w:rPr>
                <w:sz w:val="8"/>
                <w:szCs w:val="8"/>
                <w:color w:val="auto"/>
              </w:rPr>
            </w:pPr>
          </w:p>
        </w:tc>
        <w:tc>
          <w:tcPr>
            <w:tcW w:w="1360" w:type="dxa"/>
            <w:vAlign w:val="bottom"/>
            <w:tcBorders>
              <w:bottom w:val="single" w:sz="8" w:color="95B3D7"/>
              <w:right w:val="single" w:sz="8" w:color="95B3D7"/>
            </w:tcBorders>
            <w:shd w:val="clear" w:color="auto" w:fill="DBE5F1"/>
          </w:tcPr>
          <w:p>
            <w:pPr>
              <w:spacing w:after="0"/>
              <w:rPr>
                <w:sz w:val="8"/>
                <w:szCs w:val="8"/>
                <w:color w:val="auto"/>
              </w:rPr>
            </w:pPr>
          </w:p>
        </w:tc>
        <w:tc>
          <w:tcPr>
            <w:tcW w:w="1380" w:type="dxa"/>
            <w:vAlign w:val="bottom"/>
            <w:tcBorders>
              <w:bottom w:val="single" w:sz="8" w:color="95B3D7"/>
              <w:right w:val="single" w:sz="8" w:color="95B3D7"/>
            </w:tcBorders>
            <w:shd w:val="clear" w:color="auto" w:fill="DBE5F1"/>
          </w:tcPr>
          <w:p>
            <w:pPr>
              <w:spacing w:after="0"/>
              <w:rPr>
                <w:sz w:val="8"/>
                <w:szCs w:val="8"/>
                <w:color w:val="auto"/>
              </w:rPr>
            </w:pPr>
          </w:p>
        </w:tc>
        <w:tc>
          <w:tcPr>
            <w:tcW w:w="1200" w:type="dxa"/>
            <w:vAlign w:val="bottom"/>
            <w:tcBorders>
              <w:bottom w:val="single" w:sz="8" w:color="95B3D7"/>
            </w:tcBorders>
            <w:shd w:val="clear" w:color="auto" w:fill="DBE5F1"/>
          </w:tcPr>
          <w:p>
            <w:pPr>
              <w:spacing w:after="0"/>
              <w:rPr>
                <w:sz w:val="8"/>
                <w:szCs w:val="8"/>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660" w:right="80" w:hanging="328"/>
        <w:spacing w:after="0" w:line="273" w:lineRule="auto"/>
        <w:tabs>
          <w:tab w:leader="none" w:pos="647"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discretionary bonuses awarded to certain NEOs, which were payable in the form of immediately vested shares of common stock. Amounts shown reflect the grant date fair value of such stock awards, computed in accordance with the Financial Accounting Standards Board Accounting Standards Codification Topic 718, “Stock Compensation” (“FASB ASC Topic 718”).</w:t>
      </w:r>
    </w:p>
    <w:p>
      <w:pPr>
        <w:spacing w:after="0" w:line="179" w:lineRule="exact"/>
        <w:rPr>
          <w:rFonts w:ascii="Arial" w:cs="Arial" w:eastAsia="Arial" w:hAnsi="Arial"/>
          <w:sz w:val="14"/>
          <w:szCs w:val="14"/>
          <w:color w:val="auto"/>
        </w:rPr>
      </w:pPr>
    </w:p>
    <w:p>
      <w:pPr>
        <w:jc w:val="both"/>
        <w:ind w:left="660" w:right="40" w:hanging="328"/>
        <w:spacing w:after="0" w:line="269" w:lineRule="auto"/>
        <w:tabs>
          <w:tab w:leader="none" w:pos="647" w:val="left"/>
        </w:tabs>
        <w:numPr>
          <w:ilvl w:val="0"/>
          <w:numId w:val="45"/>
        </w:numPr>
        <w:rPr>
          <w:rFonts w:ascii="Arial" w:cs="Arial" w:eastAsia="Arial" w:hAnsi="Arial"/>
          <w:sz w:val="14"/>
          <w:szCs w:val="14"/>
          <w:color w:val="auto"/>
        </w:rPr>
      </w:pPr>
      <w:r>
        <w:rPr>
          <w:rFonts w:ascii="Arial" w:cs="Arial" w:eastAsia="Arial" w:hAnsi="Arial"/>
          <w:sz w:val="14"/>
          <w:szCs w:val="14"/>
          <w:color w:val="auto"/>
        </w:rPr>
        <w:t>For 2024, represents the value of equity awards granted to each of the NEOs, composed 50% as RSUs and 50% as PSUs. For Mr. Wagner, his equity award includes the $1.0 million sign-on grant he received in February 2024. For 2023, represents the grant date fair values associated with the grant of PSUs to each of the NEOs. In each case, amounts are computed in accordance with FASB ASC Topic 718. The grant date fair value of the PSU awards reflected in this column is the target payout based on the probable outcome of the performance-based conditions, determined as of the grant date.</w:t>
      </w:r>
    </w:p>
    <w:p>
      <w:pPr>
        <w:spacing w:after="0" w:line="74" w:lineRule="exact"/>
        <w:rPr>
          <w:rFonts w:ascii="Arial" w:cs="Arial" w:eastAsia="Arial" w:hAnsi="Arial"/>
          <w:sz w:val="14"/>
          <w:szCs w:val="14"/>
          <w:color w:val="auto"/>
        </w:rPr>
      </w:pPr>
    </w:p>
    <w:p>
      <w:pPr>
        <w:ind w:left="660" w:right="60"/>
        <w:spacing w:after="0" w:line="267" w:lineRule="auto"/>
        <w:rPr>
          <w:rFonts w:ascii="Arial" w:cs="Arial" w:eastAsia="Arial" w:hAnsi="Arial"/>
          <w:sz w:val="14"/>
          <w:szCs w:val="14"/>
          <w:color w:val="auto"/>
        </w:rPr>
      </w:pPr>
      <w:r>
        <w:rPr>
          <w:rFonts w:ascii="Arial" w:cs="Arial" w:eastAsia="Arial" w:hAnsi="Arial"/>
          <w:sz w:val="14"/>
          <w:szCs w:val="14"/>
          <w:color w:val="auto"/>
        </w:rPr>
        <w:t>PSUs awarded in 2024 are earned based on the achievement of certain performance goals over fiscal year 2026 and, to the extent earned, will vest in a single tranche in or about March 2027. The maximum potential payout of the 2024 PSU awards would be 200% of the target shares awarded on the grant date, which would be as follows: Mr. Kao - $3,300,000; Mr. Freeman - $1,100,000; Ms. Maroney - $1,300,000; Dr. Kim - $1,400,000; and Mr. Wagner - $600,000. These amounts reflect an accounting expense and do not correspond to the actual value that may be realized by the NEOs. See the “</w:t>
      </w:r>
      <w:r>
        <w:rPr>
          <w:rFonts w:ascii="Arial" w:cs="Arial" w:eastAsia="Arial" w:hAnsi="Arial"/>
          <w:sz w:val="14"/>
          <w:szCs w:val="14"/>
          <w:i w:val="1"/>
          <w:iCs w:val="1"/>
          <w:color w:val="auto"/>
        </w:rPr>
        <w:t>Grants of Plan-Based Awards</w:t>
      </w:r>
      <w:r>
        <w:rPr>
          <w:rFonts w:ascii="Arial" w:cs="Arial" w:eastAsia="Arial" w:hAnsi="Arial"/>
          <w:sz w:val="14"/>
          <w:szCs w:val="14"/>
          <w:color w:val="auto"/>
        </w:rPr>
        <w:t>” table for more information about the PSUs granted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3" w:name="page64"/>
    <w:bookmarkEnd w:id="63"/>
    <w:p>
      <w:pPr>
        <w:spacing w:after="0" w:line="230" w:lineRule="exact"/>
        <w:rPr>
          <w:sz w:val="20"/>
          <w:szCs w:val="20"/>
          <w:color w:val="auto"/>
        </w:rPr>
      </w:pPr>
    </w:p>
    <w:p>
      <w:pPr>
        <w:jc w:val="both"/>
        <w:ind w:left="328" w:right="100"/>
        <w:spacing w:after="0" w:line="283" w:lineRule="auto"/>
        <w:rPr>
          <w:sz w:val="20"/>
          <w:szCs w:val="20"/>
          <w:color w:val="auto"/>
        </w:rPr>
      </w:pPr>
      <w:r>
        <w:rPr>
          <w:rFonts w:ascii="Arial" w:cs="Arial" w:eastAsia="Arial" w:hAnsi="Arial"/>
          <w:sz w:val="14"/>
          <w:szCs w:val="14"/>
          <w:color w:val="auto"/>
        </w:rPr>
        <w:t>PSUs awarded in 2023 are earned based on achievement of certain performance goals over fiscal year 2024 and vest in two tranches in or about March 2025 and at December 31, 2025. The Compensation Committee certified the results of the corporate metrics related to the 2023 PSUs at 116.8% of target. For more information about the PSUs granted in 2023, see the “</w:t>
      </w:r>
      <w:r>
        <w:rPr>
          <w:rFonts w:ascii="Arial" w:cs="Arial" w:eastAsia="Arial" w:hAnsi="Arial"/>
          <w:sz w:val="14"/>
          <w:szCs w:val="14"/>
          <w:i w:val="1"/>
          <w:iCs w:val="1"/>
          <w:color w:val="auto"/>
        </w:rPr>
        <w:t>Grants of Plan-Based Awards</w:t>
      </w:r>
      <w:r>
        <w:rPr>
          <w:rFonts w:ascii="Arial" w:cs="Arial" w:eastAsia="Arial" w:hAnsi="Arial"/>
          <w:sz w:val="14"/>
          <w:szCs w:val="14"/>
          <w:color w:val="auto"/>
        </w:rPr>
        <w:t>” table in our annual proxy statement for fiscal year 2023.</w:t>
      </w:r>
    </w:p>
    <w:p>
      <w:pPr>
        <w:spacing w:after="0" w:line="105" w:lineRule="exact"/>
        <w:rPr>
          <w:sz w:val="20"/>
          <w:szCs w:val="20"/>
          <w:color w:val="auto"/>
        </w:rPr>
      </w:pPr>
    </w:p>
    <w:p>
      <w:pPr>
        <w:ind w:left="328" w:right="220"/>
        <w:spacing w:after="0" w:line="305" w:lineRule="auto"/>
        <w:rPr>
          <w:sz w:val="20"/>
          <w:szCs w:val="20"/>
          <w:color w:val="auto"/>
        </w:rPr>
      </w:pPr>
      <w:r>
        <w:rPr>
          <w:rFonts w:ascii="Arial" w:cs="Arial" w:eastAsia="Arial" w:hAnsi="Arial"/>
          <w:sz w:val="14"/>
          <w:szCs w:val="14"/>
          <w:color w:val="auto"/>
        </w:rPr>
        <w:t>For 2023, for Dr. Kim, the amount also includes the grant date fair value of restricted stock units (“RSUs”) granted upon commencement of his employment with the Company in the amount of $2,500,000.</w:t>
      </w:r>
    </w:p>
    <w:p>
      <w:pPr>
        <w:spacing w:after="0" w:line="104" w:lineRule="exact"/>
        <w:rPr>
          <w:sz w:val="20"/>
          <w:szCs w:val="20"/>
          <w:color w:val="auto"/>
        </w:rPr>
      </w:pPr>
    </w:p>
    <w:p>
      <w:pPr>
        <w:ind w:left="328" w:right="180"/>
        <w:spacing w:after="0" w:line="305" w:lineRule="auto"/>
        <w:rPr>
          <w:sz w:val="20"/>
          <w:szCs w:val="20"/>
          <w:color w:val="auto"/>
        </w:rPr>
      </w:pPr>
      <w:r>
        <w:rPr>
          <w:rFonts w:ascii="Arial" w:cs="Arial" w:eastAsia="Arial" w:hAnsi="Arial"/>
          <w:sz w:val="14"/>
          <w:szCs w:val="14"/>
          <w:color w:val="auto"/>
        </w:rPr>
        <w:t>For 2022, represents the grant date fair values associated with the grant of RSUs of Alignment to each of the NEOs, computed in accordance with FASB ASC Topic 718.</w:t>
      </w:r>
    </w:p>
    <w:p>
      <w:pPr>
        <w:spacing w:after="0" w:line="50" w:lineRule="exact"/>
        <w:rPr>
          <w:sz w:val="20"/>
          <w:szCs w:val="20"/>
          <w:color w:val="auto"/>
        </w:rPr>
      </w:pPr>
    </w:p>
    <w:p>
      <w:pPr>
        <w:ind w:left="328" w:right="320"/>
        <w:spacing w:after="0" w:line="285" w:lineRule="auto"/>
        <w:rPr>
          <w:sz w:val="20"/>
          <w:szCs w:val="20"/>
          <w:color w:val="auto"/>
        </w:rPr>
      </w:pPr>
      <w:r>
        <w:rPr>
          <w:rFonts w:ascii="Arial" w:cs="Arial" w:eastAsia="Arial" w:hAnsi="Arial"/>
          <w:sz w:val="14"/>
          <w:szCs w:val="14"/>
          <w:color w:val="auto"/>
        </w:rPr>
        <w:t>Assumptions used in computing the amounts reported herein are set forth in Note 10 to the Consolidated Financial Statements included in the Company's Annual Report on Form 10-K for the year ended December 31, 2023.</w:t>
      </w:r>
    </w:p>
    <w:p>
      <w:pPr>
        <w:spacing w:after="0" w:line="63" w:lineRule="exact"/>
        <w:rPr>
          <w:sz w:val="20"/>
          <w:szCs w:val="20"/>
          <w:color w:val="auto"/>
        </w:rPr>
      </w:pPr>
    </w:p>
    <w:p>
      <w:pPr>
        <w:ind w:left="328" w:right="200" w:hanging="328"/>
        <w:spacing w:after="0" w:line="283" w:lineRule="auto"/>
        <w:tabs>
          <w:tab w:leader="none" w:pos="315"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the grant date fair value of non-qualified stock options granted to the individuals on March 8, 2022, calculated in accordance with FASB ASC Topic 718. Assumptions used in computing the amounts reported herein are set forth in Note 10 to the Consolidated Financial Statements included in the Company's Annual Report on Form 10-K for the year ended December 31, 2022.</w:t>
      </w:r>
    </w:p>
    <w:p>
      <w:pPr>
        <w:spacing w:after="0" w:line="64" w:lineRule="exact"/>
        <w:rPr>
          <w:rFonts w:ascii="Arial" w:cs="Arial" w:eastAsia="Arial" w:hAnsi="Arial"/>
          <w:sz w:val="14"/>
          <w:szCs w:val="14"/>
          <w:color w:val="auto"/>
        </w:rPr>
      </w:pPr>
    </w:p>
    <w:p>
      <w:pPr>
        <w:ind w:left="328" w:right="20" w:hanging="328"/>
        <w:spacing w:after="0" w:line="267" w:lineRule="auto"/>
        <w:tabs>
          <w:tab w:leader="none" w:pos="315" w:val="left"/>
        </w:tabs>
        <w:numPr>
          <w:ilvl w:val="0"/>
          <w:numId w:val="46"/>
        </w:numPr>
        <w:rPr>
          <w:rFonts w:ascii="Arial" w:cs="Arial" w:eastAsia="Arial" w:hAnsi="Arial"/>
          <w:sz w:val="14"/>
          <w:szCs w:val="14"/>
          <w:color w:val="auto"/>
        </w:rPr>
      </w:pPr>
      <w:r>
        <w:rPr>
          <w:rFonts w:ascii="Arial" w:cs="Arial" w:eastAsia="Arial" w:hAnsi="Arial"/>
          <w:sz w:val="14"/>
          <w:szCs w:val="14"/>
          <w:color w:val="auto"/>
        </w:rPr>
        <w:t>For 2024, represents 75% of the NEO’s 2024 bonus payment under the Company’s annual incentive plan, which was paid in March 2025, and the following portions of the 2023 bonus payments that were paid to each NEO in October 2024: Mr. Kao - $243,135; Mr. Freeman - $160,333; Ms. Maroney - $165,096; Dr. Kim - $34,431; and Mr. Wagner - $0. Portions of the 2024 annual incentive plan awards were paid to NEOs in the form of immediately vested stock grants having the following grant date fair values: Ms. Maroney - $270,000; and Mr. Wagner - $129,780. The remaining 25% of the 2024 bonus payment is not included and will be paid, if at all, in September or October of 2025, based on certain performance criteria (an additional payment may also be made at such time, based on performance).</w:t>
      </w:r>
    </w:p>
    <w:p>
      <w:pPr>
        <w:spacing w:after="0" w:line="76" w:lineRule="exact"/>
        <w:rPr>
          <w:rFonts w:ascii="Arial" w:cs="Arial" w:eastAsia="Arial" w:hAnsi="Arial"/>
          <w:sz w:val="14"/>
          <w:szCs w:val="14"/>
          <w:color w:val="auto"/>
        </w:rPr>
      </w:pPr>
    </w:p>
    <w:p>
      <w:pPr>
        <w:ind w:left="328"/>
        <w:spacing w:after="0" w:line="269" w:lineRule="auto"/>
        <w:rPr>
          <w:rFonts w:ascii="Arial" w:cs="Arial" w:eastAsia="Arial" w:hAnsi="Arial"/>
          <w:sz w:val="14"/>
          <w:szCs w:val="14"/>
          <w:color w:val="auto"/>
        </w:rPr>
      </w:pPr>
      <w:r>
        <w:rPr>
          <w:rFonts w:ascii="Arial" w:cs="Arial" w:eastAsia="Arial" w:hAnsi="Arial"/>
          <w:sz w:val="14"/>
          <w:szCs w:val="14"/>
          <w:color w:val="auto"/>
        </w:rPr>
        <w:t>For 2023, represents 75% of the NEO’s 2023 bonus payment under the Company’s annual incentive plan, which was paid in March 2024, and the following portions of the 2022 bonus payments that were paid to each NEO in October 2023: Mr. Kao - $214,006; Mr. Freeman - $101,904; Ms. Maroney - $127,279; and Dr. Kim - $0. Portions of the 2023 annual incentive plan awards were paid to NEOs in the form of immediately vested stock grants having the following grant date fair values: Mr. Freeman - $348,551; Ms. Maroney - $179,452; and Dr. Kim - $74,851.</w:t>
      </w:r>
    </w:p>
    <w:p>
      <w:pPr>
        <w:spacing w:after="0" w:line="74" w:lineRule="exact"/>
        <w:rPr>
          <w:rFonts w:ascii="Arial" w:cs="Arial" w:eastAsia="Arial" w:hAnsi="Arial"/>
          <w:sz w:val="14"/>
          <w:szCs w:val="14"/>
          <w:color w:val="auto"/>
        </w:rPr>
      </w:pPr>
    </w:p>
    <w:p>
      <w:pPr>
        <w:ind w:left="328" w:right="40"/>
        <w:spacing w:after="0" w:line="305" w:lineRule="auto"/>
        <w:rPr>
          <w:rFonts w:ascii="Arial" w:cs="Arial" w:eastAsia="Arial" w:hAnsi="Arial"/>
          <w:sz w:val="14"/>
          <w:szCs w:val="14"/>
          <w:color w:val="auto"/>
        </w:rPr>
      </w:pPr>
      <w:r>
        <w:rPr>
          <w:rFonts w:ascii="Arial" w:cs="Arial" w:eastAsia="Arial" w:hAnsi="Arial"/>
          <w:sz w:val="14"/>
          <w:szCs w:val="14"/>
          <w:color w:val="auto"/>
        </w:rPr>
        <w:t>For 2022, represents 80% of the NEO’s 2022 bonus payment under the Company’s annual incentive plan, which was paid in March 2023, and the following 20% 2021 bonus payments that were paid to each NEO in October 2022: Mr. Kao - $174,305; Mr. Freeman - $61,962; and Ms. Maroney - $120,300.</w:t>
      </w:r>
    </w:p>
    <w:p>
      <w:pPr>
        <w:spacing w:after="0" w:line="36" w:lineRule="exact"/>
        <w:rPr>
          <w:rFonts w:ascii="Arial" w:cs="Arial" w:eastAsia="Arial" w:hAnsi="Arial"/>
          <w:sz w:val="14"/>
          <w:szCs w:val="14"/>
          <w:color w:val="auto"/>
        </w:rPr>
      </w:pPr>
    </w:p>
    <w:p>
      <w:pPr>
        <w:ind w:left="328" w:right="80"/>
        <w:spacing w:after="0" w:line="283" w:lineRule="auto"/>
        <w:rPr>
          <w:rFonts w:ascii="Arial" w:cs="Arial" w:eastAsia="Arial" w:hAnsi="Arial"/>
          <w:sz w:val="14"/>
          <w:szCs w:val="14"/>
          <w:color w:val="auto"/>
        </w:rPr>
      </w:pPr>
      <w:r>
        <w:rPr>
          <w:rFonts w:ascii="Arial" w:cs="Arial" w:eastAsia="Arial" w:hAnsi="Arial"/>
          <w:sz w:val="14"/>
          <w:szCs w:val="14"/>
          <w:color w:val="auto"/>
        </w:rPr>
        <w:t>Certain NEOs received increases to base salaries and target and maximum bonus opportunities during applicable years. Target bonus opportunities for the full year reflect the weighted average of the target bonus opportunity percentages applicable to each NEO for each applicable period throughout the year. See “</w:t>
      </w:r>
      <w:r>
        <w:rPr>
          <w:rFonts w:ascii="Arial" w:cs="Arial" w:eastAsia="Arial" w:hAnsi="Arial"/>
          <w:sz w:val="14"/>
          <w:szCs w:val="14"/>
          <w:i w:val="1"/>
          <w:iCs w:val="1"/>
          <w:color w:val="auto"/>
        </w:rPr>
        <w:t>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Discussion and Analysis—2024 Executive Compensation Program in Detail—Annual Incentives</w:t>
      </w:r>
      <w:r>
        <w:rPr>
          <w:rFonts w:ascii="Arial" w:cs="Arial" w:eastAsia="Arial" w:hAnsi="Arial"/>
          <w:sz w:val="14"/>
          <w:szCs w:val="14"/>
          <w:color w:val="auto"/>
        </w:rPr>
        <w:t>” above for further discussion of our Annual Incentive Plan.</w:t>
      </w:r>
    </w:p>
    <w:p>
      <w:pPr>
        <w:spacing w:after="0" w:line="64" w:lineRule="exact"/>
        <w:rPr>
          <w:rFonts w:ascii="Arial" w:cs="Arial" w:eastAsia="Arial" w:hAnsi="Arial"/>
          <w:sz w:val="14"/>
          <w:szCs w:val="14"/>
          <w:color w:val="auto"/>
        </w:rPr>
      </w:pPr>
    </w:p>
    <w:p>
      <w:pPr>
        <w:ind w:left="328" w:right="160" w:hanging="328"/>
        <w:spacing w:after="0" w:line="273" w:lineRule="auto"/>
        <w:tabs>
          <w:tab w:leader="none" w:pos="315" w:val="left"/>
        </w:tabs>
        <w:numPr>
          <w:ilvl w:val="0"/>
          <w:numId w:val="46"/>
        </w:numPr>
        <w:rPr>
          <w:rFonts w:ascii="Arial" w:cs="Arial" w:eastAsia="Arial" w:hAnsi="Arial"/>
          <w:sz w:val="14"/>
          <w:szCs w:val="14"/>
          <w:color w:val="auto"/>
        </w:rPr>
      </w:pPr>
      <w:r>
        <w:rPr>
          <w:rFonts w:ascii="Arial" w:cs="Arial" w:eastAsia="Arial" w:hAnsi="Arial"/>
          <w:sz w:val="14"/>
          <w:szCs w:val="14"/>
          <w:color w:val="auto"/>
        </w:rPr>
        <w:t>For 2024, represents: for Mr. Kao – internet stipend of $420 and imputed income for domestic partnership insurance of $5,384; for Mr. Freeman – internet stipend of $420 and Company 401(k) matching contributions of $10,227; for Ms. Maroney – Company 401(k) matching contributions of $13,800; Dr. Kim – internet stipend of $245 and Company 401(k) matching contributions of $13,800; and for Mr. Wagner – internet stipend of $385 and Company 401(k) matching contributions of $8,130.</w:t>
      </w:r>
    </w:p>
    <w:p>
      <w:pPr>
        <w:spacing w:after="0" w:line="71" w:lineRule="exact"/>
        <w:rPr>
          <w:rFonts w:ascii="Arial" w:cs="Arial" w:eastAsia="Arial" w:hAnsi="Arial"/>
          <w:sz w:val="14"/>
          <w:szCs w:val="14"/>
          <w:color w:val="auto"/>
        </w:rPr>
      </w:pPr>
    </w:p>
    <w:p>
      <w:pPr>
        <w:ind w:left="328" w:right="180"/>
        <w:spacing w:after="0" w:line="297" w:lineRule="auto"/>
        <w:rPr>
          <w:rFonts w:ascii="Arial" w:cs="Arial" w:eastAsia="Arial" w:hAnsi="Arial"/>
          <w:sz w:val="14"/>
          <w:szCs w:val="14"/>
          <w:color w:val="auto"/>
        </w:rPr>
      </w:pPr>
      <w:r>
        <w:rPr>
          <w:rFonts w:ascii="Arial" w:cs="Arial" w:eastAsia="Arial" w:hAnsi="Arial"/>
          <w:sz w:val="14"/>
          <w:szCs w:val="14"/>
          <w:color w:val="auto"/>
        </w:rPr>
        <w:t>For 2023, represents: for Mr. Kao – internet stipend of $420 and imputed income for domestic partnership insurance of $4,789; for Mr. Freeman – internet stipend of $420 and Company 401(k) matching contributions of $13,200; and for Ms. Maroney – internet stipend of $315 and Company 401(k) matching contributions of $13,200.</w:t>
      </w:r>
    </w:p>
    <w:p>
      <w:pPr>
        <w:spacing w:after="0" w:line="236" w:lineRule="exact"/>
        <w:rPr>
          <w:rFonts w:ascii="Arial" w:cs="Arial" w:eastAsia="Arial" w:hAnsi="Arial"/>
          <w:sz w:val="14"/>
          <w:szCs w:val="14"/>
          <w:color w:val="auto"/>
        </w:rPr>
      </w:pPr>
    </w:p>
    <w:p>
      <w:pPr>
        <w:ind w:left="328" w:right="60"/>
        <w:spacing w:after="0" w:line="285" w:lineRule="auto"/>
        <w:rPr>
          <w:rFonts w:ascii="Arial" w:cs="Arial" w:eastAsia="Arial" w:hAnsi="Arial"/>
          <w:sz w:val="14"/>
          <w:szCs w:val="14"/>
          <w:color w:val="auto"/>
        </w:rPr>
      </w:pPr>
      <w:r>
        <w:rPr>
          <w:rFonts w:ascii="Arial" w:cs="Arial" w:eastAsia="Arial" w:hAnsi="Arial"/>
          <w:sz w:val="14"/>
          <w:szCs w:val="14"/>
          <w:color w:val="auto"/>
        </w:rPr>
        <w:t>For 2022, represents: for Mr. Kao – internet stipend of $420; for Mr. Freeman – internet stipend of $420, imputed income for domestic partnership insurance of $1,083 and Company 401(k) matching contributions of $12,200; and for Ms. Maroney – internet stipend of $420 and Company 401(k) matching contributions of $12,200.</w:t>
      </w:r>
    </w:p>
    <w:p>
      <w:pPr>
        <w:spacing w:after="0" w:line="63" w:lineRule="exact"/>
        <w:rPr>
          <w:rFonts w:ascii="Arial" w:cs="Arial" w:eastAsia="Arial" w:hAnsi="Arial"/>
          <w:sz w:val="14"/>
          <w:szCs w:val="14"/>
          <w:color w:val="auto"/>
        </w:rPr>
      </w:pPr>
    </w:p>
    <w:p>
      <w:pPr>
        <w:ind w:left="308" w:hanging="308"/>
        <w:spacing w:after="0"/>
        <w:tabs>
          <w:tab w:leader="none" w:pos="308" w:val="left"/>
        </w:tabs>
        <w:numPr>
          <w:ilvl w:val="0"/>
          <w:numId w:val="46"/>
        </w:numPr>
        <w:rPr>
          <w:rFonts w:ascii="Arial" w:cs="Arial" w:eastAsia="Arial" w:hAnsi="Arial"/>
          <w:sz w:val="14"/>
          <w:szCs w:val="14"/>
          <w:color w:val="auto"/>
        </w:rPr>
      </w:pPr>
      <w:r>
        <w:rPr>
          <w:rFonts w:ascii="Arial" w:cs="Arial" w:eastAsia="Arial" w:hAnsi="Arial"/>
          <w:sz w:val="14"/>
          <w:szCs w:val="14"/>
          <w:color w:val="auto"/>
        </w:rPr>
        <w:t>Dr. Kim was not a Named Executive Officer for 2022.</w:t>
      </w:r>
    </w:p>
    <w:p>
      <w:pPr>
        <w:spacing w:after="0" w:line="109" w:lineRule="exact"/>
        <w:rPr>
          <w:rFonts w:ascii="Arial" w:cs="Arial" w:eastAsia="Arial" w:hAnsi="Arial"/>
          <w:sz w:val="14"/>
          <w:szCs w:val="14"/>
          <w:color w:val="auto"/>
        </w:rPr>
      </w:pPr>
    </w:p>
    <w:p>
      <w:pPr>
        <w:ind w:left="308" w:hanging="308"/>
        <w:spacing w:after="0"/>
        <w:tabs>
          <w:tab w:leader="none" w:pos="308"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base annual salary earned for the portion of the fiscal year 2023 after Dr. Kim joined the Company.</w:t>
      </w:r>
    </w:p>
    <w:p>
      <w:pPr>
        <w:spacing w:after="0" w:line="109" w:lineRule="exact"/>
        <w:rPr>
          <w:rFonts w:ascii="Arial" w:cs="Arial" w:eastAsia="Arial" w:hAnsi="Arial"/>
          <w:sz w:val="14"/>
          <w:szCs w:val="14"/>
          <w:color w:val="auto"/>
        </w:rPr>
      </w:pPr>
    </w:p>
    <w:p>
      <w:pPr>
        <w:ind w:left="308" w:hanging="308"/>
        <w:spacing w:after="0"/>
        <w:tabs>
          <w:tab w:leader="none" w:pos="308" w:val="left"/>
        </w:tabs>
        <w:numPr>
          <w:ilvl w:val="0"/>
          <w:numId w:val="46"/>
        </w:numPr>
        <w:rPr>
          <w:rFonts w:ascii="Arial" w:cs="Arial" w:eastAsia="Arial" w:hAnsi="Arial"/>
          <w:sz w:val="14"/>
          <w:szCs w:val="14"/>
          <w:color w:val="auto"/>
        </w:rPr>
      </w:pPr>
      <w:r>
        <w:rPr>
          <w:rFonts w:ascii="Arial" w:cs="Arial" w:eastAsia="Arial" w:hAnsi="Arial"/>
          <w:sz w:val="14"/>
          <w:szCs w:val="14"/>
          <w:color w:val="auto"/>
        </w:rPr>
        <w:t>Mr. Wagner was not a Named Executive Officer for 2022 or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56515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64" w:name="page65"/>
    <w:bookmarkEnd w:id="64"/>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Grants of Plan-Based Awards for Fiscal Year 2024</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plan-based awards granted to the Named Executive Officers in 2024.</w:t>
      </w:r>
    </w:p>
    <w:p>
      <w:pPr>
        <w:spacing w:after="0" w:line="182" w:lineRule="exact"/>
        <w:rPr>
          <w:sz w:val="20"/>
          <w:szCs w:val="20"/>
          <w:color w:val="auto"/>
        </w:rPr>
      </w:pPr>
    </w:p>
    <w:p>
      <w:pPr>
        <w:jc w:val="center"/>
        <w:ind w:left="4660"/>
        <w:spacing w:after="0"/>
        <w:rPr>
          <w:sz w:val="20"/>
          <w:szCs w:val="20"/>
          <w:color w:val="auto"/>
        </w:rPr>
      </w:pPr>
      <w:r>
        <w:rPr>
          <w:rFonts w:ascii="Arial" w:cs="Arial" w:eastAsia="Arial" w:hAnsi="Arial"/>
          <w:sz w:val="9"/>
          <w:szCs w:val="9"/>
          <w:b w:val="1"/>
          <w:bCs w:val="1"/>
          <w:color w:val="auto"/>
        </w:rPr>
        <w:t>All Other</w:t>
      </w:r>
    </w:p>
    <w:p>
      <w:pPr>
        <w:spacing w:after="0" w:line="13" w:lineRule="exact"/>
        <w:rPr>
          <w:sz w:val="20"/>
          <w:szCs w:val="20"/>
          <w:color w:val="auto"/>
        </w:rPr>
      </w:pPr>
    </w:p>
    <w:p>
      <w:pPr>
        <w:jc w:val="center"/>
        <w:ind w:left="4660"/>
        <w:spacing w:after="0"/>
        <w:rPr>
          <w:sz w:val="20"/>
          <w:szCs w:val="20"/>
          <w:color w:val="auto"/>
        </w:rPr>
      </w:pPr>
      <w:r>
        <w:rPr>
          <w:rFonts w:ascii="Arial" w:cs="Arial" w:eastAsia="Arial" w:hAnsi="Arial"/>
          <w:sz w:val="9"/>
          <w:szCs w:val="9"/>
          <w:b w:val="1"/>
          <w:bCs w:val="1"/>
          <w:color w:val="auto"/>
        </w:rPr>
        <w:t>Stock</w:t>
      </w:r>
    </w:p>
    <w:tbl>
      <w:tblPr>
        <w:tblLayout w:type="fixed"/>
        <w:tblInd w:w="0" w:type="dxa"/>
        <w:tblCellMar>
          <w:top w:w="0" w:type="dxa"/>
          <w:left w:w="0" w:type="dxa"/>
          <w:bottom w:w="0" w:type="dxa"/>
          <w:right w:w="0" w:type="dxa"/>
        </w:tblCellMar>
      </w:tblPr>
      <w:tr>
        <w:trPr>
          <w:trHeight w:val="113"/>
        </w:trPr>
        <w:tc>
          <w:tcPr>
            <w:tcW w:w="1160" w:type="dxa"/>
            <w:vAlign w:val="bottom"/>
          </w:tcPr>
          <w:p>
            <w:pPr>
              <w:spacing w:after="0"/>
              <w:rPr>
                <w:sz w:val="9"/>
                <w:szCs w:val="9"/>
                <w:color w:val="auto"/>
              </w:rPr>
            </w:pPr>
          </w:p>
        </w:tc>
        <w:tc>
          <w:tcPr>
            <w:tcW w:w="114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w w:val="95"/>
              </w:rPr>
              <w:t>Grant</w:t>
            </w:r>
          </w:p>
        </w:tc>
        <w:tc>
          <w:tcPr>
            <w:tcW w:w="2600" w:type="dxa"/>
            <w:vAlign w:val="bottom"/>
            <w:gridSpan w:val="3"/>
          </w:tcPr>
          <w:p>
            <w:pPr>
              <w:jc w:val="right"/>
              <w:ind w:right="426"/>
              <w:spacing w:after="0" w:line="113" w:lineRule="exact"/>
              <w:rPr>
                <w:sz w:val="20"/>
                <w:szCs w:val="20"/>
                <w:color w:val="auto"/>
              </w:rPr>
            </w:pPr>
            <w:r>
              <w:rPr>
                <w:rFonts w:ascii="Arial" w:cs="Arial" w:eastAsia="Arial" w:hAnsi="Arial"/>
                <w:sz w:val="11"/>
                <w:szCs w:val="11"/>
                <w:b w:val="1"/>
                <w:bCs w:val="1"/>
                <w:color w:val="auto"/>
              </w:rPr>
              <w:t>Estimated Future Payouts Under</w:t>
            </w:r>
          </w:p>
        </w:tc>
        <w:tc>
          <w:tcPr>
            <w:tcW w:w="2720" w:type="dxa"/>
            <w:vAlign w:val="bottom"/>
            <w:gridSpan w:val="3"/>
          </w:tcPr>
          <w:p>
            <w:pPr>
              <w:jc w:val="right"/>
              <w:ind w:right="486"/>
              <w:spacing w:after="0" w:line="113" w:lineRule="exact"/>
              <w:rPr>
                <w:sz w:val="20"/>
                <w:szCs w:val="20"/>
                <w:color w:val="auto"/>
              </w:rPr>
            </w:pPr>
            <w:r>
              <w:rPr>
                <w:rFonts w:ascii="Arial" w:cs="Arial" w:eastAsia="Arial" w:hAnsi="Arial"/>
                <w:sz w:val="11"/>
                <w:szCs w:val="11"/>
                <w:b w:val="1"/>
                <w:bCs w:val="1"/>
                <w:color w:val="auto"/>
              </w:rPr>
              <w:t>Estimated Future Payouts Under</w:t>
            </w:r>
          </w:p>
        </w:tc>
        <w:tc>
          <w:tcPr>
            <w:tcW w:w="720" w:type="dxa"/>
            <w:vAlign w:val="bottom"/>
          </w:tcPr>
          <w:p>
            <w:pPr>
              <w:jc w:val="center"/>
              <w:spacing w:after="0"/>
              <w:rPr>
                <w:sz w:val="20"/>
                <w:szCs w:val="20"/>
                <w:color w:val="auto"/>
              </w:rPr>
            </w:pPr>
            <w:r>
              <w:rPr>
                <w:rFonts w:ascii="Arial" w:cs="Arial" w:eastAsia="Arial" w:hAnsi="Arial"/>
                <w:sz w:val="9"/>
                <w:szCs w:val="9"/>
                <w:b w:val="1"/>
                <w:bCs w:val="1"/>
                <w:color w:val="auto"/>
              </w:rPr>
              <w:t>Awards:</w:t>
            </w:r>
          </w:p>
        </w:tc>
        <w:tc>
          <w:tcPr>
            <w:tcW w:w="820" w:type="dxa"/>
            <w:vAlign w:val="bottom"/>
          </w:tcPr>
          <w:p>
            <w:pPr>
              <w:jc w:val="center"/>
              <w:spacing w:after="0"/>
              <w:rPr>
                <w:sz w:val="20"/>
                <w:szCs w:val="20"/>
                <w:color w:val="auto"/>
              </w:rPr>
            </w:pPr>
            <w:r>
              <w:rPr>
                <w:rFonts w:ascii="Arial" w:cs="Arial" w:eastAsia="Arial" w:hAnsi="Arial"/>
                <w:sz w:val="9"/>
                <w:szCs w:val="9"/>
                <w:b w:val="1"/>
                <w:bCs w:val="1"/>
                <w:color w:val="auto"/>
              </w:rPr>
              <w:t>All Other Option</w:t>
            </w:r>
          </w:p>
        </w:tc>
        <w:tc>
          <w:tcPr>
            <w:tcW w:w="6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8"/>
              </w:rPr>
              <w:t>Exercise or</w:t>
            </w: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160" w:type="dxa"/>
            <w:vAlign w:val="bottom"/>
            <w:vMerge w:val="restart"/>
          </w:tcPr>
          <w:p>
            <w:pPr>
              <w:ind w:left="420"/>
              <w:spacing w:after="0"/>
              <w:rPr>
                <w:sz w:val="20"/>
                <w:szCs w:val="20"/>
                <w:color w:val="auto"/>
              </w:rPr>
            </w:pPr>
            <w:r>
              <w:rPr>
                <w:rFonts w:ascii="Arial" w:cs="Arial" w:eastAsia="Arial" w:hAnsi="Arial"/>
                <w:sz w:val="11"/>
                <w:szCs w:val="11"/>
                <w:b w:val="1"/>
                <w:bCs w:val="1"/>
                <w:color w:val="auto"/>
              </w:rPr>
              <w:t>Name</w:t>
            </w:r>
          </w:p>
        </w:tc>
        <w:tc>
          <w:tcPr>
            <w:tcW w:w="11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Date</w:t>
            </w:r>
          </w:p>
        </w:tc>
        <w:tc>
          <w:tcPr>
            <w:tcW w:w="2600" w:type="dxa"/>
            <w:vAlign w:val="bottom"/>
            <w:gridSpan w:val="3"/>
            <w:vMerge w:val="restart"/>
          </w:tcPr>
          <w:p>
            <w:pPr>
              <w:jc w:val="right"/>
              <w:ind w:right="386"/>
              <w:spacing w:after="0"/>
              <w:rPr>
                <w:sz w:val="20"/>
                <w:szCs w:val="20"/>
                <w:color w:val="auto"/>
              </w:rPr>
            </w:pPr>
            <w:r>
              <w:rPr>
                <w:rFonts w:ascii="Arial" w:cs="Arial" w:eastAsia="Arial" w:hAnsi="Arial"/>
                <w:sz w:val="11"/>
                <w:szCs w:val="11"/>
                <w:b w:val="1"/>
                <w:bCs w:val="1"/>
                <w:color w:val="auto"/>
              </w:rPr>
              <w:t>Non-Equity Incentive Plan Awards</w:t>
            </w:r>
          </w:p>
        </w:tc>
        <w:tc>
          <w:tcPr>
            <w:tcW w:w="2720" w:type="dxa"/>
            <w:vAlign w:val="bottom"/>
            <w:gridSpan w:val="3"/>
            <w:vMerge w:val="restart"/>
          </w:tcPr>
          <w:p>
            <w:pPr>
              <w:jc w:val="right"/>
              <w:ind w:right="566"/>
              <w:spacing w:after="0"/>
              <w:rPr>
                <w:sz w:val="20"/>
                <w:szCs w:val="20"/>
                <w:color w:val="auto"/>
              </w:rPr>
            </w:pPr>
            <w:r>
              <w:rPr>
                <w:rFonts w:ascii="Arial" w:cs="Arial" w:eastAsia="Arial" w:hAnsi="Arial"/>
                <w:sz w:val="11"/>
                <w:szCs w:val="11"/>
                <w:b w:val="1"/>
                <w:bCs w:val="1"/>
                <w:color w:val="auto"/>
              </w:rPr>
              <w:t>Equity Incentive Plan Awards</w:t>
            </w:r>
          </w:p>
        </w:tc>
        <w:tc>
          <w:tcPr>
            <w:tcW w:w="720" w:type="dxa"/>
            <w:vAlign w:val="bottom"/>
          </w:tcPr>
          <w:p>
            <w:pPr>
              <w:jc w:val="center"/>
              <w:spacing w:after="0" w:line="100" w:lineRule="exact"/>
              <w:rPr>
                <w:sz w:val="20"/>
                <w:szCs w:val="20"/>
                <w:color w:val="auto"/>
              </w:rPr>
            </w:pPr>
            <w:r>
              <w:rPr>
                <w:rFonts w:ascii="Arial" w:cs="Arial" w:eastAsia="Arial" w:hAnsi="Arial"/>
                <w:sz w:val="9"/>
                <w:szCs w:val="9"/>
                <w:b w:val="1"/>
                <w:bCs w:val="1"/>
                <w:color w:val="auto"/>
                <w:w w:val="99"/>
              </w:rPr>
              <w:t>Number</w:t>
            </w:r>
          </w:p>
        </w:tc>
        <w:tc>
          <w:tcPr>
            <w:tcW w:w="820" w:type="dxa"/>
            <w:vAlign w:val="bottom"/>
          </w:tcPr>
          <w:p>
            <w:pPr>
              <w:jc w:val="center"/>
              <w:spacing w:after="0" w:line="100" w:lineRule="exact"/>
              <w:rPr>
                <w:sz w:val="20"/>
                <w:szCs w:val="20"/>
                <w:color w:val="auto"/>
              </w:rPr>
            </w:pPr>
            <w:r>
              <w:rPr>
                <w:rFonts w:ascii="Arial" w:cs="Arial" w:eastAsia="Arial" w:hAnsi="Arial"/>
                <w:sz w:val="9"/>
                <w:szCs w:val="9"/>
                <w:b w:val="1"/>
                <w:bCs w:val="1"/>
                <w:color w:val="auto"/>
                <w:w w:val="97"/>
              </w:rPr>
              <w:t>Awards: Number</w:t>
            </w:r>
          </w:p>
        </w:tc>
        <w:tc>
          <w:tcPr>
            <w:tcW w:w="60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1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2600" w:type="dxa"/>
            <w:vAlign w:val="bottom"/>
            <w:gridSpan w:val="3"/>
            <w:vMerge w:val="continue"/>
          </w:tcPr>
          <w:p>
            <w:pPr>
              <w:spacing w:after="0"/>
              <w:rPr>
                <w:sz w:val="6"/>
                <w:szCs w:val="6"/>
                <w:color w:val="auto"/>
              </w:rPr>
            </w:pPr>
          </w:p>
        </w:tc>
        <w:tc>
          <w:tcPr>
            <w:tcW w:w="2720" w:type="dxa"/>
            <w:vAlign w:val="bottom"/>
            <w:gridSpan w:val="3"/>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7"/>
              </w:rPr>
              <w:t>of Shares</w:t>
            </w:r>
          </w:p>
        </w:tc>
        <w:tc>
          <w:tcPr>
            <w:tcW w:w="82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9"/>
              </w:rPr>
              <w:t>of Securities</w:t>
            </w:r>
          </w:p>
        </w:tc>
        <w:tc>
          <w:tcPr>
            <w:tcW w:w="6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9"/>
              </w:rPr>
              <w:t>Base Price</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116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
        </w:trPr>
        <w:tc>
          <w:tcPr>
            <w:tcW w:w="1160" w:type="dxa"/>
            <w:vAlign w:val="bottom"/>
            <w:tcBorders>
              <w:bottom w:val="single" w:sz="8" w:color="95B3D7"/>
            </w:tcBorders>
          </w:tcPr>
          <w:p>
            <w:pPr>
              <w:spacing w:after="0" w:line="20" w:lineRule="exact"/>
              <w:rPr>
                <w:sz w:val="1"/>
                <w:szCs w:val="1"/>
                <w:color w:val="auto"/>
              </w:rPr>
            </w:pPr>
          </w:p>
        </w:tc>
        <w:tc>
          <w:tcPr>
            <w:tcW w:w="1140" w:type="dxa"/>
            <w:vAlign w:val="bottom"/>
            <w:tcBorders>
              <w:bottom w:val="single" w:sz="8" w:color="95B3D7"/>
            </w:tcBorders>
          </w:tcPr>
          <w:p>
            <w:pPr>
              <w:spacing w:after="0" w:line="20" w:lineRule="exact"/>
              <w:rPr>
                <w:sz w:val="1"/>
                <w:szCs w:val="1"/>
                <w:color w:val="auto"/>
              </w:rPr>
            </w:pPr>
          </w:p>
        </w:tc>
        <w:tc>
          <w:tcPr>
            <w:tcW w:w="720" w:type="dxa"/>
            <w:vAlign w:val="bottom"/>
            <w:tcBorders>
              <w:bottom w:val="single" w:sz="8" w:color="95B3D7"/>
            </w:tcBorders>
          </w:tcPr>
          <w:p>
            <w:pPr>
              <w:spacing w:after="0" w:line="20" w:lineRule="exact"/>
              <w:rPr>
                <w:sz w:val="1"/>
                <w:szCs w:val="1"/>
                <w:color w:val="auto"/>
              </w:rPr>
            </w:pPr>
          </w:p>
        </w:tc>
        <w:tc>
          <w:tcPr>
            <w:tcW w:w="820" w:type="dxa"/>
            <w:vAlign w:val="bottom"/>
            <w:tcBorders>
              <w:bottom w:val="single" w:sz="8" w:color="95B3D7"/>
            </w:tcBorders>
          </w:tcPr>
          <w:p>
            <w:pPr>
              <w:spacing w:after="0" w:line="20" w:lineRule="exact"/>
              <w:rPr>
                <w:sz w:val="1"/>
                <w:szCs w:val="1"/>
                <w:color w:val="auto"/>
              </w:rPr>
            </w:pPr>
          </w:p>
        </w:tc>
        <w:tc>
          <w:tcPr>
            <w:tcW w:w="1060" w:type="dxa"/>
            <w:vAlign w:val="bottom"/>
            <w:tcBorders>
              <w:bottom w:val="single" w:sz="8" w:color="95B3D7"/>
            </w:tcBorders>
          </w:tcPr>
          <w:p>
            <w:pPr>
              <w:spacing w:after="0" w:line="20" w:lineRule="exact"/>
              <w:rPr>
                <w:sz w:val="1"/>
                <w:szCs w:val="1"/>
                <w:color w:val="auto"/>
              </w:rPr>
            </w:pPr>
          </w:p>
        </w:tc>
        <w:tc>
          <w:tcPr>
            <w:tcW w:w="840" w:type="dxa"/>
            <w:vAlign w:val="bottom"/>
            <w:tcBorders>
              <w:bottom w:val="single" w:sz="8" w:color="95B3D7"/>
            </w:tcBorders>
          </w:tcPr>
          <w:p>
            <w:pPr>
              <w:spacing w:after="0" w:line="20" w:lineRule="exact"/>
              <w:rPr>
                <w:sz w:val="1"/>
                <w:szCs w:val="1"/>
                <w:color w:val="auto"/>
              </w:rPr>
            </w:pPr>
          </w:p>
        </w:tc>
        <w:tc>
          <w:tcPr>
            <w:tcW w:w="840" w:type="dxa"/>
            <w:vAlign w:val="bottom"/>
            <w:tcBorders>
              <w:bottom w:val="single" w:sz="8" w:color="95B3D7"/>
            </w:tcBorders>
          </w:tcPr>
          <w:p>
            <w:pPr>
              <w:spacing w:after="0" w:line="20" w:lineRule="exact"/>
              <w:rPr>
                <w:sz w:val="1"/>
                <w:szCs w:val="1"/>
                <w:color w:val="auto"/>
              </w:rPr>
            </w:pPr>
          </w:p>
        </w:tc>
        <w:tc>
          <w:tcPr>
            <w:tcW w:w="1040" w:type="dxa"/>
            <w:vAlign w:val="bottom"/>
            <w:tcBorders>
              <w:bottom w:val="single" w:sz="8" w:color="95B3D7"/>
            </w:tcBorders>
          </w:tcPr>
          <w:p>
            <w:pPr>
              <w:spacing w:after="0" w:line="20" w:lineRule="exact"/>
              <w:rPr>
                <w:sz w:val="1"/>
                <w:szCs w:val="1"/>
                <w:color w:val="auto"/>
              </w:rPr>
            </w:pPr>
          </w:p>
        </w:tc>
        <w:tc>
          <w:tcPr>
            <w:tcW w:w="72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7"/>
              </w:rPr>
              <w:t>of Stock or</w:t>
            </w:r>
          </w:p>
        </w:tc>
        <w:tc>
          <w:tcPr>
            <w:tcW w:w="82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7"/>
              </w:rPr>
              <w:t>Underlying</w:t>
            </w:r>
          </w:p>
        </w:tc>
        <w:tc>
          <w:tcPr>
            <w:tcW w:w="6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9"/>
              </w:rPr>
              <w:t>of Option</w:t>
            </w:r>
          </w:p>
        </w:tc>
        <w:tc>
          <w:tcPr>
            <w:tcW w:w="148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Grant Date Fair Value of Stock</w:t>
            </w:r>
          </w:p>
        </w:tc>
        <w:tc>
          <w:tcPr>
            <w:tcW w:w="0" w:type="dxa"/>
            <w:vAlign w:val="bottom"/>
          </w:tcPr>
          <w:p>
            <w:pPr>
              <w:spacing w:after="0"/>
              <w:rPr>
                <w:sz w:val="1"/>
                <w:szCs w:val="1"/>
                <w:color w:val="auto"/>
              </w:rPr>
            </w:pPr>
          </w:p>
        </w:tc>
      </w:tr>
      <w:tr>
        <w:trPr>
          <w:trHeight w:val="66"/>
        </w:trPr>
        <w:tc>
          <w:tcPr>
            <w:tcW w:w="1160" w:type="dxa"/>
            <w:vAlign w:val="bottom"/>
            <w:tcBorders>
              <w:right w:val="single" w:sz="8" w:color="95B3D7"/>
            </w:tcBorders>
          </w:tcPr>
          <w:p>
            <w:pPr>
              <w:spacing w:after="0"/>
              <w:rPr>
                <w:sz w:val="5"/>
                <w:szCs w:val="5"/>
                <w:color w:val="auto"/>
              </w:rPr>
            </w:pPr>
          </w:p>
        </w:tc>
        <w:tc>
          <w:tcPr>
            <w:tcW w:w="1140" w:type="dxa"/>
            <w:vAlign w:val="bottom"/>
            <w:tcBorders>
              <w:right w:val="single" w:sz="8" w:color="95B3D7"/>
            </w:tcBorders>
          </w:tcPr>
          <w:p>
            <w:pPr>
              <w:spacing w:after="0"/>
              <w:rPr>
                <w:sz w:val="5"/>
                <w:szCs w:val="5"/>
                <w:color w:val="auto"/>
              </w:rPr>
            </w:pPr>
          </w:p>
        </w:tc>
        <w:tc>
          <w:tcPr>
            <w:tcW w:w="720" w:type="dxa"/>
            <w:vAlign w:val="bottom"/>
            <w:tcBorders>
              <w:right w:val="single" w:sz="8" w:color="95B3D7"/>
            </w:tcBorders>
            <w:vMerge w:val="restart"/>
          </w:tcPr>
          <w:p>
            <w:pPr>
              <w:jc w:val="right"/>
              <w:ind w:right="127"/>
              <w:spacing w:after="0"/>
              <w:rPr>
                <w:sz w:val="20"/>
                <w:szCs w:val="20"/>
                <w:color w:val="auto"/>
              </w:rPr>
            </w:pPr>
            <w:r>
              <w:rPr>
                <w:rFonts w:ascii="Arial" w:cs="Arial" w:eastAsia="Arial" w:hAnsi="Arial"/>
                <w:sz w:val="8"/>
                <w:szCs w:val="8"/>
                <w:b w:val="1"/>
                <w:bCs w:val="1"/>
                <w:color w:val="auto"/>
              </w:rPr>
              <w:t>Threshold</w:t>
            </w:r>
          </w:p>
        </w:tc>
        <w:tc>
          <w:tcPr>
            <w:tcW w:w="820" w:type="dxa"/>
            <w:vAlign w:val="bottom"/>
            <w:tcBorders>
              <w:right w:val="single" w:sz="8" w:color="95B3D7"/>
            </w:tcBorders>
            <w:vMerge w:val="restart"/>
          </w:tcPr>
          <w:p>
            <w:pPr>
              <w:jc w:val="right"/>
              <w:ind w:right="206"/>
              <w:spacing w:after="0"/>
              <w:rPr>
                <w:sz w:val="20"/>
                <w:szCs w:val="20"/>
                <w:color w:val="auto"/>
              </w:rPr>
            </w:pPr>
            <w:r>
              <w:rPr>
                <w:rFonts w:ascii="Arial" w:cs="Arial" w:eastAsia="Arial" w:hAnsi="Arial"/>
                <w:sz w:val="11"/>
                <w:szCs w:val="11"/>
                <w:b w:val="1"/>
                <w:bCs w:val="1"/>
                <w:color w:val="auto"/>
              </w:rPr>
              <w:t>Target</w:t>
            </w:r>
          </w:p>
        </w:tc>
        <w:tc>
          <w:tcPr>
            <w:tcW w:w="1060" w:type="dxa"/>
            <w:vAlign w:val="bottom"/>
            <w:tcBorders>
              <w:right w:val="single" w:sz="8" w:color="95B3D7"/>
            </w:tcBorders>
            <w:vMerge w:val="restart"/>
          </w:tcPr>
          <w:p>
            <w:pPr>
              <w:jc w:val="right"/>
              <w:ind w:right="226"/>
              <w:spacing w:after="0"/>
              <w:rPr>
                <w:sz w:val="20"/>
                <w:szCs w:val="20"/>
                <w:color w:val="auto"/>
              </w:rPr>
            </w:pPr>
            <w:r>
              <w:rPr>
                <w:rFonts w:ascii="Arial" w:cs="Arial" w:eastAsia="Arial" w:hAnsi="Arial"/>
                <w:sz w:val="11"/>
                <w:szCs w:val="11"/>
                <w:b w:val="1"/>
                <w:bCs w:val="1"/>
                <w:color w:val="auto"/>
              </w:rPr>
              <w:t>Maximum</w:t>
            </w:r>
          </w:p>
        </w:tc>
        <w:tc>
          <w:tcPr>
            <w:tcW w:w="840" w:type="dxa"/>
            <w:vAlign w:val="bottom"/>
            <w:tcBorders>
              <w:right w:val="single" w:sz="8" w:color="95B3D7"/>
            </w:tcBorders>
            <w:vMerge w:val="restart"/>
          </w:tcPr>
          <w:p>
            <w:pPr>
              <w:jc w:val="center"/>
              <w:spacing w:after="0"/>
              <w:rPr>
                <w:sz w:val="20"/>
                <w:szCs w:val="20"/>
                <w:color w:val="auto"/>
              </w:rPr>
            </w:pPr>
            <w:r>
              <w:rPr>
                <w:rFonts w:ascii="Arial" w:cs="Arial" w:eastAsia="Arial" w:hAnsi="Arial"/>
                <w:sz w:val="11"/>
                <w:szCs w:val="11"/>
                <w:b w:val="1"/>
                <w:bCs w:val="1"/>
                <w:color w:val="auto"/>
                <w:w w:val="97"/>
              </w:rPr>
              <w:t>Threshold</w:t>
            </w:r>
          </w:p>
        </w:tc>
        <w:tc>
          <w:tcPr>
            <w:tcW w:w="840" w:type="dxa"/>
            <w:vAlign w:val="bottom"/>
            <w:tcBorders>
              <w:right w:val="single" w:sz="8" w:color="95B3D7"/>
            </w:tcBorders>
            <w:vMerge w:val="restart"/>
          </w:tcPr>
          <w:p>
            <w:pPr>
              <w:jc w:val="center"/>
              <w:spacing w:after="0"/>
              <w:rPr>
                <w:sz w:val="20"/>
                <w:szCs w:val="20"/>
                <w:color w:val="auto"/>
              </w:rPr>
            </w:pPr>
            <w:r>
              <w:rPr>
                <w:rFonts w:ascii="Arial" w:cs="Arial" w:eastAsia="Arial" w:hAnsi="Arial"/>
                <w:sz w:val="11"/>
                <w:szCs w:val="11"/>
                <w:b w:val="1"/>
                <w:bCs w:val="1"/>
                <w:color w:val="auto"/>
                <w:w w:val="95"/>
              </w:rPr>
              <w:t>Target</w:t>
            </w:r>
          </w:p>
        </w:tc>
        <w:tc>
          <w:tcPr>
            <w:tcW w:w="1040" w:type="dxa"/>
            <w:vAlign w:val="bottom"/>
            <w:tcBorders>
              <w:right w:val="single" w:sz="8" w:color="95B3D7"/>
            </w:tcBorders>
            <w:vMerge w:val="restart"/>
          </w:tcPr>
          <w:p>
            <w:pPr>
              <w:jc w:val="right"/>
              <w:ind w:right="226"/>
              <w:spacing w:after="0"/>
              <w:rPr>
                <w:sz w:val="20"/>
                <w:szCs w:val="20"/>
                <w:color w:val="auto"/>
              </w:rPr>
            </w:pPr>
            <w:r>
              <w:rPr>
                <w:rFonts w:ascii="Arial" w:cs="Arial" w:eastAsia="Arial" w:hAnsi="Arial"/>
                <w:sz w:val="11"/>
                <w:szCs w:val="11"/>
                <w:b w:val="1"/>
                <w:bCs w:val="1"/>
                <w:color w:val="auto"/>
              </w:rPr>
              <w:t>Maximum</w:t>
            </w: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1160" w:type="dxa"/>
            <w:vAlign w:val="bottom"/>
            <w:tcBorders>
              <w:right w:val="single" w:sz="8" w:color="95B3D7"/>
            </w:tcBorders>
          </w:tcPr>
          <w:p>
            <w:pPr>
              <w:spacing w:after="0"/>
              <w:rPr>
                <w:sz w:val="7"/>
                <w:szCs w:val="7"/>
                <w:color w:val="auto"/>
              </w:rPr>
            </w:pPr>
          </w:p>
        </w:tc>
        <w:tc>
          <w:tcPr>
            <w:tcW w:w="1140" w:type="dxa"/>
            <w:vAlign w:val="bottom"/>
            <w:tcBorders>
              <w:right w:val="single" w:sz="8" w:color="95B3D7"/>
            </w:tcBorders>
          </w:tcPr>
          <w:p>
            <w:pPr>
              <w:spacing w:after="0"/>
              <w:rPr>
                <w:sz w:val="7"/>
                <w:szCs w:val="7"/>
                <w:color w:val="auto"/>
              </w:rPr>
            </w:pPr>
          </w:p>
        </w:tc>
        <w:tc>
          <w:tcPr>
            <w:tcW w:w="720" w:type="dxa"/>
            <w:vAlign w:val="bottom"/>
            <w:tcBorders>
              <w:right w:val="single" w:sz="8" w:color="95B3D7"/>
            </w:tcBorders>
            <w:vMerge w:val="continue"/>
          </w:tcPr>
          <w:p>
            <w:pPr>
              <w:spacing w:after="0"/>
              <w:rPr>
                <w:sz w:val="7"/>
                <w:szCs w:val="7"/>
                <w:color w:val="auto"/>
              </w:rPr>
            </w:pPr>
          </w:p>
        </w:tc>
        <w:tc>
          <w:tcPr>
            <w:tcW w:w="820" w:type="dxa"/>
            <w:vAlign w:val="bottom"/>
            <w:tcBorders>
              <w:right w:val="single" w:sz="8" w:color="95B3D7"/>
            </w:tcBorders>
            <w:vMerge w:val="continue"/>
          </w:tcPr>
          <w:p>
            <w:pPr>
              <w:spacing w:after="0"/>
              <w:rPr>
                <w:sz w:val="7"/>
                <w:szCs w:val="7"/>
                <w:color w:val="auto"/>
              </w:rPr>
            </w:pPr>
          </w:p>
        </w:tc>
        <w:tc>
          <w:tcPr>
            <w:tcW w:w="1060" w:type="dxa"/>
            <w:vAlign w:val="bottom"/>
            <w:tcBorders>
              <w:right w:val="single" w:sz="8" w:color="95B3D7"/>
            </w:tcBorders>
            <w:vMerge w:val="continue"/>
          </w:tcPr>
          <w:p>
            <w:pPr>
              <w:spacing w:after="0"/>
              <w:rPr>
                <w:sz w:val="7"/>
                <w:szCs w:val="7"/>
                <w:color w:val="auto"/>
              </w:rPr>
            </w:pPr>
          </w:p>
        </w:tc>
        <w:tc>
          <w:tcPr>
            <w:tcW w:w="840" w:type="dxa"/>
            <w:vAlign w:val="bottom"/>
            <w:tcBorders>
              <w:right w:val="single" w:sz="8" w:color="95B3D7"/>
            </w:tcBorders>
            <w:vMerge w:val="continue"/>
          </w:tcPr>
          <w:p>
            <w:pPr>
              <w:spacing w:after="0"/>
              <w:rPr>
                <w:sz w:val="7"/>
                <w:szCs w:val="7"/>
                <w:color w:val="auto"/>
              </w:rPr>
            </w:pPr>
          </w:p>
        </w:tc>
        <w:tc>
          <w:tcPr>
            <w:tcW w:w="840" w:type="dxa"/>
            <w:vAlign w:val="bottom"/>
            <w:tcBorders>
              <w:right w:val="single" w:sz="8" w:color="95B3D7"/>
            </w:tcBorders>
            <w:vMerge w:val="continue"/>
          </w:tcPr>
          <w:p>
            <w:pPr>
              <w:spacing w:after="0"/>
              <w:rPr>
                <w:sz w:val="7"/>
                <w:szCs w:val="7"/>
                <w:color w:val="auto"/>
              </w:rPr>
            </w:pPr>
          </w:p>
        </w:tc>
        <w:tc>
          <w:tcPr>
            <w:tcW w:w="1040" w:type="dxa"/>
            <w:vAlign w:val="bottom"/>
            <w:tcBorders>
              <w:right w:val="single" w:sz="8" w:color="95B3D7"/>
            </w:tcBorders>
            <w:vMerge w:val="continue"/>
          </w:tcPr>
          <w:p>
            <w:pPr>
              <w:spacing w:after="0"/>
              <w:rPr>
                <w:sz w:val="7"/>
                <w:szCs w:val="7"/>
                <w:color w:val="auto"/>
              </w:rPr>
            </w:pPr>
          </w:p>
        </w:tc>
        <w:tc>
          <w:tcPr>
            <w:tcW w:w="720" w:type="dxa"/>
            <w:vAlign w:val="bottom"/>
          </w:tcPr>
          <w:p>
            <w:pPr>
              <w:jc w:val="center"/>
              <w:spacing w:after="0" w:line="90" w:lineRule="exact"/>
              <w:rPr>
                <w:sz w:val="20"/>
                <w:szCs w:val="20"/>
                <w:color w:val="auto"/>
              </w:rPr>
            </w:pPr>
            <w:r>
              <w:rPr>
                <w:rFonts w:ascii="Arial" w:cs="Arial" w:eastAsia="Arial" w:hAnsi="Arial"/>
                <w:sz w:val="9"/>
                <w:szCs w:val="9"/>
                <w:b w:val="1"/>
                <w:bCs w:val="1"/>
                <w:color w:val="auto"/>
              </w:rPr>
              <w:t>Units</w:t>
            </w:r>
          </w:p>
        </w:tc>
        <w:tc>
          <w:tcPr>
            <w:tcW w:w="820" w:type="dxa"/>
            <w:vAlign w:val="bottom"/>
          </w:tcPr>
          <w:p>
            <w:pPr>
              <w:jc w:val="center"/>
              <w:spacing w:after="0" w:line="90" w:lineRule="exact"/>
              <w:rPr>
                <w:sz w:val="20"/>
                <w:szCs w:val="20"/>
                <w:color w:val="auto"/>
              </w:rPr>
            </w:pPr>
            <w:r>
              <w:rPr>
                <w:rFonts w:ascii="Arial" w:cs="Arial" w:eastAsia="Arial" w:hAnsi="Arial"/>
                <w:sz w:val="9"/>
                <w:szCs w:val="9"/>
                <w:b w:val="1"/>
                <w:bCs w:val="1"/>
                <w:color w:val="auto"/>
                <w:w w:val="99"/>
              </w:rPr>
              <w:t>Options</w:t>
            </w:r>
          </w:p>
        </w:tc>
        <w:tc>
          <w:tcPr>
            <w:tcW w:w="600" w:type="dxa"/>
            <w:vAlign w:val="bottom"/>
          </w:tcPr>
          <w:p>
            <w:pPr>
              <w:jc w:val="center"/>
              <w:spacing w:after="0" w:line="90" w:lineRule="exact"/>
              <w:rPr>
                <w:sz w:val="20"/>
                <w:szCs w:val="20"/>
                <w:color w:val="auto"/>
              </w:rPr>
            </w:pPr>
            <w:r>
              <w:rPr>
                <w:rFonts w:ascii="Arial" w:cs="Arial" w:eastAsia="Arial" w:hAnsi="Arial"/>
                <w:sz w:val="9"/>
                <w:szCs w:val="9"/>
                <w:b w:val="1"/>
                <w:bCs w:val="1"/>
                <w:color w:val="auto"/>
                <w:w w:val="98"/>
              </w:rPr>
              <w:t>Awards</w:t>
            </w:r>
          </w:p>
        </w:tc>
        <w:tc>
          <w:tcPr>
            <w:tcW w:w="148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and Option Awards</w:t>
            </w:r>
            <w:r>
              <w:rPr>
                <w:rFonts w:ascii="Arial" w:cs="Arial" w:eastAsia="Arial" w:hAnsi="Arial"/>
                <w:sz w:val="10"/>
                <w:szCs w:val="10"/>
                <w:b w:val="1"/>
                <w:bCs w:val="1"/>
                <w:color w:val="auto"/>
                <w:vertAlign w:val="superscript"/>
              </w:rPr>
              <w:t>(2)</w:t>
            </w:r>
          </w:p>
        </w:tc>
        <w:tc>
          <w:tcPr>
            <w:tcW w:w="0" w:type="dxa"/>
            <w:vAlign w:val="bottom"/>
          </w:tcPr>
          <w:p>
            <w:pPr>
              <w:spacing w:after="0"/>
              <w:rPr>
                <w:sz w:val="1"/>
                <w:szCs w:val="1"/>
                <w:color w:val="auto"/>
              </w:rPr>
            </w:pPr>
          </w:p>
        </w:tc>
      </w:tr>
      <w:tr>
        <w:trPr>
          <w:trHeight w:val="108"/>
        </w:trPr>
        <w:tc>
          <w:tcPr>
            <w:tcW w:w="1160" w:type="dxa"/>
            <w:vAlign w:val="bottom"/>
            <w:tcBorders>
              <w:right w:val="single" w:sz="8" w:color="95B3D7"/>
            </w:tcBorders>
          </w:tcPr>
          <w:p>
            <w:pPr>
              <w:spacing w:after="0"/>
              <w:rPr>
                <w:sz w:val="9"/>
                <w:szCs w:val="9"/>
                <w:color w:val="auto"/>
              </w:rPr>
            </w:pPr>
          </w:p>
        </w:tc>
        <w:tc>
          <w:tcPr>
            <w:tcW w:w="1140" w:type="dxa"/>
            <w:vAlign w:val="bottom"/>
            <w:tcBorders>
              <w:right w:val="single" w:sz="8" w:color="95B3D7"/>
            </w:tcBorders>
          </w:tcPr>
          <w:p>
            <w:pPr>
              <w:spacing w:after="0"/>
              <w:rPr>
                <w:sz w:val="9"/>
                <w:szCs w:val="9"/>
                <w:color w:val="auto"/>
              </w:rPr>
            </w:pPr>
          </w:p>
        </w:tc>
        <w:tc>
          <w:tcPr>
            <w:tcW w:w="720" w:type="dxa"/>
            <w:vAlign w:val="bottom"/>
            <w:tcBorders>
              <w:right w:val="single" w:sz="8" w:color="95B3D7"/>
            </w:tcBorders>
          </w:tcPr>
          <w:p>
            <w:pPr>
              <w:jc w:val="right"/>
              <w:ind w:right="247"/>
              <w:spacing w:after="0" w:line="109" w:lineRule="exact"/>
              <w:rPr>
                <w:sz w:val="20"/>
                <w:szCs w:val="20"/>
                <w:color w:val="auto"/>
              </w:rPr>
            </w:pPr>
            <w:r>
              <w:rPr>
                <w:rFonts w:ascii="Arial" w:cs="Arial" w:eastAsia="Arial" w:hAnsi="Arial"/>
                <w:sz w:val="11"/>
                <w:szCs w:val="11"/>
                <w:b w:val="1"/>
                <w:bCs w:val="1"/>
                <w:color w:val="auto"/>
              </w:rPr>
              <w:t>($)</w:t>
            </w:r>
          </w:p>
        </w:tc>
        <w:tc>
          <w:tcPr>
            <w:tcW w:w="820" w:type="dxa"/>
            <w:vAlign w:val="bottom"/>
            <w:tcBorders>
              <w:right w:val="single" w:sz="8" w:color="95B3D7"/>
            </w:tcBorders>
          </w:tcPr>
          <w:p>
            <w:pPr>
              <w:jc w:val="right"/>
              <w:ind w:right="306"/>
              <w:spacing w:after="0" w:line="109" w:lineRule="exact"/>
              <w:rPr>
                <w:sz w:val="20"/>
                <w:szCs w:val="20"/>
                <w:color w:val="auto"/>
              </w:rPr>
            </w:pPr>
            <w:r>
              <w:rPr>
                <w:rFonts w:ascii="Arial" w:cs="Arial" w:eastAsia="Arial" w:hAnsi="Arial"/>
                <w:sz w:val="11"/>
                <w:szCs w:val="11"/>
                <w:b w:val="1"/>
                <w:bCs w:val="1"/>
                <w:color w:val="auto"/>
              </w:rPr>
              <w:t>($)</w:t>
            </w:r>
          </w:p>
        </w:tc>
        <w:tc>
          <w:tcPr>
            <w:tcW w:w="1060" w:type="dxa"/>
            <w:vAlign w:val="bottom"/>
            <w:tcBorders>
              <w:right w:val="single" w:sz="8" w:color="95B3D7"/>
            </w:tcBorders>
          </w:tcPr>
          <w:p>
            <w:pPr>
              <w:jc w:val="right"/>
              <w:ind w:right="426"/>
              <w:spacing w:after="0" w:line="109" w:lineRule="exact"/>
              <w:rPr>
                <w:sz w:val="20"/>
                <w:szCs w:val="20"/>
                <w:color w:val="auto"/>
              </w:rPr>
            </w:pPr>
            <w:r>
              <w:rPr>
                <w:rFonts w:ascii="Arial" w:cs="Arial" w:eastAsia="Arial" w:hAnsi="Arial"/>
                <w:sz w:val="11"/>
                <w:szCs w:val="11"/>
                <w:b w:val="1"/>
                <w:bCs w:val="1"/>
                <w:color w:val="auto"/>
              </w:rPr>
              <w:t>($)</w:t>
            </w:r>
          </w:p>
        </w:tc>
        <w:tc>
          <w:tcPr>
            <w:tcW w:w="840" w:type="dxa"/>
            <w:vAlign w:val="bottom"/>
            <w:tcBorders>
              <w:right w:val="single" w:sz="8" w:color="95B3D7"/>
            </w:tcBorders>
          </w:tcPr>
          <w:p>
            <w:pPr>
              <w:jc w:val="center"/>
              <w:spacing w:after="0" w:line="109" w:lineRule="exact"/>
              <w:rPr>
                <w:sz w:val="20"/>
                <w:szCs w:val="20"/>
                <w:color w:val="auto"/>
              </w:rPr>
            </w:pPr>
            <w:r>
              <w:rPr>
                <w:rFonts w:ascii="Arial" w:cs="Arial" w:eastAsia="Arial" w:hAnsi="Arial"/>
                <w:sz w:val="11"/>
                <w:szCs w:val="11"/>
                <w:b w:val="1"/>
                <w:bCs w:val="1"/>
                <w:color w:val="auto"/>
              </w:rPr>
              <w:t>(#)</w:t>
            </w:r>
          </w:p>
        </w:tc>
        <w:tc>
          <w:tcPr>
            <w:tcW w:w="840" w:type="dxa"/>
            <w:vAlign w:val="bottom"/>
            <w:tcBorders>
              <w:right w:val="single" w:sz="8" w:color="95B3D7"/>
            </w:tcBorders>
          </w:tcPr>
          <w:p>
            <w:pPr>
              <w:jc w:val="center"/>
              <w:spacing w:after="0" w:line="109" w:lineRule="exact"/>
              <w:rPr>
                <w:sz w:val="20"/>
                <w:szCs w:val="20"/>
                <w:color w:val="auto"/>
              </w:rPr>
            </w:pPr>
            <w:r>
              <w:rPr>
                <w:rFonts w:ascii="Arial" w:cs="Arial" w:eastAsia="Arial" w:hAnsi="Arial"/>
                <w:sz w:val="11"/>
                <w:szCs w:val="11"/>
                <w:b w:val="1"/>
                <w:bCs w:val="1"/>
                <w:color w:val="auto"/>
                <w:w w:val="88"/>
              </w:rPr>
              <w:t>(#)</w:t>
            </w:r>
          </w:p>
        </w:tc>
        <w:tc>
          <w:tcPr>
            <w:tcW w:w="1040" w:type="dxa"/>
            <w:vAlign w:val="bottom"/>
            <w:tcBorders>
              <w:right w:val="single" w:sz="8" w:color="95B3D7"/>
            </w:tcBorders>
          </w:tcPr>
          <w:p>
            <w:pPr>
              <w:jc w:val="right"/>
              <w:ind w:right="406"/>
              <w:spacing w:after="0" w:line="109" w:lineRule="exact"/>
              <w:rPr>
                <w:sz w:val="20"/>
                <w:szCs w:val="20"/>
                <w:color w:val="auto"/>
              </w:rPr>
            </w:pPr>
            <w:r>
              <w:rPr>
                <w:rFonts w:ascii="Arial" w:cs="Arial" w:eastAsia="Arial" w:hAnsi="Arial"/>
                <w:sz w:val="11"/>
                <w:szCs w:val="11"/>
                <w:b w:val="1"/>
                <w:bCs w:val="1"/>
                <w:color w:val="auto"/>
              </w:rPr>
              <w:t>(#)</w:t>
            </w:r>
          </w:p>
        </w:tc>
        <w:tc>
          <w:tcPr>
            <w:tcW w:w="720" w:type="dxa"/>
            <w:vAlign w:val="bottom"/>
          </w:tcPr>
          <w:p>
            <w:pPr>
              <w:jc w:val="center"/>
              <w:spacing w:after="0"/>
              <w:rPr>
                <w:sz w:val="20"/>
                <w:szCs w:val="20"/>
                <w:color w:val="auto"/>
              </w:rPr>
            </w:pPr>
            <w:r>
              <w:rPr>
                <w:rFonts w:ascii="Arial" w:cs="Arial" w:eastAsia="Arial" w:hAnsi="Arial"/>
                <w:sz w:val="9"/>
                <w:szCs w:val="9"/>
                <w:b w:val="1"/>
                <w:bCs w:val="1"/>
                <w:color w:val="auto"/>
              </w:rPr>
              <w:t>(#)</w:t>
            </w:r>
          </w:p>
        </w:tc>
        <w:tc>
          <w:tcPr>
            <w:tcW w:w="820" w:type="dxa"/>
            <w:vAlign w:val="bottom"/>
          </w:tcPr>
          <w:p>
            <w:pPr>
              <w:jc w:val="center"/>
              <w:spacing w:after="0"/>
              <w:rPr>
                <w:sz w:val="20"/>
                <w:szCs w:val="20"/>
                <w:color w:val="auto"/>
              </w:rPr>
            </w:pPr>
            <w:r>
              <w:rPr>
                <w:rFonts w:ascii="Arial" w:cs="Arial" w:eastAsia="Arial" w:hAnsi="Arial"/>
                <w:sz w:val="9"/>
                <w:szCs w:val="9"/>
                <w:b w:val="1"/>
                <w:bCs w:val="1"/>
                <w:color w:val="auto"/>
                <w:w w:val="90"/>
              </w:rPr>
              <w:t>(#)</w:t>
            </w:r>
          </w:p>
        </w:tc>
        <w:tc>
          <w:tcPr>
            <w:tcW w:w="600" w:type="dxa"/>
            <w:vAlign w:val="bottom"/>
          </w:tcPr>
          <w:p>
            <w:pPr>
              <w:jc w:val="center"/>
              <w:spacing w:after="0"/>
              <w:rPr>
                <w:sz w:val="20"/>
                <w:szCs w:val="20"/>
                <w:color w:val="auto"/>
              </w:rPr>
            </w:pPr>
            <w:r>
              <w:rPr>
                <w:rFonts w:ascii="Arial" w:cs="Arial" w:eastAsia="Arial" w:hAnsi="Arial"/>
                <w:sz w:val="9"/>
                <w:szCs w:val="9"/>
                <w:b w:val="1"/>
                <w:bCs w:val="1"/>
                <w:color w:val="auto"/>
                <w:w w:val="95"/>
              </w:rPr>
              <w:t>($/Sh)</w:t>
            </w:r>
          </w:p>
        </w:tc>
        <w:tc>
          <w:tcPr>
            <w:tcW w:w="1480" w:type="dxa"/>
            <w:vAlign w:val="bottom"/>
          </w:tcPr>
          <w:p>
            <w:pPr>
              <w:jc w:val="center"/>
              <w:spacing w:after="0"/>
              <w:rPr>
                <w:sz w:val="20"/>
                <w:szCs w:val="20"/>
                <w:color w:val="auto"/>
              </w:rPr>
            </w:pPr>
            <w:r>
              <w:rPr>
                <w:rFonts w:ascii="Arial" w:cs="Arial" w:eastAsia="Arial" w:hAnsi="Arial"/>
                <w:sz w:val="9"/>
                <w:szCs w:val="9"/>
                <w:b w:val="1"/>
                <w:bCs w:val="1"/>
                <w:color w:val="auto"/>
                <w:w w:val="90"/>
              </w:rPr>
              <w:t>($)</w:t>
            </w:r>
          </w:p>
        </w:tc>
        <w:tc>
          <w:tcPr>
            <w:tcW w:w="0" w:type="dxa"/>
            <w:vAlign w:val="bottom"/>
          </w:tcPr>
          <w:p>
            <w:pPr>
              <w:spacing w:after="0"/>
              <w:rPr>
                <w:sz w:val="1"/>
                <w:szCs w:val="1"/>
                <w:color w:val="auto"/>
              </w:rPr>
            </w:pPr>
          </w:p>
        </w:tc>
      </w:tr>
      <w:tr>
        <w:trPr>
          <w:trHeight w:val="196"/>
        </w:trPr>
        <w:tc>
          <w:tcPr>
            <w:tcW w:w="1160" w:type="dxa"/>
            <w:vAlign w:val="bottom"/>
            <w:tcBorders>
              <w:right w:val="single" w:sz="8" w:color="95B3D7"/>
            </w:tcBorders>
          </w:tcPr>
          <w:p>
            <w:pPr>
              <w:ind w:left="500"/>
              <w:spacing w:after="0"/>
              <w:rPr>
                <w:sz w:val="20"/>
                <w:szCs w:val="20"/>
                <w:color w:val="auto"/>
              </w:rPr>
            </w:pPr>
            <w:r>
              <w:rPr>
                <w:rFonts w:ascii="Arial" w:cs="Arial" w:eastAsia="Arial" w:hAnsi="Arial"/>
                <w:sz w:val="11"/>
                <w:szCs w:val="11"/>
                <w:b w:val="1"/>
                <w:bCs w:val="1"/>
                <w:color w:val="auto"/>
              </w:rPr>
              <w:t>(a)</w:t>
            </w:r>
          </w:p>
        </w:tc>
        <w:tc>
          <w:tcPr>
            <w:tcW w:w="1140" w:type="dxa"/>
            <w:vAlign w:val="bottom"/>
            <w:tcBorders>
              <w:right w:val="single" w:sz="8" w:color="95B3D7"/>
            </w:tcBorders>
          </w:tcPr>
          <w:p>
            <w:pPr>
              <w:jc w:val="center"/>
              <w:spacing w:after="0"/>
              <w:rPr>
                <w:sz w:val="20"/>
                <w:szCs w:val="20"/>
                <w:color w:val="auto"/>
              </w:rPr>
            </w:pPr>
            <w:r>
              <w:rPr>
                <w:rFonts w:ascii="Arial" w:cs="Arial" w:eastAsia="Arial" w:hAnsi="Arial"/>
                <w:sz w:val="11"/>
                <w:szCs w:val="11"/>
                <w:b w:val="1"/>
                <w:bCs w:val="1"/>
                <w:color w:val="auto"/>
                <w:w w:val="99"/>
              </w:rPr>
              <w:t>(b)</w:t>
            </w:r>
          </w:p>
        </w:tc>
        <w:tc>
          <w:tcPr>
            <w:tcW w:w="720" w:type="dxa"/>
            <w:vAlign w:val="bottom"/>
            <w:tcBorders>
              <w:right w:val="single" w:sz="8" w:color="95B3D7"/>
            </w:tcBorders>
          </w:tcPr>
          <w:p>
            <w:pPr>
              <w:jc w:val="right"/>
              <w:ind w:right="247"/>
              <w:spacing w:after="0"/>
              <w:rPr>
                <w:sz w:val="20"/>
                <w:szCs w:val="20"/>
                <w:color w:val="auto"/>
              </w:rPr>
            </w:pPr>
            <w:r>
              <w:rPr>
                <w:rFonts w:ascii="Arial" w:cs="Arial" w:eastAsia="Arial" w:hAnsi="Arial"/>
                <w:sz w:val="11"/>
                <w:szCs w:val="11"/>
                <w:b w:val="1"/>
                <w:bCs w:val="1"/>
                <w:color w:val="auto"/>
              </w:rPr>
              <w:t>(c)</w:t>
            </w:r>
          </w:p>
        </w:tc>
        <w:tc>
          <w:tcPr>
            <w:tcW w:w="820" w:type="dxa"/>
            <w:vAlign w:val="bottom"/>
            <w:tcBorders>
              <w:right w:val="single" w:sz="8" w:color="95B3D7"/>
            </w:tcBorders>
          </w:tcPr>
          <w:p>
            <w:pPr>
              <w:jc w:val="right"/>
              <w:ind w:right="306"/>
              <w:spacing w:after="0"/>
              <w:rPr>
                <w:sz w:val="20"/>
                <w:szCs w:val="20"/>
                <w:color w:val="auto"/>
              </w:rPr>
            </w:pPr>
            <w:r>
              <w:rPr>
                <w:rFonts w:ascii="Arial" w:cs="Arial" w:eastAsia="Arial" w:hAnsi="Arial"/>
                <w:sz w:val="11"/>
                <w:szCs w:val="11"/>
                <w:b w:val="1"/>
                <w:bCs w:val="1"/>
                <w:color w:val="auto"/>
              </w:rPr>
              <w:t>(d)</w:t>
            </w:r>
          </w:p>
        </w:tc>
        <w:tc>
          <w:tcPr>
            <w:tcW w:w="1060" w:type="dxa"/>
            <w:vAlign w:val="bottom"/>
            <w:tcBorders>
              <w:right w:val="single" w:sz="8" w:color="95B3D7"/>
            </w:tcBorders>
          </w:tcPr>
          <w:p>
            <w:pPr>
              <w:jc w:val="right"/>
              <w:ind w:right="426"/>
              <w:spacing w:after="0"/>
              <w:rPr>
                <w:sz w:val="20"/>
                <w:szCs w:val="20"/>
                <w:color w:val="auto"/>
              </w:rPr>
            </w:pPr>
            <w:r>
              <w:rPr>
                <w:rFonts w:ascii="Arial" w:cs="Arial" w:eastAsia="Arial" w:hAnsi="Arial"/>
                <w:sz w:val="11"/>
                <w:szCs w:val="11"/>
                <w:b w:val="1"/>
                <w:bCs w:val="1"/>
                <w:color w:val="auto"/>
              </w:rPr>
              <w:t>(e)</w:t>
            </w:r>
          </w:p>
        </w:tc>
        <w:tc>
          <w:tcPr>
            <w:tcW w:w="840" w:type="dxa"/>
            <w:vAlign w:val="bottom"/>
            <w:tcBorders>
              <w:right w:val="single" w:sz="8" w:color="95B3D7"/>
            </w:tcBorders>
          </w:tcPr>
          <w:p>
            <w:pPr>
              <w:jc w:val="center"/>
              <w:spacing w:after="0"/>
              <w:rPr>
                <w:sz w:val="20"/>
                <w:szCs w:val="20"/>
                <w:color w:val="auto"/>
              </w:rPr>
            </w:pPr>
            <w:r>
              <w:rPr>
                <w:rFonts w:ascii="Arial" w:cs="Arial" w:eastAsia="Arial" w:hAnsi="Arial"/>
                <w:sz w:val="11"/>
                <w:szCs w:val="11"/>
                <w:b w:val="1"/>
                <w:bCs w:val="1"/>
                <w:color w:val="auto"/>
                <w:w w:val="90"/>
              </w:rPr>
              <w:t>(f)</w:t>
            </w:r>
          </w:p>
        </w:tc>
        <w:tc>
          <w:tcPr>
            <w:tcW w:w="840" w:type="dxa"/>
            <w:vAlign w:val="bottom"/>
            <w:tcBorders>
              <w:right w:val="single" w:sz="8" w:color="95B3D7"/>
            </w:tcBorders>
          </w:tcPr>
          <w:p>
            <w:pPr>
              <w:jc w:val="center"/>
              <w:spacing w:after="0"/>
              <w:rPr>
                <w:sz w:val="20"/>
                <w:szCs w:val="20"/>
                <w:color w:val="auto"/>
              </w:rPr>
            </w:pPr>
            <w:r>
              <w:rPr>
                <w:rFonts w:ascii="Arial" w:cs="Arial" w:eastAsia="Arial" w:hAnsi="Arial"/>
                <w:sz w:val="11"/>
                <w:szCs w:val="11"/>
                <w:b w:val="1"/>
                <w:bCs w:val="1"/>
                <w:color w:val="auto"/>
                <w:w w:val="99"/>
              </w:rPr>
              <w:t>(g)</w:t>
            </w:r>
          </w:p>
        </w:tc>
        <w:tc>
          <w:tcPr>
            <w:tcW w:w="1040" w:type="dxa"/>
            <w:vAlign w:val="bottom"/>
            <w:tcBorders>
              <w:right w:val="single" w:sz="8" w:color="95B3D7"/>
            </w:tcBorders>
          </w:tcPr>
          <w:p>
            <w:pPr>
              <w:jc w:val="right"/>
              <w:ind w:right="406"/>
              <w:spacing w:after="0"/>
              <w:rPr>
                <w:sz w:val="20"/>
                <w:szCs w:val="20"/>
                <w:color w:val="auto"/>
              </w:rPr>
            </w:pPr>
            <w:r>
              <w:rPr>
                <w:rFonts w:ascii="Arial" w:cs="Arial" w:eastAsia="Arial" w:hAnsi="Arial"/>
                <w:sz w:val="11"/>
                <w:szCs w:val="11"/>
                <w:b w:val="1"/>
                <w:bCs w:val="1"/>
                <w:color w:val="auto"/>
              </w:rPr>
              <w:t>(h)</w:t>
            </w:r>
          </w:p>
        </w:tc>
        <w:tc>
          <w:tcPr>
            <w:tcW w:w="720" w:type="dxa"/>
            <w:vAlign w:val="bottom"/>
          </w:tcPr>
          <w:p>
            <w:pPr>
              <w:jc w:val="center"/>
              <w:spacing w:after="0"/>
              <w:rPr>
                <w:sz w:val="20"/>
                <w:szCs w:val="20"/>
                <w:color w:val="auto"/>
              </w:rPr>
            </w:pPr>
            <w:r>
              <w:rPr>
                <w:rFonts w:ascii="Arial" w:cs="Arial" w:eastAsia="Arial" w:hAnsi="Arial"/>
                <w:sz w:val="9"/>
                <w:szCs w:val="9"/>
                <w:b w:val="1"/>
                <w:bCs w:val="1"/>
                <w:color w:val="auto"/>
                <w:w w:val="93"/>
              </w:rPr>
              <w:t>(i)</w:t>
            </w:r>
          </w:p>
        </w:tc>
        <w:tc>
          <w:tcPr>
            <w:tcW w:w="820" w:type="dxa"/>
            <w:vAlign w:val="bottom"/>
          </w:tcPr>
          <w:p>
            <w:pPr>
              <w:jc w:val="center"/>
              <w:spacing w:after="0"/>
              <w:rPr>
                <w:sz w:val="20"/>
                <w:szCs w:val="20"/>
                <w:color w:val="auto"/>
              </w:rPr>
            </w:pPr>
            <w:r>
              <w:rPr>
                <w:rFonts w:ascii="Arial" w:cs="Arial" w:eastAsia="Arial" w:hAnsi="Arial"/>
                <w:sz w:val="9"/>
                <w:szCs w:val="9"/>
                <w:b w:val="1"/>
                <w:bCs w:val="1"/>
                <w:color w:val="auto"/>
              </w:rPr>
              <w:t>(j)</w:t>
            </w:r>
          </w:p>
        </w:tc>
        <w:tc>
          <w:tcPr>
            <w:tcW w:w="600" w:type="dxa"/>
            <w:vAlign w:val="bottom"/>
          </w:tcPr>
          <w:p>
            <w:pPr>
              <w:jc w:val="center"/>
              <w:spacing w:after="0"/>
              <w:rPr>
                <w:sz w:val="20"/>
                <w:szCs w:val="20"/>
                <w:color w:val="auto"/>
              </w:rPr>
            </w:pPr>
            <w:r>
              <w:rPr>
                <w:rFonts w:ascii="Arial" w:cs="Arial" w:eastAsia="Arial" w:hAnsi="Arial"/>
                <w:sz w:val="9"/>
                <w:szCs w:val="9"/>
                <w:b w:val="1"/>
                <w:bCs w:val="1"/>
                <w:color w:val="auto"/>
              </w:rPr>
              <w:t>(k)</w:t>
            </w:r>
          </w:p>
        </w:tc>
        <w:tc>
          <w:tcPr>
            <w:tcW w:w="1480" w:type="dxa"/>
            <w:vAlign w:val="bottom"/>
          </w:tcPr>
          <w:p>
            <w:pPr>
              <w:jc w:val="center"/>
              <w:spacing w:after="0"/>
              <w:rPr>
                <w:sz w:val="20"/>
                <w:szCs w:val="20"/>
                <w:color w:val="auto"/>
              </w:rPr>
            </w:pPr>
            <w:r>
              <w:rPr>
                <w:rFonts w:ascii="Arial" w:cs="Arial" w:eastAsia="Arial" w:hAnsi="Arial"/>
                <w:sz w:val="9"/>
                <w:szCs w:val="9"/>
                <w:b w:val="1"/>
                <w:bCs w:val="1"/>
                <w:color w:val="auto"/>
              </w:rPr>
              <w:t>(l)</w:t>
            </w:r>
          </w:p>
        </w:tc>
        <w:tc>
          <w:tcPr>
            <w:tcW w:w="0" w:type="dxa"/>
            <w:vAlign w:val="bottom"/>
          </w:tcPr>
          <w:p>
            <w:pPr>
              <w:spacing w:after="0"/>
              <w:rPr>
                <w:sz w:val="1"/>
                <w:szCs w:val="1"/>
                <w:color w:val="auto"/>
              </w:rPr>
            </w:pPr>
          </w:p>
        </w:tc>
      </w:tr>
      <w:tr>
        <w:trPr>
          <w:trHeight w:val="161"/>
        </w:trPr>
        <w:tc>
          <w:tcPr>
            <w:tcW w:w="1160" w:type="dxa"/>
            <w:vAlign w:val="bottom"/>
            <w:tcBorders>
              <w:top w:val="single" w:sz="8" w:color="auto"/>
              <w:right w:val="single" w:sz="8" w:color="95B3D7"/>
            </w:tcBorders>
            <w:shd w:val="clear" w:color="auto" w:fill="DBE5F1"/>
          </w:tcPr>
          <w:p>
            <w:pPr>
              <w:ind w:left="20"/>
              <w:spacing w:after="0"/>
              <w:rPr>
                <w:sz w:val="20"/>
                <w:szCs w:val="20"/>
                <w:color w:val="auto"/>
              </w:rPr>
            </w:pPr>
            <w:r>
              <w:rPr>
                <w:rFonts w:ascii="Arial" w:cs="Arial" w:eastAsia="Arial" w:hAnsi="Arial"/>
                <w:sz w:val="11"/>
                <w:szCs w:val="11"/>
                <w:b w:val="1"/>
                <w:bCs w:val="1"/>
                <w:color w:val="auto"/>
              </w:rPr>
              <w:t>John Kao</w:t>
            </w:r>
          </w:p>
        </w:tc>
        <w:tc>
          <w:tcPr>
            <w:tcW w:w="1140" w:type="dxa"/>
            <w:vAlign w:val="bottom"/>
            <w:tcBorders>
              <w:top w:val="single" w:sz="8" w:color="auto"/>
              <w:right w:val="single" w:sz="8" w:color="95B3D7"/>
            </w:tcBorders>
            <w:shd w:val="clear" w:color="auto" w:fill="DBE5F1"/>
          </w:tcPr>
          <w:p>
            <w:pPr>
              <w:spacing w:after="0"/>
              <w:rPr>
                <w:sz w:val="14"/>
                <w:szCs w:val="14"/>
                <w:color w:val="auto"/>
              </w:rPr>
            </w:pPr>
          </w:p>
        </w:tc>
        <w:tc>
          <w:tcPr>
            <w:tcW w:w="720" w:type="dxa"/>
            <w:vAlign w:val="bottom"/>
            <w:tcBorders>
              <w:top w:val="single" w:sz="8" w:color="auto"/>
              <w:right w:val="single" w:sz="8" w:color="95B3D7"/>
            </w:tcBorders>
            <w:shd w:val="clear" w:color="auto" w:fill="DBE5F1"/>
          </w:tcPr>
          <w:p>
            <w:pPr>
              <w:spacing w:after="0"/>
              <w:rPr>
                <w:sz w:val="14"/>
                <w:szCs w:val="14"/>
                <w:color w:val="auto"/>
              </w:rPr>
            </w:pPr>
          </w:p>
        </w:tc>
        <w:tc>
          <w:tcPr>
            <w:tcW w:w="820" w:type="dxa"/>
            <w:vAlign w:val="bottom"/>
            <w:tcBorders>
              <w:top w:val="single" w:sz="8" w:color="auto"/>
              <w:right w:val="single" w:sz="8" w:color="95B3D7"/>
            </w:tcBorders>
            <w:shd w:val="clear" w:color="auto" w:fill="DBE5F1"/>
          </w:tcPr>
          <w:p>
            <w:pPr>
              <w:spacing w:after="0"/>
              <w:rPr>
                <w:sz w:val="14"/>
                <w:szCs w:val="14"/>
                <w:color w:val="auto"/>
              </w:rPr>
            </w:pPr>
          </w:p>
        </w:tc>
        <w:tc>
          <w:tcPr>
            <w:tcW w:w="1060" w:type="dxa"/>
            <w:vAlign w:val="bottom"/>
            <w:tcBorders>
              <w:top w:val="single" w:sz="8" w:color="auto"/>
              <w:right w:val="single" w:sz="8" w:color="95B3D7"/>
            </w:tcBorders>
            <w:shd w:val="clear" w:color="auto" w:fill="DBE5F1"/>
          </w:tcPr>
          <w:p>
            <w:pPr>
              <w:spacing w:after="0"/>
              <w:rPr>
                <w:sz w:val="14"/>
                <w:szCs w:val="14"/>
                <w:color w:val="auto"/>
              </w:rPr>
            </w:pPr>
          </w:p>
        </w:tc>
        <w:tc>
          <w:tcPr>
            <w:tcW w:w="840" w:type="dxa"/>
            <w:vAlign w:val="bottom"/>
            <w:tcBorders>
              <w:top w:val="single" w:sz="8" w:color="auto"/>
              <w:right w:val="single" w:sz="8" w:color="95B3D7"/>
            </w:tcBorders>
            <w:shd w:val="clear" w:color="auto" w:fill="DBE5F1"/>
          </w:tcPr>
          <w:p>
            <w:pPr>
              <w:spacing w:after="0"/>
              <w:rPr>
                <w:sz w:val="14"/>
                <w:szCs w:val="14"/>
                <w:color w:val="auto"/>
              </w:rPr>
            </w:pPr>
          </w:p>
        </w:tc>
        <w:tc>
          <w:tcPr>
            <w:tcW w:w="840" w:type="dxa"/>
            <w:vAlign w:val="bottom"/>
            <w:tcBorders>
              <w:top w:val="single" w:sz="8" w:color="auto"/>
              <w:right w:val="single" w:sz="8" w:color="95B3D7"/>
            </w:tcBorders>
            <w:shd w:val="clear" w:color="auto" w:fill="DBE5F1"/>
          </w:tcPr>
          <w:p>
            <w:pPr>
              <w:spacing w:after="0"/>
              <w:rPr>
                <w:sz w:val="14"/>
                <w:szCs w:val="14"/>
                <w:color w:val="auto"/>
              </w:rPr>
            </w:pPr>
          </w:p>
        </w:tc>
        <w:tc>
          <w:tcPr>
            <w:tcW w:w="1040" w:type="dxa"/>
            <w:vAlign w:val="bottom"/>
            <w:tcBorders>
              <w:top w:val="single" w:sz="8" w:color="auto"/>
              <w:right w:val="single" w:sz="8" w:color="95B3D7"/>
            </w:tcBorders>
            <w:shd w:val="clear" w:color="auto" w:fill="DBE5F1"/>
          </w:tcPr>
          <w:p>
            <w:pPr>
              <w:spacing w:after="0"/>
              <w:rPr>
                <w:sz w:val="14"/>
                <w:szCs w:val="14"/>
                <w:color w:val="auto"/>
              </w:rPr>
            </w:pPr>
          </w:p>
        </w:tc>
        <w:tc>
          <w:tcPr>
            <w:tcW w:w="720" w:type="dxa"/>
            <w:vAlign w:val="bottom"/>
            <w:tcBorders>
              <w:top w:val="single" w:sz="8" w:color="auto"/>
              <w:right w:val="single" w:sz="8" w:color="95B3D7"/>
            </w:tcBorders>
            <w:shd w:val="clear" w:color="auto" w:fill="DBE5F1"/>
          </w:tcPr>
          <w:p>
            <w:pPr>
              <w:spacing w:after="0"/>
              <w:rPr>
                <w:sz w:val="14"/>
                <w:szCs w:val="14"/>
                <w:color w:val="auto"/>
              </w:rPr>
            </w:pPr>
          </w:p>
        </w:tc>
        <w:tc>
          <w:tcPr>
            <w:tcW w:w="820" w:type="dxa"/>
            <w:vAlign w:val="bottom"/>
            <w:tcBorders>
              <w:top w:val="single" w:sz="8" w:color="auto"/>
              <w:right w:val="single" w:sz="8" w:color="95B3D7"/>
            </w:tcBorders>
            <w:shd w:val="clear" w:color="auto" w:fill="DBE5F1"/>
          </w:tcPr>
          <w:p>
            <w:pPr>
              <w:spacing w:after="0"/>
              <w:rPr>
                <w:sz w:val="14"/>
                <w:szCs w:val="14"/>
                <w:color w:val="auto"/>
              </w:rPr>
            </w:pPr>
          </w:p>
        </w:tc>
        <w:tc>
          <w:tcPr>
            <w:tcW w:w="600" w:type="dxa"/>
            <w:vAlign w:val="bottom"/>
            <w:tcBorders>
              <w:top w:val="single" w:sz="8" w:color="auto"/>
              <w:right w:val="single" w:sz="8" w:color="95B3D7"/>
            </w:tcBorders>
            <w:shd w:val="clear" w:color="auto" w:fill="DBE5F1"/>
          </w:tcPr>
          <w:p>
            <w:pPr>
              <w:spacing w:after="0"/>
              <w:rPr>
                <w:sz w:val="14"/>
                <w:szCs w:val="14"/>
                <w:color w:val="auto"/>
              </w:rPr>
            </w:pPr>
          </w:p>
        </w:tc>
        <w:tc>
          <w:tcPr>
            <w:tcW w:w="1480" w:type="dxa"/>
            <w:vAlign w:val="bottom"/>
            <w:tcBorders>
              <w:top w:val="single" w:sz="8" w:color="auto"/>
            </w:tcBorders>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16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1"/>
                <w:szCs w:val="11"/>
                <w:color w:val="auto"/>
              </w:rPr>
              <w:t>AIP</w:t>
            </w:r>
            <w:r>
              <w:rPr>
                <w:rFonts w:ascii="Arial" w:cs="Arial" w:eastAsia="Arial" w:hAnsi="Arial"/>
                <w:sz w:val="14"/>
                <w:szCs w:val="14"/>
                <w:color w:val="auto"/>
                <w:vertAlign w:val="superscript"/>
              </w:rPr>
              <w:t>(1)</w:t>
            </w:r>
          </w:p>
        </w:tc>
        <w:tc>
          <w:tcPr>
            <w:tcW w:w="114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471,832</w:t>
            </w:r>
          </w:p>
        </w:tc>
        <w:tc>
          <w:tcPr>
            <w:tcW w:w="8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943,664</w:t>
            </w:r>
          </w:p>
        </w:tc>
        <w:tc>
          <w:tcPr>
            <w:tcW w:w="106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1,887,328</w:t>
            </w:r>
          </w:p>
        </w:tc>
        <w:tc>
          <w:tcPr>
            <w:tcW w:w="8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right w:val="single" w:sz="8" w:color="95B3D7"/>
            </w:tcBorders>
            <w:shd w:val="clear" w:color="auto" w:fill="DBE5F1"/>
          </w:tcPr>
          <w:p>
            <w:pPr>
              <w:ind w:left="680"/>
              <w:spacing w:after="0"/>
              <w:rPr>
                <w:sz w:val="20"/>
                <w:szCs w:val="20"/>
                <w:color w:val="auto"/>
              </w:rPr>
            </w:pPr>
            <w:r>
              <w:rPr>
                <w:rFonts w:ascii="Arial" w:cs="Arial" w:eastAsia="Arial" w:hAnsi="Arial"/>
                <w:sz w:val="11"/>
                <w:szCs w:val="11"/>
                <w:color w:val="auto"/>
                <w:w w:val="90"/>
              </w:rPr>
              <w:t>—</w:t>
            </w:r>
          </w:p>
        </w:tc>
        <w:tc>
          <w:tcPr>
            <w:tcW w:w="60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1"/>
                <w:szCs w:val="11"/>
                <w:color w:val="auto"/>
                <w:w w:val="90"/>
              </w:rPr>
              <w:t>—</w:t>
            </w:r>
          </w:p>
        </w:tc>
        <w:tc>
          <w:tcPr>
            <w:tcW w:w="1480" w:type="dxa"/>
            <w:vAlign w:val="bottom"/>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16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1"/>
                <w:szCs w:val="11"/>
                <w:color w:val="auto"/>
              </w:rPr>
              <w:t>RSU Award</w:t>
            </w:r>
            <w:r>
              <w:rPr>
                <w:rFonts w:ascii="Arial" w:cs="Arial" w:eastAsia="Arial" w:hAnsi="Arial"/>
                <w:sz w:val="14"/>
                <w:szCs w:val="14"/>
                <w:color w:val="auto"/>
                <w:vertAlign w:val="superscript"/>
              </w:rPr>
              <w:t>(2)</w:t>
            </w:r>
          </w:p>
        </w:tc>
        <w:tc>
          <w:tcPr>
            <w:tcW w:w="114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1"/>
                <w:szCs w:val="11"/>
                <w:color w:val="auto"/>
                <w:w w:val="97"/>
              </w:rPr>
              <w:t>3/13/2024</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330,000</w:t>
            </w:r>
          </w:p>
        </w:tc>
        <w:tc>
          <w:tcPr>
            <w:tcW w:w="820" w:type="dxa"/>
            <w:vAlign w:val="bottom"/>
            <w:tcBorders>
              <w:right w:val="single" w:sz="8" w:color="95B3D7"/>
            </w:tcBorders>
            <w:shd w:val="clear" w:color="auto" w:fill="DBE5F1"/>
          </w:tcPr>
          <w:p>
            <w:pPr>
              <w:ind w:left="680"/>
              <w:spacing w:after="0"/>
              <w:rPr>
                <w:sz w:val="20"/>
                <w:szCs w:val="20"/>
                <w:color w:val="auto"/>
              </w:rPr>
            </w:pPr>
            <w:r>
              <w:rPr>
                <w:rFonts w:ascii="Arial" w:cs="Arial" w:eastAsia="Arial" w:hAnsi="Arial"/>
                <w:sz w:val="11"/>
                <w:szCs w:val="11"/>
                <w:color w:val="auto"/>
                <w:w w:val="90"/>
              </w:rPr>
              <w:t>—</w:t>
            </w:r>
          </w:p>
        </w:tc>
        <w:tc>
          <w:tcPr>
            <w:tcW w:w="60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1"/>
                <w:szCs w:val="11"/>
                <w:color w:val="auto"/>
                <w:w w:val="90"/>
              </w:rPr>
              <w:t>—</w:t>
            </w:r>
          </w:p>
        </w:tc>
        <w:tc>
          <w:tcPr>
            <w:tcW w:w="1480" w:type="dxa"/>
            <w:vAlign w:val="bottom"/>
            <w:shd w:val="clear" w:color="auto" w:fill="DBE5F1"/>
          </w:tcPr>
          <w:p>
            <w:pPr>
              <w:jc w:val="right"/>
              <w:spacing w:after="0"/>
              <w:rPr>
                <w:sz w:val="20"/>
                <w:szCs w:val="20"/>
                <w:color w:val="auto"/>
              </w:rPr>
            </w:pPr>
            <w:r>
              <w:rPr>
                <w:rFonts w:ascii="Arial" w:cs="Arial" w:eastAsia="Arial" w:hAnsi="Arial"/>
                <w:sz w:val="11"/>
                <w:szCs w:val="11"/>
                <w:color w:val="auto"/>
              </w:rPr>
              <w:t>1,650,000</w:t>
            </w:r>
          </w:p>
        </w:tc>
        <w:tc>
          <w:tcPr>
            <w:tcW w:w="0" w:type="dxa"/>
            <w:vAlign w:val="bottom"/>
          </w:tcPr>
          <w:p>
            <w:pPr>
              <w:spacing w:after="0"/>
              <w:rPr>
                <w:sz w:val="1"/>
                <w:szCs w:val="1"/>
                <w:color w:val="auto"/>
              </w:rPr>
            </w:pPr>
          </w:p>
        </w:tc>
      </w:tr>
      <w:tr>
        <w:trPr>
          <w:trHeight w:val="189"/>
        </w:trPr>
        <w:tc>
          <w:tcPr>
            <w:tcW w:w="116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1"/>
                <w:szCs w:val="11"/>
                <w:color w:val="auto"/>
              </w:rPr>
              <w:t>PSU Award</w:t>
            </w:r>
            <w:r>
              <w:rPr>
                <w:rFonts w:ascii="Arial" w:cs="Arial" w:eastAsia="Arial" w:hAnsi="Arial"/>
                <w:sz w:val="14"/>
                <w:szCs w:val="14"/>
                <w:color w:val="auto"/>
                <w:vertAlign w:val="superscript"/>
              </w:rPr>
              <w:t>(2)</w:t>
            </w:r>
          </w:p>
        </w:tc>
        <w:tc>
          <w:tcPr>
            <w:tcW w:w="114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1"/>
                <w:szCs w:val="11"/>
                <w:color w:val="auto"/>
                <w:w w:val="97"/>
              </w:rPr>
              <w:t>3/13/2024</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165,000</w:t>
            </w:r>
          </w:p>
        </w:tc>
        <w:tc>
          <w:tcPr>
            <w:tcW w:w="8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330,000</w:t>
            </w:r>
          </w:p>
        </w:tc>
        <w:tc>
          <w:tcPr>
            <w:tcW w:w="10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660,000</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right w:val="single" w:sz="8" w:color="95B3D7"/>
            </w:tcBorders>
            <w:shd w:val="clear" w:color="auto" w:fill="DBE5F1"/>
          </w:tcPr>
          <w:p>
            <w:pPr>
              <w:ind w:left="680"/>
              <w:spacing w:after="0"/>
              <w:rPr>
                <w:sz w:val="20"/>
                <w:szCs w:val="20"/>
                <w:color w:val="auto"/>
              </w:rPr>
            </w:pPr>
            <w:r>
              <w:rPr>
                <w:rFonts w:ascii="Arial" w:cs="Arial" w:eastAsia="Arial" w:hAnsi="Arial"/>
                <w:sz w:val="11"/>
                <w:szCs w:val="11"/>
                <w:color w:val="auto"/>
                <w:w w:val="90"/>
              </w:rPr>
              <w:t>—</w:t>
            </w:r>
          </w:p>
        </w:tc>
        <w:tc>
          <w:tcPr>
            <w:tcW w:w="60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1"/>
                <w:szCs w:val="11"/>
                <w:color w:val="auto"/>
                <w:w w:val="90"/>
              </w:rPr>
              <w:t>—</w:t>
            </w:r>
          </w:p>
        </w:tc>
        <w:tc>
          <w:tcPr>
            <w:tcW w:w="1480" w:type="dxa"/>
            <w:vAlign w:val="bottom"/>
            <w:shd w:val="clear" w:color="auto" w:fill="DBE5F1"/>
          </w:tcPr>
          <w:p>
            <w:pPr>
              <w:jc w:val="right"/>
              <w:spacing w:after="0"/>
              <w:rPr>
                <w:sz w:val="20"/>
                <w:szCs w:val="20"/>
                <w:color w:val="auto"/>
              </w:rPr>
            </w:pPr>
            <w:r>
              <w:rPr>
                <w:rFonts w:ascii="Arial" w:cs="Arial" w:eastAsia="Arial" w:hAnsi="Arial"/>
                <w:sz w:val="11"/>
                <w:szCs w:val="11"/>
                <w:color w:val="auto"/>
              </w:rPr>
              <w:t>1,650,000</w:t>
            </w:r>
          </w:p>
        </w:tc>
        <w:tc>
          <w:tcPr>
            <w:tcW w:w="0" w:type="dxa"/>
            <w:vAlign w:val="bottom"/>
          </w:tcPr>
          <w:p>
            <w:pPr>
              <w:spacing w:after="0"/>
              <w:rPr>
                <w:sz w:val="1"/>
                <w:szCs w:val="1"/>
                <w:color w:val="auto"/>
              </w:rPr>
            </w:pPr>
          </w:p>
        </w:tc>
      </w:tr>
      <w:tr>
        <w:trPr>
          <w:trHeight w:val="162"/>
        </w:trPr>
        <w:tc>
          <w:tcPr>
            <w:tcW w:w="1160" w:type="dxa"/>
            <w:vAlign w:val="bottom"/>
            <w:tcBorders>
              <w:right w:val="single" w:sz="8" w:color="95B3D7"/>
            </w:tcBorders>
          </w:tcPr>
          <w:p>
            <w:pPr>
              <w:ind w:left="20"/>
              <w:spacing w:after="0"/>
              <w:rPr>
                <w:sz w:val="20"/>
                <w:szCs w:val="20"/>
                <w:color w:val="auto"/>
              </w:rPr>
            </w:pPr>
            <w:r>
              <w:rPr>
                <w:rFonts w:ascii="Arial" w:cs="Arial" w:eastAsia="Arial" w:hAnsi="Arial"/>
                <w:sz w:val="11"/>
                <w:szCs w:val="11"/>
                <w:b w:val="1"/>
                <w:bCs w:val="1"/>
                <w:color w:val="auto"/>
              </w:rPr>
              <w:t>Thomas Freeman</w:t>
            </w:r>
          </w:p>
        </w:tc>
        <w:tc>
          <w:tcPr>
            <w:tcW w:w="1140" w:type="dxa"/>
            <w:vAlign w:val="bottom"/>
            <w:tcBorders>
              <w:right w:val="single" w:sz="8" w:color="95B3D7"/>
            </w:tcBorders>
          </w:tcPr>
          <w:p>
            <w:pPr>
              <w:spacing w:after="0"/>
              <w:rPr>
                <w:sz w:val="14"/>
                <w:szCs w:val="14"/>
                <w:color w:val="auto"/>
              </w:rPr>
            </w:pPr>
          </w:p>
        </w:tc>
        <w:tc>
          <w:tcPr>
            <w:tcW w:w="720" w:type="dxa"/>
            <w:vAlign w:val="bottom"/>
            <w:tcBorders>
              <w:right w:val="single" w:sz="8" w:color="95B3D7"/>
            </w:tcBorders>
          </w:tcPr>
          <w:p>
            <w:pPr>
              <w:spacing w:after="0"/>
              <w:rPr>
                <w:sz w:val="14"/>
                <w:szCs w:val="14"/>
                <w:color w:val="auto"/>
              </w:rPr>
            </w:pPr>
          </w:p>
        </w:tc>
        <w:tc>
          <w:tcPr>
            <w:tcW w:w="820" w:type="dxa"/>
            <w:vAlign w:val="bottom"/>
            <w:tcBorders>
              <w:right w:val="single" w:sz="8" w:color="95B3D7"/>
            </w:tcBorders>
          </w:tcPr>
          <w:p>
            <w:pPr>
              <w:spacing w:after="0"/>
              <w:rPr>
                <w:sz w:val="14"/>
                <w:szCs w:val="14"/>
                <w:color w:val="auto"/>
              </w:rPr>
            </w:pPr>
          </w:p>
        </w:tc>
        <w:tc>
          <w:tcPr>
            <w:tcW w:w="1060" w:type="dxa"/>
            <w:vAlign w:val="bottom"/>
            <w:tcBorders>
              <w:right w:val="single" w:sz="8" w:color="95B3D7"/>
            </w:tcBorders>
          </w:tcPr>
          <w:p>
            <w:pPr>
              <w:spacing w:after="0"/>
              <w:rPr>
                <w:sz w:val="14"/>
                <w:szCs w:val="14"/>
                <w:color w:val="auto"/>
              </w:rPr>
            </w:pPr>
          </w:p>
        </w:tc>
        <w:tc>
          <w:tcPr>
            <w:tcW w:w="840" w:type="dxa"/>
            <w:vAlign w:val="bottom"/>
            <w:tcBorders>
              <w:right w:val="single" w:sz="8" w:color="95B3D7"/>
            </w:tcBorders>
          </w:tcPr>
          <w:p>
            <w:pPr>
              <w:spacing w:after="0"/>
              <w:rPr>
                <w:sz w:val="14"/>
                <w:szCs w:val="14"/>
                <w:color w:val="auto"/>
              </w:rPr>
            </w:pPr>
          </w:p>
        </w:tc>
        <w:tc>
          <w:tcPr>
            <w:tcW w:w="840" w:type="dxa"/>
            <w:vAlign w:val="bottom"/>
            <w:tcBorders>
              <w:right w:val="single" w:sz="8" w:color="95B3D7"/>
            </w:tcBorders>
          </w:tcPr>
          <w:p>
            <w:pPr>
              <w:spacing w:after="0"/>
              <w:rPr>
                <w:sz w:val="14"/>
                <w:szCs w:val="14"/>
                <w:color w:val="auto"/>
              </w:rPr>
            </w:pPr>
          </w:p>
        </w:tc>
        <w:tc>
          <w:tcPr>
            <w:tcW w:w="1040" w:type="dxa"/>
            <w:vAlign w:val="bottom"/>
            <w:tcBorders>
              <w:right w:val="single" w:sz="8" w:color="95B3D7"/>
            </w:tcBorders>
          </w:tcPr>
          <w:p>
            <w:pPr>
              <w:spacing w:after="0"/>
              <w:rPr>
                <w:sz w:val="14"/>
                <w:szCs w:val="14"/>
                <w:color w:val="auto"/>
              </w:rPr>
            </w:pPr>
          </w:p>
        </w:tc>
        <w:tc>
          <w:tcPr>
            <w:tcW w:w="720" w:type="dxa"/>
            <w:vAlign w:val="bottom"/>
            <w:tcBorders>
              <w:right w:val="single" w:sz="8" w:color="95B3D7"/>
            </w:tcBorders>
          </w:tcPr>
          <w:p>
            <w:pPr>
              <w:spacing w:after="0"/>
              <w:rPr>
                <w:sz w:val="14"/>
                <w:szCs w:val="14"/>
                <w:color w:val="auto"/>
              </w:rPr>
            </w:pPr>
          </w:p>
        </w:tc>
        <w:tc>
          <w:tcPr>
            <w:tcW w:w="820" w:type="dxa"/>
            <w:vAlign w:val="bottom"/>
            <w:tcBorders>
              <w:right w:val="single" w:sz="8" w:color="95B3D7"/>
            </w:tcBorders>
          </w:tcPr>
          <w:p>
            <w:pPr>
              <w:spacing w:after="0"/>
              <w:rPr>
                <w:sz w:val="14"/>
                <w:szCs w:val="14"/>
                <w:color w:val="auto"/>
              </w:rPr>
            </w:pPr>
          </w:p>
        </w:tc>
        <w:tc>
          <w:tcPr>
            <w:tcW w:w="600" w:type="dxa"/>
            <w:vAlign w:val="bottom"/>
            <w:tcBorders>
              <w:right w:val="single" w:sz="8" w:color="95B3D7"/>
            </w:tcBorders>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160" w:type="dxa"/>
            <w:vAlign w:val="bottom"/>
            <w:tcBorders>
              <w:right w:val="single" w:sz="8" w:color="95B3D7"/>
            </w:tcBorders>
          </w:tcPr>
          <w:p>
            <w:pPr>
              <w:ind w:left="20"/>
              <w:spacing w:after="0"/>
              <w:rPr>
                <w:sz w:val="20"/>
                <w:szCs w:val="20"/>
                <w:color w:val="auto"/>
              </w:rPr>
            </w:pPr>
            <w:r>
              <w:rPr>
                <w:rFonts w:ascii="Arial" w:cs="Arial" w:eastAsia="Arial" w:hAnsi="Arial"/>
                <w:sz w:val="11"/>
                <w:szCs w:val="11"/>
                <w:color w:val="auto"/>
              </w:rPr>
              <w:t>AIP</w:t>
            </w:r>
            <w:r>
              <w:rPr>
                <w:rFonts w:ascii="Arial" w:cs="Arial" w:eastAsia="Arial" w:hAnsi="Arial"/>
                <w:sz w:val="14"/>
                <w:szCs w:val="14"/>
                <w:color w:val="auto"/>
                <w:vertAlign w:val="superscript"/>
              </w:rPr>
              <w:t>(1)</w:t>
            </w:r>
          </w:p>
        </w:tc>
        <w:tc>
          <w:tcPr>
            <w:tcW w:w="1140" w:type="dxa"/>
            <w:vAlign w:val="bottom"/>
            <w:tcBorders>
              <w:right w:val="single" w:sz="8" w:color="95B3D7"/>
            </w:tcBorders>
          </w:tcPr>
          <w:p>
            <w:pPr>
              <w:jc w:val="center"/>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240,942</w:t>
            </w:r>
          </w:p>
        </w:tc>
        <w:tc>
          <w:tcPr>
            <w:tcW w:w="8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481,885</w:t>
            </w:r>
          </w:p>
        </w:tc>
        <w:tc>
          <w:tcPr>
            <w:tcW w:w="106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963,770</w:t>
            </w:r>
          </w:p>
        </w:tc>
        <w:tc>
          <w:tcPr>
            <w:tcW w:w="8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right w:val="single" w:sz="8" w:color="95B3D7"/>
            </w:tcBorders>
          </w:tcPr>
          <w:p>
            <w:pPr>
              <w:ind w:left="680"/>
              <w:spacing w:after="0"/>
              <w:rPr>
                <w:sz w:val="20"/>
                <w:szCs w:val="20"/>
                <w:color w:val="auto"/>
              </w:rPr>
            </w:pPr>
            <w:r>
              <w:rPr>
                <w:rFonts w:ascii="Arial" w:cs="Arial" w:eastAsia="Arial" w:hAnsi="Arial"/>
                <w:sz w:val="11"/>
                <w:szCs w:val="11"/>
                <w:color w:val="auto"/>
                <w:w w:val="90"/>
              </w:rPr>
              <w:t>—</w:t>
            </w:r>
          </w:p>
        </w:tc>
        <w:tc>
          <w:tcPr>
            <w:tcW w:w="600" w:type="dxa"/>
            <w:vAlign w:val="bottom"/>
            <w:tcBorders>
              <w:right w:val="single" w:sz="8" w:color="95B3D7"/>
            </w:tcBorders>
          </w:tcPr>
          <w:p>
            <w:pPr>
              <w:ind w:left="460"/>
              <w:spacing w:after="0"/>
              <w:rPr>
                <w:sz w:val="20"/>
                <w:szCs w:val="20"/>
                <w:color w:val="auto"/>
              </w:rPr>
            </w:pPr>
            <w:r>
              <w:rPr>
                <w:rFonts w:ascii="Arial" w:cs="Arial" w:eastAsia="Arial" w:hAnsi="Arial"/>
                <w:sz w:val="11"/>
                <w:szCs w:val="11"/>
                <w:color w:val="auto"/>
                <w:w w:val="90"/>
              </w:rPr>
              <w:t>—</w:t>
            </w:r>
          </w:p>
        </w:tc>
        <w:tc>
          <w:tcPr>
            <w:tcW w:w="14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4"/>
        </w:trPr>
        <w:tc>
          <w:tcPr>
            <w:tcW w:w="1160" w:type="dxa"/>
            <w:vAlign w:val="bottom"/>
            <w:tcBorders>
              <w:right w:val="single" w:sz="8" w:color="95B3D7"/>
            </w:tcBorders>
          </w:tcPr>
          <w:p>
            <w:pPr>
              <w:ind w:left="20"/>
              <w:spacing w:after="0"/>
              <w:rPr>
                <w:sz w:val="20"/>
                <w:szCs w:val="20"/>
                <w:color w:val="auto"/>
              </w:rPr>
            </w:pPr>
            <w:r>
              <w:rPr>
                <w:rFonts w:ascii="Arial" w:cs="Arial" w:eastAsia="Arial" w:hAnsi="Arial"/>
                <w:sz w:val="11"/>
                <w:szCs w:val="11"/>
                <w:color w:val="auto"/>
              </w:rPr>
              <w:t>RSU Award</w:t>
            </w:r>
            <w:r>
              <w:rPr>
                <w:rFonts w:ascii="Arial" w:cs="Arial" w:eastAsia="Arial" w:hAnsi="Arial"/>
                <w:sz w:val="14"/>
                <w:szCs w:val="14"/>
                <w:color w:val="auto"/>
                <w:vertAlign w:val="superscript"/>
              </w:rPr>
              <w:t>(2)</w:t>
            </w:r>
          </w:p>
        </w:tc>
        <w:tc>
          <w:tcPr>
            <w:tcW w:w="1140" w:type="dxa"/>
            <w:vAlign w:val="bottom"/>
            <w:tcBorders>
              <w:right w:val="single" w:sz="8" w:color="95B3D7"/>
            </w:tcBorders>
          </w:tcPr>
          <w:p>
            <w:pPr>
              <w:jc w:val="center"/>
              <w:spacing w:after="0"/>
              <w:rPr>
                <w:sz w:val="20"/>
                <w:szCs w:val="20"/>
                <w:color w:val="auto"/>
              </w:rPr>
            </w:pPr>
            <w:r>
              <w:rPr>
                <w:rFonts w:ascii="Arial" w:cs="Arial" w:eastAsia="Arial" w:hAnsi="Arial"/>
                <w:sz w:val="11"/>
                <w:szCs w:val="11"/>
                <w:color w:val="auto"/>
                <w:w w:val="97"/>
              </w:rPr>
              <w:t>3/13/2024</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110,000</w:t>
            </w:r>
          </w:p>
        </w:tc>
        <w:tc>
          <w:tcPr>
            <w:tcW w:w="820" w:type="dxa"/>
            <w:vAlign w:val="bottom"/>
            <w:tcBorders>
              <w:right w:val="single" w:sz="8" w:color="95B3D7"/>
            </w:tcBorders>
          </w:tcPr>
          <w:p>
            <w:pPr>
              <w:ind w:left="680"/>
              <w:spacing w:after="0"/>
              <w:rPr>
                <w:sz w:val="20"/>
                <w:szCs w:val="20"/>
                <w:color w:val="auto"/>
              </w:rPr>
            </w:pPr>
            <w:r>
              <w:rPr>
                <w:rFonts w:ascii="Arial" w:cs="Arial" w:eastAsia="Arial" w:hAnsi="Arial"/>
                <w:sz w:val="11"/>
                <w:szCs w:val="11"/>
                <w:color w:val="auto"/>
                <w:w w:val="90"/>
              </w:rPr>
              <w:t>—</w:t>
            </w:r>
          </w:p>
        </w:tc>
        <w:tc>
          <w:tcPr>
            <w:tcW w:w="600" w:type="dxa"/>
            <w:vAlign w:val="bottom"/>
            <w:tcBorders>
              <w:right w:val="single" w:sz="8" w:color="95B3D7"/>
            </w:tcBorders>
          </w:tcPr>
          <w:p>
            <w:pPr>
              <w:ind w:left="460"/>
              <w:spacing w:after="0"/>
              <w:rPr>
                <w:sz w:val="20"/>
                <w:szCs w:val="20"/>
                <w:color w:val="auto"/>
              </w:rPr>
            </w:pPr>
            <w:r>
              <w:rPr>
                <w:rFonts w:ascii="Arial" w:cs="Arial" w:eastAsia="Arial" w:hAnsi="Arial"/>
                <w:sz w:val="11"/>
                <w:szCs w:val="11"/>
                <w:color w:val="auto"/>
                <w:w w:val="90"/>
              </w:rPr>
              <w:t>—</w:t>
            </w:r>
          </w:p>
        </w:tc>
        <w:tc>
          <w:tcPr>
            <w:tcW w:w="1480" w:type="dxa"/>
            <w:vAlign w:val="bottom"/>
          </w:tcPr>
          <w:p>
            <w:pPr>
              <w:jc w:val="right"/>
              <w:spacing w:after="0"/>
              <w:rPr>
                <w:sz w:val="20"/>
                <w:szCs w:val="20"/>
                <w:color w:val="auto"/>
              </w:rPr>
            </w:pPr>
            <w:r>
              <w:rPr>
                <w:rFonts w:ascii="Arial" w:cs="Arial" w:eastAsia="Arial" w:hAnsi="Arial"/>
                <w:sz w:val="11"/>
                <w:szCs w:val="11"/>
                <w:color w:val="auto"/>
              </w:rPr>
              <w:t>550,000</w:t>
            </w:r>
          </w:p>
        </w:tc>
        <w:tc>
          <w:tcPr>
            <w:tcW w:w="0" w:type="dxa"/>
            <w:vAlign w:val="bottom"/>
          </w:tcPr>
          <w:p>
            <w:pPr>
              <w:spacing w:after="0"/>
              <w:rPr>
                <w:sz w:val="1"/>
                <w:szCs w:val="1"/>
                <w:color w:val="auto"/>
              </w:rPr>
            </w:pPr>
          </w:p>
        </w:tc>
      </w:tr>
      <w:tr>
        <w:trPr>
          <w:trHeight w:val="189"/>
        </w:trPr>
        <w:tc>
          <w:tcPr>
            <w:tcW w:w="1160" w:type="dxa"/>
            <w:vAlign w:val="bottom"/>
            <w:tcBorders>
              <w:right w:val="single" w:sz="8" w:color="95B3D7"/>
            </w:tcBorders>
          </w:tcPr>
          <w:p>
            <w:pPr>
              <w:ind w:left="20"/>
              <w:spacing w:after="0"/>
              <w:rPr>
                <w:sz w:val="20"/>
                <w:szCs w:val="20"/>
                <w:color w:val="auto"/>
              </w:rPr>
            </w:pPr>
            <w:r>
              <w:rPr>
                <w:rFonts w:ascii="Arial" w:cs="Arial" w:eastAsia="Arial" w:hAnsi="Arial"/>
                <w:sz w:val="11"/>
                <w:szCs w:val="11"/>
                <w:color w:val="auto"/>
              </w:rPr>
              <w:t>PSU Award</w:t>
            </w:r>
            <w:r>
              <w:rPr>
                <w:rFonts w:ascii="Arial" w:cs="Arial" w:eastAsia="Arial" w:hAnsi="Arial"/>
                <w:sz w:val="14"/>
                <w:szCs w:val="14"/>
                <w:color w:val="auto"/>
                <w:vertAlign w:val="superscript"/>
              </w:rPr>
              <w:t>(2)</w:t>
            </w:r>
          </w:p>
        </w:tc>
        <w:tc>
          <w:tcPr>
            <w:tcW w:w="1140" w:type="dxa"/>
            <w:vAlign w:val="bottom"/>
            <w:tcBorders>
              <w:right w:val="single" w:sz="8" w:color="95B3D7"/>
            </w:tcBorders>
          </w:tcPr>
          <w:p>
            <w:pPr>
              <w:jc w:val="center"/>
              <w:spacing w:after="0"/>
              <w:rPr>
                <w:sz w:val="20"/>
                <w:szCs w:val="20"/>
                <w:color w:val="auto"/>
              </w:rPr>
            </w:pPr>
            <w:r>
              <w:rPr>
                <w:rFonts w:ascii="Arial" w:cs="Arial" w:eastAsia="Arial" w:hAnsi="Arial"/>
                <w:sz w:val="11"/>
                <w:szCs w:val="11"/>
                <w:color w:val="auto"/>
                <w:w w:val="97"/>
              </w:rPr>
              <w:t>3/13/2024</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55,000</w:t>
            </w:r>
          </w:p>
        </w:tc>
        <w:tc>
          <w:tcPr>
            <w:tcW w:w="8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110,000</w:t>
            </w:r>
          </w:p>
        </w:tc>
        <w:tc>
          <w:tcPr>
            <w:tcW w:w="10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220,000</w:t>
            </w:r>
          </w:p>
        </w:tc>
        <w:tc>
          <w:tcPr>
            <w:tcW w:w="720" w:type="dxa"/>
            <w:vAlign w:val="bottom"/>
            <w:tcBorders>
              <w:right w:val="single" w:sz="8" w:color="95B3D7"/>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right w:val="single" w:sz="8" w:color="95B3D7"/>
            </w:tcBorders>
          </w:tcPr>
          <w:p>
            <w:pPr>
              <w:ind w:left="680"/>
              <w:spacing w:after="0"/>
              <w:rPr>
                <w:sz w:val="20"/>
                <w:szCs w:val="20"/>
                <w:color w:val="auto"/>
              </w:rPr>
            </w:pPr>
            <w:r>
              <w:rPr>
                <w:rFonts w:ascii="Arial" w:cs="Arial" w:eastAsia="Arial" w:hAnsi="Arial"/>
                <w:sz w:val="11"/>
                <w:szCs w:val="11"/>
                <w:color w:val="auto"/>
                <w:w w:val="90"/>
              </w:rPr>
              <w:t>—</w:t>
            </w:r>
          </w:p>
        </w:tc>
        <w:tc>
          <w:tcPr>
            <w:tcW w:w="600" w:type="dxa"/>
            <w:vAlign w:val="bottom"/>
            <w:tcBorders>
              <w:right w:val="single" w:sz="8" w:color="95B3D7"/>
            </w:tcBorders>
          </w:tcPr>
          <w:p>
            <w:pPr>
              <w:ind w:left="460"/>
              <w:spacing w:after="0"/>
              <w:rPr>
                <w:sz w:val="20"/>
                <w:szCs w:val="20"/>
                <w:color w:val="auto"/>
              </w:rPr>
            </w:pPr>
            <w:r>
              <w:rPr>
                <w:rFonts w:ascii="Arial" w:cs="Arial" w:eastAsia="Arial" w:hAnsi="Arial"/>
                <w:sz w:val="11"/>
                <w:szCs w:val="11"/>
                <w:color w:val="auto"/>
                <w:w w:val="90"/>
              </w:rPr>
              <w:t>—</w:t>
            </w:r>
          </w:p>
        </w:tc>
        <w:tc>
          <w:tcPr>
            <w:tcW w:w="1480" w:type="dxa"/>
            <w:vAlign w:val="bottom"/>
          </w:tcPr>
          <w:p>
            <w:pPr>
              <w:jc w:val="right"/>
              <w:spacing w:after="0"/>
              <w:rPr>
                <w:sz w:val="20"/>
                <w:szCs w:val="20"/>
                <w:color w:val="auto"/>
              </w:rPr>
            </w:pPr>
            <w:r>
              <w:rPr>
                <w:rFonts w:ascii="Arial" w:cs="Arial" w:eastAsia="Arial" w:hAnsi="Arial"/>
                <w:sz w:val="11"/>
                <w:szCs w:val="11"/>
                <w:color w:val="auto"/>
              </w:rPr>
              <w:t>550,000</w:t>
            </w:r>
          </w:p>
        </w:tc>
        <w:tc>
          <w:tcPr>
            <w:tcW w:w="0" w:type="dxa"/>
            <w:vAlign w:val="bottom"/>
          </w:tcPr>
          <w:p>
            <w:pPr>
              <w:spacing w:after="0"/>
              <w:rPr>
                <w:sz w:val="1"/>
                <w:szCs w:val="1"/>
                <w:color w:val="auto"/>
              </w:rPr>
            </w:pPr>
          </w:p>
        </w:tc>
      </w:tr>
      <w:tr>
        <w:trPr>
          <w:trHeight w:val="189"/>
        </w:trPr>
        <w:tc>
          <w:tcPr>
            <w:tcW w:w="1160" w:type="dxa"/>
            <w:vAlign w:val="bottom"/>
            <w:tcBorders>
              <w:right w:val="single" w:sz="8" w:color="95B3D7"/>
            </w:tcBorders>
          </w:tcPr>
          <w:p>
            <w:pPr>
              <w:ind w:left="20"/>
              <w:spacing w:after="0"/>
              <w:rPr>
                <w:sz w:val="20"/>
                <w:szCs w:val="20"/>
                <w:color w:val="auto"/>
              </w:rPr>
            </w:pPr>
            <w:r>
              <w:rPr>
                <w:rFonts w:ascii="Arial" w:cs="Arial" w:eastAsia="Arial" w:hAnsi="Arial"/>
                <w:sz w:val="11"/>
                <w:szCs w:val="11"/>
                <w:color w:val="auto"/>
              </w:rPr>
              <w:t>Stock Award</w:t>
            </w:r>
            <w:r>
              <w:rPr>
                <w:rFonts w:ascii="Arial" w:cs="Arial" w:eastAsia="Arial" w:hAnsi="Arial"/>
                <w:sz w:val="14"/>
                <w:szCs w:val="14"/>
                <w:color w:val="auto"/>
                <w:vertAlign w:val="superscript"/>
              </w:rPr>
              <w:t>(3)</w:t>
            </w:r>
          </w:p>
        </w:tc>
        <w:tc>
          <w:tcPr>
            <w:tcW w:w="1140" w:type="dxa"/>
            <w:vAlign w:val="bottom"/>
            <w:tcBorders>
              <w:right w:val="single" w:sz="8" w:color="95B3D7"/>
            </w:tcBorders>
          </w:tcPr>
          <w:p>
            <w:pPr>
              <w:jc w:val="center"/>
              <w:spacing w:after="0"/>
              <w:rPr>
                <w:sz w:val="20"/>
                <w:szCs w:val="20"/>
                <w:color w:val="auto"/>
              </w:rPr>
            </w:pPr>
            <w:r>
              <w:rPr>
                <w:rFonts w:ascii="Arial" w:cs="Arial" w:eastAsia="Arial" w:hAnsi="Arial"/>
                <w:sz w:val="11"/>
                <w:szCs w:val="11"/>
                <w:color w:val="auto"/>
                <w:w w:val="97"/>
              </w:rPr>
              <w:t>3/13/2024</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69,710</w:t>
            </w:r>
          </w:p>
        </w:tc>
        <w:tc>
          <w:tcPr>
            <w:tcW w:w="820" w:type="dxa"/>
            <w:vAlign w:val="bottom"/>
            <w:tcBorders>
              <w:right w:val="single" w:sz="8" w:color="95B3D7"/>
            </w:tcBorders>
          </w:tcPr>
          <w:p>
            <w:pPr>
              <w:ind w:left="680"/>
              <w:spacing w:after="0"/>
              <w:rPr>
                <w:sz w:val="20"/>
                <w:szCs w:val="20"/>
                <w:color w:val="auto"/>
              </w:rPr>
            </w:pPr>
            <w:r>
              <w:rPr>
                <w:rFonts w:ascii="Arial" w:cs="Arial" w:eastAsia="Arial" w:hAnsi="Arial"/>
                <w:sz w:val="11"/>
                <w:szCs w:val="11"/>
                <w:color w:val="auto"/>
                <w:w w:val="90"/>
              </w:rPr>
              <w:t>—</w:t>
            </w:r>
          </w:p>
        </w:tc>
        <w:tc>
          <w:tcPr>
            <w:tcW w:w="600" w:type="dxa"/>
            <w:vAlign w:val="bottom"/>
            <w:tcBorders>
              <w:right w:val="single" w:sz="8" w:color="95B3D7"/>
            </w:tcBorders>
          </w:tcPr>
          <w:p>
            <w:pPr>
              <w:ind w:left="460"/>
              <w:spacing w:after="0"/>
              <w:rPr>
                <w:sz w:val="20"/>
                <w:szCs w:val="20"/>
                <w:color w:val="auto"/>
              </w:rPr>
            </w:pPr>
            <w:r>
              <w:rPr>
                <w:rFonts w:ascii="Arial" w:cs="Arial" w:eastAsia="Arial" w:hAnsi="Arial"/>
                <w:sz w:val="11"/>
                <w:szCs w:val="11"/>
                <w:color w:val="auto"/>
                <w:w w:val="90"/>
              </w:rPr>
              <w:t>—</w:t>
            </w:r>
          </w:p>
        </w:tc>
        <w:tc>
          <w:tcPr>
            <w:tcW w:w="1480" w:type="dxa"/>
            <w:vAlign w:val="bottom"/>
          </w:tcPr>
          <w:p>
            <w:pPr>
              <w:jc w:val="right"/>
              <w:spacing w:after="0"/>
              <w:rPr>
                <w:sz w:val="20"/>
                <w:szCs w:val="20"/>
                <w:color w:val="auto"/>
              </w:rPr>
            </w:pPr>
            <w:r>
              <w:rPr>
                <w:rFonts w:ascii="Arial" w:cs="Arial" w:eastAsia="Arial" w:hAnsi="Arial"/>
                <w:sz w:val="11"/>
                <w:szCs w:val="11"/>
                <w:color w:val="auto"/>
              </w:rPr>
              <w:t>348,551</w:t>
            </w:r>
          </w:p>
        </w:tc>
        <w:tc>
          <w:tcPr>
            <w:tcW w:w="0" w:type="dxa"/>
            <w:vAlign w:val="bottom"/>
          </w:tcPr>
          <w:p>
            <w:pPr>
              <w:spacing w:after="0"/>
              <w:rPr>
                <w:sz w:val="1"/>
                <w:szCs w:val="1"/>
                <w:color w:val="auto"/>
              </w:rPr>
            </w:pPr>
          </w:p>
        </w:tc>
      </w:tr>
      <w:tr>
        <w:trPr>
          <w:trHeight w:val="189"/>
        </w:trPr>
        <w:tc>
          <w:tcPr>
            <w:tcW w:w="1160" w:type="dxa"/>
            <w:vAlign w:val="bottom"/>
            <w:tcBorders>
              <w:right w:val="single" w:sz="8" w:color="95B3D7"/>
            </w:tcBorders>
          </w:tcPr>
          <w:p>
            <w:pPr>
              <w:ind w:left="20"/>
              <w:spacing w:after="0"/>
              <w:rPr>
                <w:sz w:val="20"/>
                <w:szCs w:val="20"/>
                <w:color w:val="auto"/>
              </w:rPr>
            </w:pPr>
            <w:r>
              <w:rPr>
                <w:rFonts w:ascii="Arial" w:cs="Arial" w:eastAsia="Arial" w:hAnsi="Arial"/>
                <w:sz w:val="11"/>
                <w:szCs w:val="11"/>
                <w:color w:val="auto"/>
              </w:rPr>
              <w:t>Stock Award</w:t>
            </w:r>
            <w:r>
              <w:rPr>
                <w:rFonts w:ascii="Arial" w:cs="Arial" w:eastAsia="Arial" w:hAnsi="Arial"/>
                <w:sz w:val="14"/>
                <w:szCs w:val="14"/>
                <w:color w:val="auto"/>
                <w:vertAlign w:val="superscript"/>
              </w:rPr>
              <w:t>(3)</w:t>
            </w:r>
          </w:p>
        </w:tc>
        <w:tc>
          <w:tcPr>
            <w:tcW w:w="1140" w:type="dxa"/>
            <w:vAlign w:val="bottom"/>
            <w:tcBorders>
              <w:right w:val="single" w:sz="8" w:color="95B3D7"/>
            </w:tcBorders>
          </w:tcPr>
          <w:p>
            <w:pPr>
              <w:jc w:val="center"/>
              <w:spacing w:after="0"/>
              <w:rPr>
                <w:sz w:val="20"/>
                <w:szCs w:val="20"/>
                <w:color w:val="auto"/>
              </w:rPr>
            </w:pPr>
            <w:r>
              <w:rPr>
                <w:rFonts w:ascii="Arial" w:cs="Arial" w:eastAsia="Arial" w:hAnsi="Arial"/>
                <w:sz w:val="11"/>
                <w:szCs w:val="11"/>
                <w:color w:val="auto"/>
                <w:w w:val="97"/>
              </w:rPr>
              <w:t>3/13/2024</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21,000</w:t>
            </w:r>
          </w:p>
        </w:tc>
        <w:tc>
          <w:tcPr>
            <w:tcW w:w="820" w:type="dxa"/>
            <w:vAlign w:val="bottom"/>
            <w:tcBorders>
              <w:right w:val="single" w:sz="8" w:color="95B3D7"/>
            </w:tcBorders>
          </w:tcPr>
          <w:p>
            <w:pPr>
              <w:ind w:left="680"/>
              <w:spacing w:after="0"/>
              <w:rPr>
                <w:sz w:val="20"/>
                <w:szCs w:val="20"/>
                <w:color w:val="auto"/>
              </w:rPr>
            </w:pPr>
            <w:r>
              <w:rPr>
                <w:rFonts w:ascii="Arial" w:cs="Arial" w:eastAsia="Arial" w:hAnsi="Arial"/>
                <w:sz w:val="11"/>
                <w:szCs w:val="11"/>
                <w:color w:val="auto"/>
                <w:w w:val="90"/>
              </w:rPr>
              <w:t>—</w:t>
            </w:r>
          </w:p>
        </w:tc>
        <w:tc>
          <w:tcPr>
            <w:tcW w:w="600" w:type="dxa"/>
            <w:vAlign w:val="bottom"/>
            <w:tcBorders>
              <w:right w:val="single" w:sz="8" w:color="95B3D7"/>
            </w:tcBorders>
          </w:tcPr>
          <w:p>
            <w:pPr>
              <w:ind w:left="460"/>
              <w:spacing w:after="0"/>
              <w:rPr>
                <w:sz w:val="20"/>
                <w:szCs w:val="20"/>
                <w:color w:val="auto"/>
              </w:rPr>
            </w:pPr>
            <w:r>
              <w:rPr>
                <w:rFonts w:ascii="Arial" w:cs="Arial" w:eastAsia="Arial" w:hAnsi="Arial"/>
                <w:sz w:val="11"/>
                <w:szCs w:val="11"/>
                <w:color w:val="auto"/>
                <w:w w:val="90"/>
              </w:rPr>
              <w:t>—</w:t>
            </w:r>
          </w:p>
        </w:tc>
        <w:tc>
          <w:tcPr>
            <w:tcW w:w="1480" w:type="dxa"/>
            <w:vAlign w:val="bottom"/>
          </w:tcPr>
          <w:p>
            <w:pPr>
              <w:jc w:val="right"/>
              <w:spacing w:after="0"/>
              <w:rPr>
                <w:sz w:val="20"/>
                <w:szCs w:val="20"/>
                <w:color w:val="auto"/>
              </w:rPr>
            </w:pPr>
            <w:r>
              <w:rPr>
                <w:rFonts w:ascii="Arial" w:cs="Arial" w:eastAsia="Arial" w:hAnsi="Arial"/>
                <w:sz w:val="11"/>
                <w:szCs w:val="11"/>
                <w:color w:val="auto"/>
              </w:rPr>
              <w:t>105,000</w:t>
            </w:r>
          </w:p>
        </w:tc>
        <w:tc>
          <w:tcPr>
            <w:tcW w:w="0" w:type="dxa"/>
            <w:vAlign w:val="bottom"/>
          </w:tcPr>
          <w:p>
            <w:pPr>
              <w:spacing w:after="0"/>
              <w:rPr>
                <w:sz w:val="1"/>
                <w:szCs w:val="1"/>
                <w:color w:val="auto"/>
              </w:rPr>
            </w:pPr>
          </w:p>
        </w:tc>
      </w:tr>
      <w:tr>
        <w:trPr>
          <w:trHeight w:val="162"/>
        </w:trPr>
        <w:tc>
          <w:tcPr>
            <w:tcW w:w="116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1"/>
                <w:szCs w:val="11"/>
                <w:b w:val="1"/>
                <w:bCs w:val="1"/>
                <w:color w:val="auto"/>
              </w:rPr>
              <w:t>Dawn Maroney</w:t>
            </w:r>
          </w:p>
        </w:tc>
        <w:tc>
          <w:tcPr>
            <w:tcW w:w="1140" w:type="dxa"/>
            <w:vAlign w:val="bottom"/>
            <w:tcBorders>
              <w:right w:val="single" w:sz="8" w:color="95B3D7"/>
            </w:tcBorders>
            <w:shd w:val="clear" w:color="auto" w:fill="DBE5F1"/>
          </w:tcPr>
          <w:p>
            <w:pPr>
              <w:spacing w:after="0"/>
              <w:rPr>
                <w:sz w:val="14"/>
                <w:szCs w:val="14"/>
                <w:color w:val="auto"/>
              </w:rPr>
            </w:pPr>
          </w:p>
        </w:tc>
        <w:tc>
          <w:tcPr>
            <w:tcW w:w="720" w:type="dxa"/>
            <w:vAlign w:val="bottom"/>
            <w:tcBorders>
              <w:right w:val="single" w:sz="8" w:color="95B3D7"/>
            </w:tcBorders>
            <w:shd w:val="clear" w:color="auto" w:fill="DBE5F1"/>
          </w:tcPr>
          <w:p>
            <w:pPr>
              <w:spacing w:after="0"/>
              <w:rPr>
                <w:sz w:val="14"/>
                <w:szCs w:val="14"/>
                <w:color w:val="auto"/>
              </w:rPr>
            </w:pPr>
          </w:p>
        </w:tc>
        <w:tc>
          <w:tcPr>
            <w:tcW w:w="820" w:type="dxa"/>
            <w:vAlign w:val="bottom"/>
            <w:tcBorders>
              <w:right w:val="single" w:sz="8" w:color="95B3D7"/>
            </w:tcBorders>
            <w:shd w:val="clear" w:color="auto" w:fill="DBE5F1"/>
          </w:tcPr>
          <w:p>
            <w:pPr>
              <w:spacing w:after="0"/>
              <w:rPr>
                <w:sz w:val="14"/>
                <w:szCs w:val="14"/>
                <w:color w:val="auto"/>
              </w:rPr>
            </w:pPr>
          </w:p>
        </w:tc>
        <w:tc>
          <w:tcPr>
            <w:tcW w:w="1060" w:type="dxa"/>
            <w:vAlign w:val="bottom"/>
            <w:tcBorders>
              <w:right w:val="single" w:sz="8" w:color="95B3D7"/>
            </w:tcBorders>
            <w:shd w:val="clear" w:color="auto" w:fill="DBE5F1"/>
          </w:tcPr>
          <w:p>
            <w:pPr>
              <w:spacing w:after="0"/>
              <w:rPr>
                <w:sz w:val="14"/>
                <w:szCs w:val="14"/>
                <w:color w:val="auto"/>
              </w:rPr>
            </w:pPr>
          </w:p>
        </w:tc>
        <w:tc>
          <w:tcPr>
            <w:tcW w:w="840" w:type="dxa"/>
            <w:vAlign w:val="bottom"/>
            <w:tcBorders>
              <w:right w:val="single" w:sz="8" w:color="95B3D7"/>
            </w:tcBorders>
            <w:shd w:val="clear" w:color="auto" w:fill="DBE5F1"/>
          </w:tcPr>
          <w:p>
            <w:pPr>
              <w:spacing w:after="0"/>
              <w:rPr>
                <w:sz w:val="14"/>
                <w:szCs w:val="14"/>
                <w:color w:val="auto"/>
              </w:rPr>
            </w:pPr>
          </w:p>
        </w:tc>
        <w:tc>
          <w:tcPr>
            <w:tcW w:w="840" w:type="dxa"/>
            <w:vAlign w:val="bottom"/>
            <w:tcBorders>
              <w:right w:val="single" w:sz="8" w:color="95B3D7"/>
            </w:tcBorders>
            <w:shd w:val="clear" w:color="auto" w:fill="DBE5F1"/>
          </w:tcPr>
          <w:p>
            <w:pPr>
              <w:spacing w:after="0"/>
              <w:rPr>
                <w:sz w:val="14"/>
                <w:szCs w:val="14"/>
                <w:color w:val="auto"/>
              </w:rPr>
            </w:pPr>
          </w:p>
        </w:tc>
        <w:tc>
          <w:tcPr>
            <w:tcW w:w="1040" w:type="dxa"/>
            <w:vAlign w:val="bottom"/>
            <w:tcBorders>
              <w:right w:val="single" w:sz="8" w:color="95B3D7"/>
            </w:tcBorders>
            <w:shd w:val="clear" w:color="auto" w:fill="DBE5F1"/>
          </w:tcPr>
          <w:p>
            <w:pPr>
              <w:spacing w:after="0"/>
              <w:rPr>
                <w:sz w:val="14"/>
                <w:szCs w:val="14"/>
                <w:color w:val="auto"/>
              </w:rPr>
            </w:pPr>
          </w:p>
        </w:tc>
        <w:tc>
          <w:tcPr>
            <w:tcW w:w="720" w:type="dxa"/>
            <w:vAlign w:val="bottom"/>
            <w:tcBorders>
              <w:right w:val="single" w:sz="8" w:color="95B3D7"/>
            </w:tcBorders>
            <w:shd w:val="clear" w:color="auto" w:fill="DBE5F1"/>
          </w:tcPr>
          <w:p>
            <w:pPr>
              <w:spacing w:after="0"/>
              <w:rPr>
                <w:sz w:val="14"/>
                <w:szCs w:val="14"/>
                <w:color w:val="auto"/>
              </w:rPr>
            </w:pPr>
          </w:p>
        </w:tc>
        <w:tc>
          <w:tcPr>
            <w:tcW w:w="820" w:type="dxa"/>
            <w:vAlign w:val="bottom"/>
            <w:tcBorders>
              <w:right w:val="single" w:sz="8" w:color="95B3D7"/>
            </w:tcBorders>
            <w:shd w:val="clear" w:color="auto" w:fill="DBE5F1"/>
          </w:tcPr>
          <w:p>
            <w:pPr>
              <w:spacing w:after="0"/>
              <w:rPr>
                <w:sz w:val="14"/>
                <w:szCs w:val="14"/>
                <w:color w:val="auto"/>
              </w:rPr>
            </w:pPr>
          </w:p>
        </w:tc>
        <w:tc>
          <w:tcPr>
            <w:tcW w:w="600" w:type="dxa"/>
            <w:vAlign w:val="bottom"/>
            <w:tcBorders>
              <w:right w:val="single" w:sz="8" w:color="95B3D7"/>
            </w:tcBorders>
            <w:shd w:val="clear" w:color="auto" w:fill="DBE5F1"/>
          </w:tcPr>
          <w:p>
            <w:pPr>
              <w:spacing w:after="0"/>
              <w:rPr>
                <w:sz w:val="14"/>
                <w:szCs w:val="14"/>
                <w:color w:val="auto"/>
              </w:rPr>
            </w:pPr>
          </w:p>
        </w:tc>
        <w:tc>
          <w:tcPr>
            <w:tcW w:w="1480" w:type="dxa"/>
            <w:vAlign w:val="bottom"/>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16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1"/>
                <w:szCs w:val="11"/>
                <w:color w:val="auto"/>
              </w:rPr>
              <w:t>AIP</w:t>
            </w:r>
            <w:r>
              <w:rPr>
                <w:rFonts w:ascii="Arial" w:cs="Arial" w:eastAsia="Arial" w:hAnsi="Arial"/>
                <w:sz w:val="14"/>
                <w:szCs w:val="14"/>
                <w:color w:val="auto"/>
                <w:vertAlign w:val="superscript"/>
              </w:rPr>
              <w:t>(1)</w:t>
            </w:r>
          </w:p>
        </w:tc>
        <w:tc>
          <w:tcPr>
            <w:tcW w:w="114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243,885</w:t>
            </w:r>
          </w:p>
        </w:tc>
        <w:tc>
          <w:tcPr>
            <w:tcW w:w="8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487,770</w:t>
            </w:r>
          </w:p>
        </w:tc>
        <w:tc>
          <w:tcPr>
            <w:tcW w:w="106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975,539</w:t>
            </w:r>
          </w:p>
        </w:tc>
        <w:tc>
          <w:tcPr>
            <w:tcW w:w="8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right w:val="single" w:sz="8" w:color="95B3D7"/>
            </w:tcBorders>
            <w:shd w:val="clear" w:color="auto" w:fill="DBE5F1"/>
          </w:tcPr>
          <w:p>
            <w:pPr>
              <w:ind w:left="680"/>
              <w:spacing w:after="0"/>
              <w:rPr>
                <w:sz w:val="20"/>
                <w:szCs w:val="20"/>
                <w:color w:val="auto"/>
              </w:rPr>
            </w:pPr>
            <w:r>
              <w:rPr>
                <w:rFonts w:ascii="Arial" w:cs="Arial" w:eastAsia="Arial" w:hAnsi="Arial"/>
                <w:sz w:val="11"/>
                <w:szCs w:val="11"/>
                <w:color w:val="auto"/>
                <w:w w:val="90"/>
              </w:rPr>
              <w:t>—</w:t>
            </w:r>
          </w:p>
        </w:tc>
        <w:tc>
          <w:tcPr>
            <w:tcW w:w="60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1"/>
                <w:szCs w:val="11"/>
                <w:color w:val="auto"/>
                <w:w w:val="90"/>
              </w:rPr>
              <w:t>—</w:t>
            </w:r>
          </w:p>
        </w:tc>
        <w:tc>
          <w:tcPr>
            <w:tcW w:w="1480" w:type="dxa"/>
            <w:vAlign w:val="bottom"/>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16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1"/>
                <w:szCs w:val="11"/>
                <w:color w:val="auto"/>
              </w:rPr>
              <w:t>RSU Award</w:t>
            </w:r>
            <w:r>
              <w:rPr>
                <w:rFonts w:ascii="Arial" w:cs="Arial" w:eastAsia="Arial" w:hAnsi="Arial"/>
                <w:sz w:val="14"/>
                <w:szCs w:val="14"/>
                <w:color w:val="auto"/>
                <w:vertAlign w:val="superscript"/>
              </w:rPr>
              <w:t>(2)</w:t>
            </w:r>
          </w:p>
        </w:tc>
        <w:tc>
          <w:tcPr>
            <w:tcW w:w="114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1"/>
                <w:szCs w:val="11"/>
                <w:color w:val="auto"/>
                <w:w w:val="97"/>
              </w:rPr>
              <w:t>3/13/2024</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130,000</w:t>
            </w:r>
          </w:p>
        </w:tc>
        <w:tc>
          <w:tcPr>
            <w:tcW w:w="820" w:type="dxa"/>
            <w:vAlign w:val="bottom"/>
            <w:tcBorders>
              <w:right w:val="single" w:sz="8" w:color="95B3D7"/>
            </w:tcBorders>
            <w:shd w:val="clear" w:color="auto" w:fill="DBE5F1"/>
          </w:tcPr>
          <w:p>
            <w:pPr>
              <w:ind w:left="680"/>
              <w:spacing w:after="0"/>
              <w:rPr>
                <w:sz w:val="20"/>
                <w:szCs w:val="20"/>
                <w:color w:val="auto"/>
              </w:rPr>
            </w:pPr>
            <w:r>
              <w:rPr>
                <w:rFonts w:ascii="Arial" w:cs="Arial" w:eastAsia="Arial" w:hAnsi="Arial"/>
                <w:sz w:val="11"/>
                <w:szCs w:val="11"/>
                <w:color w:val="auto"/>
                <w:w w:val="90"/>
              </w:rPr>
              <w:t>—</w:t>
            </w:r>
          </w:p>
        </w:tc>
        <w:tc>
          <w:tcPr>
            <w:tcW w:w="60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1"/>
                <w:szCs w:val="11"/>
                <w:color w:val="auto"/>
                <w:w w:val="90"/>
              </w:rPr>
              <w:t>—</w:t>
            </w:r>
          </w:p>
        </w:tc>
        <w:tc>
          <w:tcPr>
            <w:tcW w:w="1480" w:type="dxa"/>
            <w:vAlign w:val="bottom"/>
            <w:shd w:val="clear" w:color="auto" w:fill="DBE5F1"/>
          </w:tcPr>
          <w:p>
            <w:pPr>
              <w:jc w:val="right"/>
              <w:spacing w:after="0"/>
              <w:rPr>
                <w:sz w:val="20"/>
                <w:szCs w:val="20"/>
                <w:color w:val="auto"/>
              </w:rPr>
            </w:pPr>
            <w:r>
              <w:rPr>
                <w:rFonts w:ascii="Arial" w:cs="Arial" w:eastAsia="Arial" w:hAnsi="Arial"/>
                <w:sz w:val="11"/>
                <w:szCs w:val="11"/>
                <w:color w:val="auto"/>
              </w:rPr>
              <w:t>650,000</w:t>
            </w:r>
          </w:p>
        </w:tc>
        <w:tc>
          <w:tcPr>
            <w:tcW w:w="0" w:type="dxa"/>
            <w:vAlign w:val="bottom"/>
          </w:tcPr>
          <w:p>
            <w:pPr>
              <w:spacing w:after="0"/>
              <w:rPr>
                <w:sz w:val="1"/>
                <w:szCs w:val="1"/>
                <w:color w:val="auto"/>
              </w:rPr>
            </w:pPr>
          </w:p>
        </w:tc>
      </w:tr>
      <w:tr>
        <w:trPr>
          <w:trHeight w:val="189"/>
        </w:trPr>
        <w:tc>
          <w:tcPr>
            <w:tcW w:w="116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1"/>
                <w:szCs w:val="11"/>
                <w:color w:val="auto"/>
              </w:rPr>
              <w:t>PSU Award</w:t>
            </w:r>
            <w:r>
              <w:rPr>
                <w:rFonts w:ascii="Arial" w:cs="Arial" w:eastAsia="Arial" w:hAnsi="Arial"/>
                <w:sz w:val="14"/>
                <w:szCs w:val="14"/>
                <w:color w:val="auto"/>
                <w:vertAlign w:val="superscript"/>
              </w:rPr>
              <w:t>(2)</w:t>
            </w:r>
          </w:p>
        </w:tc>
        <w:tc>
          <w:tcPr>
            <w:tcW w:w="114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1"/>
                <w:szCs w:val="11"/>
                <w:color w:val="auto"/>
                <w:w w:val="97"/>
              </w:rPr>
              <w:t>3/13/2024</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65,000</w:t>
            </w:r>
          </w:p>
        </w:tc>
        <w:tc>
          <w:tcPr>
            <w:tcW w:w="8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130,000</w:t>
            </w:r>
          </w:p>
        </w:tc>
        <w:tc>
          <w:tcPr>
            <w:tcW w:w="10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260,000</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right w:val="single" w:sz="8" w:color="95B3D7"/>
            </w:tcBorders>
            <w:shd w:val="clear" w:color="auto" w:fill="DBE5F1"/>
          </w:tcPr>
          <w:p>
            <w:pPr>
              <w:ind w:left="680"/>
              <w:spacing w:after="0"/>
              <w:rPr>
                <w:sz w:val="20"/>
                <w:szCs w:val="20"/>
                <w:color w:val="auto"/>
              </w:rPr>
            </w:pPr>
            <w:r>
              <w:rPr>
                <w:rFonts w:ascii="Arial" w:cs="Arial" w:eastAsia="Arial" w:hAnsi="Arial"/>
                <w:sz w:val="11"/>
                <w:szCs w:val="11"/>
                <w:color w:val="auto"/>
                <w:w w:val="90"/>
              </w:rPr>
              <w:t>—</w:t>
            </w:r>
          </w:p>
        </w:tc>
        <w:tc>
          <w:tcPr>
            <w:tcW w:w="60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1"/>
                <w:szCs w:val="11"/>
                <w:color w:val="auto"/>
                <w:w w:val="90"/>
              </w:rPr>
              <w:t>—</w:t>
            </w:r>
          </w:p>
        </w:tc>
        <w:tc>
          <w:tcPr>
            <w:tcW w:w="1480" w:type="dxa"/>
            <w:vAlign w:val="bottom"/>
            <w:shd w:val="clear" w:color="auto" w:fill="DBE5F1"/>
          </w:tcPr>
          <w:p>
            <w:pPr>
              <w:jc w:val="right"/>
              <w:spacing w:after="0"/>
              <w:rPr>
                <w:sz w:val="20"/>
                <w:szCs w:val="20"/>
                <w:color w:val="auto"/>
              </w:rPr>
            </w:pPr>
            <w:r>
              <w:rPr>
                <w:rFonts w:ascii="Arial" w:cs="Arial" w:eastAsia="Arial" w:hAnsi="Arial"/>
                <w:sz w:val="11"/>
                <w:szCs w:val="11"/>
                <w:color w:val="auto"/>
              </w:rPr>
              <w:t>650,000</w:t>
            </w:r>
          </w:p>
        </w:tc>
        <w:tc>
          <w:tcPr>
            <w:tcW w:w="0" w:type="dxa"/>
            <w:vAlign w:val="bottom"/>
          </w:tcPr>
          <w:p>
            <w:pPr>
              <w:spacing w:after="0"/>
              <w:rPr>
                <w:sz w:val="1"/>
                <w:szCs w:val="1"/>
                <w:color w:val="auto"/>
              </w:rPr>
            </w:pPr>
          </w:p>
        </w:tc>
      </w:tr>
      <w:tr>
        <w:trPr>
          <w:trHeight w:val="189"/>
        </w:trPr>
        <w:tc>
          <w:tcPr>
            <w:tcW w:w="116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1"/>
                <w:szCs w:val="11"/>
                <w:color w:val="auto"/>
              </w:rPr>
              <w:t>Stock Award</w:t>
            </w:r>
            <w:r>
              <w:rPr>
                <w:rFonts w:ascii="Arial" w:cs="Arial" w:eastAsia="Arial" w:hAnsi="Arial"/>
                <w:sz w:val="14"/>
                <w:szCs w:val="14"/>
                <w:color w:val="auto"/>
                <w:vertAlign w:val="superscript"/>
              </w:rPr>
              <w:t>(3)</w:t>
            </w:r>
          </w:p>
        </w:tc>
        <w:tc>
          <w:tcPr>
            <w:tcW w:w="114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1"/>
                <w:szCs w:val="11"/>
                <w:color w:val="auto"/>
                <w:w w:val="97"/>
              </w:rPr>
              <w:t>3/13/2024</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35,890</w:t>
            </w:r>
          </w:p>
        </w:tc>
        <w:tc>
          <w:tcPr>
            <w:tcW w:w="820" w:type="dxa"/>
            <w:vAlign w:val="bottom"/>
            <w:tcBorders>
              <w:right w:val="single" w:sz="8" w:color="95B3D7"/>
            </w:tcBorders>
            <w:shd w:val="clear" w:color="auto" w:fill="DBE5F1"/>
          </w:tcPr>
          <w:p>
            <w:pPr>
              <w:ind w:left="680"/>
              <w:spacing w:after="0"/>
              <w:rPr>
                <w:sz w:val="20"/>
                <w:szCs w:val="20"/>
                <w:color w:val="auto"/>
              </w:rPr>
            </w:pPr>
            <w:r>
              <w:rPr>
                <w:rFonts w:ascii="Arial" w:cs="Arial" w:eastAsia="Arial" w:hAnsi="Arial"/>
                <w:sz w:val="11"/>
                <w:szCs w:val="11"/>
                <w:color w:val="auto"/>
                <w:w w:val="90"/>
              </w:rPr>
              <w:t>—</w:t>
            </w:r>
          </w:p>
        </w:tc>
        <w:tc>
          <w:tcPr>
            <w:tcW w:w="60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1"/>
                <w:szCs w:val="11"/>
                <w:color w:val="auto"/>
                <w:w w:val="90"/>
              </w:rPr>
              <w:t>—</w:t>
            </w:r>
          </w:p>
        </w:tc>
        <w:tc>
          <w:tcPr>
            <w:tcW w:w="1480" w:type="dxa"/>
            <w:vAlign w:val="bottom"/>
            <w:shd w:val="clear" w:color="auto" w:fill="DBE5F1"/>
          </w:tcPr>
          <w:p>
            <w:pPr>
              <w:jc w:val="right"/>
              <w:spacing w:after="0"/>
              <w:rPr>
                <w:sz w:val="20"/>
                <w:szCs w:val="20"/>
                <w:color w:val="auto"/>
              </w:rPr>
            </w:pPr>
            <w:r>
              <w:rPr>
                <w:rFonts w:ascii="Arial" w:cs="Arial" w:eastAsia="Arial" w:hAnsi="Arial"/>
                <w:sz w:val="11"/>
                <w:szCs w:val="11"/>
                <w:color w:val="auto"/>
              </w:rPr>
              <w:t>179,452</w:t>
            </w:r>
          </w:p>
        </w:tc>
        <w:tc>
          <w:tcPr>
            <w:tcW w:w="0" w:type="dxa"/>
            <w:vAlign w:val="bottom"/>
          </w:tcPr>
          <w:p>
            <w:pPr>
              <w:spacing w:after="0"/>
              <w:rPr>
                <w:sz w:val="1"/>
                <w:szCs w:val="1"/>
                <w:color w:val="auto"/>
              </w:rPr>
            </w:pPr>
          </w:p>
        </w:tc>
      </w:tr>
      <w:tr>
        <w:trPr>
          <w:trHeight w:val="189"/>
        </w:trPr>
        <w:tc>
          <w:tcPr>
            <w:tcW w:w="116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1"/>
                <w:szCs w:val="11"/>
                <w:color w:val="auto"/>
              </w:rPr>
              <w:t>Stock Award</w:t>
            </w:r>
            <w:r>
              <w:rPr>
                <w:rFonts w:ascii="Arial" w:cs="Arial" w:eastAsia="Arial" w:hAnsi="Arial"/>
                <w:sz w:val="14"/>
                <w:szCs w:val="14"/>
                <w:color w:val="auto"/>
                <w:vertAlign w:val="superscript"/>
              </w:rPr>
              <w:t>(3)</w:t>
            </w:r>
          </w:p>
        </w:tc>
        <w:tc>
          <w:tcPr>
            <w:tcW w:w="114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1"/>
                <w:szCs w:val="11"/>
                <w:color w:val="auto"/>
                <w:w w:val="97"/>
              </w:rPr>
              <w:t>3/13/2024</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41,000</w:t>
            </w:r>
          </w:p>
        </w:tc>
        <w:tc>
          <w:tcPr>
            <w:tcW w:w="820" w:type="dxa"/>
            <w:vAlign w:val="bottom"/>
            <w:tcBorders>
              <w:right w:val="single" w:sz="8" w:color="95B3D7"/>
            </w:tcBorders>
            <w:shd w:val="clear" w:color="auto" w:fill="DBE5F1"/>
          </w:tcPr>
          <w:p>
            <w:pPr>
              <w:ind w:left="680"/>
              <w:spacing w:after="0"/>
              <w:rPr>
                <w:sz w:val="20"/>
                <w:szCs w:val="20"/>
                <w:color w:val="auto"/>
              </w:rPr>
            </w:pPr>
            <w:r>
              <w:rPr>
                <w:rFonts w:ascii="Arial" w:cs="Arial" w:eastAsia="Arial" w:hAnsi="Arial"/>
                <w:sz w:val="11"/>
                <w:szCs w:val="11"/>
                <w:color w:val="auto"/>
                <w:w w:val="90"/>
              </w:rPr>
              <w:t>—</w:t>
            </w:r>
          </w:p>
        </w:tc>
        <w:tc>
          <w:tcPr>
            <w:tcW w:w="60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1"/>
                <w:szCs w:val="11"/>
                <w:color w:val="auto"/>
                <w:w w:val="90"/>
              </w:rPr>
              <w:t>—</w:t>
            </w:r>
          </w:p>
        </w:tc>
        <w:tc>
          <w:tcPr>
            <w:tcW w:w="1480" w:type="dxa"/>
            <w:vAlign w:val="bottom"/>
            <w:shd w:val="clear" w:color="auto" w:fill="DBE5F1"/>
          </w:tcPr>
          <w:p>
            <w:pPr>
              <w:jc w:val="right"/>
              <w:spacing w:after="0"/>
              <w:rPr>
                <w:sz w:val="20"/>
                <w:szCs w:val="20"/>
                <w:color w:val="auto"/>
              </w:rPr>
            </w:pPr>
            <w:r>
              <w:rPr>
                <w:rFonts w:ascii="Arial" w:cs="Arial" w:eastAsia="Arial" w:hAnsi="Arial"/>
                <w:sz w:val="11"/>
                <w:szCs w:val="11"/>
                <w:color w:val="auto"/>
              </w:rPr>
              <w:t>205,000</w:t>
            </w:r>
          </w:p>
        </w:tc>
        <w:tc>
          <w:tcPr>
            <w:tcW w:w="0" w:type="dxa"/>
            <w:vAlign w:val="bottom"/>
          </w:tcPr>
          <w:p>
            <w:pPr>
              <w:spacing w:after="0"/>
              <w:rPr>
                <w:sz w:val="1"/>
                <w:szCs w:val="1"/>
                <w:color w:val="auto"/>
              </w:rPr>
            </w:pPr>
          </w:p>
        </w:tc>
      </w:tr>
      <w:tr>
        <w:trPr>
          <w:trHeight w:val="108"/>
        </w:trPr>
        <w:tc>
          <w:tcPr>
            <w:tcW w:w="1160" w:type="dxa"/>
            <w:vAlign w:val="bottom"/>
            <w:tcBorders>
              <w:right w:val="single" w:sz="8" w:color="95B3D7"/>
            </w:tcBorders>
          </w:tcPr>
          <w:p>
            <w:pPr>
              <w:ind w:left="20"/>
              <w:spacing w:after="0" w:line="109" w:lineRule="exact"/>
              <w:rPr>
                <w:sz w:val="20"/>
                <w:szCs w:val="20"/>
                <w:color w:val="auto"/>
              </w:rPr>
            </w:pPr>
            <w:r>
              <w:rPr>
                <w:rFonts w:ascii="Arial" w:cs="Arial" w:eastAsia="Arial" w:hAnsi="Arial"/>
                <w:sz w:val="11"/>
                <w:szCs w:val="11"/>
                <w:b w:val="1"/>
                <w:bCs w:val="1"/>
                <w:color w:val="auto"/>
              </w:rPr>
              <w:t>Hyong (Ken) Kim,</w:t>
            </w:r>
          </w:p>
        </w:tc>
        <w:tc>
          <w:tcPr>
            <w:tcW w:w="1140" w:type="dxa"/>
            <w:vAlign w:val="bottom"/>
            <w:tcBorders>
              <w:right w:val="single" w:sz="8" w:color="95B3D7"/>
            </w:tcBorders>
          </w:tcPr>
          <w:p>
            <w:pPr>
              <w:spacing w:after="0"/>
              <w:rPr>
                <w:sz w:val="9"/>
                <w:szCs w:val="9"/>
                <w:color w:val="auto"/>
              </w:rPr>
            </w:pPr>
          </w:p>
        </w:tc>
        <w:tc>
          <w:tcPr>
            <w:tcW w:w="720" w:type="dxa"/>
            <w:vAlign w:val="bottom"/>
            <w:tcBorders>
              <w:right w:val="single" w:sz="8" w:color="95B3D7"/>
            </w:tcBorders>
          </w:tcPr>
          <w:p>
            <w:pPr>
              <w:spacing w:after="0"/>
              <w:rPr>
                <w:sz w:val="9"/>
                <w:szCs w:val="9"/>
                <w:color w:val="auto"/>
              </w:rPr>
            </w:pPr>
          </w:p>
        </w:tc>
        <w:tc>
          <w:tcPr>
            <w:tcW w:w="820" w:type="dxa"/>
            <w:vAlign w:val="bottom"/>
            <w:tcBorders>
              <w:right w:val="single" w:sz="8" w:color="95B3D7"/>
            </w:tcBorders>
          </w:tcPr>
          <w:p>
            <w:pPr>
              <w:spacing w:after="0"/>
              <w:rPr>
                <w:sz w:val="9"/>
                <w:szCs w:val="9"/>
                <w:color w:val="auto"/>
              </w:rPr>
            </w:pPr>
          </w:p>
        </w:tc>
        <w:tc>
          <w:tcPr>
            <w:tcW w:w="1060" w:type="dxa"/>
            <w:vAlign w:val="bottom"/>
            <w:tcBorders>
              <w:right w:val="single" w:sz="8" w:color="95B3D7"/>
            </w:tcBorders>
          </w:tcPr>
          <w:p>
            <w:pPr>
              <w:spacing w:after="0"/>
              <w:rPr>
                <w:sz w:val="9"/>
                <w:szCs w:val="9"/>
                <w:color w:val="auto"/>
              </w:rPr>
            </w:pPr>
          </w:p>
        </w:tc>
        <w:tc>
          <w:tcPr>
            <w:tcW w:w="840" w:type="dxa"/>
            <w:vAlign w:val="bottom"/>
            <w:tcBorders>
              <w:right w:val="single" w:sz="8" w:color="95B3D7"/>
            </w:tcBorders>
          </w:tcPr>
          <w:p>
            <w:pPr>
              <w:spacing w:after="0"/>
              <w:rPr>
                <w:sz w:val="9"/>
                <w:szCs w:val="9"/>
                <w:color w:val="auto"/>
              </w:rPr>
            </w:pPr>
          </w:p>
        </w:tc>
        <w:tc>
          <w:tcPr>
            <w:tcW w:w="840" w:type="dxa"/>
            <w:vAlign w:val="bottom"/>
            <w:tcBorders>
              <w:right w:val="single" w:sz="8" w:color="95B3D7"/>
            </w:tcBorders>
          </w:tcPr>
          <w:p>
            <w:pPr>
              <w:spacing w:after="0"/>
              <w:rPr>
                <w:sz w:val="9"/>
                <w:szCs w:val="9"/>
                <w:color w:val="auto"/>
              </w:rPr>
            </w:pPr>
          </w:p>
        </w:tc>
        <w:tc>
          <w:tcPr>
            <w:tcW w:w="1040" w:type="dxa"/>
            <w:vAlign w:val="bottom"/>
            <w:tcBorders>
              <w:right w:val="single" w:sz="8" w:color="95B3D7"/>
            </w:tcBorders>
          </w:tcPr>
          <w:p>
            <w:pPr>
              <w:spacing w:after="0"/>
              <w:rPr>
                <w:sz w:val="9"/>
                <w:szCs w:val="9"/>
                <w:color w:val="auto"/>
              </w:rPr>
            </w:pPr>
          </w:p>
        </w:tc>
        <w:tc>
          <w:tcPr>
            <w:tcW w:w="720" w:type="dxa"/>
            <w:vAlign w:val="bottom"/>
            <w:tcBorders>
              <w:right w:val="single" w:sz="8" w:color="95B3D7"/>
            </w:tcBorders>
          </w:tcPr>
          <w:p>
            <w:pPr>
              <w:spacing w:after="0"/>
              <w:rPr>
                <w:sz w:val="9"/>
                <w:szCs w:val="9"/>
                <w:color w:val="auto"/>
              </w:rPr>
            </w:pPr>
          </w:p>
        </w:tc>
        <w:tc>
          <w:tcPr>
            <w:tcW w:w="820" w:type="dxa"/>
            <w:vAlign w:val="bottom"/>
            <w:tcBorders>
              <w:right w:val="single" w:sz="8" w:color="95B3D7"/>
            </w:tcBorders>
          </w:tcPr>
          <w:p>
            <w:pPr>
              <w:spacing w:after="0"/>
              <w:rPr>
                <w:sz w:val="9"/>
                <w:szCs w:val="9"/>
                <w:color w:val="auto"/>
              </w:rPr>
            </w:pPr>
          </w:p>
        </w:tc>
        <w:tc>
          <w:tcPr>
            <w:tcW w:w="600" w:type="dxa"/>
            <w:vAlign w:val="bottom"/>
            <w:tcBorders>
              <w:right w:val="single" w:sz="8" w:color="95B3D7"/>
            </w:tcBorders>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160" w:type="dxa"/>
            <w:vAlign w:val="bottom"/>
            <w:tcBorders>
              <w:right w:val="single" w:sz="8" w:color="95B3D7"/>
            </w:tcBorders>
          </w:tcPr>
          <w:p>
            <w:pPr>
              <w:ind w:left="20"/>
              <w:spacing w:after="0"/>
              <w:rPr>
                <w:sz w:val="20"/>
                <w:szCs w:val="20"/>
                <w:color w:val="auto"/>
              </w:rPr>
            </w:pPr>
            <w:r>
              <w:rPr>
                <w:rFonts w:ascii="Arial" w:cs="Arial" w:eastAsia="Arial" w:hAnsi="Arial"/>
                <w:sz w:val="11"/>
                <w:szCs w:val="11"/>
                <w:b w:val="1"/>
                <w:bCs w:val="1"/>
                <w:color w:val="auto"/>
              </w:rPr>
              <w:t>M.D.</w:t>
            </w:r>
          </w:p>
        </w:tc>
        <w:tc>
          <w:tcPr>
            <w:tcW w:w="1140" w:type="dxa"/>
            <w:vAlign w:val="bottom"/>
            <w:tcBorders>
              <w:right w:val="single" w:sz="8" w:color="95B3D7"/>
            </w:tcBorders>
          </w:tcPr>
          <w:p>
            <w:pPr>
              <w:spacing w:after="0"/>
              <w:rPr>
                <w:sz w:val="12"/>
                <w:szCs w:val="12"/>
                <w:color w:val="auto"/>
              </w:rPr>
            </w:pPr>
          </w:p>
        </w:tc>
        <w:tc>
          <w:tcPr>
            <w:tcW w:w="720" w:type="dxa"/>
            <w:vAlign w:val="bottom"/>
            <w:tcBorders>
              <w:right w:val="single" w:sz="8" w:color="95B3D7"/>
            </w:tcBorders>
          </w:tcPr>
          <w:p>
            <w:pPr>
              <w:spacing w:after="0"/>
              <w:rPr>
                <w:sz w:val="12"/>
                <w:szCs w:val="12"/>
                <w:color w:val="auto"/>
              </w:rPr>
            </w:pPr>
          </w:p>
        </w:tc>
        <w:tc>
          <w:tcPr>
            <w:tcW w:w="820" w:type="dxa"/>
            <w:vAlign w:val="bottom"/>
            <w:tcBorders>
              <w:right w:val="single" w:sz="8" w:color="95B3D7"/>
            </w:tcBorders>
          </w:tcPr>
          <w:p>
            <w:pPr>
              <w:spacing w:after="0"/>
              <w:rPr>
                <w:sz w:val="12"/>
                <w:szCs w:val="12"/>
                <w:color w:val="auto"/>
              </w:rPr>
            </w:pPr>
          </w:p>
        </w:tc>
        <w:tc>
          <w:tcPr>
            <w:tcW w:w="1060" w:type="dxa"/>
            <w:vAlign w:val="bottom"/>
            <w:tcBorders>
              <w:right w:val="single" w:sz="8" w:color="95B3D7"/>
            </w:tcBorders>
          </w:tcPr>
          <w:p>
            <w:pPr>
              <w:spacing w:after="0"/>
              <w:rPr>
                <w:sz w:val="12"/>
                <w:szCs w:val="12"/>
                <w:color w:val="auto"/>
              </w:rPr>
            </w:pPr>
          </w:p>
        </w:tc>
        <w:tc>
          <w:tcPr>
            <w:tcW w:w="840" w:type="dxa"/>
            <w:vAlign w:val="bottom"/>
            <w:tcBorders>
              <w:right w:val="single" w:sz="8" w:color="95B3D7"/>
            </w:tcBorders>
          </w:tcPr>
          <w:p>
            <w:pPr>
              <w:spacing w:after="0"/>
              <w:rPr>
                <w:sz w:val="12"/>
                <w:szCs w:val="12"/>
                <w:color w:val="auto"/>
              </w:rPr>
            </w:pPr>
          </w:p>
        </w:tc>
        <w:tc>
          <w:tcPr>
            <w:tcW w:w="840" w:type="dxa"/>
            <w:vAlign w:val="bottom"/>
            <w:tcBorders>
              <w:right w:val="single" w:sz="8" w:color="95B3D7"/>
            </w:tcBorders>
          </w:tcPr>
          <w:p>
            <w:pPr>
              <w:spacing w:after="0"/>
              <w:rPr>
                <w:sz w:val="12"/>
                <w:szCs w:val="12"/>
                <w:color w:val="auto"/>
              </w:rPr>
            </w:pPr>
          </w:p>
        </w:tc>
        <w:tc>
          <w:tcPr>
            <w:tcW w:w="1040" w:type="dxa"/>
            <w:vAlign w:val="bottom"/>
            <w:tcBorders>
              <w:right w:val="single" w:sz="8" w:color="95B3D7"/>
            </w:tcBorders>
          </w:tcPr>
          <w:p>
            <w:pPr>
              <w:spacing w:after="0"/>
              <w:rPr>
                <w:sz w:val="12"/>
                <w:szCs w:val="12"/>
                <w:color w:val="auto"/>
              </w:rPr>
            </w:pPr>
          </w:p>
        </w:tc>
        <w:tc>
          <w:tcPr>
            <w:tcW w:w="720" w:type="dxa"/>
            <w:vAlign w:val="bottom"/>
            <w:tcBorders>
              <w:right w:val="single" w:sz="8" w:color="95B3D7"/>
            </w:tcBorders>
          </w:tcPr>
          <w:p>
            <w:pPr>
              <w:spacing w:after="0"/>
              <w:rPr>
                <w:sz w:val="12"/>
                <w:szCs w:val="12"/>
                <w:color w:val="auto"/>
              </w:rPr>
            </w:pPr>
          </w:p>
        </w:tc>
        <w:tc>
          <w:tcPr>
            <w:tcW w:w="820" w:type="dxa"/>
            <w:vAlign w:val="bottom"/>
            <w:tcBorders>
              <w:right w:val="single" w:sz="8" w:color="95B3D7"/>
            </w:tcBorders>
          </w:tcPr>
          <w:p>
            <w:pPr>
              <w:spacing w:after="0"/>
              <w:rPr>
                <w:sz w:val="12"/>
                <w:szCs w:val="12"/>
                <w:color w:val="auto"/>
              </w:rPr>
            </w:pPr>
          </w:p>
        </w:tc>
        <w:tc>
          <w:tcPr>
            <w:tcW w:w="600" w:type="dxa"/>
            <w:vAlign w:val="bottom"/>
            <w:tcBorders>
              <w:right w:val="single" w:sz="8" w:color="95B3D7"/>
            </w:tcBorders>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160" w:type="dxa"/>
            <w:vAlign w:val="bottom"/>
            <w:tcBorders>
              <w:right w:val="single" w:sz="8" w:color="95B3D7"/>
            </w:tcBorders>
          </w:tcPr>
          <w:p>
            <w:pPr>
              <w:ind w:left="20"/>
              <w:spacing w:after="0" w:line="201" w:lineRule="exact"/>
              <w:rPr>
                <w:sz w:val="20"/>
                <w:szCs w:val="20"/>
                <w:color w:val="auto"/>
              </w:rPr>
            </w:pPr>
            <w:r>
              <w:rPr>
                <w:rFonts w:ascii="Arial" w:cs="Arial" w:eastAsia="Arial" w:hAnsi="Arial"/>
                <w:sz w:val="21"/>
                <w:szCs w:val="21"/>
                <w:color w:val="auto"/>
                <w:vertAlign w:val="subscript"/>
              </w:rPr>
              <w:t>AIP</w:t>
            </w:r>
            <w:r>
              <w:rPr>
                <w:rFonts w:ascii="Arial" w:cs="Arial" w:eastAsia="Arial" w:hAnsi="Arial"/>
                <w:sz w:val="7"/>
                <w:szCs w:val="7"/>
                <w:color w:val="auto"/>
              </w:rPr>
              <w:t>(1)</w:t>
            </w:r>
          </w:p>
        </w:tc>
        <w:tc>
          <w:tcPr>
            <w:tcW w:w="1140" w:type="dxa"/>
            <w:vAlign w:val="bottom"/>
            <w:tcBorders>
              <w:right w:val="single" w:sz="8" w:color="95B3D7"/>
            </w:tcBorders>
          </w:tcPr>
          <w:p>
            <w:pPr>
              <w:jc w:val="center"/>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236,169</w:t>
            </w:r>
          </w:p>
        </w:tc>
        <w:tc>
          <w:tcPr>
            <w:tcW w:w="8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472,339</w:t>
            </w:r>
          </w:p>
        </w:tc>
        <w:tc>
          <w:tcPr>
            <w:tcW w:w="106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944,677</w:t>
            </w:r>
          </w:p>
        </w:tc>
        <w:tc>
          <w:tcPr>
            <w:tcW w:w="8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right w:val="single" w:sz="8" w:color="95B3D7"/>
            </w:tcBorders>
          </w:tcPr>
          <w:p>
            <w:pPr>
              <w:ind w:left="680"/>
              <w:spacing w:after="0"/>
              <w:rPr>
                <w:sz w:val="20"/>
                <w:szCs w:val="20"/>
                <w:color w:val="auto"/>
              </w:rPr>
            </w:pPr>
            <w:r>
              <w:rPr>
                <w:rFonts w:ascii="Arial" w:cs="Arial" w:eastAsia="Arial" w:hAnsi="Arial"/>
                <w:sz w:val="11"/>
                <w:szCs w:val="11"/>
                <w:color w:val="auto"/>
                <w:w w:val="90"/>
              </w:rPr>
              <w:t>—</w:t>
            </w:r>
          </w:p>
        </w:tc>
        <w:tc>
          <w:tcPr>
            <w:tcW w:w="600" w:type="dxa"/>
            <w:vAlign w:val="bottom"/>
            <w:tcBorders>
              <w:right w:val="single" w:sz="8" w:color="95B3D7"/>
            </w:tcBorders>
          </w:tcPr>
          <w:p>
            <w:pPr>
              <w:ind w:left="460"/>
              <w:spacing w:after="0"/>
              <w:rPr>
                <w:sz w:val="20"/>
                <w:szCs w:val="20"/>
                <w:color w:val="auto"/>
              </w:rPr>
            </w:pPr>
            <w:r>
              <w:rPr>
                <w:rFonts w:ascii="Arial" w:cs="Arial" w:eastAsia="Arial" w:hAnsi="Arial"/>
                <w:sz w:val="11"/>
                <w:szCs w:val="11"/>
                <w:color w:val="auto"/>
                <w:w w:val="90"/>
              </w:rPr>
              <w:t>—</w:t>
            </w:r>
          </w:p>
        </w:tc>
        <w:tc>
          <w:tcPr>
            <w:tcW w:w="14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4"/>
        </w:trPr>
        <w:tc>
          <w:tcPr>
            <w:tcW w:w="1160" w:type="dxa"/>
            <w:vAlign w:val="bottom"/>
            <w:tcBorders>
              <w:right w:val="single" w:sz="8" w:color="95B3D7"/>
            </w:tcBorders>
          </w:tcPr>
          <w:p>
            <w:pPr>
              <w:ind w:left="20"/>
              <w:spacing w:after="0"/>
              <w:rPr>
                <w:sz w:val="20"/>
                <w:szCs w:val="20"/>
                <w:color w:val="auto"/>
              </w:rPr>
            </w:pPr>
            <w:r>
              <w:rPr>
                <w:rFonts w:ascii="Arial" w:cs="Arial" w:eastAsia="Arial" w:hAnsi="Arial"/>
                <w:sz w:val="11"/>
                <w:szCs w:val="11"/>
                <w:color w:val="auto"/>
              </w:rPr>
              <w:t>RSU Award</w:t>
            </w:r>
            <w:r>
              <w:rPr>
                <w:rFonts w:ascii="Arial" w:cs="Arial" w:eastAsia="Arial" w:hAnsi="Arial"/>
                <w:sz w:val="14"/>
                <w:szCs w:val="14"/>
                <w:color w:val="auto"/>
                <w:vertAlign w:val="superscript"/>
              </w:rPr>
              <w:t>(2)</w:t>
            </w:r>
          </w:p>
        </w:tc>
        <w:tc>
          <w:tcPr>
            <w:tcW w:w="1140" w:type="dxa"/>
            <w:vAlign w:val="bottom"/>
            <w:tcBorders>
              <w:right w:val="single" w:sz="8" w:color="95B3D7"/>
            </w:tcBorders>
          </w:tcPr>
          <w:p>
            <w:pPr>
              <w:jc w:val="center"/>
              <w:spacing w:after="0"/>
              <w:rPr>
                <w:sz w:val="20"/>
                <w:szCs w:val="20"/>
                <w:color w:val="auto"/>
              </w:rPr>
            </w:pPr>
            <w:r>
              <w:rPr>
                <w:rFonts w:ascii="Arial" w:cs="Arial" w:eastAsia="Arial" w:hAnsi="Arial"/>
                <w:sz w:val="11"/>
                <w:szCs w:val="11"/>
                <w:color w:val="auto"/>
                <w:w w:val="97"/>
              </w:rPr>
              <w:t>3/13/2024</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140,000</w:t>
            </w:r>
          </w:p>
        </w:tc>
        <w:tc>
          <w:tcPr>
            <w:tcW w:w="820" w:type="dxa"/>
            <w:vAlign w:val="bottom"/>
            <w:tcBorders>
              <w:right w:val="single" w:sz="8" w:color="95B3D7"/>
            </w:tcBorders>
          </w:tcPr>
          <w:p>
            <w:pPr>
              <w:ind w:left="680"/>
              <w:spacing w:after="0"/>
              <w:rPr>
                <w:sz w:val="20"/>
                <w:szCs w:val="20"/>
                <w:color w:val="auto"/>
              </w:rPr>
            </w:pPr>
            <w:r>
              <w:rPr>
                <w:rFonts w:ascii="Arial" w:cs="Arial" w:eastAsia="Arial" w:hAnsi="Arial"/>
                <w:sz w:val="11"/>
                <w:szCs w:val="11"/>
                <w:color w:val="auto"/>
                <w:w w:val="90"/>
              </w:rPr>
              <w:t>—</w:t>
            </w:r>
          </w:p>
        </w:tc>
        <w:tc>
          <w:tcPr>
            <w:tcW w:w="600" w:type="dxa"/>
            <w:vAlign w:val="bottom"/>
            <w:tcBorders>
              <w:right w:val="single" w:sz="8" w:color="95B3D7"/>
            </w:tcBorders>
          </w:tcPr>
          <w:p>
            <w:pPr>
              <w:ind w:left="460"/>
              <w:spacing w:after="0"/>
              <w:rPr>
                <w:sz w:val="20"/>
                <w:szCs w:val="20"/>
                <w:color w:val="auto"/>
              </w:rPr>
            </w:pPr>
            <w:r>
              <w:rPr>
                <w:rFonts w:ascii="Arial" w:cs="Arial" w:eastAsia="Arial" w:hAnsi="Arial"/>
                <w:sz w:val="11"/>
                <w:szCs w:val="11"/>
                <w:color w:val="auto"/>
                <w:w w:val="90"/>
              </w:rPr>
              <w:t>—</w:t>
            </w:r>
          </w:p>
        </w:tc>
        <w:tc>
          <w:tcPr>
            <w:tcW w:w="1480" w:type="dxa"/>
            <w:vAlign w:val="bottom"/>
          </w:tcPr>
          <w:p>
            <w:pPr>
              <w:jc w:val="right"/>
              <w:spacing w:after="0"/>
              <w:rPr>
                <w:sz w:val="20"/>
                <w:szCs w:val="20"/>
                <w:color w:val="auto"/>
              </w:rPr>
            </w:pPr>
            <w:r>
              <w:rPr>
                <w:rFonts w:ascii="Arial" w:cs="Arial" w:eastAsia="Arial" w:hAnsi="Arial"/>
                <w:sz w:val="11"/>
                <w:szCs w:val="11"/>
                <w:color w:val="auto"/>
              </w:rPr>
              <w:t>700,000</w:t>
            </w:r>
          </w:p>
        </w:tc>
        <w:tc>
          <w:tcPr>
            <w:tcW w:w="0" w:type="dxa"/>
            <w:vAlign w:val="bottom"/>
          </w:tcPr>
          <w:p>
            <w:pPr>
              <w:spacing w:after="0"/>
              <w:rPr>
                <w:sz w:val="1"/>
                <w:szCs w:val="1"/>
                <w:color w:val="auto"/>
              </w:rPr>
            </w:pPr>
          </w:p>
        </w:tc>
      </w:tr>
      <w:tr>
        <w:trPr>
          <w:trHeight w:val="189"/>
        </w:trPr>
        <w:tc>
          <w:tcPr>
            <w:tcW w:w="1160" w:type="dxa"/>
            <w:vAlign w:val="bottom"/>
            <w:tcBorders>
              <w:right w:val="single" w:sz="8" w:color="95B3D7"/>
            </w:tcBorders>
          </w:tcPr>
          <w:p>
            <w:pPr>
              <w:ind w:left="20"/>
              <w:spacing w:after="0"/>
              <w:rPr>
                <w:sz w:val="20"/>
                <w:szCs w:val="20"/>
                <w:color w:val="auto"/>
              </w:rPr>
            </w:pPr>
            <w:r>
              <w:rPr>
                <w:rFonts w:ascii="Arial" w:cs="Arial" w:eastAsia="Arial" w:hAnsi="Arial"/>
                <w:sz w:val="11"/>
                <w:szCs w:val="11"/>
                <w:color w:val="auto"/>
              </w:rPr>
              <w:t>PSU Award</w:t>
            </w:r>
            <w:r>
              <w:rPr>
                <w:rFonts w:ascii="Arial" w:cs="Arial" w:eastAsia="Arial" w:hAnsi="Arial"/>
                <w:sz w:val="14"/>
                <w:szCs w:val="14"/>
                <w:color w:val="auto"/>
                <w:vertAlign w:val="superscript"/>
              </w:rPr>
              <w:t>(2)</w:t>
            </w:r>
          </w:p>
        </w:tc>
        <w:tc>
          <w:tcPr>
            <w:tcW w:w="1140" w:type="dxa"/>
            <w:vAlign w:val="bottom"/>
            <w:tcBorders>
              <w:right w:val="single" w:sz="8" w:color="95B3D7"/>
            </w:tcBorders>
          </w:tcPr>
          <w:p>
            <w:pPr>
              <w:jc w:val="center"/>
              <w:spacing w:after="0"/>
              <w:rPr>
                <w:sz w:val="20"/>
                <w:szCs w:val="20"/>
                <w:color w:val="auto"/>
              </w:rPr>
            </w:pPr>
            <w:r>
              <w:rPr>
                <w:rFonts w:ascii="Arial" w:cs="Arial" w:eastAsia="Arial" w:hAnsi="Arial"/>
                <w:sz w:val="11"/>
                <w:szCs w:val="11"/>
                <w:color w:val="auto"/>
                <w:w w:val="97"/>
              </w:rPr>
              <w:t>3/13/2024</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70,000</w:t>
            </w:r>
          </w:p>
        </w:tc>
        <w:tc>
          <w:tcPr>
            <w:tcW w:w="8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140,000</w:t>
            </w:r>
          </w:p>
        </w:tc>
        <w:tc>
          <w:tcPr>
            <w:tcW w:w="10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280,000</w:t>
            </w:r>
          </w:p>
        </w:tc>
        <w:tc>
          <w:tcPr>
            <w:tcW w:w="720" w:type="dxa"/>
            <w:vAlign w:val="bottom"/>
            <w:tcBorders>
              <w:right w:val="single" w:sz="8" w:color="95B3D7"/>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right w:val="single" w:sz="8" w:color="95B3D7"/>
            </w:tcBorders>
          </w:tcPr>
          <w:p>
            <w:pPr>
              <w:ind w:left="680"/>
              <w:spacing w:after="0"/>
              <w:rPr>
                <w:sz w:val="20"/>
                <w:szCs w:val="20"/>
                <w:color w:val="auto"/>
              </w:rPr>
            </w:pPr>
            <w:r>
              <w:rPr>
                <w:rFonts w:ascii="Times New Roman" w:cs="Times New Roman" w:eastAsia="Times New Roman" w:hAnsi="Times New Roman"/>
                <w:sz w:val="11"/>
                <w:szCs w:val="11"/>
                <w:color w:val="auto"/>
                <w:w w:val="90"/>
              </w:rPr>
              <w:t>—</w:t>
            </w:r>
          </w:p>
        </w:tc>
        <w:tc>
          <w:tcPr>
            <w:tcW w:w="600" w:type="dxa"/>
            <w:vAlign w:val="bottom"/>
            <w:tcBorders>
              <w:right w:val="single" w:sz="8" w:color="95B3D7"/>
            </w:tcBorders>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480" w:type="dxa"/>
            <w:vAlign w:val="bottom"/>
          </w:tcPr>
          <w:p>
            <w:pPr>
              <w:jc w:val="right"/>
              <w:spacing w:after="0"/>
              <w:rPr>
                <w:sz w:val="20"/>
                <w:szCs w:val="20"/>
                <w:color w:val="auto"/>
              </w:rPr>
            </w:pPr>
            <w:r>
              <w:rPr>
                <w:rFonts w:ascii="Arial" w:cs="Arial" w:eastAsia="Arial" w:hAnsi="Arial"/>
                <w:sz w:val="11"/>
                <w:szCs w:val="11"/>
                <w:color w:val="auto"/>
              </w:rPr>
              <w:t>700,000</w:t>
            </w:r>
          </w:p>
        </w:tc>
        <w:tc>
          <w:tcPr>
            <w:tcW w:w="0" w:type="dxa"/>
            <w:vAlign w:val="bottom"/>
          </w:tcPr>
          <w:p>
            <w:pPr>
              <w:spacing w:after="0"/>
              <w:rPr>
                <w:sz w:val="1"/>
                <w:szCs w:val="1"/>
                <w:color w:val="auto"/>
              </w:rPr>
            </w:pPr>
          </w:p>
        </w:tc>
      </w:tr>
      <w:tr>
        <w:trPr>
          <w:trHeight w:val="189"/>
        </w:trPr>
        <w:tc>
          <w:tcPr>
            <w:tcW w:w="1160" w:type="dxa"/>
            <w:vAlign w:val="bottom"/>
            <w:tcBorders>
              <w:right w:val="single" w:sz="8" w:color="95B3D7"/>
            </w:tcBorders>
          </w:tcPr>
          <w:p>
            <w:pPr>
              <w:ind w:left="20"/>
              <w:spacing w:after="0"/>
              <w:rPr>
                <w:sz w:val="20"/>
                <w:szCs w:val="20"/>
                <w:color w:val="auto"/>
              </w:rPr>
            </w:pPr>
            <w:r>
              <w:rPr>
                <w:rFonts w:ascii="Arial" w:cs="Arial" w:eastAsia="Arial" w:hAnsi="Arial"/>
                <w:sz w:val="11"/>
                <w:szCs w:val="11"/>
                <w:color w:val="auto"/>
              </w:rPr>
              <w:t>Stock Award</w:t>
            </w:r>
            <w:r>
              <w:rPr>
                <w:rFonts w:ascii="Arial" w:cs="Arial" w:eastAsia="Arial" w:hAnsi="Arial"/>
                <w:sz w:val="14"/>
                <w:szCs w:val="14"/>
                <w:color w:val="auto"/>
                <w:vertAlign w:val="superscript"/>
              </w:rPr>
              <w:t>(3)</w:t>
            </w:r>
          </w:p>
        </w:tc>
        <w:tc>
          <w:tcPr>
            <w:tcW w:w="1140" w:type="dxa"/>
            <w:vAlign w:val="bottom"/>
            <w:tcBorders>
              <w:right w:val="single" w:sz="8" w:color="95B3D7"/>
            </w:tcBorders>
          </w:tcPr>
          <w:p>
            <w:pPr>
              <w:jc w:val="center"/>
              <w:spacing w:after="0"/>
              <w:rPr>
                <w:sz w:val="20"/>
                <w:szCs w:val="20"/>
                <w:color w:val="auto"/>
              </w:rPr>
            </w:pPr>
            <w:r>
              <w:rPr>
                <w:rFonts w:ascii="Arial" w:cs="Arial" w:eastAsia="Arial" w:hAnsi="Arial"/>
                <w:sz w:val="11"/>
                <w:szCs w:val="11"/>
                <w:color w:val="auto"/>
                <w:w w:val="97"/>
              </w:rPr>
              <w:t>3/13/2024</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14,970</w:t>
            </w:r>
          </w:p>
        </w:tc>
        <w:tc>
          <w:tcPr>
            <w:tcW w:w="820" w:type="dxa"/>
            <w:vAlign w:val="bottom"/>
            <w:tcBorders>
              <w:right w:val="single" w:sz="8" w:color="95B3D7"/>
            </w:tcBorders>
          </w:tcPr>
          <w:p>
            <w:pPr>
              <w:ind w:left="680"/>
              <w:spacing w:after="0"/>
              <w:rPr>
                <w:sz w:val="20"/>
                <w:szCs w:val="20"/>
                <w:color w:val="auto"/>
              </w:rPr>
            </w:pPr>
            <w:r>
              <w:rPr>
                <w:rFonts w:ascii="Arial" w:cs="Arial" w:eastAsia="Arial" w:hAnsi="Arial"/>
                <w:sz w:val="11"/>
                <w:szCs w:val="11"/>
                <w:color w:val="auto"/>
                <w:w w:val="90"/>
              </w:rPr>
              <w:t>—</w:t>
            </w:r>
          </w:p>
        </w:tc>
        <w:tc>
          <w:tcPr>
            <w:tcW w:w="600" w:type="dxa"/>
            <w:vAlign w:val="bottom"/>
            <w:tcBorders>
              <w:right w:val="single" w:sz="8" w:color="95B3D7"/>
            </w:tcBorders>
          </w:tcPr>
          <w:p>
            <w:pPr>
              <w:ind w:left="460"/>
              <w:spacing w:after="0"/>
              <w:rPr>
                <w:sz w:val="20"/>
                <w:szCs w:val="20"/>
                <w:color w:val="auto"/>
              </w:rPr>
            </w:pPr>
            <w:r>
              <w:rPr>
                <w:rFonts w:ascii="Arial" w:cs="Arial" w:eastAsia="Arial" w:hAnsi="Arial"/>
                <w:sz w:val="11"/>
                <w:szCs w:val="11"/>
                <w:color w:val="auto"/>
                <w:w w:val="90"/>
              </w:rPr>
              <w:t>—</w:t>
            </w:r>
          </w:p>
        </w:tc>
        <w:tc>
          <w:tcPr>
            <w:tcW w:w="1480" w:type="dxa"/>
            <w:vAlign w:val="bottom"/>
          </w:tcPr>
          <w:p>
            <w:pPr>
              <w:jc w:val="right"/>
              <w:spacing w:after="0"/>
              <w:rPr>
                <w:sz w:val="20"/>
                <w:szCs w:val="20"/>
                <w:color w:val="auto"/>
              </w:rPr>
            </w:pPr>
            <w:r>
              <w:rPr>
                <w:rFonts w:ascii="Arial" w:cs="Arial" w:eastAsia="Arial" w:hAnsi="Arial"/>
                <w:sz w:val="11"/>
                <w:szCs w:val="11"/>
                <w:color w:val="auto"/>
              </w:rPr>
              <w:t>74,851</w:t>
            </w:r>
          </w:p>
        </w:tc>
        <w:tc>
          <w:tcPr>
            <w:tcW w:w="0" w:type="dxa"/>
            <w:vAlign w:val="bottom"/>
          </w:tcPr>
          <w:p>
            <w:pPr>
              <w:spacing w:after="0"/>
              <w:rPr>
                <w:sz w:val="1"/>
                <w:szCs w:val="1"/>
                <w:color w:val="auto"/>
              </w:rPr>
            </w:pPr>
          </w:p>
        </w:tc>
      </w:tr>
      <w:tr>
        <w:trPr>
          <w:trHeight w:val="189"/>
        </w:trPr>
        <w:tc>
          <w:tcPr>
            <w:tcW w:w="1160" w:type="dxa"/>
            <w:vAlign w:val="bottom"/>
            <w:tcBorders>
              <w:right w:val="single" w:sz="8" w:color="95B3D7"/>
            </w:tcBorders>
          </w:tcPr>
          <w:p>
            <w:pPr>
              <w:ind w:left="20"/>
              <w:spacing w:after="0"/>
              <w:rPr>
                <w:sz w:val="20"/>
                <w:szCs w:val="20"/>
                <w:color w:val="auto"/>
              </w:rPr>
            </w:pPr>
            <w:r>
              <w:rPr>
                <w:rFonts w:ascii="Arial" w:cs="Arial" w:eastAsia="Arial" w:hAnsi="Arial"/>
                <w:sz w:val="11"/>
                <w:szCs w:val="11"/>
                <w:color w:val="auto"/>
              </w:rPr>
              <w:t>Stock Award</w:t>
            </w:r>
            <w:r>
              <w:rPr>
                <w:rFonts w:ascii="Arial" w:cs="Arial" w:eastAsia="Arial" w:hAnsi="Arial"/>
                <w:sz w:val="14"/>
                <w:szCs w:val="14"/>
                <w:color w:val="auto"/>
                <w:vertAlign w:val="superscript"/>
              </w:rPr>
              <w:t>(3)</w:t>
            </w:r>
          </w:p>
        </w:tc>
        <w:tc>
          <w:tcPr>
            <w:tcW w:w="1140" w:type="dxa"/>
            <w:vAlign w:val="bottom"/>
            <w:tcBorders>
              <w:right w:val="single" w:sz="8" w:color="95B3D7"/>
            </w:tcBorders>
          </w:tcPr>
          <w:p>
            <w:pPr>
              <w:jc w:val="center"/>
              <w:spacing w:after="0"/>
              <w:rPr>
                <w:sz w:val="20"/>
                <w:szCs w:val="20"/>
                <w:color w:val="auto"/>
              </w:rPr>
            </w:pPr>
            <w:r>
              <w:rPr>
                <w:rFonts w:ascii="Arial" w:cs="Arial" w:eastAsia="Arial" w:hAnsi="Arial"/>
                <w:sz w:val="11"/>
                <w:szCs w:val="11"/>
                <w:color w:val="auto"/>
                <w:w w:val="97"/>
              </w:rPr>
              <w:t>3/13/2024</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4,000</w:t>
            </w:r>
          </w:p>
        </w:tc>
        <w:tc>
          <w:tcPr>
            <w:tcW w:w="820" w:type="dxa"/>
            <w:vAlign w:val="bottom"/>
            <w:tcBorders>
              <w:right w:val="single" w:sz="8" w:color="95B3D7"/>
            </w:tcBorders>
          </w:tcPr>
          <w:p>
            <w:pPr>
              <w:ind w:left="680"/>
              <w:spacing w:after="0"/>
              <w:rPr>
                <w:sz w:val="20"/>
                <w:szCs w:val="20"/>
                <w:color w:val="auto"/>
              </w:rPr>
            </w:pPr>
            <w:r>
              <w:rPr>
                <w:rFonts w:ascii="Times New Roman" w:cs="Times New Roman" w:eastAsia="Times New Roman" w:hAnsi="Times New Roman"/>
                <w:sz w:val="11"/>
                <w:szCs w:val="11"/>
                <w:color w:val="auto"/>
                <w:w w:val="90"/>
              </w:rPr>
              <w:t>—</w:t>
            </w:r>
          </w:p>
        </w:tc>
        <w:tc>
          <w:tcPr>
            <w:tcW w:w="600" w:type="dxa"/>
            <w:vAlign w:val="bottom"/>
            <w:tcBorders>
              <w:right w:val="single" w:sz="8" w:color="95B3D7"/>
            </w:tcBorders>
          </w:tcPr>
          <w:p>
            <w:pPr>
              <w:ind w:left="460"/>
              <w:spacing w:after="0"/>
              <w:rPr>
                <w:sz w:val="20"/>
                <w:szCs w:val="20"/>
                <w:color w:val="auto"/>
              </w:rPr>
            </w:pPr>
            <w:r>
              <w:rPr>
                <w:rFonts w:ascii="Times New Roman" w:cs="Times New Roman" w:eastAsia="Times New Roman" w:hAnsi="Times New Roman"/>
                <w:sz w:val="11"/>
                <w:szCs w:val="11"/>
                <w:color w:val="auto"/>
                <w:w w:val="90"/>
              </w:rPr>
              <w:t>—</w:t>
            </w:r>
          </w:p>
        </w:tc>
        <w:tc>
          <w:tcPr>
            <w:tcW w:w="1480" w:type="dxa"/>
            <w:vAlign w:val="bottom"/>
          </w:tcPr>
          <w:p>
            <w:pPr>
              <w:jc w:val="right"/>
              <w:spacing w:after="0"/>
              <w:rPr>
                <w:sz w:val="20"/>
                <w:szCs w:val="20"/>
                <w:color w:val="auto"/>
              </w:rPr>
            </w:pPr>
            <w:r>
              <w:rPr>
                <w:rFonts w:ascii="Arial" w:cs="Arial" w:eastAsia="Arial" w:hAnsi="Arial"/>
                <w:sz w:val="11"/>
                <w:szCs w:val="11"/>
                <w:color w:val="auto"/>
              </w:rPr>
              <w:t>20,000</w:t>
            </w:r>
          </w:p>
        </w:tc>
        <w:tc>
          <w:tcPr>
            <w:tcW w:w="0" w:type="dxa"/>
            <w:vAlign w:val="bottom"/>
          </w:tcPr>
          <w:p>
            <w:pPr>
              <w:spacing w:after="0"/>
              <w:rPr>
                <w:sz w:val="1"/>
                <w:szCs w:val="1"/>
                <w:color w:val="auto"/>
              </w:rPr>
            </w:pPr>
          </w:p>
        </w:tc>
      </w:tr>
      <w:tr>
        <w:trPr>
          <w:trHeight w:val="148"/>
        </w:trPr>
        <w:tc>
          <w:tcPr>
            <w:tcW w:w="116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1"/>
                <w:szCs w:val="11"/>
                <w:b w:val="1"/>
                <w:bCs w:val="1"/>
                <w:color w:val="auto"/>
              </w:rPr>
              <w:t>Andreas Wagner</w:t>
            </w:r>
          </w:p>
        </w:tc>
        <w:tc>
          <w:tcPr>
            <w:tcW w:w="1140" w:type="dxa"/>
            <w:vAlign w:val="bottom"/>
            <w:tcBorders>
              <w:right w:val="single" w:sz="8" w:color="95B3D7"/>
            </w:tcBorders>
            <w:shd w:val="clear" w:color="auto" w:fill="DBE5F1"/>
          </w:tcPr>
          <w:p>
            <w:pPr>
              <w:spacing w:after="0"/>
              <w:rPr>
                <w:sz w:val="12"/>
                <w:szCs w:val="12"/>
                <w:color w:val="auto"/>
              </w:rPr>
            </w:pPr>
          </w:p>
        </w:tc>
        <w:tc>
          <w:tcPr>
            <w:tcW w:w="720" w:type="dxa"/>
            <w:vAlign w:val="bottom"/>
            <w:tcBorders>
              <w:right w:val="single" w:sz="8" w:color="95B3D7"/>
            </w:tcBorders>
            <w:shd w:val="clear" w:color="auto" w:fill="DBE5F1"/>
          </w:tcPr>
          <w:p>
            <w:pPr>
              <w:spacing w:after="0"/>
              <w:rPr>
                <w:sz w:val="12"/>
                <w:szCs w:val="12"/>
                <w:color w:val="auto"/>
              </w:rPr>
            </w:pPr>
          </w:p>
        </w:tc>
        <w:tc>
          <w:tcPr>
            <w:tcW w:w="820" w:type="dxa"/>
            <w:vAlign w:val="bottom"/>
            <w:tcBorders>
              <w:right w:val="single" w:sz="8" w:color="95B3D7"/>
            </w:tcBorders>
            <w:shd w:val="clear" w:color="auto" w:fill="DBE5F1"/>
          </w:tcPr>
          <w:p>
            <w:pPr>
              <w:spacing w:after="0"/>
              <w:rPr>
                <w:sz w:val="12"/>
                <w:szCs w:val="12"/>
                <w:color w:val="auto"/>
              </w:rPr>
            </w:pPr>
          </w:p>
        </w:tc>
        <w:tc>
          <w:tcPr>
            <w:tcW w:w="1060" w:type="dxa"/>
            <w:vAlign w:val="bottom"/>
            <w:tcBorders>
              <w:right w:val="single" w:sz="8" w:color="95B3D7"/>
            </w:tcBorders>
            <w:shd w:val="clear" w:color="auto" w:fill="DBE5F1"/>
          </w:tcPr>
          <w:p>
            <w:pPr>
              <w:spacing w:after="0"/>
              <w:rPr>
                <w:sz w:val="12"/>
                <w:szCs w:val="12"/>
                <w:color w:val="auto"/>
              </w:rPr>
            </w:pPr>
          </w:p>
        </w:tc>
        <w:tc>
          <w:tcPr>
            <w:tcW w:w="840" w:type="dxa"/>
            <w:vAlign w:val="bottom"/>
            <w:tcBorders>
              <w:right w:val="single" w:sz="8" w:color="95B3D7"/>
            </w:tcBorders>
            <w:shd w:val="clear" w:color="auto" w:fill="DBE5F1"/>
          </w:tcPr>
          <w:p>
            <w:pPr>
              <w:spacing w:after="0"/>
              <w:rPr>
                <w:sz w:val="12"/>
                <w:szCs w:val="12"/>
                <w:color w:val="auto"/>
              </w:rPr>
            </w:pPr>
          </w:p>
        </w:tc>
        <w:tc>
          <w:tcPr>
            <w:tcW w:w="840" w:type="dxa"/>
            <w:vAlign w:val="bottom"/>
            <w:tcBorders>
              <w:right w:val="single" w:sz="8" w:color="95B3D7"/>
            </w:tcBorders>
            <w:shd w:val="clear" w:color="auto" w:fill="DBE5F1"/>
          </w:tcPr>
          <w:p>
            <w:pPr>
              <w:spacing w:after="0"/>
              <w:rPr>
                <w:sz w:val="12"/>
                <w:szCs w:val="12"/>
                <w:color w:val="auto"/>
              </w:rPr>
            </w:pPr>
          </w:p>
        </w:tc>
        <w:tc>
          <w:tcPr>
            <w:tcW w:w="1040" w:type="dxa"/>
            <w:vAlign w:val="bottom"/>
            <w:tcBorders>
              <w:right w:val="single" w:sz="8" w:color="95B3D7"/>
            </w:tcBorders>
            <w:shd w:val="clear" w:color="auto" w:fill="DBE5F1"/>
          </w:tcPr>
          <w:p>
            <w:pPr>
              <w:spacing w:after="0"/>
              <w:rPr>
                <w:sz w:val="12"/>
                <w:szCs w:val="12"/>
                <w:color w:val="auto"/>
              </w:rPr>
            </w:pPr>
          </w:p>
        </w:tc>
        <w:tc>
          <w:tcPr>
            <w:tcW w:w="720" w:type="dxa"/>
            <w:vAlign w:val="bottom"/>
            <w:tcBorders>
              <w:right w:val="single" w:sz="8" w:color="95B3D7"/>
            </w:tcBorders>
            <w:shd w:val="clear" w:color="auto" w:fill="DBE5F1"/>
          </w:tcPr>
          <w:p>
            <w:pPr>
              <w:spacing w:after="0"/>
              <w:rPr>
                <w:sz w:val="12"/>
                <w:szCs w:val="12"/>
                <w:color w:val="auto"/>
              </w:rPr>
            </w:pPr>
          </w:p>
        </w:tc>
        <w:tc>
          <w:tcPr>
            <w:tcW w:w="820" w:type="dxa"/>
            <w:vAlign w:val="bottom"/>
            <w:tcBorders>
              <w:right w:val="single" w:sz="8" w:color="95B3D7"/>
            </w:tcBorders>
            <w:shd w:val="clear" w:color="auto" w:fill="DBE5F1"/>
          </w:tcPr>
          <w:p>
            <w:pPr>
              <w:spacing w:after="0"/>
              <w:rPr>
                <w:sz w:val="12"/>
                <w:szCs w:val="12"/>
                <w:color w:val="auto"/>
              </w:rPr>
            </w:pPr>
          </w:p>
        </w:tc>
        <w:tc>
          <w:tcPr>
            <w:tcW w:w="600" w:type="dxa"/>
            <w:vAlign w:val="bottom"/>
            <w:tcBorders>
              <w:right w:val="single" w:sz="8" w:color="95B3D7"/>
            </w:tcBorders>
            <w:shd w:val="clear" w:color="auto" w:fill="DBE5F1"/>
          </w:tcPr>
          <w:p>
            <w:pPr>
              <w:spacing w:after="0"/>
              <w:rPr>
                <w:sz w:val="12"/>
                <w:szCs w:val="12"/>
                <w:color w:val="auto"/>
              </w:rPr>
            </w:pPr>
          </w:p>
        </w:tc>
        <w:tc>
          <w:tcPr>
            <w:tcW w:w="1480" w:type="dxa"/>
            <w:vAlign w:val="bottom"/>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160" w:type="dxa"/>
            <w:vAlign w:val="bottom"/>
            <w:tcBorders>
              <w:right w:val="single" w:sz="8" w:color="95B3D7"/>
            </w:tcBorders>
            <w:shd w:val="clear" w:color="auto" w:fill="DBE5F1"/>
          </w:tcPr>
          <w:p>
            <w:pPr>
              <w:ind w:left="20"/>
              <w:spacing w:after="0" w:line="203" w:lineRule="exact"/>
              <w:rPr>
                <w:sz w:val="20"/>
                <w:szCs w:val="20"/>
                <w:color w:val="auto"/>
              </w:rPr>
            </w:pPr>
            <w:r>
              <w:rPr>
                <w:rFonts w:ascii="Arial" w:cs="Arial" w:eastAsia="Arial" w:hAnsi="Arial"/>
                <w:sz w:val="21"/>
                <w:szCs w:val="21"/>
                <w:color w:val="auto"/>
                <w:vertAlign w:val="subscript"/>
              </w:rPr>
              <w:t>AIP</w:t>
            </w:r>
            <w:r>
              <w:rPr>
                <w:rFonts w:ascii="Arial" w:cs="Arial" w:eastAsia="Arial" w:hAnsi="Arial"/>
                <w:sz w:val="7"/>
                <w:szCs w:val="7"/>
                <w:color w:val="auto"/>
              </w:rPr>
              <w:t>(1)</w:t>
            </w:r>
          </w:p>
        </w:tc>
        <w:tc>
          <w:tcPr>
            <w:tcW w:w="114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192,231</w:t>
            </w:r>
          </w:p>
        </w:tc>
        <w:tc>
          <w:tcPr>
            <w:tcW w:w="8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384,462</w:t>
            </w:r>
          </w:p>
        </w:tc>
        <w:tc>
          <w:tcPr>
            <w:tcW w:w="106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768,923</w:t>
            </w:r>
          </w:p>
        </w:tc>
        <w:tc>
          <w:tcPr>
            <w:tcW w:w="8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right w:val="single" w:sz="8" w:color="95B3D7"/>
            </w:tcBorders>
            <w:shd w:val="clear" w:color="auto" w:fill="DBE5F1"/>
          </w:tcPr>
          <w:p>
            <w:pPr>
              <w:ind w:left="680"/>
              <w:spacing w:after="0"/>
              <w:rPr>
                <w:sz w:val="20"/>
                <w:szCs w:val="20"/>
                <w:color w:val="auto"/>
              </w:rPr>
            </w:pPr>
            <w:r>
              <w:rPr>
                <w:rFonts w:ascii="Arial" w:cs="Arial" w:eastAsia="Arial" w:hAnsi="Arial"/>
                <w:sz w:val="11"/>
                <w:szCs w:val="11"/>
                <w:color w:val="auto"/>
                <w:w w:val="90"/>
              </w:rPr>
              <w:t>—</w:t>
            </w:r>
          </w:p>
        </w:tc>
        <w:tc>
          <w:tcPr>
            <w:tcW w:w="60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1"/>
                <w:szCs w:val="11"/>
                <w:color w:val="auto"/>
                <w:w w:val="90"/>
              </w:rPr>
              <w:t>—</w:t>
            </w:r>
          </w:p>
        </w:tc>
        <w:tc>
          <w:tcPr>
            <w:tcW w:w="1480" w:type="dxa"/>
            <w:vAlign w:val="bottom"/>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16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1"/>
                <w:szCs w:val="11"/>
                <w:color w:val="auto"/>
              </w:rPr>
              <w:t>RSU Award</w:t>
            </w:r>
            <w:r>
              <w:rPr>
                <w:rFonts w:ascii="Arial" w:cs="Arial" w:eastAsia="Arial" w:hAnsi="Arial"/>
                <w:sz w:val="14"/>
                <w:szCs w:val="14"/>
                <w:color w:val="auto"/>
                <w:vertAlign w:val="superscript"/>
              </w:rPr>
              <w:t>(2)</w:t>
            </w:r>
          </w:p>
        </w:tc>
        <w:tc>
          <w:tcPr>
            <w:tcW w:w="114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1"/>
                <w:szCs w:val="11"/>
                <w:color w:val="auto"/>
                <w:w w:val="97"/>
              </w:rPr>
              <w:t>3/13/2024</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60,000</w:t>
            </w:r>
          </w:p>
        </w:tc>
        <w:tc>
          <w:tcPr>
            <w:tcW w:w="820" w:type="dxa"/>
            <w:vAlign w:val="bottom"/>
            <w:tcBorders>
              <w:right w:val="single" w:sz="8" w:color="95B3D7"/>
            </w:tcBorders>
            <w:shd w:val="clear" w:color="auto" w:fill="DBE5F1"/>
          </w:tcPr>
          <w:p>
            <w:pPr>
              <w:ind w:left="680"/>
              <w:spacing w:after="0"/>
              <w:rPr>
                <w:sz w:val="20"/>
                <w:szCs w:val="20"/>
                <w:color w:val="auto"/>
              </w:rPr>
            </w:pPr>
            <w:r>
              <w:rPr>
                <w:rFonts w:ascii="Arial" w:cs="Arial" w:eastAsia="Arial" w:hAnsi="Arial"/>
                <w:sz w:val="11"/>
                <w:szCs w:val="11"/>
                <w:color w:val="auto"/>
                <w:w w:val="90"/>
              </w:rPr>
              <w:t>—</w:t>
            </w:r>
          </w:p>
        </w:tc>
        <w:tc>
          <w:tcPr>
            <w:tcW w:w="60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1"/>
                <w:szCs w:val="11"/>
                <w:color w:val="auto"/>
                <w:w w:val="90"/>
              </w:rPr>
              <w:t>—</w:t>
            </w:r>
          </w:p>
        </w:tc>
        <w:tc>
          <w:tcPr>
            <w:tcW w:w="1480" w:type="dxa"/>
            <w:vAlign w:val="bottom"/>
            <w:shd w:val="clear" w:color="auto" w:fill="DBE5F1"/>
          </w:tcPr>
          <w:p>
            <w:pPr>
              <w:jc w:val="right"/>
              <w:spacing w:after="0"/>
              <w:rPr>
                <w:sz w:val="20"/>
                <w:szCs w:val="20"/>
                <w:color w:val="auto"/>
              </w:rPr>
            </w:pPr>
            <w:r>
              <w:rPr>
                <w:rFonts w:ascii="Arial" w:cs="Arial" w:eastAsia="Arial" w:hAnsi="Arial"/>
                <w:sz w:val="11"/>
                <w:szCs w:val="11"/>
                <w:color w:val="auto"/>
              </w:rPr>
              <w:t>300,000</w:t>
            </w:r>
          </w:p>
        </w:tc>
        <w:tc>
          <w:tcPr>
            <w:tcW w:w="0" w:type="dxa"/>
            <w:vAlign w:val="bottom"/>
          </w:tcPr>
          <w:p>
            <w:pPr>
              <w:spacing w:after="0"/>
              <w:rPr>
                <w:sz w:val="1"/>
                <w:szCs w:val="1"/>
                <w:color w:val="auto"/>
              </w:rPr>
            </w:pPr>
          </w:p>
        </w:tc>
      </w:tr>
      <w:tr>
        <w:trPr>
          <w:trHeight w:val="189"/>
        </w:trPr>
        <w:tc>
          <w:tcPr>
            <w:tcW w:w="116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1"/>
                <w:szCs w:val="11"/>
                <w:color w:val="auto"/>
              </w:rPr>
              <w:t>PSU Award</w:t>
            </w:r>
            <w:r>
              <w:rPr>
                <w:rFonts w:ascii="Arial" w:cs="Arial" w:eastAsia="Arial" w:hAnsi="Arial"/>
                <w:sz w:val="14"/>
                <w:szCs w:val="14"/>
                <w:color w:val="auto"/>
                <w:vertAlign w:val="superscript"/>
              </w:rPr>
              <w:t>(2)</w:t>
            </w:r>
          </w:p>
        </w:tc>
        <w:tc>
          <w:tcPr>
            <w:tcW w:w="114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1"/>
                <w:szCs w:val="11"/>
                <w:color w:val="auto"/>
                <w:w w:val="97"/>
              </w:rPr>
              <w:t>3/13/2024</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30,000</w:t>
            </w:r>
          </w:p>
        </w:tc>
        <w:tc>
          <w:tcPr>
            <w:tcW w:w="8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60,000</w:t>
            </w:r>
          </w:p>
        </w:tc>
        <w:tc>
          <w:tcPr>
            <w:tcW w:w="104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120,000</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right w:val="single" w:sz="8" w:color="95B3D7"/>
            </w:tcBorders>
            <w:shd w:val="clear" w:color="auto" w:fill="DBE5F1"/>
          </w:tcPr>
          <w:p>
            <w:pPr>
              <w:ind w:left="680"/>
              <w:spacing w:after="0"/>
              <w:rPr>
                <w:sz w:val="20"/>
                <w:szCs w:val="20"/>
                <w:color w:val="auto"/>
              </w:rPr>
            </w:pPr>
            <w:r>
              <w:rPr>
                <w:rFonts w:ascii="Arial" w:cs="Arial" w:eastAsia="Arial" w:hAnsi="Arial"/>
                <w:sz w:val="11"/>
                <w:szCs w:val="11"/>
                <w:color w:val="auto"/>
                <w:w w:val="90"/>
              </w:rPr>
              <w:t>—</w:t>
            </w:r>
          </w:p>
        </w:tc>
        <w:tc>
          <w:tcPr>
            <w:tcW w:w="60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1"/>
                <w:szCs w:val="11"/>
                <w:color w:val="auto"/>
                <w:w w:val="90"/>
              </w:rPr>
              <w:t>—</w:t>
            </w:r>
          </w:p>
        </w:tc>
        <w:tc>
          <w:tcPr>
            <w:tcW w:w="1480" w:type="dxa"/>
            <w:vAlign w:val="bottom"/>
            <w:shd w:val="clear" w:color="auto" w:fill="DBE5F1"/>
          </w:tcPr>
          <w:p>
            <w:pPr>
              <w:jc w:val="right"/>
              <w:spacing w:after="0"/>
              <w:rPr>
                <w:sz w:val="20"/>
                <w:szCs w:val="20"/>
                <w:color w:val="auto"/>
              </w:rPr>
            </w:pPr>
            <w:r>
              <w:rPr>
                <w:rFonts w:ascii="Arial" w:cs="Arial" w:eastAsia="Arial" w:hAnsi="Arial"/>
                <w:sz w:val="11"/>
                <w:szCs w:val="11"/>
                <w:color w:val="auto"/>
              </w:rPr>
              <w:t>300,000</w:t>
            </w:r>
          </w:p>
        </w:tc>
        <w:tc>
          <w:tcPr>
            <w:tcW w:w="0" w:type="dxa"/>
            <w:vAlign w:val="bottom"/>
          </w:tcPr>
          <w:p>
            <w:pPr>
              <w:spacing w:after="0"/>
              <w:rPr>
                <w:sz w:val="1"/>
                <w:szCs w:val="1"/>
                <w:color w:val="auto"/>
              </w:rPr>
            </w:pPr>
          </w:p>
        </w:tc>
      </w:tr>
      <w:tr>
        <w:trPr>
          <w:trHeight w:val="162"/>
        </w:trPr>
        <w:tc>
          <w:tcPr>
            <w:tcW w:w="1160" w:type="dxa"/>
            <w:vAlign w:val="bottom"/>
            <w:tcBorders>
              <w:bottom w:val="single" w:sz="8" w:color="95B3D7"/>
              <w:right w:val="single" w:sz="8" w:color="95B3D7"/>
            </w:tcBorders>
            <w:shd w:val="clear" w:color="auto" w:fill="DBE5F1"/>
          </w:tcPr>
          <w:p>
            <w:pPr>
              <w:ind w:left="20"/>
              <w:spacing w:after="0"/>
              <w:rPr>
                <w:sz w:val="20"/>
                <w:szCs w:val="20"/>
                <w:color w:val="auto"/>
              </w:rPr>
            </w:pPr>
            <w:r>
              <w:rPr>
                <w:rFonts w:ascii="Arial" w:cs="Arial" w:eastAsia="Arial" w:hAnsi="Arial"/>
                <w:sz w:val="11"/>
                <w:szCs w:val="11"/>
                <w:color w:val="auto"/>
              </w:rPr>
              <w:t>RSU Award</w:t>
            </w:r>
            <w:r>
              <w:rPr>
                <w:rFonts w:ascii="Arial" w:cs="Arial" w:eastAsia="Arial" w:hAnsi="Arial"/>
                <w:sz w:val="14"/>
                <w:szCs w:val="14"/>
                <w:color w:val="auto"/>
                <w:vertAlign w:val="superscript"/>
              </w:rPr>
              <w:t>(2)</w:t>
            </w:r>
          </w:p>
        </w:tc>
        <w:tc>
          <w:tcPr>
            <w:tcW w:w="114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1"/>
                <w:szCs w:val="11"/>
                <w:color w:val="auto"/>
                <w:w w:val="97"/>
              </w:rPr>
              <w:t>2/7/2024</w:t>
            </w:r>
          </w:p>
        </w:tc>
        <w:tc>
          <w:tcPr>
            <w:tcW w:w="720" w:type="dxa"/>
            <w:vAlign w:val="bottom"/>
            <w:tcBorders>
              <w:bottom w:val="single" w:sz="8" w:color="95B3D7"/>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95B3D7"/>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95B3D7"/>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95B3D7"/>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95B3D7"/>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95B3D7"/>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95B3D7"/>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155,763</w:t>
            </w:r>
          </w:p>
        </w:tc>
        <w:tc>
          <w:tcPr>
            <w:tcW w:w="820" w:type="dxa"/>
            <w:vAlign w:val="bottom"/>
            <w:tcBorders>
              <w:bottom w:val="single" w:sz="8" w:color="95B3D7"/>
              <w:right w:val="single" w:sz="8" w:color="95B3D7"/>
            </w:tcBorders>
            <w:shd w:val="clear" w:color="auto" w:fill="DBE5F1"/>
          </w:tcPr>
          <w:p>
            <w:pPr>
              <w:ind w:left="680"/>
              <w:spacing w:after="0"/>
              <w:rPr>
                <w:sz w:val="20"/>
                <w:szCs w:val="20"/>
                <w:color w:val="auto"/>
              </w:rPr>
            </w:pPr>
            <w:r>
              <w:rPr>
                <w:rFonts w:ascii="Arial" w:cs="Arial" w:eastAsia="Arial" w:hAnsi="Arial"/>
                <w:sz w:val="11"/>
                <w:szCs w:val="11"/>
                <w:color w:val="auto"/>
                <w:w w:val="90"/>
              </w:rPr>
              <w:t>—</w:t>
            </w:r>
          </w:p>
        </w:tc>
        <w:tc>
          <w:tcPr>
            <w:tcW w:w="600" w:type="dxa"/>
            <w:vAlign w:val="bottom"/>
            <w:tcBorders>
              <w:bottom w:val="single" w:sz="8" w:color="95B3D7"/>
              <w:right w:val="single" w:sz="8" w:color="95B3D7"/>
            </w:tcBorders>
            <w:shd w:val="clear" w:color="auto" w:fill="DBE5F1"/>
          </w:tcPr>
          <w:p>
            <w:pPr>
              <w:ind w:left="460"/>
              <w:spacing w:after="0"/>
              <w:rPr>
                <w:sz w:val="20"/>
                <w:szCs w:val="20"/>
                <w:color w:val="auto"/>
              </w:rPr>
            </w:pPr>
            <w:r>
              <w:rPr>
                <w:rFonts w:ascii="Arial" w:cs="Arial" w:eastAsia="Arial" w:hAnsi="Arial"/>
                <w:sz w:val="11"/>
                <w:szCs w:val="11"/>
                <w:color w:val="auto"/>
                <w:w w:val="90"/>
              </w:rPr>
              <w:t>—</w:t>
            </w:r>
          </w:p>
        </w:tc>
        <w:tc>
          <w:tcPr>
            <w:tcW w:w="1480" w:type="dxa"/>
            <w:vAlign w:val="bottom"/>
            <w:tcBorders>
              <w:bottom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1,000,000</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660" w:right="100" w:hanging="251"/>
        <w:spacing w:after="0" w:line="263" w:lineRule="auto"/>
        <w:tabs>
          <w:tab w:leader="none" w:pos="649" w:val="left"/>
        </w:tabs>
        <w:numPr>
          <w:ilvl w:val="0"/>
          <w:numId w:val="47"/>
        </w:numPr>
        <w:rPr>
          <w:rFonts w:ascii="Times New Roman" w:cs="Times New Roman" w:eastAsia="Times New Roman" w:hAnsi="Times New Roman"/>
          <w:sz w:val="14"/>
          <w:szCs w:val="14"/>
          <w:color w:val="auto"/>
        </w:rPr>
      </w:pPr>
      <w:r>
        <w:rPr>
          <w:rFonts w:ascii="Arial" w:cs="Arial" w:eastAsia="Arial" w:hAnsi="Arial"/>
          <w:sz w:val="14"/>
          <w:szCs w:val="14"/>
          <w:color w:val="auto"/>
        </w:rPr>
        <w:t>Awards designated “AIP” represent the threshold, target and maximum amounts of performance-based awards that our NEOs might have earned during 2024 under our Annual Incentive Plan, dependent upon our 2024 performance. Maximum payouts assume that the Annual Incentive Plan was funded at maximum levels based on applicable Company and/or business unit performance and that individual performance was also achieved at maximum levels. Awards actually earned are shown above in the “Non-Equity Incentive Plan Compensation” column of the 2024 Summary Compensation Table. Payouts depend on the achievement of predetermined, strategic and/or financial corporate performance objectives (75% of the award), as well as individual performance (25% of the award, other than for Mr. Kao, whose payout is not impacted by individual goal performance). Based on results, base payouts can range from 0% to 200% of target award amounts. In addition, a modifier (-25% to +35%) is applied to the total bonus payout based on the Company’s CMS Star Ratings. During 2024, the base salaries and target and maximum bonus opportunities were increased for certain NEOs. Target bonus opportunities for the full 2024 year reflect the weighted average of the target bonus opportunity percentages applicable to each NEO for each applicable period throughout the year. Executive officers had the option to elect to settle all or a portion of their actual AIP payouts in shares of common stock. See “</w:t>
      </w:r>
      <w:r>
        <w:rPr>
          <w:rFonts w:ascii="Arial" w:cs="Arial" w:eastAsia="Arial" w:hAnsi="Arial"/>
          <w:sz w:val="14"/>
          <w:szCs w:val="14"/>
          <w:i w:val="1"/>
          <w:iCs w:val="1"/>
          <w:color w:val="auto"/>
        </w:rPr>
        <w:t>Compensation Discussion and Analysis—2024 Executive Compensation Program in Detail—Annual Incentives</w:t>
      </w:r>
      <w:r>
        <w:rPr>
          <w:rFonts w:ascii="Arial" w:cs="Arial" w:eastAsia="Arial" w:hAnsi="Arial"/>
          <w:sz w:val="14"/>
          <w:szCs w:val="14"/>
          <w:color w:val="auto"/>
        </w:rPr>
        <w:t>” above for further discussion of our Annual Incentive Plan.</w:t>
      </w:r>
    </w:p>
    <w:p>
      <w:pPr>
        <w:spacing w:after="0" w:line="151" w:lineRule="exact"/>
        <w:rPr>
          <w:rFonts w:ascii="Times New Roman" w:cs="Times New Roman" w:eastAsia="Times New Roman" w:hAnsi="Times New Roman"/>
          <w:sz w:val="14"/>
          <w:szCs w:val="14"/>
          <w:color w:val="auto"/>
        </w:rPr>
      </w:pPr>
    </w:p>
    <w:p>
      <w:pPr>
        <w:ind w:left="660" w:right="100" w:hanging="247"/>
        <w:spacing w:after="0" w:line="272" w:lineRule="auto"/>
        <w:tabs>
          <w:tab w:leader="none" w:pos="652" w:val="left"/>
        </w:tabs>
        <w:numPr>
          <w:ilvl w:val="0"/>
          <w:numId w:val="47"/>
        </w:numPr>
        <w:rPr>
          <w:rFonts w:ascii="Times New Roman" w:cs="Times New Roman" w:eastAsia="Times New Roman" w:hAnsi="Times New Roman"/>
          <w:sz w:val="14"/>
          <w:szCs w:val="14"/>
          <w:color w:val="auto"/>
        </w:rPr>
      </w:pPr>
      <w:r>
        <w:rPr>
          <w:rFonts w:ascii="Arial" w:cs="Arial" w:eastAsia="Arial" w:hAnsi="Arial"/>
          <w:sz w:val="14"/>
          <w:szCs w:val="14"/>
          <w:color w:val="auto"/>
        </w:rPr>
        <w:t>The actual value to be realized by an NEO depends upon the appreciation in value of the Company's stock and the length of time the award is held. The grant date fair value of each RSU award was computed in accordance with FASB ASC Topic 718 based on the closing stock price on the grant date. The grant date fair value of each PSU award was computed in accordance with FASB ASC Topic 718 based on assumptions discussed in Note 10 “Stock-Based Compensation” to the Company’s consolidated financial statements in the Form 10-K for the year ended December 31, 2024, as filed with the SEC, assuming target-level achievement. Threshold, target, and maximum awards are equal to 50%, 100%, and 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95" w:lineRule="exact"/>
        <w:rPr>
          <w:sz w:val="20"/>
          <w:szCs w:val="20"/>
          <w:color w:val="auto"/>
        </w:rPr>
      </w:pPr>
    </w:p>
    <w:p>
      <w:pPr>
        <w:ind w:left="660" w:right="60"/>
        <w:spacing w:after="0" w:line="283" w:lineRule="auto"/>
        <w:rPr>
          <w:sz w:val="20"/>
          <w:szCs w:val="20"/>
          <w:color w:val="auto"/>
        </w:rPr>
      </w:pPr>
      <w:r>
        <w:rPr>
          <w:rFonts w:ascii="Arial" w:cs="Arial" w:eastAsia="Arial" w:hAnsi="Arial"/>
          <w:sz w:val="14"/>
          <w:szCs w:val="14"/>
          <w:color w:val="auto"/>
        </w:rPr>
        <w:t>respectively, of the number of PSUs granted. The PSUs are earned based on the achievement of certain performance goals over fiscal year 2026 and will vest, to the extent achievement metrics are met, in or about March 2027. The grant date fair value of each RSU award was computed in accordance with FASB ASC Topic 718 based on the closing stock price on the grant date. RSU awards to employees are generally subject to four-year vesting provisions.</w:t>
      </w:r>
    </w:p>
    <w:p>
      <w:pPr>
        <w:spacing w:after="0" w:line="132" w:lineRule="exact"/>
        <w:rPr>
          <w:sz w:val="20"/>
          <w:szCs w:val="20"/>
          <w:color w:val="auto"/>
        </w:rPr>
      </w:pPr>
    </w:p>
    <w:p>
      <w:pPr>
        <w:ind w:left="660" w:right="360" w:hanging="247"/>
        <w:spacing w:after="0" w:line="305" w:lineRule="auto"/>
        <w:tabs>
          <w:tab w:leader="none" w:pos="647"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grants of immediately vested shares of common stock taken in lieu of cash settlement under our 2023 AIP or as discretionary awards in March 2023. These amounts are included in the Summary Compensation Table as "Non-Equity Incentive Plan Compensation" paid in 2023.</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Narrative Disclosure to Summary Compensation Table and Grant of Plan-Based Awards Table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Employment Agreements</w:t>
      </w:r>
    </w:p>
    <w:p>
      <w:pPr>
        <w:spacing w:after="0" w:line="2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March 2021, in connection with our initial public offering, we entered into amended and restated employment agreements with Mr.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Kao, Mr. Freeman and Ms. Maroney, effective as of March 26, 2021, each of which superseded their prior employment agreements.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 we entered in to an employment agreement with Dr. Kim, effective as of September 25, 2023; and we entered into an employment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with Mr. Wagner, effective as of January 8, 2024. The foregoing employment agreements are referred to herein as the “NEO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Agreements.” Each NEO Employment Agreement provides for an initial term of one year, which automatically renews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 one-year periods until either the Company or the Named Executive Officer provides written notice within 90 days in advance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next scheduled renewal date of an intent not to renew. The NEO Employment Agreements provided for an initial base salary as follows: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$675,000 for Mr. Kao; $450,000 for Mr. Freeman; $550,000 for Ms. Maroney; $560,000 for Dr. Kim; and $480,000 for Mr. Wagner. In addition,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each employment agreement provided for an annual cash incentive bonus with an initial target and maximum bonus opportunity equal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and 200% of base salary for Mr. Kao; 50% and 100% of base salary for Mr. Freeman; 85% and 170% of base salary for Ms. Maroney;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 and 170% of base salary for Dr. Kim; and 85% and 170% of base salary for Mr. Wagner. Mr. Kao, Mr. Freeman and Ms. Maroney have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 received increases to his or her base salary. Mr. Kao and Mr. Freeman have each received increases to his target and maximum bonus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opportunity percentages.</w:t>
      </w:r>
    </w:p>
    <w:p>
      <w:pPr>
        <w:spacing w:after="0" w:line="20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Target bonus opportunities and payouts for each of the fiscal years shown in the tables above reflect the weighted average of the target bonus opportunity percentages for each applicable period throughout the fiscal year. In general, annual cash incentive bonuses are determined based on the achievement of performance goals established by the Board (or the Compensation Committee) within the first 90 days of the calendar year following the applicable performance year (or, with respect to the first calendar year of employment, within the first 30 days of the commencement of employment), and may be based on quantitative performance objectives for the Company or one or more of its affiliates, subsidiaries, business units or divisions, and/or individual quantitative or qualitative performance objectives or any combination of the foregoing. Base salaries and annual cash incentive bonus opportunities are reviewed by the Board at least annually and may be increased (but not decreased). For additional information on the 2024 Annual Incentive Plan, see “</w:t>
      </w:r>
      <w:r>
        <w:rPr>
          <w:rFonts w:ascii="Arial" w:cs="Arial" w:eastAsia="Arial" w:hAnsi="Arial"/>
          <w:sz w:val="18"/>
          <w:szCs w:val="18"/>
          <w:i w:val="1"/>
          <w:iCs w:val="1"/>
          <w:color w:val="auto"/>
        </w:rPr>
        <w:t>Compensation Discussion &amp;</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Analysis—2024 Executive Compensation Program in Detail—Annual Incentives</w:t>
      </w:r>
      <w:r>
        <w:rPr>
          <w:rFonts w:ascii="Arial" w:cs="Arial" w:eastAsia="Arial" w:hAnsi="Arial"/>
          <w:sz w:val="18"/>
          <w:szCs w:val="18"/>
          <w:color w:val="auto"/>
        </w:rPr>
        <w:t>” above.</w:t>
      </w:r>
    </w:p>
    <w:p>
      <w:pPr>
        <w:spacing w:after="0" w:line="181" w:lineRule="exact"/>
        <w:rPr>
          <w:sz w:val="20"/>
          <w:szCs w:val="20"/>
          <w:color w:val="auto"/>
        </w:rPr>
      </w:pPr>
    </w:p>
    <w:p>
      <w:pPr>
        <w:ind w:right="180" w:firstLine="405"/>
        <w:spacing w:after="0" w:line="287" w:lineRule="auto"/>
        <w:rPr>
          <w:sz w:val="20"/>
          <w:szCs w:val="20"/>
          <w:color w:val="auto"/>
        </w:rPr>
      </w:pPr>
      <w:r>
        <w:rPr>
          <w:rFonts w:ascii="Arial" w:cs="Arial" w:eastAsia="Arial" w:hAnsi="Arial"/>
          <w:sz w:val="18"/>
          <w:szCs w:val="18"/>
          <w:color w:val="auto"/>
        </w:rPr>
        <w:t>Each of our Named Executive Officers is entitled to severance payments and benefits upon a qualifying termination of employment as described below in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Outstanding Equity Awards at 2024 Fiscal Year End</w:t>
      </w:r>
    </w:p>
    <w:p>
      <w:pPr>
        <w:spacing w:after="0" w:line="117" w:lineRule="exact"/>
        <w:rPr>
          <w:sz w:val="20"/>
          <w:szCs w:val="20"/>
          <w:color w:val="auto"/>
        </w:rPr>
      </w:pPr>
    </w:p>
    <w:p>
      <w:pPr>
        <w:ind w:right="260" w:firstLine="492"/>
        <w:spacing w:after="0" w:line="287" w:lineRule="auto"/>
        <w:rPr>
          <w:sz w:val="20"/>
          <w:szCs w:val="20"/>
          <w:color w:val="auto"/>
        </w:rPr>
      </w:pPr>
      <w:r>
        <w:rPr>
          <w:rFonts w:ascii="Arial" w:cs="Arial" w:eastAsia="Arial" w:hAnsi="Arial"/>
          <w:sz w:val="18"/>
          <w:szCs w:val="18"/>
          <w:color w:val="auto"/>
        </w:rPr>
        <w:t>The following table summarizes, for each of the Named Executive Officers, the number of shares of our common stock underlying outstanding equity awards held as of December 31, 2024.</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3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2"/>
          </w:tcPr>
          <w:p>
            <w:pPr>
              <w:ind w:left="1280"/>
              <w:spacing w:after="0"/>
              <w:rPr>
                <w:sz w:val="20"/>
                <w:szCs w:val="20"/>
                <w:color w:val="auto"/>
              </w:rPr>
            </w:pPr>
            <w:r>
              <w:rPr>
                <w:rFonts w:ascii="Arial" w:cs="Arial" w:eastAsia="Arial" w:hAnsi="Arial"/>
                <w:sz w:val="11"/>
                <w:szCs w:val="11"/>
                <w:b w:val="1"/>
                <w:bCs w:val="1"/>
                <w:color w:val="auto"/>
              </w:rPr>
              <w:t>Option Awards</w:t>
            </w: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tcBorders>
              <w:bottom w:val="single" w:sz="8" w:color="auto"/>
            </w:tcBorders>
            <w:gridSpan w:val="2"/>
          </w:tcPr>
          <w:p>
            <w:pPr>
              <w:jc w:val="right"/>
              <w:ind w:right="826"/>
              <w:spacing w:after="0"/>
              <w:rPr>
                <w:sz w:val="20"/>
                <w:szCs w:val="20"/>
                <w:color w:val="auto"/>
              </w:rPr>
            </w:pPr>
            <w:r>
              <w:rPr>
                <w:rFonts w:ascii="Arial" w:cs="Arial" w:eastAsia="Arial" w:hAnsi="Arial"/>
                <w:sz w:val="11"/>
                <w:szCs w:val="11"/>
                <w:b w:val="1"/>
                <w:bCs w:val="1"/>
                <w:color w:val="auto"/>
              </w:rPr>
              <w:t>Stock Awards</w:t>
            </w:r>
          </w:p>
        </w:tc>
        <w:tc>
          <w:tcPr>
            <w:tcW w:w="0" w:type="dxa"/>
            <w:vAlign w:val="bottom"/>
          </w:tcPr>
          <w:p>
            <w:pPr>
              <w:spacing w:after="0"/>
              <w:rPr>
                <w:sz w:val="1"/>
                <w:szCs w:val="1"/>
                <w:color w:val="auto"/>
              </w:rPr>
            </w:pPr>
          </w:p>
        </w:tc>
      </w:tr>
      <w:tr>
        <w:trPr>
          <w:trHeight w:val="108"/>
        </w:trPr>
        <w:tc>
          <w:tcPr>
            <w:tcW w:w="1380" w:type="dxa"/>
            <w:vAlign w:val="bottom"/>
            <w:tcBorders>
              <w:right w:val="single" w:sz="8" w:color="95B3D7"/>
            </w:tcBorders>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Borders>
              <w:right w:val="single" w:sz="8" w:color="95B3D7"/>
            </w:tcBorders>
          </w:tcPr>
          <w:p>
            <w:pPr>
              <w:spacing w:after="0"/>
              <w:rPr>
                <w:sz w:val="9"/>
                <w:szCs w:val="9"/>
                <w:color w:val="auto"/>
              </w:rPr>
            </w:pPr>
          </w:p>
        </w:tc>
        <w:tc>
          <w:tcPr>
            <w:tcW w:w="1420" w:type="dxa"/>
            <w:vAlign w:val="bottom"/>
            <w:tcBorders>
              <w:right w:val="single" w:sz="8" w:color="95B3D7"/>
            </w:tcBorders>
          </w:tcPr>
          <w:p>
            <w:pPr>
              <w:spacing w:after="0"/>
              <w:rPr>
                <w:sz w:val="9"/>
                <w:szCs w:val="9"/>
                <w:color w:val="auto"/>
              </w:rPr>
            </w:pPr>
          </w:p>
        </w:tc>
        <w:tc>
          <w:tcPr>
            <w:tcW w:w="920" w:type="dxa"/>
            <w:vAlign w:val="bottom"/>
          </w:tcPr>
          <w:p>
            <w:pPr>
              <w:ind w:left="60"/>
              <w:spacing w:after="0" w:line="109" w:lineRule="exact"/>
              <w:rPr>
                <w:sz w:val="20"/>
                <w:szCs w:val="20"/>
                <w:color w:val="auto"/>
              </w:rPr>
            </w:pPr>
            <w:r>
              <w:rPr>
                <w:rFonts w:ascii="Arial" w:cs="Arial" w:eastAsia="Arial" w:hAnsi="Arial"/>
                <w:sz w:val="11"/>
                <w:szCs w:val="11"/>
                <w:b w:val="1"/>
                <w:bCs w:val="1"/>
                <w:color w:val="auto"/>
                <w:w w:val="99"/>
              </w:rPr>
              <w:t>Equity Incentive</w:t>
            </w:r>
          </w:p>
        </w:tc>
        <w:tc>
          <w:tcPr>
            <w:tcW w:w="240" w:type="dxa"/>
            <w:vAlign w:val="bottom"/>
            <w:tcBorders>
              <w:right w:val="single" w:sz="8" w:color="95B3D7"/>
            </w:tcBorders>
          </w:tcPr>
          <w:p>
            <w:pPr>
              <w:spacing w:after="0"/>
              <w:rPr>
                <w:sz w:val="9"/>
                <w:szCs w:val="9"/>
                <w:color w:val="auto"/>
              </w:rPr>
            </w:pPr>
          </w:p>
        </w:tc>
        <w:tc>
          <w:tcPr>
            <w:tcW w:w="940" w:type="dxa"/>
            <w:vAlign w:val="bottom"/>
            <w:tcBorders>
              <w:right w:val="single" w:sz="8" w:color="95B3D7"/>
            </w:tcBorders>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right w:val="single" w:sz="8" w:color="95B3D7"/>
            </w:tcBorders>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95B3D7"/>
            </w:tcBorders>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Borders>
              <w:right w:val="single" w:sz="8" w:color="95B3D7"/>
            </w:tcBorders>
          </w:tcPr>
          <w:p>
            <w:pPr>
              <w:spacing w:after="0"/>
              <w:rPr>
                <w:sz w:val="11"/>
                <w:szCs w:val="11"/>
                <w:color w:val="auto"/>
              </w:rPr>
            </w:pPr>
          </w:p>
        </w:tc>
        <w:tc>
          <w:tcPr>
            <w:tcW w:w="1420" w:type="dxa"/>
            <w:vAlign w:val="bottom"/>
            <w:tcBorders>
              <w:right w:val="single" w:sz="8" w:color="95B3D7"/>
            </w:tcBorders>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Plan Awards:</w:t>
            </w:r>
          </w:p>
        </w:tc>
        <w:tc>
          <w:tcPr>
            <w:tcW w:w="240" w:type="dxa"/>
            <w:vAlign w:val="bottom"/>
            <w:tcBorders>
              <w:right w:val="single" w:sz="8" w:color="95B3D7"/>
            </w:tcBorders>
          </w:tcPr>
          <w:p>
            <w:pPr>
              <w:spacing w:after="0"/>
              <w:rPr>
                <w:sz w:val="11"/>
                <w:szCs w:val="11"/>
                <w:color w:val="auto"/>
              </w:rPr>
            </w:pPr>
          </w:p>
        </w:tc>
        <w:tc>
          <w:tcPr>
            <w:tcW w:w="940" w:type="dxa"/>
            <w:vAlign w:val="bottom"/>
            <w:tcBorders>
              <w:right w:val="single" w:sz="8" w:color="95B3D7"/>
            </w:tcBorders>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right w:val="single" w:sz="8" w:color="95B3D7"/>
            </w:tcBorders>
          </w:tcPr>
          <w:p>
            <w:pPr>
              <w:ind w:left="60"/>
              <w:spacing w:after="0"/>
              <w:rPr>
                <w:sz w:val="20"/>
                <w:szCs w:val="20"/>
                <w:color w:val="auto"/>
              </w:rPr>
            </w:pPr>
            <w:r>
              <w:rPr>
                <w:rFonts w:ascii="Arial" w:cs="Arial" w:eastAsia="Arial" w:hAnsi="Arial"/>
                <w:sz w:val="11"/>
                <w:szCs w:val="11"/>
                <w:b w:val="1"/>
                <w:bCs w:val="1"/>
                <w:color w:val="auto"/>
              </w:rPr>
              <w:t>Number of</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380" w:type="dxa"/>
            <w:vAlign w:val="bottom"/>
            <w:tcBorders>
              <w:right w:val="single" w:sz="8" w:color="95B3D7"/>
            </w:tcBorders>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Borders>
              <w:right w:val="single" w:sz="8" w:color="95B3D7"/>
            </w:tcBorders>
          </w:tcPr>
          <w:p>
            <w:pPr>
              <w:spacing w:after="0"/>
              <w:rPr>
                <w:sz w:val="7"/>
                <w:szCs w:val="7"/>
                <w:color w:val="auto"/>
              </w:rPr>
            </w:pPr>
          </w:p>
        </w:tc>
        <w:tc>
          <w:tcPr>
            <w:tcW w:w="1420" w:type="dxa"/>
            <w:vAlign w:val="bottom"/>
            <w:tcBorders>
              <w:right w:val="single" w:sz="8" w:color="95B3D7"/>
            </w:tcBorders>
          </w:tcPr>
          <w:p>
            <w:pPr>
              <w:spacing w:after="0"/>
              <w:rPr>
                <w:sz w:val="7"/>
                <w:szCs w:val="7"/>
                <w:color w:val="auto"/>
              </w:rPr>
            </w:pPr>
          </w:p>
        </w:tc>
        <w:tc>
          <w:tcPr>
            <w:tcW w:w="920" w:type="dxa"/>
            <w:vAlign w:val="bottom"/>
          </w:tcPr>
          <w:p>
            <w:pPr>
              <w:ind w:left="60"/>
              <w:spacing w:after="0" w:line="82" w:lineRule="exact"/>
              <w:rPr>
                <w:sz w:val="20"/>
                <w:szCs w:val="20"/>
                <w:color w:val="auto"/>
              </w:rPr>
            </w:pPr>
            <w:r>
              <w:rPr>
                <w:rFonts w:ascii="Arial" w:cs="Arial" w:eastAsia="Arial" w:hAnsi="Arial"/>
                <w:sz w:val="9"/>
                <w:szCs w:val="9"/>
                <w:b w:val="1"/>
                <w:bCs w:val="1"/>
                <w:color w:val="auto"/>
              </w:rPr>
              <w:t>Number of</w:t>
            </w:r>
          </w:p>
        </w:tc>
        <w:tc>
          <w:tcPr>
            <w:tcW w:w="240" w:type="dxa"/>
            <w:vAlign w:val="bottom"/>
            <w:tcBorders>
              <w:right w:val="single" w:sz="8" w:color="95B3D7"/>
            </w:tcBorders>
          </w:tcPr>
          <w:p>
            <w:pPr>
              <w:spacing w:after="0"/>
              <w:rPr>
                <w:sz w:val="7"/>
                <w:szCs w:val="7"/>
                <w:color w:val="auto"/>
              </w:rPr>
            </w:pPr>
          </w:p>
        </w:tc>
        <w:tc>
          <w:tcPr>
            <w:tcW w:w="940" w:type="dxa"/>
            <w:vAlign w:val="bottom"/>
            <w:tcBorders>
              <w:right w:val="single" w:sz="8" w:color="95B3D7"/>
            </w:tcBorders>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Borders>
              <w:right w:val="single" w:sz="8" w:color="95B3D7"/>
            </w:tcBorders>
            <w:vMerge w:val="restart"/>
          </w:tcPr>
          <w:p>
            <w:pPr>
              <w:ind w:left="60"/>
              <w:spacing w:after="0"/>
              <w:rPr>
                <w:sz w:val="20"/>
                <w:szCs w:val="20"/>
                <w:color w:val="auto"/>
              </w:rPr>
            </w:pPr>
            <w:r>
              <w:rPr>
                <w:rFonts w:ascii="Arial" w:cs="Arial" w:eastAsia="Arial" w:hAnsi="Arial"/>
                <w:sz w:val="11"/>
                <w:szCs w:val="11"/>
                <w:b w:val="1"/>
                <w:bCs w:val="1"/>
                <w:color w:val="auto"/>
              </w:rPr>
              <w:t>Shares or Units</w:t>
            </w: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380" w:type="dxa"/>
            <w:vAlign w:val="bottom"/>
            <w:tcBorders>
              <w:right w:val="single" w:sz="8" w:color="95B3D7"/>
            </w:tcBorders>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Borders>
              <w:right w:val="single" w:sz="8" w:color="95B3D7"/>
            </w:tcBorders>
          </w:tcPr>
          <w:p>
            <w:pPr>
              <w:spacing w:after="0"/>
              <w:rPr>
                <w:sz w:val="5"/>
                <w:szCs w:val="5"/>
                <w:color w:val="auto"/>
              </w:rPr>
            </w:pPr>
          </w:p>
        </w:tc>
        <w:tc>
          <w:tcPr>
            <w:tcW w:w="1420" w:type="dxa"/>
            <w:vAlign w:val="bottom"/>
            <w:tcBorders>
              <w:right w:val="single" w:sz="8" w:color="95B3D7"/>
            </w:tcBorders>
            <w:vMerge w:val="restart"/>
          </w:tcPr>
          <w:p>
            <w:pPr>
              <w:ind w:left="60"/>
              <w:spacing w:after="0"/>
              <w:rPr>
                <w:sz w:val="20"/>
                <w:szCs w:val="20"/>
                <w:color w:val="auto"/>
              </w:rPr>
            </w:pPr>
            <w:r>
              <w:rPr>
                <w:rFonts w:ascii="Arial" w:cs="Arial" w:eastAsia="Arial" w:hAnsi="Arial"/>
                <w:sz w:val="11"/>
                <w:szCs w:val="11"/>
                <w:b w:val="1"/>
                <w:bCs w:val="1"/>
                <w:color w:val="auto"/>
              </w:rPr>
              <w:t>Number of Securities</w:t>
            </w: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Securities</w:t>
            </w:r>
          </w:p>
        </w:tc>
        <w:tc>
          <w:tcPr>
            <w:tcW w:w="240" w:type="dxa"/>
            <w:vAlign w:val="bottom"/>
            <w:tcBorders>
              <w:right w:val="single" w:sz="8" w:color="95B3D7"/>
            </w:tcBorders>
          </w:tcPr>
          <w:p>
            <w:pPr>
              <w:spacing w:after="0"/>
              <w:rPr>
                <w:sz w:val="5"/>
                <w:szCs w:val="5"/>
                <w:color w:val="auto"/>
              </w:rPr>
            </w:pPr>
          </w:p>
        </w:tc>
        <w:tc>
          <w:tcPr>
            <w:tcW w:w="940" w:type="dxa"/>
            <w:vAlign w:val="bottom"/>
            <w:tcBorders>
              <w:right w:val="single" w:sz="8" w:color="95B3D7"/>
            </w:tcBorders>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Borders>
              <w:right w:val="single" w:sz="8" w:color="95B3D7"/>
            </w:tcBorders>
            <w:vMerge w:val="continue"/>
          </w:tcPr>
          <w:p>
            <w:pPr>
              <w:spacing w:after="0"/>
              <w:rPr>
                <w:sz w:val="5"/>
                <w:szCs w:val="5"/>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Market Value of Shares</w:t>
            </w:r>
          </w:p>
        </w:tc>
        <w:tc>
          <w:tcPr>
            <w:tcW w:w="0" w:type="dxa"/>
            <w:vAlign w:val="bottom"/>
          </w:tcPr>
          <w:p>
            <w:pPr>
              <w:spacing w:after="0"/>
              <w:rPr>
                <w:sz w:val="1"/>
                <w:szCs w:val="1"/>
                <w:color w:val="auto"/>
              </w:rPr>
            </w:pPr>
          </w:p>
        </w:tc>
      </w:tr>
      <w:tr>
        <w:trPr>
          <w:trHeight w:val="67"/>
        </w:trPr>
        <w:tc>
          <w:tcPr>
            <w:tcW w:w="1380" w:type="dxa"/>
            <w:vAlign w:val="bottom"/>
            <w:tcBorders>
              <w:right w:val="single" w:sz="8" w:color="95B3D7"/>
            </w:tcBorders>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Borders>
              <w:right w:val="single" w:sz="8" w:color="95B3D7"/>
            </w:tcBorders>
          </w:tcPr>
          <w:p>
            <w:pPr>
              <w:spacing w:after="0"/>
              <w:rPr>
                <w:sz w:val="5"/>
                <w:szCs w:val="5"/>
                <w:color w:val="auto"/>
              </w:rPr>
            </w:pPr>
          </w:p>
        </w:tc>
        <w:tc>
          <w:tcPr>
            <w:tcW w:w="1420" w:type="dxa"/>
            <w:vAlign w:val="bottom"/>
            <w:tcBorders>
              <w:right w:val="single" w:sz="8" w:color="95B3D7"/>
            </w:tcBorders>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Borders>
              <w:right w:val="single" w:sz="8" w:color="95B3D7"/>
            </w:tcBorders>
          </w:tcPr>
          <w:p>
            <w:pPr>
              <w:spacing w:after="0"/>
              <w:rPr>
                <w:sz w:val="5"/>
                <w:szCs w:val="5"/>
                <w:color w:val="auto"/>
              </w:rPr>
            </w:pPr>
          </w:p>
        </w:tc>
        <w:tc>
          <w:tcPr>
            <w:tcW w:w="940" w:type="dxa"/>
            <w:vAlign w:val="bottom"/>
            <w:tcBorders>
              <w:right w:val="single" w:sz="8" w:color="95B3D7"/>
            </w:tcBorders>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Borders>
              <w:right w:val="single" w:sz="8" w:color="95B3D7"/>
            </w:tcBorders>
            <w:vMerge w:val="restart"/>
          </w:tcPr>
          <w:p>
            <w:pPr>
              <w:ind w:left="60"/>
              <w:spacing w:after="0"/>
              <w:rPr>
                <w:sz w:val="20"/>
                <w:szCs w:val="20"/>
                <w:color w:val="auto"/>
              </w:rPr>
            </w:pPr>
            <w:r>
              <w:rPr>
                <w:rFonts w:ascii="Arial" w:cs="Arial" w:eastAsia="Arial" w:hAnsi="Arial"/>
                <w:sz w:val="11"/>
                <w:szCs w:val="11"/>
                <w:b w:val="1"/>
                <w:bCs w:val="1"/>
                <w:color w:val="auto"/>
              </w:rPr>
              <w:t>of Stock That</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380" w:type="dxa"/>
            <w:vAlign w:val="bottom"/>
            <w:tcBorders>
              <w:right w:val="single" w:sz="8" w:color="95B3D7"/>
            </w:tcBorders>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tcBorders>
              <w:right w:val="single" w:sz="8" w:color="95B3D7"/>
            </w:tcBorders>
          </w:tcPr>
          <w:p>
            <w:pPr>
              <w:ind w:left="60"/>
              <w:spacing w:after="0" w:line="75" w:lineRule="exact"/>
              <w:rPr>
                <w:sz w:val="20"/>
                <w:szCs w:val="20"/>
                <w:color w:val="auto"/>
              </w:rPr>
            </w:pPr>
            <w:r>
              <w:rPr>
                <w:rFonts w:ascii="Arial" w:cs="Arial" w:eastAsia="Arial" w:hAnsi="Arial"/>
                <w:sz w:val="8"/>
                <w:szCs w:val="8"/>
                <w:b w:val="1"/>
                <w:bCs w:val="1"/>
                <w:color w:val="auto"/>
              </w:rPr>
              <w:t>Number of Securities</w:t>
            </w:r>
          </w:p>
        </w:tc>
        <w:tc>
          <w:tcPr>
            <w:tcW w:w="1420" w:type="dxa"/>
            <w:vAlign w:val="bottom"/>
            <w:tcBorders>
              <w:right w:val="single" w:sz="8" w:color="95B3D7"/>
            </w:tcBorders>
            <w:vMerge w:val="restart"/>
          </w:tcPr>
          <w:p>
            <w:pPr>
              <w:ind w:left="60"/>
              <w:spacing w:after="0"/>
              <w:rPr>
                <w:sz w:val="20"/>
                <w:szCs w:val="20"/>
                <w:color w:val="auto"/>
              </w:rPr>
            </w:pPr>
            <w:r>
              <w:rPr>
                <w:rFonts w:ascii="Arial" w:cs="Arial" w:eastAsia="Arial" w:hAnsi="Arial"/>
                <w:sz w:val="11"/>
                <w:szCs w:val="11"/>
                <w:b w:val="1"/>
                <w:bCs w:val="1"/>
                <w:color w:val="auto"/>
              </w:rPr>
              <w:t>Underlying Unexercised</w:t>
            </w:r>
          </w:p>
        </w:tc>
        <w:tc>
          <w:tcPr>
            <w:tcW w:w="920" w:type="dxa"/>
            <w:vAlign w:val="bottom"/>
          </w:tcPr>
          <w:p>
            <w:pPr>
              <w:ind w:left="60"/>
              <w:spacing w:after="0" w:line="75" w:lineRule="exact"/>
              <w:rPr>
                <w:sz w:val="20"/>
                <w:szCs w:val="20"/>
                <w:color w:val="auto"/>
              </w:rPr>
            </w:pPr>
            <w:r>
              <w:rPr>
                <w:rFonts w:ascii="Arial" w:cs="Arial" w:eastAsia="Arial" w:hAnsi="Arial"/>
                <w:sz w:val="8"/>
                <w:szCs w:val="8"/>
                <w:b w:val="1"/>
                <w:bCs w:val="1"/>
                <w:color w:val="auto"/>
              </w:rPr>
              <w:t>Underlying</w:t>
            </w:r>
          </w:p>
        </w:tc>
        <w:tc>
          <w:tcPr>
            <w:tcW w:w="240" w:type="dxa"/>
            <w:vAlign w:val="bottom"/>
            <w:tcBorders>
              <w:right w:val="single" w:sz="8" w:color="95B3D7"/>
            </w:tcBorders>
          </w:tcPr>
          <w:p>
            <w:pPr>
              <w:spacing w:after="0"/>
              <w:rPr>
                <w:sz w:val="6"/>
                <w:szCs w:val="6"/>
                <w:color w:val="auto"/>
              </w:rPr>
            </w:pPr>
          </w:p>
        </w:tc>
        <w:tc>
          <w:tcPr>
            <w:tcW w:w="940" w:type="dxa"/>
            <w:vAlign w:val="bottom"/>
            <w:tcBorders>
              <w:right w:val="single" w:sz="8" w:color="95B3D7"/>
            </w:tcBorders>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Borders>
              <w:right w:val="single" w:sz="8" w:color="95B3D7"/>
            </w:tcBorders>
            <w:vMerge w:val="continue"/>
          </w:tcPr>
          <w:p>
            <w:pPr>
              <w:spacing w:after="0"/>
              <w:rPr>
                <w:sz w:val="6"/>
                <w:szCs w:val="6"/>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or Units of Stock That</w:t>
            </w:r>
          </w:p>
        </w:tc>
        <w:tc>
          <w:tcPr>
            <w:tcW w:w="0" w:type="dxa"/>
            <w:vAlign w:val="bottom"/>
          </w:tcPr>
          <w:p>
            <w:pPr>
              <w:spacing w:after="0"/>
              <w:rPr>
                <w:sz w:val="1"/>
                <w:szCs w:val="1"/>
                <w:color w:val="auto"/>
              </w:rPr>
            </w:pPr>
          </w:p>
        </w:tc>
      </w:tr>
      <w:tr>
        <w:trPr>
          <w:trHeight w:val="72"/>
        </w:trPr>
        <w:tc>
          <w:tcPr>
            <w:tcW w:w="1380" w:type="dxa"/>
            <w:vAlign w:val="bottom"/>
            <w:tcBorders>
              <w:right w:val="single" w:sz="8" w:color="95B3D7"/>
            </w:tcBorders>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tcBorders>
              <w:right w:val="single" w:sz="8" w:color="95B3D7"/>
            </w:tcBorders>
            <w:vMerge w:val="restart"/>
          </w:tcPr>
          <w:p>
            <w:pPr>
              <w:ind w:left="60"/>
              <w:spacing w:after="0"/>
              <w:rPr>
                <w:sz w:val="20"/>
                <w:szCs w:val="20"/>
                <w:color w:val="auto"/>
              </w:rPr>
            </w:pPr>
            <w:r>
              <w:rPr>
                <w:rFonts w:ascii="Arial" w:cs="Arial" w:eastAsia="Arial" w:hAnsi="Arial"/>
                <w:sz w:val="11"/>
                <w:szCs w:val="11"/>
                <w:b w:val="1"/>
                <w:bCs w:val="1"/>
                <w:color w:val="auto"/>
              </w:rPr>
              <w:t>Underlying</w:t>
            </w:r>
          </w:p>
        </w:tc>
        <w:tc>
          <w:tcPr>
            <w:tcW w:w="1420" w:type="dxa"/>
            <w:vAlign w:val="bottom"/>
            <w:tcBorders>
              <w:right w:val="single" w:sz="8" w:color="95B3D7"/>
            </w:tcBorders>
            <w:vMerge w:val="continue"/>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Unexercised</w:t>
            </w:r>
          </w:p>
        </w:tc>
        <w:tc>
          <w:tcPr>
            <w:tcW w:w="240" w:type="dxa"/>
            <w:vAlign w:val="bottom"/>
            <w:tcBorders>
              <w:right w:val="single" w:sz="8" w:color="95B3D7"/>
            </w:tcBorders>
          </w:tcPr>
          <w:p>
            <w:pPr>
              <w:spacing w:after="0"/>
              <w:rPr>
                <w:sz w:val="6"/>
                <w:szCs w:val="6"/>
                <w:color w:val="auto"/>
              </w:rPr>
            </w:pPr>
          </w:p>
        </w:tc>
        <w:tc>
          <w:tcPr>
            <w:tcW w:w="940" w:type="dxa"/>
            <w:vAlign w:val="bottom"/>
            <w:tcBorders>
              <w:right w:val="single" w:sz="8" w:color="95B3D7"/>
            </w:tcBorders>
            <w:vMerge w:val="restart"/>
          </w:tcPr>
          <w:p>
            <w:pPr>
              <w:ind w:left="60"/>
              <w:spacing w:after="0"/>
              <w:rPr>
                <w:sz w:val="20"/>
                <w:szCs w:val="20"/>
                <w:color w:val="auto"/>
              </w:rPr>
            </w:pPr>
            <w:r>
              <w:rPr>
                <w:rFonts w:ascii="Arial" w:cs="Arial" w:eastAsia="Arial" w:hAnsi="Arial"/>
                <w:sz w:val="11"/>
                <w:szCs w:val="11"/>
                <w:b w:val="1"/>
                <w:bCs w:val="1"/>
                <w:color w:val="auto"/>
              </w:rPr>
              <w:t>Option Exercise</w:t>
            </w: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Option Expiration</w:t>
            </w:r>
          </w:p>
        </w:tc>
        <w:tc>
          <w:tcPr>
            <w:tcW w:w="100" w:type="dxa"/>
            <w:vAlign w:val="bottom"/>
          </w:tcPr>
          <w:p>
            <w:pPr>
              <w:spacing w:after="0"/>
              <w:rPr>
                <w:sz w:val="6"/>
                <w:szCs w:val="6"/>
                <w:color w:val="auto"/>
              </w:rPr>
            </w:pPr>
          </w:p>
        </w:tc>
        <w:tc>
          <w:tcPr>
            <w:tcW w:w="1020" w:type="dxa"/>
            <w:vAlign w:val="bottom"/>
            <w:tcBorders>
              <w:right w:val="single" w:sz="8" w:color="95B3D7"/>
            </w:tcBorders>
            <w:vMerge w:val="restart"/>
          </w:tcPr>
          <w:p>
            <w:pPr>
              <w:ind w:left="60"/>
              <w:spacing w:after="0" w:line="101" w:lineRule="exact"/>
              <w:rPr>
                <w:sz w:val="20"/>
                <w:szCs w:val="20"/>
                <w:color w:val="auto"/>
              </w:rPr>
            </w:pPr>
            <w:r>
              <w:rPr>
                <w:rFonts w:ascii="Arial" w:cs="Arial" w:eastAsia="Arial" w:hAnsi="Arial"/>
                <w:sz w:val="11"/>
                <w:szCs w:val="11"/>
                <w:b w:val="1"/>
                <w:bCs w:val="1"/>
                <w:color w:val="auto"/>
              </w:rPr>
              <w:t>Have Not Vested</w:t>
            </w: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1380" w:type="dxa"/>
            <w:vAlign w:val="bottom"/>
            <w:tcBorders>
              <w:right w:val="single" w:sz="8" w:color="95B3D7"/>
            </w:tcBorders>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right w:val="single" w:sz="8" w:color="95B3D7"/>
            </w:tcBorders>
            <w:vMerge w:val="continue"/>
          </w:tcPr>
          <w:p>
            <w:pPr>
              <w:spacing w:after="0"/>
              <w:rPr>
                <w:sz w:val="2"/>
                <w:szCs w:val="2"/>
                <w:color w:val="auto"/>
              </w:rPr>
            </w:pPr>
          </w:p>
        </w:tc>
        <w:tc>
          <w:tcPr>
            <w:tcW w:w="1420" w:type="dxa"/>
            <w:vAlign w:val="bottom"/>
            <w:tcBorders>
              <w:right w:val="single" w:sz="8" w:color="95B3D7"/>
            </w:tcBorders>
            <w:vMerge w:val="restart"/>
          </w:tcPr>
          <w:p>
            <w:pPr>
              <w:ind w:left="60"/>
              <w:spacing w:after="0" w:line="110" w:lineRule="exact"/>
              <w:rPr>
                <w:sz w:val="20"/>
                <w:szCs w:val="20"/>
                <w:color w:val="auto"/>
              </w:rPr>
            </w:pPr>
            <w:r>
              <w:rPr>
                <w:rFonts w:ascii="Arial" w:cs="Arial" w:eastAsia="Arial" w:hAnsi="Arial"/>
                <w:sz w:val="9"/>
                <w:szCs w:val="9"/>
                <w:b w:val="1"/>
                <w:bCs w:val="1"/>
                <w:color w:val="auto"/>
              </w:rPr>
              <w:t>Options</w:t>
            </w:r>
            <w:r>
              <w:rPr>
                <w:rFonts w:ascii="Arial" w:cs="Arial" w:eastAsia="Arial" w:hAnsi="Arial"/>
                <w:sz w:val="12"/>
                <w:szCs w:val="12"/>
                <w:b w:val="1"/>
                <w:bCs w:val="1"/>
                <w:color w:val="auto"/>
                <w:vertAlign w:val="superscript"/>
              </w:rPr>
              <w:t>(1)</w:t>
            </w:r>
          </w:p>
        </w:tc>
        <w:tc>
          <w:tcPr>
            <w:tcW w:w="920" w:type="dxa"/>
            <w:vAlign w:val="bottom"/>
            <w:vMerge w:val="continue"/>
          </w:tcPr>
          <w:p>
            <w:pPr>
              <w:spacing w:after="0"/>
              <w:rPr>
                <w:sz w:val="2"/>
                <w:szCs w:val="2"/>
                <w:color w:val="auto"/>
              </w:rPr>
            </w:pPr>
          </w:p>
        </w:tc>
        <w:tc>
          <w:tcPr>
            <w:tcW w:w="240" w:type="dxa"/>
            <w:vAlign w:val="bottom"/>
            <w:tcBorders>
              <w:right w:val="single" w:sz="8" w:color="95B3D7"/>
            </w:tcBorders>
          </w:tcPr>
          <w:p>
            <w:pPr>
              <w:spacing w:after="0"/>
              <w:rPr>
                <w:sz w:val="2"/>
                <w:szCs w:val="2"/>
                <w:color w:val="auto"/>
              </w:rPr>
            </w:pPr>
          </w:p>
        </w:tc>
        <w:tc>
          <w:tcPr>
            <w:tcW w:w="940" w:type="dxa"/>
            <w:vAlign w:val="bottom"/>
            <w:tcBorders>
              <w:right w:val="single" w:sz="8" w:color="95B3D7"/>
            </w:tcBorders>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right w:val="single" w:sz="8" w:color="95B3D7"/>
            </w:tcBorders>
            <w:vMerge w:val="continue"/>
          </w:tcPr>
          <w:p>
            <w:pPr>
              <w:spacing w:after="0"/>
              <w:rPr>
                <w:sz w:val="2"/>
                <w:szCs w:val="2"/>
                <w:color w:val="auto"/>
              </w:rPr>
            </w:pPr>
          </w:p>
        </w:tc>
        <w:tc>
          <w:tcPr>
            <w:tcW w:w="1440" w:type="dxa"/>
            <w:vAlign w:val="bottom"/>
            <w:vMerge w:val="restart"/>
          </w:tcPr>
          <w:p>
            <w:pPr>
              <w:ind w:left="60"/>
              <w:spacing w:after="0" w:line="110" w:lineRule="exact"/>
              <w:rPr>
                <w:sz w:val="20"/>
                <w:szCs w:val="20"/>
                <w:color w:val="auto"/>
              </w:rPr>
            </w:pPr>
            <w:r>
              <w:rPr>
                <w:rFonts w:ascii="Arial" w:cs="Arial" w:eastAsia="Arial" w:hAnsi="Arial"/>
                <w:sz w:val="9"/>
                <w:szCs w:val="9"/>
                <w:b w:val="1"/>
                <w:bCs w:val="1"/>
                <w:color w:val="auto"/>
              </w:rPr>
              <w:t>Have Not Vested</w:t>
            </w:r>
            <w:r>
              <w:rPr>
                <w:rFonts w:ascii="Arial" w:cs="Arial" w:eastAsia="Arial" w:hAnsi="Arial"/>
                <w:sz w:val="12"/>
                <w:szCs w:val="12"/>
                <w:b w:val="1"/>
                <w:bCs w:val="1"/>
                <w:color w:val="auto"/>
                <w:vertAlign w:val="superscript"/>
              </w:rPr>
              <w:t>(2)</w:t>
            </w:r>
          </w:p>
        </w:tc>
        <w:tc>
          <w:tcPr>
            <w:tcW w:w="0" w:type="dxa"/>
            <w:vAlign w:val="bottom"/>
          </w:tcPr>
          <w:p>
            <w:pPr>
              <w:spacing w:after="0" w:line="20" w:lineRule="exact"/>
              <w:rPr>
                <w:sz w:val="1"/>
                <w:szCs w:val="1"/>
                <w:color w:val="auto"/>
              </w:rPr>
            </w:pPr>
          </w:p>
        </w:tc>
      </w:tr>
      <w:tr>
        <w:trPr>
          <w:trHeight w:val="81"/>
        </w:trPr>
        <w:tc>
          <w:tcPr>
            <w:tcW w:w="1380" w:type="dxa"/>
            <w:vAlign w:val="bottom"/>
            <w:tcBorders>
              <w:right w:val="single" w:sz="8" w:color="95B3D7"/>
            </w:tcBorders>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Borders>
              <w:right w:val="single" w:sz="8" w:color="95B3D7"/>
            </w:tcBorders>
            <w:vMerge w:val="continue"/>
          </w:tcPr>
          <w:p>
            <w:pPr>
              <w:spacing w:after="0"/>
              <w:rPr>
                <w:sz w:val="7"/>
                <w:szCs w:val="7"/>
                <w:color w:val="auto"/>
              </w:rPr>
            </w:pPr>
          </w:p>
        </w:tc>
        <w:tc>
          <w:tcPr>
            <w:tcW w:w="1420" w:type="dxa"/>
            <w:vAlign w:val="bottom"/>
            <w:tcBorders>
              <w:right w:val="single" w:sz="8" w:color="95B3D7"/>
            </w:tcBorders>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240" w:type="dxa"/>
            <w:vAlign w:val="bottom"/>
            <w:tcBorders>
              <w:right w:val="single" w:sz="8" w:color="95B3D7"/>
            </w:tcBorders>
          </w:tcPr>
          <w:p>
            <w:pPr>
              <w:spacing w:after="0"/>
              <w:rPr>
                <w:sz w:val="7"/>
                <w:szCs w:val="7"/>
                <w:color w:val="auto"/>
              </w:rPr>
            </w:pPr>
          </w:p>
        </w:tc>
        <w:tc>
          <w:tcPr>
            <w:tcW w:w="940" w:type="dxa"/>
            <w:vAlign w:val="bottom"/>
            <w:tcBorders>
              <w:right w:val="single" w:sz="8" w:color="95B3D7"/>
            </w:tcBorders>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120" w:type="dxa"/>
            <w:vAlign w:val="bottom"/>
            <w:tcBorders>
              <w:right w:val="single" w:sz="8" w:color="95B3D7"/>
            </w:tcBorders>
            <w:gridSpan w:val="2"/>
          </w:tcPr>
          <w:p>
            <w:pPr>
              <w:ind w:left="160"/>
              <w:spacing w:after="0"/>
              <w:rPr>
                <w:sz w:val="20"/>
                <w:szCs w:val="20"/>
                <w:color w:val="auto"/>
              </w:rPr>
            </w:pPr>
            <w:r>
              <w:rPr>
                <w:rFonts w:ascii="Arial" w:cs="Arial" w:eastAsia="Arial" w:hAnsi="Arial"/>
                <w:sz w:val="7"/>
                <w:szCs w:val="7"/>
                <w:b w:val="1"/>
                <w:bCs w:val="1"/>
                <w:color w:val="auto"/>
              </w:rPr>
              <w:t>(1)</w:t>
            </w: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380" w:type="dxa"/>
            <w:vAlign w:val="bottom"/>
            <w:tcBorders>
              <w:bottom w:val="single" w:sz="8" w:color="auto"/>
              <w:right w:val="single" w:sz="8" w:color="95B3D7"/>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Borders>
              <w:bottom w:val="single" w:sz="8" w:color="auto"/>
              <w:right w:val="single" w:sz="8" w:color="95B3D7"/>
            </w:tcBorders>
          </w:tcPr>
          <w:p>
            <w:pPr>
              <w:ind w:left="60"/>
              <w:spacing w:after="0" w:line="95" w:lineRule="exact"/>
              <w:rPr>
                <w:sz w:val="20"/>
                <w:szCs w:val="20"/>
                <w:color w:val="auto"/>
              </w:rPr>
            </w:pPr>
            <w:r>
              <w:rPr>
                <w:rFonts w:ascii="Arial" w:cs="Arial" w:eastAsia="Arial" w:hAnsi="Arial"/>
                <w:sz w:val="10"/>
                <w:szCs w:val="10"/>
                <w:b w:val="1"/>
                <w:bCs w:val="1"/>
                <w:color w:val="auto"/>
              </w:rPr>
              <w:t>Unexercised Options</w:t>
            </w:r>
          </w:p>
        </w:tc>
        <w:tc>
          <w:tcPr>
            <w:tcW w:w="1420" w:type="dxa"/>
            <w:vAlign w:val="bottom"/>
            <w:tcBorders>
              <w:bottom w:val="single" w:sz="8" w:color="auto"/>
              <w:right w:val="single" w:sz="8" w:color="95B3D7"/>
            </w:tcBorders>
          </w:tcPr>
          <w:p>
            <w:pPr>
              <w:spacing w:after="0"/>
              <w:rPr>
                <w:sz w:val="8"/>
                <w:szCs w:val="8"/>
                <w:color w:val="auto"/>
              </w:rPr>
            </w:pPr>
          </w:p>
        </w:tc>
        <w:tc>
          <w:tcPr>
            <w:tcW w:w="920" w:type="dxa"/>
            <w:vAlign w:val="bottom"/>
            <w:tcBorders>
              <w:bottom w:val="single" w:sz="8" w:color="auto"/>
            </w:tcBorders>
          </w:tcPr>
          <w:p>
            <w:pPr>
              <w:ind w:left="60"/>
              <w:spacing w:after="0" w:line="95" w:lineRule="exact"/>
              <w:rPr>
                <w:sz w:val="20"/>
                <w:szCs w:val="20"/>
                <w:color w:val="auto"/>
              </w:rPr>
            </w:pPr>
            <w:r>
              <w:rPr>
                <w:rFonts w:ascii="Arial" w:cs="Arial" w:eastAsia="Arial" w:hAnsi="Arial"/>
                <w:sz w:val="10"/>
                <w:szCs w:val="10"/>
                <w:b w:val="1"/>
                <w:bCs w:val="1"/>
                <w:color w:val="auto"/>
              </w:rPr>
              <w:t>Options</w:t>
            </w:r>
          </w:p>
        </w:tc>
        <w:tc>
          <w:tcPr>
            <w:tcW w:w="240" w:type="dxa"/>
            <w:vAlign w:val="bottom"/>
            <w:tcBorders>
              <w:bottom w:val="single" w:sz="8" w:color="auto"/>
              <w:right w:val="single" w:sz="8" w:color="95B3D7"/>
            </w:tcBorders>
          </w:tcPr>
          <w:p>
            <w:pPr>
              <w:spacing w:after="0"/>
              <w:rPr>
                <w:sz w:val="8"/>
                <w:szCs w:val="8"/>
                <w:color w:val="auto"/>
              </w:rPr>
            </w:pPr>
          </w:p>
        </w:tc>
        <w:tc>
          <w:tcPr>
            <w:tcW w:w="940" w:type="dxa"/>
            <w:vAlign w:val="bottom"/>
            <w:tcBorders>
              <w:bottom w:val="single" w:sz="8" w:color="auto"/>
              <w:right w:val="single" w:sz="8" w:color="95B3D7"/>
            </w:tcBorders>
          </w:tcPr>
          <w:p>
            <w:pPr>
              <w:ind w:left="60"/>
              <w:spacing w:after="0" w:line="95" w:lineRule="exact"/>
              <w:rPr>
                <w:sz w:val="20"/>
                <w:szCs w:val="20"/>
                <w:color w:val="auto"/>
              </w:rPr>
            </w:pPr>
            <w:r>
              <w:rPr>
                <w:rFonts w:ascii="Arial" w:cs="Arial" w:eastAsia="Arial" w:hAnsi="Arial"/>
                <w:sz w:val="10"/>
                <w:szCs w:val="10"/>
                <w:b w:val="1"/>
                <w:bCs w:val="1"/>
                <w:color w:val="auto"/>
              </w:rPr>
              <w:t>Price</w:t>
            </w:r>
          </w:p>
        </w:tc>
        <w:tc>
          <w:tcPr>
            <w:tcW w:w="1100" w:type="dxa"/>
            <w:vAlign w:val="bottom"/>
            <w:tcBorders>
              <w:bottom w:val="single" w:sz="8" w:color="auto"/>
            </w:tcBorders>
          </w:tcPr>
          <w:p>
            <w:pPr>
              <w:ind w:left="60"/>
              <w:spacing w:after="0" w:line="95" w:lineRule="exact"/>
              <w:rPr>
                <w:sz w:val="20"/>
                <w:szCs w:val="20"/>
                <w:color w:val="auto"/>
              </w:rPr>
            </w:pPr>
            <w:r>
              <w:rPr>
                <w:rFonts w:ascii="Arial" w:cs="Arial" w:eastAsia="Arial" w:hAnsi="Arial"/>
                <w:sz w:val="10"/>
                <w:szCs w:val="10"/>
                <w:b w:val="1"/>
                <w:bCs w:val="1"/>
                <w:color w:val="auto"/>
              </w:rPr>
              <w:t>Date</w:t>
            </w:r>
          </w:p>
        </w:tc>
        <w:tc>
          <w:tcPr>
            <w:tcW w:w="100" w:type="dxa"/>
            <w:vAlign w:val="bottom"/>
          </w:tcPr>
          <w:p>
            <w:pPr>
              <w:spacing w:after="0"/>
              <w:rPr>
                <w:sz w:val="8"/>
                <w:szCs w:val="8"/>
                <w:color w:val="auto"/>
              </w:rPr>
            </w:pPr>
          </w:p>
        </w:tc>
        <w:tc>
          <w:tcPr>
            <w:tcW w:w="1020" w:type="dxa"/>
            <w:vAlign w:val="bottom"/>
            <w:tcBorders>
              <w:bottom w:val="single" w:sz="8" w:color="auto"/>
              <w:right w:val="single" w:sz="8" w:color="95B3D7"/>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380" w:type="dxa"/>
            <w:vAlign w:val="bottom"/>
            <w:tcBorders>
              <w:bottom w:val="single" w:sz="8" w:color="auto"/>
              <w:right w:val="single" w:sz="8" w:color="95B3D7"/>
            </w:tcBorders>
          </w:tcPr>
          <w:p>
            <w:pPr>
              <w:ind w:left="80"/>
              <w:spacing w:after="0"/>
              <w:rPr>
                <w:sz w:val="20"/>
                <w:szCs w:val="20"/>
                <w:color w:val="auto"/>
              </w:rPr>
            </w:pPr>
            <w:r>
              <w:rPr>
                <w:rFonts w:ascii="Arial" w:cs="Arial" w:eastAsia="Arial" w:hAnsi="Arial"/>
                <w:sz w:val="11"/>
                <w:szCs w:val="11"/>
                <w:b w:val="1"/>
                <w:bCs w:val="1"/>
                <w:color w:val="auto"/>
              </w:rPr>
              <w:t>Name</w:t>
            </w:r>
          </w:p>
        </w:tc>
        <w:tc>
          <w:tcPr>
            <w:tcW w:w="112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Grant Date</w:t>
            </w:r>
          </w:p>
        </w:tc>
        <w:tc>
          <w:tcPr>
            <w:tcW w:w="100" w:type="dxa"/>
            <w:vAlign w:val="bottom"/>
            <w:tcBorders>
              <w:bottom w:val="single" w:sz="8" w:color="DBE5F1"/>
            </w:tcBorders>
          </w:tcPr>
          <w:p>
            <w:pPr>
              <w:spacing w:after="0"/>
              <w:rPr>
                <w:sz w:val="12"/>
                <w:szCs w:val="12"/>
                <w:color w:val="auto"/>
              </w:rPr>
            </w:pPr>
          </w:p>
        </w:tc>
        <w:tc>
          <w:tcPr>
            <w:tcW w:w="1280" w:type="dxa"/>
            <w:vAlign w:val="bottom"/>
            <w:tcBorders>
              <w:bottom w:val="single" w:sz="8" w:color="auto"/>
              <w:right w:val="single" w:sz="8" w:color="95B3D7"/>
            </w:tcBorders>
          </w:tcPr>
          <w:p>
            <w:pPr>
              <w:ind w:left="60"/>
              <w:spacing w:after="0"/>
              <w:rPr>
                <w:sz w:val="20"/>
                <w:szCs w:val="20"/>
                <w:color w:val="auto"/>
              </w:rPr>
            </w:pPr>
            <w:r>
              <w:rPr>
                <w:rFonts w:ascii="Arial" w:cs="Arial" w:eastAsia="Arial" w:hAnsi="Arial"/>
                <w:sz w:val="11"/>
                <w:szCs w:val="11"/>
                <w:b w:val="1"/>
                <w:bCs w:val="1"/>
                <w:color w:val="auto"/>
              </w:rPr>
              <w:t>(#) Exercisable</w:t>
            </w:r>
          </w:p>
        </w:tc>
        <w:tc>
          <w:tcPr>
            <w:tcW w:w="1420" w:type="dxa"/>
            <w:vAlign w:val="bottom"/>
            <w:tcBorders>
              <w:bottom w:val="single" w:sz="8" w:color="auto"/>
              <w:right w:val="single" w:sz="8" w:color="95B3D7"/>
            </w:tcBorders>
          </w:tcPr>
          <w:p>
            <w:pPr>
              <w:ind w:left="60"/>
              <w:spacing w:after="0"/>
              <w:rPr>
                <w:sz w:val="20"/>
                <w:szCs w:val="20"/>
                <w:color w:val="auto"/>
              </w:rPr>
            </w:pPr>
            <w:r>
              <w:rPr>
                <w:rFonts w:ascii="Arial" w:cs="Arial" w:eastAsia="Arial" w:hAnsi="Arial"/>
                <w:sz w:val="11"/>
                <w:szCs w:val="11"/>
                <w:b w:val="1"/>
                <w:bCs w:val="1"/>
                <w:color w:val="auto"/>
              </w:rPr>
              <w:t>(#) Unexercisable</w:t>
            </w: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w:t>
            </w:r>
          </w:p>
        </w:tc>
        <w:tc>
          <w:tcPr>
            <w:tcW w:w="240" w:type="dxa"/>
            <w:vAlign w:val="bottom"/>
            <w:tcBorders>
              <w:bottom w:val="single" w:sz="8" w:color="auto"/>
              <w:right w:val="single" w:sz="8" w:color="95B3D7"/>
            </w:tcBorders>
          </w:tcPr>
          <w:p>
            <w:pPr>
              <w:spacing w:after="0"/>
              <w:rPr>
                <w:sz w:val="12"/>
                <w:szCs w:val="12"/>
                <w:color w:val="auto"/>
              </w:rPr>
            </w:pPr>
          </w:p>
        </w:tc>
        <w:tc>
          <w:tcPr>
            <w:tcW w:w="940" w:type="dxa"/>
            <w:vAlign w:val="bottom"/>
            <w:tcBorders>
              <w:bottom w:val="single" w:sz="8" w:color="auto"/>
              <w:right w:val="single" w:sz="8" w:color="95B3D7"/>
            </w:tcBorders>
          </w:tcPr>
          <w:p>
            <w:pPr>
              <w:ind w:left="60"/>
              <w:spacing w:after="0"/>
              <w:rPr>
                <w:sz w:val="20"/>
                <w:szCs w:val="20"/>
                <w:color w:val="auto"/>
              </w:rPr>
            </w:pPr>
            <w:r>
              <w:rPr>
                <w:rFonts w:ascii="Arial" w:cs="Arial" w:eastAsia="Arial" w:hAnsi="Arial"/>
                <w:sz w:val="11"/>
                <w:szCs w:val="11"/>
                <w:b w:val="1"/>
                <w:bCs w:val="1"/>
                <w:color w:val="auto"/>
              </w:rPr>
              <w:t>($)</w:t>
            </w:r>
          </w:p>
        </w:tc>
        <w:tc>
          <w:tcPr>
            <w:tcW w:w="1100" w:type="dxa"/>
            <w:vAlign w:val="bottom"/>
            <w:tcBorders>
              <w:bottom w:val="single" w:sz="8" w:color="auto"/>
            </w:tcBorders>
          </w:tcPr>
          <w:p>
            <w:pPr>
              <w:spacing w:after="0"/>
              <w:rPr>
                <w:sz w:val="12"/>
                <w:szCs w:val="12"/>
                <w:color w:val="auto"/>
              </w:rPr>
            </w:pPr>
          </w:p>
        </w:tc>
        <w:tc>
          <w:tcPr>
            <w:tcW w:w="100" w:type="dxa"/>
            <w:vAlign w:val="bottom"/>
            <w:tcBorders>
              <w:bottom w:val="single" w:sz="8" w:color="DBE5F1"/>
            </w:tcBorders>
          </w:tcPr>
          <w:p>
            <w:pPr>
              <w:spacing w:after="0"/>
              <w:rPr>
                <w:sz w:val="12"/>
                <w:szCs w:val="12"/>
                <w:color w:val="auto"/>
              </w:rPr>
            </w:pPr>
          </w:p>
        </w:tc>
        <w:tc>
          <w:tcPr>
            <w:tcW w:w="1020" w:type="dxa"/>
            <w:vAlign w:val="bottom"/>
            <w:tcBorders>
              <w:bottom w:val="single" w:sz="8" w:color="auto"/>
              <w:right w:val="single" w:sz="8" w:color="95B3D7"/>
            </w:tcBorders>
          </w:tcPr>
          <w:p>
            <w:pPr>
              <w:ind w:left="60"/>
              <w:spacing w:after="0"/>
              <w:rPr>
                <w:sz w:val="20"/>
                <w:szCs w:val="20"/>
                <w:color w:val="auto"/>
              </w:rPr>
            </w:pPr>
            <w:r>
              <w:rPr>
                <w:rFonts w:ascii="Arial" w:cs="Arial" w:eastAsia="Arial" w:hAnsi="Arial"/>
                <w:sz w:val="11"/>
                <w:szCs w:val="11"/>
                <w:b w:val="1"/>
                <w:bCs w:val="1"/>
                <w:color w:val="auto"/>
              </w:rPr>
              <w:t>(#)</w:t>
            </w:r>
          </w:p>
        </w:tc>
        <w:tc>
          <w:tcPr>
            <w:tcW w:w="144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56"/>
        </w:trPr>
        <w:tc>
          <w:tcPr>
            <w:tcW w:w="138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1"/>
                <w:szCs w:val="11"/>
                <w:color w:val="auto"/>
              </w:rPr>
              <w:t>John Kao</w:t>
            </w:r>
          </w:p>
        </w:tc>
        <w:tc>
          <w:tcPr>
            <w:tcW w:w="11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3/13/2024</w:t>
            </w:r>
          </w:p>
        </w:tc>
        <w:tc>
          <w:tcPr>
            <w:tcW w:w="100" w:type="dxa"/>
            <w:vAlign w:val="bottom"/>
            <w:shd w:val="clear" w:color="auto" w:fill="DBE5F1"/>
          </w:tcPr>
          <w:p>
            <w:pPr>
              <w:spacing w:after="0"/>
              <w:rPr>
                <w:sz w:val="13"/>
                <w:szCs w:val="13"/>
                <w:color w:val="auto"/>
              </w:rPr>
            </w:pPr>
          </w:p>
        </w:tc>
        <w:tc>
          <w:tcPr>
            <w:tcW w:w="128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42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w:t>
            </w:r>
          </w:p>
        </w:tc>
        <w:tc>
          <w:tcPr>
            <w:tcW w:w="920" w:type="dxa"/>
            <w:vAlign w:val="bottom"/>
            <w:shd w:val="clear" w:color="auto" w:fill="DBE5F1"/>
          </w:tcPr>
          <w:p>
            <w:pPr>
              <w:spacing w:after="0"/>
              <w:rPr>
                <w:sz w:val="13"/>
                <w:szCs w:val="13"/>
                <w:color w:val="auto"/>
              </w:rPr>
            </w:pPr>
          </w:p>
        </w:tc>
        <w:tc>
          <w:tcPr>
            <w:tcW w:w="24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tcBorders>
              <w:right w:val="single" w:sz="8" w:color="95B3D7"/>
            </w:tcBorders>
            <w:gridSpan w:val="2"/>
            <w:shd w:val="clear" w:color="auto" w:fill="DBE5F1"/>
          </w:tcPr>
          <w:p>
            <w:pPr>
              <w:jc w:val="right"/>
              <w:ind w:right="26"/>
              <w:spacing w:after="0"/>
              <w:rPr>
                <w:sz w:val="20"/>
                <w:szCs w:val="20"/>
                <w:color w:val="auto"/>
              </w:rPr>
            </w:pPr>
            <w:r>
              <w:rPr>
                <w:rFonts w:ascii="Arial" w:cs="Arial" w:eastAsia="Arial" w:hAnsi="Arial"/>
                <w:sz w:val="11"/>
                <w:szCs w:val="11"/>
                <w:color w:val="auto"/>
              </w:rPr>
              <w:t>330,000</w:t>
            </w:r>
          </w:p>
        </w:tc>
        <w:tc>
          <w:tcPr>
            <w:tcW w:w="1440" w:type="dxa"/>
            <w:vAlign w:val="bottom"/>
            <w:shd w:val="clear" w:color="auto" w:fill="DBE5F1"/>
          </w:tcPr>
          <w:p>
            <w:pPr>
              <w:jc w:val="right"/>
              <w:ind w:right="26"/>
              <w:spacing w:after="0"/>
              <w:rPr>
                <w:sz w:val="20"/>
                <w:szCs w:val="20"/>
                <w:color w:val="auto"/>
              </w:rPr>
            </w:pPr>
            <w:r>
              <w:rPr>
                <w:rFonts w:ascii="Arial" w:cs="Arial" w:eastAsia="Arial" w:hAnsi="Arial"/>
                <w:sz w:val="11"/>
                <w:szCs w:val="11"/>
                <w:color w:val="auto"/>
              </w:rPr>
              <w:t>3,712,500</w:t>
            </w:r>
          </w:p>
        </w:tc>
        <w:tc>
          <w:tcPr>
            <w:tcW w:w="0" w:type="dxa"/>
            <w:vAlign w:val="bottom"/>
          </w:tcPr>
          <w:p>
            <w:pPr>
              <w:spacing w:after="0"/>
              <w:rPr>
                <w:sz w:val="1"/>
                <w:szCs w:val="1"/>
                <w:color w:val="auto"/>
              </w:rPr>
            </w:pPr>
          </w:p>
        </w:tc>
      </w:tr>
      <w:tr>
        <w:trPr>
          <w:trHeight w:val="175"/>
        </w:trPr>
        <w:tc>
          <w:tcPr>
            <w:tcW w:w="1380" w:type="dxa"/>
            <w:vAlign w:val="bottom"/>
            <w:tcBorders>
              <w:right w:val="single" w:sz="8" w:color="95B3D7"/>
            </w:tcBorders>
            <w:shd w:val="clear" w:color="auto" w:fill="DBE5F1"/>
          </w:tcPr>
          <w:p>
            <w:pPr>
              <w:spacing w:after="0"/>
              <w:rPr>
                <w:sz w:val="15"/>
                <w:szCs w:val="15"/>
                <w:color w:val="auto"/>
              </w:rPr>
            </w:pPr>
          </w:p>
        </w:tc>
        <w:tc>
          <w:tcPr>
            <w:tcW w:w="11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3/13/2024</w:t>
            </w:r>
          </w:p>
        </w:tc>
        <w:tc>
          <w:tcPr>
            <w:tcW w:w="100" w:type="dxa"/>
            <w:vAlign w:val="bottom"/>
            <w:shd w:val="clear" w:color="auto" w:fill="DBE5F1"/>
          </w:tcPr>
          <w:p>
            <w:pPr>
              <w:spacing w:after="0"/>
              <w:rPr>
                <w:sz w:val="15"/>
                <w:szCs w:val="15"/>
                <w:color w:val="auto"/>
              </w:rPr>
            </w:pPr>
          </w:p>
        </w:tc>
        <w:tc>
          <w:tcPr>
            <w:tcW w:w="128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42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w:t>
            </w:r>
          </w:p>
        </w:tc>
        <w:tc>
          <w:tcPr>
            <w:tcW w:w="920" w:type="dxa"/>
            <w:vAlign w:val="bottom"/>
            <w:shd w:val="clear" w:color="auto" w:fill="DBE5F1"/>
          </w:tcPr>
          <w:p>
            <w:pPr>
              <w:spacing w:after="0"/>
              <w:rPr>
                <w:sz w:val="15"/>
                <w:szCs w:val="15"/>
                <w:color w:val="auto"/>
              </w:rPr>
            </w:pPr>
          </w:p>
        </w:tc>
        <w:tc>
          <w:tcPr>
            <w:tcW w:w="24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tcBorders>
              <w:right w:val="single" w:sz="8" w:color="95B3D7"/>
            </w:tcBorders>
            <w:gridSpan w:val="2"/>
            <w:shd w:val="clear" w:color="auto" w:fill="DBE5F1"/>
          </w:tcPr>
          <w:p>
            <w:pPr>
              <w:jc w:val="right"/>
              <w:ind w:right="26"/>
              <w:spacing w:after="0"/>
              <w:rPr>
                <w:sz w:val="20"/>
                <w:szCs w:val="20"/>
                <w:color w:val="auto"/>
              </w:rPr>
            </w:pPr>
            <w:r>
              <w:rPr>
                <w:rFonts w:ascii="Arial" w:cs="Arial" w:eastAsia="Arial" w:hAnsi="Arial"/>
                <w:sz w:val="11"/>
                <w:szCs w:val="11"/>
                <w:color w:val="auto"/>
              </w:rPr>
              <w:t>330,000</w:t>
            </w:r>
          </w:p>
        </w:tc>
        <w:tc>
          <w:tcPr>
            <w:tcW w:w="1440" w:type="dxa"/>
            <w:vAlign w:val="bottom"/>
            <w:shd w:val="clear" w:color="auto" w:fill="DBE5F1"/>
          </w:tcPr>
          <w:p>
            <w:pPr>
              <w:jc w:val="right"/>
              <w:ind w:right="26"/>
              <w:spacing w:after="0"/>
              <w:rPr>
                <w:sz w:val="20"/>
                <w:szCs w:val="20"/>
                <w:color w:val="auto"/>
              </w:rPr>
            </w:pPr>
            <w:r>
              <w:rPr>
                <w:rFonts w:ascii="Arial" w:cs="Arial" w:eastAsia="Arial" w:hAnsi="Arial"/>
                <w:sz w:val="11"/>
                <w:szCs w:val="11"/>
                <w:color w:val="auto"/>
              </w:rPr>
              <w:t>3,712,500</w:t>
            </w:r>
          </w:p>
        </w:tc>
        <w:tc>
          <w:tcPr>
            <w:tcW w:w="0" w:type="dxa"/>
            <w:vAlign w:val="bottom"/>
          </w:tcPr>
          <w:p>
            <w:pPr>
              <w:spacing w:after="0"/>
              <w:rPr>
                <w:sz w:val="1"/>
                <w:szCs w:val="1"/>
                <w:color w:val="auto"/>
              </w:rPr>
            </w:pPr>
          </w:p>
        </w:tc>
      </w:tr>
      <w:tr>
        <w:trPr>
          <w:trHeight w:val="162"/>
        </w:trPr>
        <w:tc>
          <w:tcPr>
            <w:tcW w:w="1380" w:type="dxa"/>
            <w:vAlign w:val="bottom"/>
            <w:tcBorders>
              <w:right w:val="single" w:sz="8" w:color="95B3D7"/>
            </w:tcBorders>
            <w:shd w:val="clear" w:color="auto" w:fill="DBE5F1"/>
          </w:tcPr>
          <w:p>
            <w:pPr>
              <w:spacing w:after="0"/>
              <w:rPr>
                <w:sz w:val="14"/>
                <w:szCs w:val="14"/>
                <w:color w:val="auto"/>
              </w:rPr>
            </w:pPr>
          </w:p>
        </w:tc>
        <w:tc>
          <w:tcPr>
            <w:tcW w:w="11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9/14/2023</w:t>
            </w:r>
          </w:p>
        </w:tc>
        <w:tc>
          <w:tcPr>
            <w:tcW w:w="100" w:type="dxa"/>
            <w:vAlign w:val="bottom"/>
            <w:shd w:val="clear" w:color="auto" w:fill="DBE5F1"/>
          </w:tcPr>
          <w:p>
            <w:pPr>
              <w:spacing w:after="0"/>
              <w:rPr>
                <w:sz w:val="14"/>
                <w:szCs w:val="14"/>
                <w:color w:val="auto"/>
              </w:rPr>
            </w:pPr>
          </w:p>
        </w:tc>
        <w:tc>
          <w:tcPr>
            <w:tcW w:w="128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42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w:t>
            </w:r>
          </w:p>
        </w:tc>
        <w:tc>
          <w:tcPr>
            <w:tcW w:w="920" w:type="dxa"/>
            <w:vAlign w:val="bottom"/>
            <w:shd w:val="clear" w:color="auto" w:fill="DBE5F1"/>
          </w:tcPr>
          <w:p>
            <w:pPr>
              <w:spacing w:after="0"/>
              <w:rPr>
                <w:sz w:val="14"/>
                <w:szCs w:val="14"/>
                <w:color w:val="auto"/>
              </w:rPr>
            </w:pPr>
          </w:p>
        </w:tc>
        <w:tc>
          <w:tcPr>
            <w:tcW w:w="24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tcBorders>
              <w:right w:val="single" w:sz="8" w:color="95B3D7"/>
            </w:tcBorders>
            <w:gridSpan w:val="2"/>
            <w:shd w:val="clear" w:color="auto" w:fill="DBE5F1"/>
          </w:tcPr>
          <w:p>
            <w:pPr>
              <w:jc w:val="right"/>
              <w:ind w:right="26"/>
              <w:spacing w:after="0"/>
              <w:rPr>
                <w:sz w:val="20"/>
                <w:szCs w:val="20"/>
                <w:color w:val="auto"/>
              </w:rPr>
            </w:pPr>
            <w:r>
              <w:rPr>
                <w:rFonts w:ascii="Arial" w:cs="Arial" w:eastAsia="Arial" w:hAnsi="Arial"/>
                <w:sz w:val="11"/>
                <w:szCs w:val="11"/>
                <w:color w:val="auto"/>
              </w:rPr>
              <w:t>2,543,124</w:t>
            </w:r>
          </w:p>
        </w:tc>
        <w:tc>
          <w:tcPr>
            <w:tcW w:w="1440" w:type="dxa"/>
            <w:vAlign w:val="bottom"/>
            <w:shd w:val="clear" w:color="auto" w:fill="DBE5F1"/>
          </w:tcPr>
          <w:p>
            <w:pPr>
              <w:jc w:val="right"/>
              <w:ind w:right="26"/>
              <w:spacing w:after="0"/>
              <w:rPr>
                <w:sz w:val="20"/>
                <w:szCs w:val="20"/>
                <w:color w:val="auto"/>
              </w:rPr>
            </w:pPr>
            <w:r>
              <w:rPr>
                <w:rFonts w:ascii="Arial" w:cs="Arial" w:eastAsia="Arial" w:hAnsi="Arial"/>
                <w:sz w:val="11"/>
                <w:szCs w:val="11"/>
                <w:color w:val="auto"/>
              </w:rPr>
              <w:t>28,610,145</w:t>
            </w:r>
          </w:p>
        </w:tc>
        <w:tc>
          <w:tcPr>
            <w:tcW w:w="0" w:type="dxa"/>
            <w:vAlign w:val="bottom"/>
          </w:tcPr>
          <w:p>
            <w:pPr>
              <w:spacing w:after="0"/>
              <w:rPr>
                <w:sz w:val="1"/>
                <w:szCs w:val="1"/>
                <w:color w:val="auto"/>
              </w:rPr>
            </w:pPr>
          </w:p>
        </w:tc>
      </w:tr>
      <w:tr>
        <w:trPr>
          <w:trHeight w:val="243"/>
        </w:trPr>
        <w:tc>
          <w:tcPr>
            <w:tcW w:w="1380" w:type="dxa"/>
            <w:vAlign w:val="bottom"/>
            <w:tcBorders>
              <w:right w:val="single" w:sz="8" w:color="95B3D7"/>
            </w:tcBorders>
            <w:shd w:val="clear" w:color="auto" w:fill="DBE5F1"/>
          </w:tcPr>
          <w:p>
            <w:pPr>
              <w:spacing w:after="0"/>
              <w:rPr>
                <w:sz w:val="21"/>
                <w:szCs w:val="21"/>
                <w:color w:val="auto"/>
              </w:rPr>
            </w:pPr>
          </w:p>
        </w:tc>
        <w:tc>
          <w:tcPr>
            <w:tcW w:w="11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9/12/2022</w:t>
            </w:r>
          </w:p>
        </w:tc>
        <w:tc>
          <w:tcPr>
            <w:tcW w:w="100" w:type="dxa"/>
            <w:vAlign w:val="bottom"/>
            <w:shd w:val="clear" w:color="auto" w:fill="DBE5F1"/>
          </w:tcPr>
          <w:p>
            <w:pPr>
              <w:spacing w:after="0"/>
              <w:rPr>
                <w:sz w:val="21"/>
                <w:szCs w:val="21"/>
                <w:color w:val="auto"/>
              </w:rPr>
            </w:pPr>
          </w:p>
        </w:tc>
        <w:tc>
          <w:tcPr>
            <w:tcW w:w="128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42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w:t>
            </w:r>
          </w:p>
        </w:tc>
        <w:tc>
          <w:tcPr>
            <w:tcW w:w="920" w:type="dxa"/>
            <w:vAlign w:val="bottom"/>
            <w:shd w:val="clear" w:color="auto" w:fill="DBE5F1"/>
          </w:tcPr>
          <w:p>
            <w:pPr>
              <w:spacing w:after="0"/>
              <w:rPr>
                <w:sz w:val="21"/>
                <w:szCs w:val="21"/>
                <w:color w:val="auto"/>
              </w:rPr>
            </w:pPr>
          </w:p>
        </w:tc>
        <w:tc>
          <w:tcPr>
            <w:tcW w:w="24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tcBorders>
              <w:right w:val="single" w:sz="8" w:color="95B3D7"/>
            </w:tcBorders>
            <w:gridSpan w:val="2"/>
            <w:shd w:val="clear" w:color="auto" w:fill="DBE5F1"/>
          </w:tcPr>
          <w:p>
            <w:pPr>
              <w:jc w:val="right"/>
              <w:ind w:right="26"/>
              <w:spacing w:after="0"/>
              <w:rPr>
                <w:sz w:val="20"/>
                <w:szCs w:val="20"/>
                <w:color w:val="auto"/>
              </w:rPr>
            </w:pPr>
            <w:r>
              <w:rPr>
                <w:rFonts w:ascii="Arial" w:cs="Arial" w:eastAsia="Arial" w:hAnsi="Arial"/>
                <w:sz w:val="11"/>
                <w:szCs w:val="11"/>
                <w:color w:val="auto"/>
              </w:rPr>
              <w:t>1,639,027</w:t>
            </w:r>
          </w:p>
        </w:tc>
        <w:tc>
          <w:tcPr>
            <w:tcW w:w="1440" w:type="dxa"/>
            <w:vAlign w:val="bottom"/>
            <w:shd w:val="clear" w:color="auto" w:fill="DBE5F1"/>
          </w:tcPr>
          <w:p>
            <w:pPr>
              <w:jc w:val="right"/>
              <w:ind w:right="26"/>
              <w:spacing w:after="0"/>
              <w:rPr>
                <w:sz w:val="20"/>
                <w:szCs w:val="20"/>
                <w:color w:val="auto"/>
              </w:rPr>
            </w:pPr>
            <w:r>
              <w:rPr>
                <w:rFonts w:ascii="Arial" w:cs="Arial" w:eastAsia="Arial" w:hAnsi="Arial"/>
                <w:sz w:val="11"/>
                <w:szCs w:val="11"/>
                <w:color w:val="auto"/>
              </w:rPr>
              <w:t>18,439,054</w:t>
            </w:r>
          </w:p>
        </w:tc>
        <w:tc>
          <w:tcPr>
            <w:tcW w:w="0" w:type="dxa"/>
            <w:vAlign w:val="bottom"/>
          </w:tcPr>
          <w:p>
            <w:pPr>
              <w:spacing w:after="0"/>
              <w:rPr>
                <w:sz w:val="1"/>
                <w:szCs w:val="1"/>
                <w:color w:val="auto"/>
              </w:rPr>
            </w:pPr>
          </w:p>
        </w:tc>
      </w:tr>
      <w:tr>
        <w:trPr>
          <w:trHeight w:val="243"/>
        </w:trPr>
        <w:tc>
          <w:tcPr>
            <w:tcW w:w="1380" w:type="dxa"/>
            <w:vAlign w:val="bottom"/>
            <w:tcBorders>
              <w:right w:val="single" w:sz="8" w:color="95B3D7"/>
            </w:tcBorders>
            <w:shd w:val="clear" w:color="auto" w:fill="DBE5F1"/>
          </w:tcPr>
          <w:p>
            <w:pPr>
              <w:spacing w:after="0"/>
              <w:rPr>
                <w:sz w:val="21"/>
                <w:szCs w:val="21"/>
                <w:color w:val="auto"/>
              </w:rPr>
            </w:pPr>
          </w:p>
        </w:tc>
        <w:tc>
          <w:tcPr>
            <w:tcW w:w="11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3/8/2022</w:t>
            </w:r>
          </w:p>
        </w:tc>
        <w:tc>
          <w:tcPr>
            <w:tcW w:w="100" w:type="dxa"/>
            <w:vAlign w:val="bottom"/>
            <w:shd w:val="clear" w:color="auto" w:fill="DBE5F1"/>
          </w:tcPr>
          <w:p>
            <w:pPr>
              <w:spacing w:after="0"/>
              <w:rPr>
                <w:sz w:val="21"/>
                <w:szCs w:val="21"/>
                <w:color w:val="auto"/>
              </w:rPr>
            </w:pPr>
          </w:p>
        </w:tc>
        <w:tc>
          <w:tcPr>
            <w:tcW w:w="128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182,482</w:t>
            </w:r>
          </w:p>
        </w:tc>
        <w:tc>
          <w:tcPr>
            <w:tcW w:w="142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182,482</w:t>
            </w:r>
          </w:p>
        </w:tc>
        <w:tc>
          <w:tcPr>
            <w:tcW w:w="920" w:type="dxa"/>
            <w:vAlign w:val="bottom"/>
            <w:shd w:val="clear" w:color="auto" w:fill="DBE5F1"/>
          </w:tcPr>
          <w:p>
            <w:pPr>
              <w:spacing w:after="0"/>
              <w:rPr>
                <w:sz w:val="21"/>
                <w:szCs w:val="21"/>
                <w:color w:val="auto"/>
              </w:rPr>
            </w:pPr>
          </w:p>
        </w:tc>
        <w:tc>
          <w:tcPr>
            <w:tcW w:w="24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9.06</w:t>
            </w:r>
          </w:p>
        </w:tc>
        <w:tc>
          <w:tcPr>
            <w:tcW w:w="110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3/8/2032</w:t>
            </w:r>
          </w:p>
        </w:tc>
        <w:tc>
          <w:tcPr>
            <w:tcW w:w="100" w:type="dxa"/>
            <w:vAlign w:val="bottom"/>
            <w:shd w:val="clear" w:color="auto" w:fill="DBE5F1"/>
          </w:tcPr>
          <w:p>
            <w:pPr>
              <w:spacing w:after="0"/>
              <w:rPr>
                <w:sz w:val="21"/>
                <w:szCs w:val="21"/>
                <w:color w:val="auto"/>
              </w:rPr>
            </w:pPr>
          </w:p>
        </w:tc>
        <w:tc>
          <w:tcPr>
            <w:tcW w:w="10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1440" w:type="dxa"/>
            <w:vAlign w:val="bottom"/>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3"/>
        </w:trPr>
        <w:tc>
          <w:tcPr>
            <w:tcW w:w="1380" w:type="dxa"/>
            <w:vAlign w:val="bottom"/>
            <w:tcBorders>
              <w:right w:val="single" w:sz="8" w:color="95B3D7"/>
            </w:tcBorders>
            <w:shd w:val="clear" w:color="auto" w:fill="DBE5F1"/>
          </w:tcPr>
          <w:p>
            <w:pPr>
              <w:spacing w:after="0"/>
              <w:rPr>
                <w:sz w:val="21"/>
                <w:szCs w:val="21"/>
                <w:color w:val="auto"/>
              </w:rPr>
            </w:pPr>
          </w:p>
        </w:tc>
        <w:tc>
          <w:tcPr>
            <w:tcW w:w="11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3/8/2022</w:t>
            </w:r>
          </w:p>
        </w:tc>
        <w:tc>
          <w:tcPr>
            <w:tcW w:w="100" w:type="dxa"/>
            <w:vAlign w:val="bottom"/>
            <w:shd w:val="clear" w:color="auto" w:fill="DBE5F1"/>
          </w:tcPr>
          <w:p>
            <w:pPr>
              <w:spacing w:after="0"/>
              <w:rPr>
                <w:sz w:val="21"/>
                <w:szCs w:val="21"/>
                <w:color w:val="auto"/>
              </w:rPr>
            </w:pPr>
          </w:p>
        </w:tc>
        <w:tc>
          <w:tcPr>
            <w:tcW w:w="128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42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w:t>
            </w:r>
          </w:p>
        </w:tc>
        <w:tc>
          <w:tcPr>
            <w:tcW w:w="920" w:type="dxa"/>
            <w:vAlign w:val="bottom"/>
            <w:shd w:val="clear" w:color="auto" w:fill="DBE5F1"/>
          </w:tcPr>
          <w:p>
            <w:pPr>
              <w:spacing w:after="0"/>
              <w:rPr>
                <w:sz w:val="21"/>
                <w:szCs w:val="21"/>
                <w:color w:val="auto"/>
              </w:rPr>
            </w:pPr>
          </w:p>
        </w:tc>
        <w:tc>
          <w:tcPr>
            <w:tcW w:w="24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tcBorders>
              <w:right w:val="single" w:sz="8" w:color="95B3D7"/>
            </w:tcBorders>
            <w:gridSpan w:val="2"/>
            <w:shd w:val="clear" w:color="auto" w:fill="DBE5F1"/>
          </w:tcPr>
          <w:p>
            <w:pPr>
              <w:jc w:val="right"/>
              <w:ind w:right="26"/>
              <w:spacing w:after="0"/>
              <w:rPr>
                <w:sz w:val="20"/>
                <w:szCs w:val="20"/>
                <w:color w:val="auto"/>
              </w:rPr>
            </w:pPr>
            <w:r>
              <w:rPr>
                <w:rFonts w:ascii="Arial" w:cs="Arial" w:eastAsia="Arial" w:hAnsi="Arial"/>
                <w:sz w:val="11"/>
                <w:szCs w:val="11"/>
                <w:color w:val="auto"/>
              </w:rPr>
              <w:t>248,344</w:t>
            </w:r>
          </w:p>
        </w:tc>
        <w:tc>
          <w:tcPr>
            <w:tcW w:w="1440" w:type="dxa"/>
            <w:vAlign w:val="bottom"/>
            <w:shd w:val="clear" w:color="auto" w:fill="DBE5F1"/>
          </w:tcPr>
          <w:p>
            <w:pPr>
              <w:jc w:val="right"/>
              <w:ind w:right="26"/>
              <w:spacing w:after="0"/>
              <w:rPr>
                <w:sz w:val="20"/>
                <w:szCs w:val="20"/>
                <w:color w:val="auto"/>
              </w:rPr>
            </w:pPr>
            <w:r>
              <w:rPr>
                <w:rFonts w:ascii="Arial" w:cs="Arial" w:eastAsia="Arial" w:hAnsi="Arial"/>
                <w:sz w:val="11"/>
                <w:szCs w:val="11"/>
                <w:color w:val="auto"/>
              </w:rPr>
              <w:t>2,793,870</w:t>
            </w:r>
          </w:p>
        </w:tc>
        <w:tc>
          <w:tcPr>
            <w:tcW w:w="0" w:type="dxa"/>
            <w:vAlign w:val="bottom"/>
          </w:tcPr>
          <w:p>
            <w:pPr>
              <w:spacing w:after="0"/>
              <w:rPr>
                <w:sz w:val="1"/>
                <w:szCs w:val="1"/>
                <w:color w:val="auto"/>
              </w:rPr>
            </w:pPr>
          </w:p>
        </w:tc>
      </w:tr>
      <w:tr>
        <w:trPr>
          <w:trHeight w:val="243"/>
        </w:trPr>
        <w:tc>
          <w:tcPr>
            <w:tcW w:w="1380" w:type="dxa"/>
            <w:vAlign w:val="bottom"/>
            <w:tcBorders>
              <w:right w:val="single" w:sz="8" w:color="95B3D7"/>
            </w:tcBorders>
            <w:shd w:val="clear" w:color="auto" w:fill="DBE5F1"/>
          </w:tcPr>
          <w:p>
            <w:pPr>
              <w:spacing w:after="0"/>
              <w:rPr>
                <w:sz w:val="21"/>
                <w:szCs w:val="21"/>
                <w:color w:val="auto"/>
              </w:rPr>
            </w:pPr>
          </w:p>
        </w:tc>
        <w:tc>
          <w:tcPr>
            <w:tcW w:w="11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3/25/2021</w:t>
            </w:r>
          </w:p>
        </w:tc>
        <w:tc>
          <w:tcPr>
            <w:tcW w:w="100" w:type="dxa"/>
            <w:vAlign w:val="bottom"/>
            <w:shd w:val="clear" w:color="auto" w:fill="DBE5F1"/>
          </w:tcPr>
          <w:p>
            <w:pPr>
              <w:spacing w:after="0"/>
              <w:rPr>
                <w:sz w:val="21"/>
                <w:szCs w:val="21"/>
                <w:color w:val="auto"/>
              </w:rPr>
            </w:pPr>
          </w:p>
        </w:tc>
        <w:tc>
          <w:tcPr>
            <w:tcW w:w="128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2,937,501</w:t>
            </w:r>
          </w:p>
        </w:tc>
        <w:tc>
          <w:tcPr>
            <w:tcW w:w="142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979,167</w:t>
            </w:r>
          </w:p>
        </w:tc>
        <w:tc>
          <w:tcPr>
            <w:tcW w:w="920" w:type="dxa"/>
            <w:vAlign w:val="bottom"/>
            <w:shd w:val="clear" w:color="auto" w:fill="DBE5F1"/>
          </w:tcPr>
          <w:p>
            <w:pPr>
              <w:spacing w:after="0"/>
              <w:rPr>
                <w:sz w:val="21"/>
                <w:szCs w:val="21"/>
                <w:color w:val="auto"/>
              </w:rPr>
            </w:pPr>
          </w:p>
        </w:tc>
        <w:tc>
          <w:tcPr>
            <w:tcW w:w="24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18.00</w:t>
            </w:r>
          </w:p>
        </w:tc>
        <w:tc>
          <w:tcPr>
            <w:tcW w:w="110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3/25/2031</w:t>
            </w:r>
          </w:p>
        </w:tc>
        <w:tc>
          <w:tcPr>
            <w:tcW w:w="100" w:type="dxa"/>
            <w:vAlign w:val="bottom"/>
            <w:shd w:val="clear" w:color="auto" w:fill="DBE5F1"/>
          </w:tcPr>
          <w:p>
            <w:pPr>
              <w:spacing w:after="0"/>
              <w:rPr>
                <w:sz w:val="21"/>
                <w:szCs w:val="21"/>
                <w:color w:val="auto"/>
              </w:rPr>
            </w:pPr>
          </w:p>
        </w:tc>
        <w:tc>
          <w:tcPr>
            <w:tcW w:w="10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1440" w:type="dxa"/>
            <w:vAlign w:val="bottom"/>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3"/>
        </w:trPr>
        <w:tc>
          <w:tcPr>
            <w:tcW w:w="1380" w:type="dxa"/>
            <w:vAlign w:val="bottom"/>
            <w:tcBorders>
              <w:right w:val="single" w:sz="8" w:color="95B3D7"/>
            </w:tcBorders>
            <w:shd w:val="clear" w:color="auto" w:fill="DBE5F1"/>
          </w:tcPr>
          <w:p>
            <w:pPr>
              <w:spacing w:after="0"/>
              <w:rPr>
                <w:sz w:val="21"/>
                <w:szCs w:val="21"/>
                <w:color w:val="auto"/>
              </w:rPr>
            </w:pPr>
          </w:p>
        </w:tc>
        <w:tc>
          <w:tcPr>
            <w:tcW w:w="11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3/25/2021</w:t>
            </w:r>
          </w:p>
        </w:tc>
        <w:tc>
          <w:tcPr>
            <w:tcW w:w="100" w:type="dxa"/>
            <w:vAlign w:val="bottom"/>
            <w:shd w:val="clear" w:color="auto" w:fill="DBE5F1"/>
          </w:tcPr>
          <w:p>
            <w:pPr>
              <w:spacing w:after="0"/>
              <w:rPr>
                <w:sz w:val="21"/>
                <w:szCs w:val="21"/>
                <w:color w:val="auto"/>
              </w:rPr>
            </w:pPr>
          </w:p>
        </w:tc>
        <w:tc>
          <w:tcPr>
            <w:tcW w:w="128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42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w:t>
            </w:r>
          </w:p>
        </w:tc>
        <w:tc>
          <w:tcPr>
            <w:tcW w:w="920" w:type="dxa"/>
            <w:vAlign w:val="bottom"/>
            <w:shd w:val="clear" w:color="auto" w:fill="DBE5F1"/>
          </w:tcPr>
          <w:p>
            <w:pPr>
              <w:spacing w:after="0"/>
              <w:rPr>
                <w:sz w:val="21"/>
                <w:szCs w:val="21"/>
                <w:color w:val="auto"/>
              </w:rPr>
            </w:pPr>
          </w:p>
        </w:tc>
        <w:tc>
          <w:tcPr>
            <w:tcW w:w="24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tcBorders>
              <w:right w:val="single" w:sz="8" w:color="95B3D7"/>
            </w:tcBorders>
            <w:gridSpan w:val="2"/>
            <w:shd w:val="clear" w:color="auto" w:fill="DBE5F1"/>
          </w:tcPr>
          <w:p>
            <w:pPr>
              <w:jc w:val="right"/>
              <w:ind w:right="26"/>
              <w:spacing w:after="0"/>
              <w:rPr>
                <w:sz w:val="20"/>
                <w:szCs w:val="20"/>
                <w:color w:val="auto"/>
              </w:rPr>
            </w:pPr>
            <w:r>
              <w:rPr>
                <w:rFonts w:ascii="Arial" w:cs="Arial" w:eastAsia="Arial" w:hAnsi="Arial"/>
                <w:sz w:val="11"/>
                <w:szCs w:val="11"/>
                <w:color w:val="auto"/>
              </w:rPr>
              <w:t>77,757</w:t>
            </w:r>
          </w:p>
        </w:tc>
        <w:tc>
          <w:tcPr>
            <w:tcW w:w="1440" w:type="dxa"/>
            <w:vAlign w:val="bottom"/>
            <w:shd w:val="clear" w:color="auto" w:fill="DBE5F1"/>
          </w:tcPr>
          <w:p>
            <w:pPr>
              <w:jc w:val="right"/>
              <w:ind w:right="26"/>
              <w:spacing w:after="0"/>
              <w:rPr>
                <w:sz w:val="20"/>
                <w:szCs w:val="20"/>
                <w:color w:val="auto"/>
              </w:rPr>
            </w:pPr>
            <w:r>
              <w:rPr>
                <w:rFonts w:ascii="Arial" w:cs="Arial" w:eastAsia="Arial" w:hAnsi="Arial"/>
                <w:sz w:val="11"/>
                <w:szCs w:val="11"/>
                <w:color w:val="auto"/>
              </w:rPr>
              <w:t>874,766</w:t>
            </w:r>
          </w:p>
        </w:tc>
        <w:tc>
          <w:tcPr>
            <w:tcW w:w="0" w:type="dxa"/>
            <w:vAlign w:val="bottom"/>
          </w:tcPr>
          <w:p>
            <w:pPr>
              <w:spacing w:after="0"/>
              <w:rPr>
                <w:sz w:val="1"/>
                <w:szCs w:val="1"/>
                <w:color w:val="auto"/>
              </w:rPr>
            </w:pPr>
          </w:p>
        </w:tc>
      </w:tr>
      <w:tr>
        <w:trPr>
          <w:trHeight w:val="101"/>
        </w:trPr>
        <w:tc>
          <w:tcPr>
            <w:tcW w:w="1380" w:type="dxa"/>
            <w:vAlign w:val="bottom"/>
            <w:tcBorders>
              <w:right w:val="single" w:sz="8" w:color="95B3D7"/>
            </w:tcBorders>
            <w:shd w:val="clear" w:color="auto" w:fill="DBE5F1"/>
          </w:tcPr>
          <w:p>
            <w:pPr>
              <w:spacing w:after="0"/>
              <w:rPr>
                <w:sz w:val="8"/>
                <w:szCs w:val="8"/>
                <w:color w:val="auto"/>
              </w:rPr>
            </w:pPr>
          </w:p>
        </w:tc>
        <w:tc>
          <w:tcPr>
            <w:tcW w:w="1120" w:type="dxa"/>
            <w:vAlign w:val="bottom"/>
            <w:tcBorders>
              <w:right w:val="single" w:sz="8" w:color="95B3D7"/>
            </w:tcBorders>
            <w:shd w:val="clear" w:color="auto" w:fill="DBE5F1"/>
          </w:tcPr>
          <w:p>
            <w:pPr>
              <w:spacing w:after="0"/>
              <w:rPr>
                <w:sz w:val="8"/>
                <w:szCs w:val="8"/>
                <w:color w:val="auto"/>
              </w:rPr>
            </w:pPr>
          </w:p>
        </w:tc>
        <w:tc>
          <w:tcPr>
            <w:tcW w:w="100" w:type="dxa"/>
            <w:vAlign w:val="bottom"/>
            <w:shd w:val="clear" w:color="auto" w:fill="DBE5F1"/>
          </w:tcPr>
          <w:p>
            <w:pPr>
              <w:spacing w:after="0"/>
              <w:rPr>
                <w:sz w:val="8"/>
                <w:szCs w:val="8"/>
                <w:color w:val="auto"/>
              </w:rPr>
            </w:pPr>
          </w:p>
        </w:tc>
        <w:tc>
          <w:tcPr>
            <w:tcW w:w="1280" w:type="dxa"/>
            <w:vAlign w:val="bottom"/>
            <w:tcBorders>
              <w:right w:val="single" w:sz="8" w:color="95B3D7"/>
            </w:tcBorders>
            <w:shd w:val="clear" w:color="auto" w:fill="DBE5F1"/>
          </w:tcPr>
          <w:p>
            <w:pPr>
              <w:spacing w:after="0"/>
              <w:rPr>
                <w:sz w:val="8"/>
                <w:szCs w:val="8"/>
                <w:color w:val="auto"/>
              </w:rPr>
            </w:pPr>
          </w:p>
        </w:tc>
        <w:tc>
          <w:tcPr>
            <w:tcW w:w="1420" w:type="dxa"/>
            <w:vAlign w:val="bottom"/>
            <w:tcBorders>
              <w:right w:val="single" w:sz="8" w:color="95B3D7"/>
            </w:tcBorders>
            <w:shd w:val="clear" w:color="auto" w:fill="DBE5F1"/>
          </w:tcPr>
          <w:p>
            <w:pPr>
              <w:spacing w:after="0"/>
              <w:rPr>
                <w:sz w:val="8"/>
                <w:szCs w:val="8"/>
                <w:color w:val="auto"/>
              </w:rPr>
            </w:pPr>
          </w:p>
        </w:tc>
        <w:tc>
          <w:tcPr>
            <w:tcW w:w="920" w:type="dxa"/>
            <w:vAlign w:val="bottom"/>
            <w:shd w:val="clear" w:color="auto" w:fill="DBE5F1"/>
          </w:tcPr>
          <w:p>
            <w:pPr>
              <w:spacing w:after="0"/>
              <w:rPr>
                <w:sz w:val="8"/>
                <w:szCs w:val="8"/>
                <w:color w:val="auto"/>
              </w:rPr>
            </w:pPr>
          </w:p>
        </w:tc>
        <w:tc>
          <w:tcPr>
            <w:tcW w:w="240" w:type="dxa"/>
            <w:vAlign w:val="bottom"/>
            <w:tcBorders>
              <w:right w:val="single" w:sz="8" w:color="95B3D7"/>
            </w:tcBorders>
            <w:shd w:val="clear" w:color="auto" w:fill="DBE5F1"/>
          </w:tcPr>
          <w:p>
            <w:pPr>
              <w:spacing w:after="0"/>
              <w:rPr>
                <w:sz w:val="8"/>
                <w:szCs w:val="8"/>
                <w:color w:val="auto"/>
              </w:rPr>
            </w:pPr>
          </w:p>
        </w:tc>
        <w:tc>
          <w:tcPr>
            <w:tcW w:w="940" w:type="dxa"/>
            <w:vAlign w:val="bottom"/>
            <w:tcBorders>
              <w:right w:val="single" w:sz="8" w:color="95B3D7"/>
            </w:tcBorders>
            <w:shd w:val="clear" w:color="auto" w:fill="DBE5F1"/>
          </w:tcPr>
          <w:p>
            <w:pPr>
              <w:spacing w:after="0"/>
              <w:rPr>
                <w:sz w:val="8"/>
                <w:szCs w:val="8"/>
                <w:color w:val="auto"/>
              </w:rPr>
            </w:pPr>
          </w:p>
        </w:tc>
        <w:tc>
          <w:tcPr>
            <w:tcW w:w="1100" w:type="dxa"/>
            <w:vAlign w:val="bottom"/>
            <w:tcBorders>
              <w:right w:val="single" w:sz="8" w:color="95B3D7"/>
            </w:tcBorders>
            <w:shd w:val="clear" w:color="auto" w:fill="DBE5F1"/>
          </w:tcPr>
          <w:p>
            <w:pPr>
              <w:spacing w:after="0"/>
              <w:rPr>
                <w:sz w:val="8"/>
                <w:szCs w:val="8"/>
                <w:color w:val="auto"/>
              </w:rPr>
            </w:pPr>
          </w:p>
        </w:tc>
        <w:tc>
          <w:tcPr>
            <w:tcW w:w="100" w:type="dxa"/>
            <w:vAlign w:val="bottom"/>
            <w:shd w:val="clear" w:color="auto" w:fill="DBE5F1"/>
          </w:tcPr>
          <w:p>
            <w:pPr>
              <w:spacing w:after="0"/>
              <w:rPr>
                <w:sz w:val="8"/>
                <w:szCs w:val="8"/>
                <w:color w:val="auto"/>
              </w:rPr>
            </w:pPr>
          </w:p>
        </w:tc>
        <w:tc>
          <w:tcPr>
            <w:tcW w:w="1020" w:type="dxa"/>
            <w:vAlign w:val="bottom"/>
            <w:tcBorders>
              <w:right w:val="single" w:sz="8" w:color="95B3D7"/>
            </w:tcBorders>
            <w:shd w:val="clear" w:color="auto" w:fill="DBE5F1"/>
          </w:tcPr>
          <w:p>
            <w:pPr>
              <w:spacing w:after="0"/>
              <w:rPr>
                <w:sz w:val="8"/>
                <w:szCs w:val="8"/>
                <w:color w:val="auto"/>
              </w:rPr>
            </w:pPr>
          </w:p>
        </w:tc>
        <w:tc>
          <w:tcPr>
            <w:tcW w:w="1440" w:type="dxa"/>
            <w:vAlign w:val="bottom"/>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1380" w:type="dxa"/>
            <w:vAlign w:val="bottom"/>
            <w:tcBorders>
              <w:right w:val="single" w:sz="8" w:color="95B3D7"/>
            </w:tcBorders>
          </w:tcPr>
          <w:p>
            <w:pPr>
              <w:ind w:left="80"/>
              <w:spacing w:after="0"/>
              <w:rPr>
                <w:sz w:val="20"/>
                <w:szCs w:val="20"/>
                <w:color w:val="auto"/>
              </w:rPr>
            </w:pPr>
            <w:r>
              <w:rPr>
                <w:rFonts w:ascii="Arial" w:cs="Arial" w:eastAsia="Arial" w:hAnsi="Arial"/>
                <w:sz w:val="11"/>
                <w:szCs w:val="11"/>
                <w:color w:val="auto"/>
              </w:rPr>
              <w:t>Thomas Freeman</w:t>
            </w:r>
          </w:p>
        </w:tc>
        <w:tc>
          <w:tcPr>
            <w:tcW w:w="11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3/13/2024</w:t>
            </w:r>
          </w:p>
        </w:tc>
        <w:tc>
          <w:tcPr>
            <w:tcW w:w="100" w:type="dxa"/>
            <w:vAlign w:val="bottom"/>
          </w:tcPr>
          <w:p>
            <w:pPr>
              <w:spacing w:after="0"/>
              <w:rPr>
                <w:sz w:val="13"/>
                <w:szCs w:val="13"/>
                <w:color w:val="auto"/>
              </w:rPr>
            </w:pPr>
          </w:p>
        </w:tc>
        <w:tc>
          <w:tcPr>
            <w:tcW w:w="1280" w:type="dxa"/>
            <w:vAlign w:val="bottom"/>
            <w:tcBorders>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420" w:type="dxa"/>
            <w:vAlign w:val="bottom"/>
            <w:tcBorders>
              <w:right w:val="single" w:sz="8" w:color="95B3D7"/>
            </w:tcBorders>
          </w:tcPr>
          <w:p>
            <w:pPr>
              <w:jc w:val="right"/>
              <w:ind w:right="46"/>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3"/>
                <w:szCs w:val="13"/>
                <w:color w:val="auto"/>
              </w:rPr>
            </w:pPr>
          </w:p>
        </w:tc>
        <w:tc>
          <w:tcPr>
            <w:tcW w:w="240" w:type="dxa"/>
            <w:vAlign w:val="bottom"/>
            <w:tcBorders>
              <w:right w:val="single" w:sz="8" w:color="95B3D7"/>
            </w:tcBorders>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95B3D7"/>
            </w:tcBorders>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tcBorders>
              <w:right w:val="single" w:sz="8" w:color="95B3D7"/>
            </w:tcBorders>
            <w:gridSpan w:val="2"/>
          </w:tcPr>
          <w:p>
            <w:pPr>
              <w:jc w:val="right"/>
              <w:ind w:right="26"/>
              <w:spacing w:after="0"/>
              <w:rPr>
                <w:sz w:val="20"/>
                <w:szCs w:val="20"/>
                <w:color w:val="auto"/>
              </w:rPr>
            </w:pPr>
            <w:r>
              <w:rPr>
                <w:rFonts w:ascii="Arial" w:cs="Arial" w:eastAsia="Arial" w:hAnsi="Arial"/>
                <w:sz w:val="11"/>
                <w:szCs w:val="11"/>
                <w:color w:val="auto"/>
              </w:rPr>
              <w:t>110,000</w:t>
            </w:r>
          </w:p>
        </w:tc>
        <w:tc>
          <w:tcPr>
            <w:tcW w:w="1440" w:type="dxa"/>
            <w:vAlign w:val="bottom"/>
          </w:tcPr>
          <w:p>
            <w:pPr>
              <w:jc w:val="right"/>
              <w:ind w:right="26"/>
              <w:spacing w:after="0"/>
              <w:rPr>
                <w:sz w:val="20"/>
                <w:szCs w:val="20"/>
                <w:color w:val="auto"/>
              </w:rPr>
            </w:pPr>
            <w:r>
              <w:rPr>
                <w:rFonts w:ascii="Arial" w:cs="Arial" w:eastAsia="Arial" w:hAnsi="Arial"/>
                <w:sz w:val="11"/>
                <w:szCs w:val="11"/>
                <w:color w:val="auto"/>
              </w:rPr>
              <w:t>1,237,500</w:t>
            </w:r>
          </w:p>
        </w:tc>
        <w:tc>
          <w:tcPr>
            <w:tcW w:w="0" w:type="dxa"/>
            <w:vAlign w:val="bottom"/>
          </w:tcPr>
          <w:p>
            <w:pPr>
              <w:spacing w:after="0"/>
              <w:rPr>
                <w:sz w:val="1"/>
                <w:szCs w:val="1"/>
                <w:color w:val="auto"/>
              </w:rPr>
            </w:pPr>
          </w:p>
        </w:tc>
      </w:tr>
      <w:tr>
        <w:trPr>
          <w:trHeight w:val="176"/>
        </w:trPr>
        <w:tc>
          <w:tcPr>
            <w:tcW w:w="1380" w:type="dxa"/>
            <w:vAlign w:val="bottom"/>
            <w:tcBorders>
              <w:right w:val="single" w:sz="8" w:color="95B3D7"/>
            </w:tcBorders>
          </w:tcPr>
          <w:p>
            <w:pPr>
              <w:spacing w:after="0"/>
              <w:rPr>
                <w:sz w:val="15"/>
                <w:szCs w:val="15"/>
                <w:color w:val="auto"/>
              </w:rPr>
            </w:pPr>
          </w:p>
        </w:tc>
        <w:tc>
          <w:tcPr>
            <w:tcW w:w="11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3/13/2024</w:t>
            </w:r>
          </w:p>
        </w:tc>
        <w:tc>
          <w:tcPr>
            <w:tcW w:w="100" w:type="dxa"/>
            <w:vAlign w:val="bottom"/>
          </w:tcPr>
          <w:p>
            <w:pPr>
              <w:spacing w:after="0"/>
              <w:rPr>
                <w:sz w:val="15"/>
                <w:szCs w:val="15"/>
                <w:color w:val="auto"/>
              </w:rPr>
            </w:pPr>
          </w:p>
        </w:tc>
        <w:tc>
          <w:tcPr>
            <w:tcW w:w="1280" w:type="dxa"/>
            <w:vAlign w:val="bottom"/>
            <w:tcBorders>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420" w:type="dxa"/>
            <w:vAlign w:val="bottom"/>
            <w:tcBorders>
              <w:right w:val="single" w:sz="8" w:color="95B3D7"/>
            </w:tcBorders>
          </w:tcPr>
          <w:p>
            <w:pPr>
              <w:jc w:val="right"/>
              <w:ind w:right="46"/>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5"/>
                <w:szCs w:val="15"/>
                <w:color w:val="auto"/>
              </w:rPr>
            </w:pPr>
          </w:p>
        </w:tc>
        <w:tc>
          <w:tcPr>
            <w:tcW w:w="240" w:type="dxa"/>
            <w:vAlign w:val="bottom"/>
            <w:tcBorders>
              <w:right w:val="single" w:sz="8" w:color="95B3D7"/>
            </w:tcBorders>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95B3D7"/>
            </w:tcBorders>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tcBorders>
              <w:right w:val="single" w:sz="8" w:color="95B3D7"/>
            </w:tcBorders>
            <w:gridSpan w:val="2"/>
          </w:tcPr>
          <w:p>
            <w:pPr>
              <w:jc w:val="right"/>
              <w:ind w:right="26"/>
              <w:spacing w:after="0"/>
              <w:rPr>
                <w:sz w:val="20"/>
                <w:szCs w:val="20"/>
                <w:color w:val="auto"/>
              </w:rPr>
            </w:pPr>
            <w:r>
              <w:rPr>
                <w:rFonts w:ascii="Arial" w:cs="Arial" w:eastAsia="Arial" w:hAnsi="Arial"/>
                <w:sz w:val="11"/>
                <w:szCs w:val="11"/>
                <w:color w:val="auto"/>
              </w:rPr>
              <w:t>110,000</w:t>
            </w:r>
          </w:p>
        </w:tc>
        <w:tc>
          <w:tcPr>
            <w:tcW w:w="1440" w:type="dxa"/>
            <w:vAlign w:val="bottom"/>
          </w:tcPr>
          <w:p>
            <w:pPr>
              <w:jc w:val="right"/>
              <w:ind w:right="26"/>
              <w:spacing w:after="0"/>
              <w:rPr>
                <w:sz w:val="20"/>
                <w:szCs w:val="20"/>
                <w:color w:val="auto"/>
              </w:rPr>
            </w:pPr>
            <w:r>
              <w:rPr>
                <w:rFonts w:ascii="Arial" w:cs="Arial" w:eastAsia="Arial" w:hAnsi="Arial"/>
                <w:sz w:val="11"/>
                <w:szCs w:val="11"/>
                <w:color w:val="auto"/>
              </w:rPr>
              <w:t>1,237,500</w:t>
            </w:r>
          </w:p>
        </w:tc>
        <w:tc>
          <w:tcPr>
            <w:tcW w:w="0" w:type="dxa"/>
            <w:vAlign w:val="bottom"/>
          </w:tcPr>
          <w:p>
            <w:pPr>
              <w:spacing w:after="0"/>
              <w:rPr>
                <w:sz w:val="1"/>
                <w:szCs w:val="1"/>
                <w:color w:val="auto"/>
              </w:rPr>
            </w:pPr>
          </w:p>
        </w:tc>
      </w:tr>
      <w:tr>
        <w:trPr>
          <w:trHeight w:val="162"/>
        </w:trPr>
        <w:tc>
          <w:tcPr>
            <w:tcW w:w="1380" w:type="dxa"/>
            <w:vAlign w:val="bottom"/>
            <w:tcBorders>
              <w:right w:val="single" w:sz="8" w:color="95B3D7"/>
            </w:tcBorders>
          </w:tcPr>
          <w:p>
            <w:pPr>
              <w:spacing w:after="0"/>
              <w:rPr>
                <w:sz w:val="14"/>
                <w:szCs w:val="14"/>
                <w:color w:val="auto"/>
              </w:rPr>
            </w:pPr>
          </w:p>
        </w:tc>
        <w:tc>
          <w:tcPr>
            <w:tcW w:w="11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9/14/2023</w:t>
            </w:r>
          </w:p>
        </w:tc>
        <w:tc>
          <w:tcPr>
            <w:tcW w:w="100" w:type="dxa"/>
            <w:vAlign w:val="bottom"/>
          </w:tcPr>
          <w:p>
            <w:pPr>
              <w:spacing w:after="0"/>
              <w:rPr>
                <w:sz w:val="14"/>
                <w:szCs w:val="14"/>
                <w:color w:val="auto"/>
              </w:rPr>
            </w:pPr>
          </w:p>
        </w:tc>
        <w:tc>
          <w:tcPr>
            <w:tcW w:w="1280" w:type="dxa"/>
            <w:vAlign w:val="bottom"/>
            <w:tcBorders>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420" w:type="dxa"/>
            <w:vAlign w:val="bottom"/>
            <w:tcBorders>
              <w:right w:val="single" w:sz="8" w:color="95B3D7"/>
            </w:tcBorders>
          </w:tcPr>
          <w:p>
            <w:pPr>
              <w:jc w:val="right"/>
              <w:ind w:right="46"/>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4"/>
                <w:szCs w:val="14"/>
                <w:color w:val="auto"/>
              </w:rPr>
            </w:pPr>
          </w:p>
        </w:tc>
        <w:tc>
          <w:tcPr>
            <w:tcW w:w="240" w:type="dxa"/>
            <w:vAlign w:val="bottom"/>
            <w:tcBorders>
              <w:right w:val="single" w:sz="8" w:color="95B3D7"/>
            </w:tcBorders>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95B3D7"/>
            </w:tcBorders>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tcBorders>
              <w:right w:val="single" w:sz="8" w:color="95B3D7"/>
            </w:tcBorders>
            <w:gridSpan w:val="2"/>
          </w:tcPr>
          <w:p>
            <w:pPr>
              <w:jc w:val="right"/>
              <w:ind w:right="26"/>
              <w:spacing w:after="0"/>
              <w:rPr>
                <w:sz w:val="20"/>
                <w:szCs w:val="20"/>
                <w:color w:val="auto"/>
              </w:rPr>
            </w:pPr>
            <w:r>
              <w:rPr>
                <w:rFonts w:ascii="Arial" w:cs="Arial" w:eastAsia="Arial" w:hAnsi="Arial"/>
                <w:sz w:val="11"/>
                <w:szCs w:val="11"/>
                <w:color w:val="auto"/>
              </w:rPr>
              <w:t>1,020,442</w:t>
            </w:r>
          </w:p>
        </w:tc>
        <w:tc>
          <w:tcPr>
            <w:tcW w:w="1440" w:type="dxa"/>
            <w:vAlign w:val="bottom"/>
          </w:tcPr>
          <w:p>
            <w:pPr>
              <w:jc w:val="right"/>
              <w:ind w:right="26"/>
              <w:spacing w:after="0"/>
              <w:rPr>
                <w:sz w:val="20"/>
                <w:szCs w:val="20"/>
                <w:color w:val="auto"/>
              </w:rPr>
            </w:pPr>
            <w:r>
              <w:rPr>
                <w:rFonts w:ascii="Arial" w:cs="Arial" w:eastAsia="Arial" w:hAnsi="Arial"/>
                <w:sz w:val="11"/>
                <w:szCs w:val="11"/>
                <w:color w:val="auto"/>
              </w:rPr>
              <w:t>11,479,973</w:t>
            </w:r>
          </w:p>
        </w:tc>
        <w:tc>
          <w:tcPr>
            <w:tcW w:w="0" w:type="dxa"/>
            <w:vAlign w:val="bottom"/>
          </w:tcPr>
          <w:p>
            <w:pPr>
              <w:spacing w:after="0"/>
              <w:rPr>
                <w:sz w:val="1"/>
                <w:szCs w:val="1"/>
                <w:color w:val="auto"/>
              </w:rPr>
            </w:pPr>
          </w:p>
        </w:tc>
      </w:tr>
      <w:tr>
        <w:trPr>
          <w:trHeight w:val="162"/>
        </w:trPr>
        <w:tc>
          <w:tcPr>
            <w:tcW w:w="1380" w:type="dxa"/>
            <w:vAlign w:val="bottom"/>
            <w:tcBorders>
              <w:right w:val="single" w:sz="8" w:color="95B3D7"/>
            </w:tcBorders>
          </w:tcPr>
          <w:p>
            <w:pPr>
              <w:spacing w:after="0"/>
              <w:rPr>
                <w:sz w:val="14"/>
                <w:szCs w:val="14"/>
                <w:color w:val="auto"/>
              </w:rPr>
            </w:pPr>
          </w:p>
        </w:tc>
        <w:tc>
          <w:tcPr>
            <w:tcW w:w="11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9/12/2022</w:t>
            </w:r>
          </w:p>
        </w:tc>
        <w:tc>
          <w:tcPr>
            <w:tcW w:w="100" w:type="dxa"/>
            <w:vAlign w:val="bottom"/>
          </w:tcPr>
          <w:p>
            <w:pPr>
              <w:spacing w:after="0"/>
              <w:rPr>
                <w:sz w:val="14"/>
                <w:szCs w:val="14"/>
                <w:color w:val="auto"/>
              </w:rPr>
            </w:pPr>
          </w:p>
        </w:tc>
        <w:tc>
          <w:tcPr>
            <w:tcW w:w="1280" w:type="dxa"/>
            <w:vAlign w:val="bottom"/>
            <w:tcBorders>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420" w:type="dxa"/>
            <w:vAlign w:val="bottom"/>
            <w:tcBorders>
              <w:right w:val="single" w:sz="8" w:color="95B3D7"/>
            </w:tcBorders>
          </w:tcPr>
          <w:p>
            <w:pPr>
              <w:jc w:val="right"/>
              <w:ind w:right="46"/>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4"/>
                <w:szCs w:val="14"/>
                <w:color w:val="auto"/>
              </w:rPr>
            </w:pPr>
          </w:p>
        </w:tc>
        <w:tc>
          <w:tcPr>
            <w:tcW w:w="240" w:type="dxa"/>
            <w:vAlign w:val="bottom"/>
            <w:tcBorders>
              <w:right w:val="single" w:sz="8" w:color="95B3D7"/>
            </w:tcBorders>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95B3D7"/>
            </w:tcBorders>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tcBorders>
              <w:right w:val="single" w:sz="8" w:color="95B3D7"/>
            </w:tcBorders>
            <w:gridSpan w:val="2"/>
          </w:tcPr>
          <w:p>
            <w:pPr>
              <w:jc w:val="right"/>
              <w:ind w:right="26"/>
              <w:spacing w:after="0"/>
              <w:rPr>
                <w:sz w:val="20"/>
                <w:szCs w:val="20"/>
                <w:color w:val="auto"/>
              </w:rPr>
            </w:pPr>
            <w:r>
              <w:rPr>
                <w:rFonts w:ascii="Arial" w:cs="Arial" w:eastAsia="Arial" w:hAnsi="Arial"/>
                <w:sz w:val="11"/>
                <w:szCs w:val="11"/>
                <w:color w:val="auto"/>
              </w:rPr>
              <w:t>319,179</w:t>
            </w:r>
          </w:p>
        </w:tc>
        <w:tc>
          <w:tcPr>
            <w:tcW w:w="1440" w:type="dxa"/>
            <w:vAlign w:val="bottom"/>
          </w:tcPr>
          <w:p>
            <w:pPr>
              <w:jc w:val="right"/>
              <w:ind w:right="26"/>
              <w:spacing w:after="0"/>
              <w:rPr>
                <w:sz w:val="20"/>
                <w:szCs w:val="20"/>
                <w:color w:val="auto"/>
              </w:rPr>
            </w:pPr>
            <w:r>
              <w:rPr>
                <w:rFonts w:ascii="Arial" w:cs="Arial" w:eastAsia="Arial" w:hAnsi="Arial"/>
                <w:sz w:val="11"/>
                <w:szCs w:val="11"/>
                <w:color w:val="auto"/>
              </w:rPr>
              <w:t>3,590,764</w:t>
            </w:r>
          </w:p>
        </w:tc>
        <w:tc>
          <w:tcPr>
            <w:tcW w:w="0" w:type="dxa"/>
            <w:vAlign w:val="bottom"/>
          </w:tcPr>
          <w:p>
            <w:pPr>
              <w:spacing w:after="0"/>
              <w:rPr>
                <w:sz w:val="1"/>
                <w:szCs w:val="1"/>
                <w:color w:val="auto"/>
              </w:rPr>
            </w:pPr>
          </w:p>
        </w:tc>
      </w:tr>
      <w:tr>
        <w:trPr>
          <w:trHeight w:val="243"/>
        </w:trPr>
        <w:tc>
          <w:tcPr>
            <w:tcW w:w="1380" w:type="dxa"/>
            <w:vAlign w:val="bottom"/>
            <w:tcBorders>
              <w:right w:val="single" w:sz="8" w:color="95B3D7"/>
            </w:tcBorders>
          </w:tcPr>
          <w:p>
            <w:pPr>
              <w:spacing w:after="0"/>
              <w:rPr>
                <w:sz w:val="21"/>
                <w:szCs w:val="21"/>
                <w:color w:val="auto"/>
              </w:rPr>
            </w:pPr>
          </w:p>
        </w:tc>
        <w:tc>
          <w:tcPr>
            <w:tcW w:w="11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3/8/2022</w:t>
            </w:r>
          </w:p>
        </w:tc>
        <w:tc>
          <w:tcPr>
            <w:tcW w:w="1380" w:type="dxa"/>
            <w:vAlign w:val="bottom"/>
            <w:tcBorders>
              <w:right w:val="single" w:sz="8" w:color="95B3D7"/>
            </w:tcBorders>
            <w:gridSpan w:val="2"/>
          </w:tcPr>
          <w:p>
            <w:pPr>
              <w:jc w:val="right"/>
              <w:ind w:right="47"/>
              <w:spacing w:after="0"/>
              <w:rPr>
                <w:sz w:val="20"/>
                <w:szCs w:val="20"/>
                <w:color w:val="auto"/>
              </w:rPr>
            </w:pPr>
            <w:r>
              <w:rPr>
                <w:rFonts w:ascii="Arial" w:cs="Arial" w:eastAsia="Arial" w:hAnsi="Arial"/>
                <w:sz w:val="11"/>
                <w:szCs w:val="11"/>
                <w:color w:val="auto"/>
              </w:rPr>
              <w:t>50,183</w:t>
            </w:r>
          </w:p>
        </w:tc>
        <w:tc>
          <w:tcPr>
            <w:tcW w:w="1420" w:type="dxa"/>
            <w:vAlign w:val="bottom"/>
            <w:tcBorders>
              <w:right w:val="single" w:sz="8" w:color="95B3D7"/>
            </w:tcBorders>
          </w:tcPr>
          <w:p>
            <w:pPr>
              <w:jc w:val="right"/>
              <w:ind w:right="46"/>
              <w:spacing w:after="0"/>
              <w:rPr>
                <w:sz w:val="20"/>
                <w:szCs w:val="20"/>
                <w:color w:val="auto"/>
              </w:rPr>
            </w:pPr>
            <w:r>
              <w:rPr>
                <w:rFonts w:ascii="Arial" w:cs="Arial" w:eastAsia="Arial" w:hAnsi="Arial"/>
                <w:sz w:val="11"/>
                <w:szCs w:val="11"/>
                <w:color w:val="auto"/>
              </w:rPr>
              <w:t>50,182</w:t>
            </w:r>
          </w:p>
        </w:tc>
        <w:tc>
          <w:tcPr>
            <w:tcW w:w="920" w:type="dxa"/>
            <w:vAlign w:val="bottom"/>
          </w:tcPr>
          <w:p>
            <w:pPr>
              <w:spacing w:after="0"/>
              <w:rPr>
                <w:sz w:val="21"/>
                <w:szCs w:val="21"/>
                <w:color w:val="auto"/>
              </w:rPr>
            </w:pPr>
          </w:p>
        </w:tc>
        <w:tc>
          <w:tcPr>
            <w:tcW w:w="240" w:type="dxa"/>
            <w:vAlign w:val="bottom"/>
            <w:tcBorders>
              <w:right w:val="single" w:sz="8" w:color="95B3D7"/>
            </w:tcBorders>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9.06</w:t>
            </w:r>
          </w:p>
        </w:tc>
        <w:tc>
          <w:tcPr>
            <w:tcW w:w="1100" w:type="dxa"/>
            <w:vAlign w:val="bottom"/>
            <w:tcBorders>
              <w:right w:val="single" w:sz="8" w:color="95B3D7"/>
            </w:tcBorders>
          </w:tcPr>
          <w:p>
            <w:pPr>
              <w:jc w:val="right"/>
              <w:ind w:right="46"/>
              <w:spacing w:after="0"/>
              <w:rPr>
                <w:sz w:val="20"/>
                <w:szCs w:val="20"/>
                <w:color w:val="auto"/>
              </w:rPr>
            </w:pPr>
            <w:r>
              <w:rPr>
                <w:rFonts w:ascii="Arial" w:cs="Arial" w:eastAsia="Arial" w:hAnsi="Arial"/>
                <w:sz w:val="11"/>
                <w:szCs w:val="11"/>
                <w:color w:val="auto"/>
              </w:rPr>
              <w:t>3/8/2032</w:t>
            </w:r>
          </w:p>
        </w:tc>
        <w:tc>
          <w:tcPr>
            <w:tcW w:w="100" w:type="dxa"/>
            <w:vAlign w:val="bottom"/>
          </w:tcPr>
          <w:p>
            <w:pPr>
              <w:spacing w:after="0"/>
              <w:rPr>
                <w:sz w:val="21"/>
                <w:szCs w:val="21"/>
                <w:color w:val="auto"/>
              </w:rPr>
            </w:pPr>
          </w:p>
        </w:tc>
        <w:tc>
          <w:tcPr>
            <w:tcW w:w="10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14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3"/>
        </w:trPr>
        <w:tc>
          <w:tcPr>
            <w:tcW w:w="1380" w:type="dxa"/>
            <w:vAlign w:val="bottom"/>
            <w:tcBorders>
              <w:right w:val="single" w:sz="8" w:color="95B3D7"/>
            </w:tcBorders>
          </w:tcPr>
          <w:p>
            <w:pPr>
              <w:spacing w:after="0"/>
              <w:rPr>
                <w:sz w:val="21"/>
                <w:szCs w:val="21"/>
                <w:color w:val="auto"/>
              </w:rPr>
            </w:pPr>
          </w:p>
        </w:tc>
        <w:tc>
          <w:tcPr>
            <w:tcW w:w="11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3/8/2022</w:t>
            </w:r>
          </w:p>
        </w:tc>
        <w:tc>
          <w:tcPr>
            <w:tcW w:w="100" w:type="dxa"/>
            <w:vAlign w:val="bottom"/>
          </w:tcPr>
          <w:p>
            <w:pPr>
              <w:spacing w:after="0"/>
              <w:rPr>
                <w:sz w:val="21"/>
                <w:szCs w:val="21"/>
                <w:color w:val="auto"/>
              </w:rPr>
            </w:pPr>
          </w:p>
        </w:tc>
        <w:tc>
          <w:tcPr>
            <w:tcW w:w="1280" w:type="dxa"/>
            <w:vAlign w:val="bottom"/>
            <w:tcBorders>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420" w:type="dxa"/>
            <w:vAlign w:val="bottom"/>
            <w:tcBorders>
              <w:right w:val="single" w:sz="8" w:color="95B3D7"/>
            </w:tcBorders>
          </w:tcPr>
          <w:p>
            <w:pPr>
              <w:jc w:val="right"/>
              <w:ind w:right="46"/>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21"/>
                <w:szCs w:val="21"/>
                <w:color w:val="auto"/>
              </w:rPr>
            </w:pPr>
          </w:p>
        </w:tc>
        <w:tc>
          <w:tcPr>
            <w:tcW w:w="240" w:type="dxa"/>
            <w:vAlign w:val="bottom"/>
            <w:tcBorders>
              <w:right w:val="single" w:sz="8" w:color="95B3D7"/>
            </w:tcBorders>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95B3D7"/>
            </w:tcBorders>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tcBorders>
              <w:right w:val="single" w:sz="8" w:color="95B3D7"/>
            </w:tcBorders>
            <w:gridSpan w:val="2"/>
          </w:tcPr>
          <w:p>
            <w:pPr>
              <w:jc w:val="right"/>
              <w:ind w:right="26"/>
              <w:spacing w:after="0"/>
              <w:rPr>
                <w:sz w:val="20"/>
                <w:szCs w:val="20"/>
                <w:color w:val="auto"/>
              </w:rPr>
            </w:pPr>
            <w:r>
              <w:rPr>
                <w:rFonts w:ascii="Arial" w:cs="Arial" w:eastAsia="Arial" w:hAnsi="Arial"/>
                <w:sz w:val="11"/>
                <w:szCs w:val="11"/>
                <w:color w:val="auto"/>
              </w:rPr>
              <w:t>68,294</w:t>
            </w:r>
          </w:p>
        </w:tc>
        <w:tc>
          <w:tcPr>
            <w:tcW w:w="1440" w:type="dxa"/>
            <w:vAlign w:val="bottom"/>
          </w:tcPr>
          <w:p>
            <w:pPr>
              <w:jc w:val="right"/>
              <w:ind w:right="26"/>
              <w:spacing w:after="0"/>
              <w:rPr>
                <w:sz w:val="20"/>
                <w:szCs w:val="20"/>
                <w:color w:val="auto"/>
              </w:rPr>
            </w:pPr>
            <w:r>
              <w:rPr>
                <w:rFonts w:ascii="Arial" w:cs="Arial" w:eastAsia="Arial" w:hAnsi="Arial"/>
                <w:sz w:val="11"/>
                <w:szCs w:val="11"/>
                <w:color w:val="auto"/>
              </w:rPr>
              <w:t>768,308</w:t>
            </w:r>
          </w:p>
        </w:tc>
        <w:tc>
          <w:tcPr>
            <w:tcW w:w="0" w:type="dxa"/>
            <w:vAlign w:val="bottom"/>
          </w:tcPr>
          <w:p>
            <w:pPr>
              <w:spacing w:after="0"/>
              <w:rPr>
                <w:sz w:val="1"/>
                <w:szCs w:val="1"/>
                <w:color w:val="auto"/>
              </w:rPr>
            </w:pPr>
          </w:p>
        </w:tc>
      </w:tr>
      <w:tr>
        <w:trPr>
          <w:trHeight w:val="243"/>
        </w:trPr>
        <w:tc>
          <w:tcPr>
            <w:tcW w:w="1380" w:type="dxa"/>
            <w:vAlign w:val="bottom"/>
            <w:tcBorders>
              <w:right w:val="single" w:sz="8" w:color="95B3D7"/>
            </w:tcBorders>
          </w:tcPr>
          <w:p>
            <w:pPr>
              <w:spacing w:after="0"/>
              <w:rPr>
                <w:sz w:val="21"/>
                <w:szCs w:val="21"/>
                <w:color w:val="auto"/>
              </w:rPr>
            </w:pPr>
          </w:p>
        </w:tc>
        <w:tc>
          <w:tcPr>
            <w:tcW w:w="11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3/25/2021</w:t>
            </w:r>
          </w:p>
        </w:tc>
        <w:tc>
          <w:tcPr>
            <w:tcW w:w="1380" w:type="dxa"/>
            <w:vAlign w:val="bottom"/>
            <w:tcBorders>
              <w:right w:val="single" w:sz="8" w:color="95B3D7"/>
            </w:tcBorders>
            <w:gridSpan w:val="2"/>
          </w:tcPr>
          <w:p>
            <w:pPr>
              <w:jc w:val="right"/>
              <w:ind w:right="47"/>
              <w:spacing w:after="0"/>
              <w:rPr>
                <w:sz w:val="20"/>
                <w:szCs w:val="20"/>
                <w:color w:val="auto"/>
              </w:rPr>
            </w:pPr>
            <w:r>
              <w:rPr>
                <w:rFonts w:ascii="Arial" w:cs="Arial" w:eastAsia="Arial" w:hAnsi="Arial"/>
                <w:sz w:val="11"/>
                <w:szCs w:val="11"/>
                <w:color w:val="auto"/>
              </w:rPr>
              <w:t>572,040</w:t>
            </w:r>
          </w:p>
        </w:tc>
        <w:tc>
          <w:tcPr>
            <w:tcW w:w="1420" w:type="dxa"/>
            <w:vAlign w:val="bottom"/>
            <w:tcBorders>
              <w:right w:val="single" w:sz="8" w:color="95B3D7"/>
            </w:tcBorders>
          </w:tcPr>
          <w:p>
            <w:pPr>
              <w:jc w:val="right"/>
              <w:ind w:right="46"/>
              <w:spacing w:after="0"/>
              <w:rPr>
                <w:sz w:val="20"/>
                <w:szCs w:val="20"/>
                <w:color w:val="auto"/>
              </w:rPr>
            </w:pPr>
            <w:r>
              <w:rPr>
                <w:rFonts w:ascii="Arial" w:cs="Arial" w:eastAsia="Arial" w:hAnsi="Arial"/>
                <w:sz w:val="11"/>
                <w:szCs w:val="11"/>
                <w:color w:val="auto"/>
              </w:rPr>
              <w:t>190,680</w:t>
            </w:r>
          </w:p>
        </w:tc>
        <w:tc>
          <w:tcPr>
            <w:tcW w:w="920" w:type="dxa"/>
            <w:vAlign w:val="bottom"/>
          </w:tcPr>
          <w:p>
            <w:pPr>
              <w:spacing w:after="0"/>
              <w:rPr>
                <w:sz w:val="21"/>
                <w:szCs w:val="21"/>
                <w:color w:val="auto"/>
              </w:rPr>
            </w:pPr>
          </w:p>
        </w:tc>
        <w:tc>
          <w:tcPr>
            <w:tcW w:w="240" w:type="dxa"/>
            <w:vAlign w:val="bottom"/>
            <w:tcBorders>
              <w:right w:val="single" w:sz="8" w:color="95B3D7"/>
            </w:tcBorders>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18.00</w:t>
            </w:r>
          </w:p>
        </w:tc>
        <w:tc>
          <w:tcPr>
            <w:tcW w:w="1100" w:type="dxa"/>
            <w:vAlign w:val="bottom"/>
            <w:tcBorders>
              <w:right w:val="single" w:sz="8" w:color="95B3D7"/>
            </w:tcBorders>
          </w:tcPr>
          <w:p>
            <w:pPr>
              <w:jc w:val="right"/>
              <w:ind w:right="46"/>
              <w:spacing w:after="0"/>
              <w:rPr>
                <w:sz w:val="20"/>
                <w:szCs w:val="20"/>
                <w:color w:val="auto"/>
              </w:rPr>
            </w:pPr>
            <w:r>
              <w:rPr>
                <w:rFonts w:ascii="Arial" w:cs="Arial" w:eastAsia="Arial" w:hAnsi="Arial"/>
                <w:sz w:val="11"/>
                <w:szCs w:val="11"/>
                <w:color w:val="auto"/>
              </w:rPr>
              <w:t>3/25/2031</w:t>
            </w:r>
          </w:p>
        </w:tc>
        <w:tc>
          <w:tcPr>
            <w:tcW w:w="100" w:type="dxa"/>
            <w:vAlign w:val="bottom"/>
          </w:tcPr>
          <w:p>
            <w:pPr>
              <w:spacing w:after="0"/>
              <w:rPr>
                <w:sz w:val="21"/>
                <w:szCs w:val="21"/>
                <w:color w:val="auto"/>
              </w:rPr>
            </w:pPr>
          </w:p>
        </w:tc>
        <w:tc>
          <w:tcPr>
            <w:tcW w:w="10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14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3"/>
        </w:trPr>
        <w:tc>
          <w:tcPr>
            <w:tcW w:w="1380" w:type="dxa"/>
            <w:vAlign w:val="bottom"/>
            <w:tcBorders>
              <w:right w:val="single" w:sz="8" w:color="95B3D7"/>
            </w:tcBorders>
          </w:tcPr>
          <w:p>
            <w:pPr>
              <w:spacing w:after="0"/>
              <w:rPr>
                <w:sz w:val="21"/>
                <w:szCs w:val="21"/>
                <w:color w:val="auto"/>
              </w:rPr>
            </w:pPr>
          </w:p>
        </w:tc>
        <w:tc>
          <w:tcPr>
            <w:tcW w:w="11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3/25/2021</w:t>
            </w:r>
          </w:p>
        </w:tc>
        <w:tc>
          <w:tcPr>
            <w:tcW w:w="100" w:type="dxa"/>
            <w:vAlign w:val="bottom"/>
          </w:tcPr>
          <w:p>
            <w:pPr>
              <w:spacing w:after="0"/>
              <w:rPr>
                <w:sz w:val="21"/>
                <w:szCs w:val="21"/>
                <w:color w:val="auto"/>
              </w:rPr>
            </w:pPr>
          </w:p>
        </w:tc>
        <w:tc>
          <w:tcPr>
            <w:tcW w:w="1280" w:type="dxa"/>
            <w:vAlign w:val="bottom"/>
            <w:tcBorders>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420" w:type="dxa"/>
            <w:vAlign w:val="bottom"/>
            <w:tcBorders>
              <w:right w:val="single" w:sz="8" w:color="95B3D7"/>
            </w:tcBorders>
          </w:tcPr>
          <w:p>
            <w:pPr>
              <w:jc w:val="right"/>
              <w:ind w:right="46"/>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21"/>
                <w:szCs w:val="21"/>
                <w:color w:val="auto"/>
              </w:rPr>
            </w:pPr>
          </w:p>
        </w:tc>
        <w:tc>
          <w:tcPr>
            <w:tcW w:w="240" w:type="dxa"/>
            <w:vAlign w:val="bottom"/>
            <w:tcBorders>
              <w:right w:val="single" w:sz="8" w:color="95B3D7"/>
            </w:tcBorders>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95B3D7"/>
            </w:tcBorders>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tcBorders>
              <w:right w:val="single" w:sz="8" w:color="95B3D7"/>
            </w:tcBorders>
            <w:gridSpan w:val="2"/>
          </w:tcPr>
          <w:p>
            <w:pPr>
              <w:jc w:val="right"/>
              <w:ind w:right="26"/>
              <w:spacing w:after="0"/>
              <w:rPr>
                <w:sz w:val="20"/>
                <w:szCs w:val="20"/>
                <w:color w:val="auto"/>
              </w:rPr>
            </w:pPr>
            <w:r>
              <w:rPr>
                <w:rFonts w:ascii="Arial" w:cs="Arial" w:eastAsia="Arial" w:hAnsi="Arial"/>
                <w:sz w:val="11"/>
                <w:szCs w:val="11"/>
                <w:color w:val="auto"/>
              </w:rPr>
              <w:t>15,141</w:t>
            </w:r>
          </w:p>
        </w:tc>
        <w:tc>
          <w:tcPr>
            <w:tcW w:w="1440" w:type="dxa"/>
            <w:vAlign w:val="bottom"/>
          </w:tcPr>
          <w:p>
            <w:pPr>
              <w:jc w:val="right"/>
              <w:ind w:right="26"/>
              <w:spacing w:after="0"/>
              <w:rPr>
                <w:sz w:val="20"/>
                <w:szCs w:val="20"/>
                <w:color w:val="auto"/>
              </w:rPr>
            </w:pPr>
            <w:r>
              <w:rPr>
                <w:rFonts w:ascii="Arial" w:cs="Arial" w:eastAsia="Arial" w:hAnsi="Arial"/>
                <w:sz w:val="11"/>
                <w:szCs w:val="11"/>
                <w:color w:val="auto"/>
              </w:rPr>
              <w:t>170,336</w:t>
            </w:r>
          </w:p>
        </w:tc>
        <w:tc>
          <w:tcPr>
            <w:tcW w:w="0" w:type="dxa"/>
            <w:vAlign w:val="bottom"/>
          </w:tcPr>
          <w:p>
            <w:pPr>
              <w:spacing w:after="0"/>
              <w:rPr>
                <w:sz w:val="1"/>
                <w:szCs w:val="1"/>
                <w:color w:val="auto"/>
              </w:rPr>
            </w:pPr>
          </w:p>
        </w:tc>
      </w:tr>
      <w:tr>
        <w:trPr>
          <w:trHeight w:val="101"/>
        </w:trPr>
        <w:tc>
          <w:tcPr>
            <w:tcW w:w="1380" w:type="dxa"/>
            <w:vAlign w:val="bottom"/>
            <w:tcBorders>
              <w:right w:val="single" w:sz="8" w:color="95B3D7"/>
            </w:tcBorders>
          </w:tcPr>
          <w:p>
            <w:pPr>
              <w:spacing w:after="0"/>
              <w:rPr>
                <w:sz w:val="8"/>
                <w:szCs w:val="8"/>
                <w:color w:val="auto"/>
              </w:rPr>
            </w:pPr>
          </w:p>
        </w:tc>
        <w:tc>
          <w:tcPr>
            <w:tcW w:w="1120" w:type="dxa"/>
            <w:vAlign w:val="bottom"/>
            <w:tcBorders>
              <w:right w:val="single" w:sz="8" w:color="95B3D7"/>
            </w:tcBorders>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Borders>
              <w:right w:val="single" w:sz="8" w:color="95B3D7"/>
            </w:tcBorders>
          </w:tcPr>
          <w:p>
            <w:pPr>
              <w:spacing w:after="0"/>
              <w:rPr>
                <w:sz w:val="8"/>
                <w:szCs w:val="8"/>
                <w:color w:val="auto"/>
              </w:rPr>
            </w:pPr>
          </w:p>
        </w:tc>
        <w:tc>
          <w:tcPr>
            <w:tcW w:w="1420" w:type="dxa"/>
            <w:vAlign w:val="bottom"/>
            <w:tcBorders>
              <w:right w:val="single" w:sz="8" w:color="95B3D7"/>
            </w:tcBorders>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Borders>
              <w:right w:val="single" w:sz="8" w:color="95B3D7"/>
            </w:tcBorders>
          </w:tcPr>
          <w:p>
            <w:pPr>
              <w:spacing w:after="0"/>
              <w:rPr>
                <w:sz w:val="8"/>
                <w:szCs w:val="8"/>
                <w:color w:val="auto"/>
              </w:rPr>
            </w:pPr>
          </w:p>
        </w:tc>
        <w:tc>
          <w:tcPr>
            <w:tcW w:w="940" w:type="dxa"/>
            <w:vAlign w:val="bottom"/>
            <w:tcBorders>
              <w:right w:val="single" w:sz="8" w:color="95B3D7"/>
            </w:tcBorders>
          </w:tcPr>
          <w:p>
            <w:pPr>
              <w:spacing w:after="0"/>
              <w:rPr>
                <w:sz w:val="8"/>
                <w:szCs w:val="8"/>
                <w:color w:val="auto"/>
              </w:rPr>
            </w:pPr>
          </w:p>
        </w:tc>
        <w:tc>
          <w:tcPr>
            <w:tcW w:w="1100" w:type="dxa"/>
            <w:vAlign w:val="bottom"/>
            <w:tcBorders>
              <w:right w:val="single" w:sz="8" w:color="95B3D7"/>
            </w:tcBorders>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Borders>
              <w:right w:val="single" w:sz="8" w:color="95B3D7"/>
            </w:tcBorders>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38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1"/>
                <w:szCs w:val="11"/>
                <w:color w:val="auto"/>
              </w:rPr>
              <w:t>Dawn</w:t>
            </w:r>
          </w:p>
        </w:tc>
        <w:tc>
          <w:tcPr>
            <w:tcW w:w="11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3/13/2024</w:t>
            </w:r>
          </w:p>
        </w:tc>
        <w:tc>
          <w:tcPr>
            <w:tcW w:w="100" w:type="dxa"/>
            <w:vAlign w:val="bottom"/>
            <w:shd w:val="clear" w:color="auto" w:fill="DBE5F1"/>
          </w:tcPr>
          <w:p>
            <w:pPr>
              <w:spacing w:after="0"/>
              <w:rPr>
                <w:sz w:val="11"/>
                <w:szCs w:val="11"/>
                <w:color w:val="auto"/>
              </w:rPr>
            </w:pPr>
          </w:p>
        </w:tc>
        <w:tc>
          <w:tcPr>
            <w:tcW w:w="128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42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w:t>
            </w:r>
          </w:p>
        </w:tc>
        <w:tc>
          <w:tcPr>
            <w:tcW w:w="920" w:type="dxa"/>
            <w:vAlign w:val="bottom"/>
            <w:shd w:val="clear" w:color="auto" w:fill="DBE5F1"/>
          </w:tcPr>
          <w:p>
            <w:pPr>
              <w:spacing w:after="0"/>
              <w:rPr>
                <w:sz w:val="11"/>
                <w:szCs w:val="11"/>
                <w:color w:val="auto"/>
              </w:rPr>
            </w:pPr>
          </w:p>
        </w:tc>
        <w:tc>
          <w:tcPr>
            <w:tcW w:w="24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tcBorders>
              <w:right w:val="single" w:sz="8" w:color="95B3D7"/>
            </w:tcBorders>
            <w:gridSpan w:val="2"/>
            <w:shd w:val="clear" w:color="auto" w:fill="DBE5F1"/>
          </w:tcPr>
          <w:p>
            <w:pPr>
              <w:jc w:val="right"/>
              <w:ind w:right="26"/>
              <w:spacing w:after="0"/>
              <w:rPr>
                <w:sz w:val="20"/>
                <w:szCs w:val="20"/>
                <w:color w:val="auto"/>
              </w:rPr>
            </w:pPr>
            <w:r>
              <w:rPr>
                <w:rFonts w:ascii="Arial" w:cs="Arial" w:eastAsia="Arial" w:hAnsi="Arial"/>
                <w:sz w:val="11"/>
                <w:szCs w:val="11"/>
                <w:color w:val="auto"/>
              </w:rPr>
              <w:t>130,000</w:t>
            </w:r>
          </w:p>
        </w:tc>
        <w:tc>
          <w:tcPr>
            <w:tcW w:w="1440" w:type="dxa"/>
            <w:vAlign w:val="bottom"/>
            <w:shd w:val="clear" w:color="auto" w:fill="DBE5F1"/>
          </w:tcPr>
          <w:p>
            <w:pPr>
              <w:jc w:val="right"/>
              <w:ind w:right="26"/>
              <w:spacing w:after="0"/>
              <w:rPr>
                <w:sz w:val="20"/>
                <w:szCs w:val="20"/>
                <w:color w:val="auto"/>
              </w:rPr>
            </w:pPr>
            <w:r>
              <w:rPr>
                <w:rFonts w:ascii="Arial" w:cs="Arial" w:eastAsia="Arial" w:hAnsi="Arial"/>
                <w:sz w:val="11"/>
                <w:szCs w:val="11"/>
                <w:color w:val="auto"/>
              </w:rPr>
              <w:t>1,462,500</w:t>
            </w:r>
          </w:p>
        </w:tc>
        <w:tc>
          <w:tcPr>
            <w:tcW w:w="0" w:type="dxa"/>
            <w:vAlign w:val="bottom"/>
          </w:tcPr>
          <w:p>
            <w:pPr>
              <w:spacing w:after="0"/>
              <w:rPr>
                <w:sz w:val="1"/>
                <w:szCs w:val="1"/>
                <w:color w:val="auto"/>
              </w:rPr>
            </w:pPr>
          </w:p>
        </w:tc>
      </w:tr>
      <w:tr>
        <w:trPr>
          <w:trHeight w:val="142"/>
        </w:trPr>
        <w:tc>
          <w:tcPr>
            <w:tcW w:w="138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1"/>
                <w:szCs w:val="11"/>
                <w:color w:val="auto"/>
              </w:rPr>
              <w:t>Maroney</w:t>
            </w:r>
          </w:p>
        </w:tc>
        <w:tc>
          <w:tcPr>
            <w:tcW w:w="1120" w:type="dxa"/>
            <w:vAlign w:val="bottom"/>
            <w:tcBorders>
              <w:right w:val="single" w:sz="8" w:color="95B3D7"/>
            </w:tcBorders>
            <w:shd w:val="clear" w:color="auto" w:fill="DBE5F1"/>
          </w:tcPr>
          <w:p>
            <w:pPr>
              <w:spacing w:after="0"/>
              <w:rPr>
                <w:sz w:val="12"/>
                <w:szCs w:val="12"/>
                <w:color w:val="auto"/>
              </w:rPr>
            </w:pPr>
          </w:p>
        </w:tc>
        <w:tc>
          <w:tcPr>
            <w:tcW w:w="100" w:type="dxa"/>
            <w:vAlign w:val="bottom"/>
            <w:shd w:val="clear" w:color="auto" w:fill="DBE5F1"/>
          </w:tcPr>
          <w:p>
            <w:pPr>
              <w:spacing w:after="0"/>
              <w:rPr>
                <w:sz w:val="12"/>
                <w:szCs w:val="12"/>
                <w:color w:val="auto"/>
              </w:rPr>
            </w:pPr>
          </w:p>
        </w:tc>
        <w:tc>
          <w:tcPr>
            <w:tcW w:w="1280" w:type="dxa"/>
            <w:vAlign w:val="bottom"/>
            <w:tcBorders>
              <w:right w:val="single" w:sz="8" w:color="95B3D7"/>
            </w:tcBorders>
            <w:shd w:val="clear" w:color="auto" w:fill="DBE5F1"/>
          </w:tcPr>
          <w:p>
            <w:pPr>
              <w:spacing w:after="0"/>
              <w:rPr>
                <w:sz w:val="12"/>
                <w:szCs w:val="12"/>
                <w:color w:val="auto"/>
              </w:rPr>
            </w:pPr>
          </w:p>
        </w:tc>
        <w:tc>
          <w:tcPr>
            <w:tcW w:w="1420" w:type="dxa"/>
            <w:vAlign w:val="bottom"/>
            <w:tcBorders>
              <w:right w:val="single" w:sz="8" w:color="95B3D7"/>
            </w:tcBorders>
            <w:shd w:val="clear" w:color="auto" w:fill="DBE5F1"/>
          </w:tcPr>
          <w:p>
            <w:pPr>
              <w:spacing w:after="0"/>
              <w:rPr>
                <w:sz w:val="12"/>
                <w:szCs w:val="12"/>
                <w:color w:val="auto"/>
              </w:rPr>
            </w:pPr>
          </w:p>
        </w:tc>
        <w:tc>
          <w:tcPr>
            <w:tcW w:w="920" w:type="dxa"/>
            <w:vAlign w:val="bottom"/>
            <w:shd w:val="clear" w:color="auto" w:fill="DBE5F1"/>
          </w:tcPr>
          <w:p>
            <w:pPr>
              <w:spacing w:after="0"/>
              <w:rPr>
                <w:sz w:val="12"/>
                <w:szCs w:val="12"/>
                <w:color w:val="auto"/>
              </w:rPr>
            </w:pPr>
          </w:p>
        </w:tc>
        <w:tc>
          <w:tcPr>
            <w:tcW w:w="240" w:type="dxa"/>
            <w:vAlign w:val="bottom"/>
            <w:tcBorders>
              <w:right w:val="single" w:sz="8" w:color="95B3D7"/>
            </w:tcBorders>
            <w:shd w:val="clear" w:color="auto" w:fill="DBE5F1"/>
          </w:tcPr>
          <w:p>
            <w:pPr>
              <w:spacing w:after="0"/>
              <w:rPr>
                <w:sz w:val="12"/>
                <w:szCs w:val="12"/>
                <w:color w:val="auto"/>
              </w:rPr>
            </w:pPr>
          </w:p>
        </w:tc>
        <w:tc>
          <w:tcPr>
            <w:tcW w:w="940" w:type="dxa"/>
            <w:vAlign w:val="bottom"/>
            <w:tcBorders>
              <w:right w:val="single" w:sz="8" w:color="95B3D7"/>
            </w:tcBorders>
            <w:shd w:val="clear" w:color="auto" w:fill="DBE5F1"/>
          </w:tcPr>
          <w:p>
            <w:pPr>
              <w:spacing w:after="0"/>
              <w:rPr>
                <w:sz w:val="12"/>
                <w:szCs w:val="12"/>
                <w:color w:val="auto"/>
              </w:rPr>
            </w:pPr>
          </w:p>
        </w:tc>
        <w:tc>
          <w:tcPr>
            <w:tcW w:w="1100" w:type="dxa"/>
            <w:vAlign w:val="bottom"/>
            <w:tcBorders>
              <w:right w:val="single" w:sz="8" w:color="95B3D7"/>
            </w:tcBorders>
            <w:shd w:val="clear" w:color="auto" w:fill="DBE5F1"/>
          </w:tcPr>
          <w:p>
            <w:pPr>
              <w:spacing w:after="0"/>
              <w:rPr>
                <w:sz w:val="12"/>
                <w:szCs w:val="12"/>
                <w:color w:val="auto"/>
              </w:rPr>
            </w:pPr>
          </w:p>
        </w:tc>
        <w:tc>
          <w:tcPr>
            <w:tcW w:w="100" w:type="dxa"/>
            <w:vAlign w:val="bottom"/>
            <w:shd w:val="clear" w:color="auto" w:fill="DBE5F1"/>
          </w:tcPr>
          <w:p>
            <w:pPr>
              <w:spacing w:after="0"/>
              <w:rPr>
                <w:sz w:val="12"/>
                <w:szCs w:val="12"/>
                <w:color w:val="auto"/>
              </w:rPr>
            </w:pPr>
          </w:p>
        </w:tc>
        <w:tc>
          <w:tcPr>
            <w:tcW w:w="1020" w:type="dxa"/>
            <w:vAlign w:val="bottom"/>
            <w:tcBorders>
              <w:right w:val="single" w:sz="8" w:color="95B3D7"/>
            </w:tcBorders>
            <w:shd w:val="clear" w:color="auto" w:fill="DBE5F1"/>
          </w:tcPr>
          <w:p>
            <w:pPr>
              <w:spacing w:after="0"/>
              <w:rPr>
                <w:sz w:val="12"/>
                <w:szCs w:val="12"/>
                <w:color w:val="auto"/>
              </w:rPr>
            </w:pPr>
          </w:p>
        </w:tc>
        <w:tc>
          <w:tcPr>
            <w:tcW w:w="1440" w:type="dxa"/>
            <w:vAlign w:val="bottom"/>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80" w:type="dxa"/>
            <w:vAlign w:val="bottom"/>
            <w:tcBorders>
              <w:right w:val="single" w:sz="8" w:color="95B3D7"/>
            </w:tcBorders>
            <w:shd w:val="clear" w:color="auto" w:fill="DBE5F1"/>
          </w:tcPr>
          <w:p>
            <w:pPr>
              <w:spacing w:after="0"/>
              <w:rPr>
                <w:sz w:val="14"/>
                <w:szCs w:val="14"/>
                <w:color w:val="auto"/>
              </w:rPr>
            </w:pPr>
          </w:p>
        </w:tc>
        <w:tc>
          <w:tcPr>
            <w:tcW w:w="11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3/13/2024</w:t>
            </w:r>
          </w:p>
        </w:tc>
        <w:tc>
          <w:tcPr>
            <w:tcW w:w="100" w:type="dxa"/>
            <w:vAlign w:val="bottom"/>
            <w:shd w:val="clear" w:color="auto" w:fill="DBE5F1"/>
          </w:tcPr>
          <w:p>
            <w:pPr>
              <w:spacing w:after="0"/>
              <w:rPr>
                <w:sz w:val="14"/>
                <w:szCs w:val="14"/>
                <w:color w:val="auto"/>
              </w:rPr>
            </w:pPr>
          </w:p>
        </w:tc>
        <w:tc>
          <w:tcPr>
            <w:tcW w:w="128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42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w:t>
            </w:r>
          </w:p>
        </w:tc>
        <w:tc>
          <w:tcPr>
            <w:tcW w:w="920" w:type="dxa"/>
            <w:vAlign w:val="bottom"/>
            <w:shd w:val="clear" w:color="auto" w:fill="DBE5F1"/>
          </w:tcPr>
          <w:p>
            <w:pPr>
              <w:spacing w:after="0"/>
              <w:rPr>
                <w:sz w:val="14"/>
                <w:szCs w:val="14"/>
                <w:color w:val="auto"/>
              </w:rPr>
            </w:pPr>
          </w:p>
        </w:tc>
        <w:tc>
          <w:tcPr>
            <w:tcW w:w="24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tcBorders>
              <w:right w:val="single" w:sz="8" w:color="95B3D7"/>
            </w:tcBorders>
            <w:gridSpan w:val="2"/>
            <w:shd w:val="clear" w:color="auto" w:fill="DBE5F1"/>
          </w:tcPr>
          <w:p>
            <w:pPr>
              <w:jc w:val="right"/>
              <w:ind w:right="26"/>
              <w:spacing w:after="0"/>
              <w:rPr>
                <w:sz w:val="20"/>
                <w:szCs w:val="20"/>
                <w:color w:val="auto"/>
              </w:rPr>
            </w:pPr>
            <w:r>
              <w:rPr>
                <w:rFonts w:ascii="Arial" w:cs="Arial" w:eastAsia="Arial" w:hAnsi="Arial"/>
                <w:sz w:val="11"/>
                <w:szCs w:val="11"/>
                <w:color w:val="auto"/>
              </w:rPr>
              <w:t>130,000</w:t>
            </w:r>
          </w:p>
        </w:tc>
        <w:tc>
          <w:tcPr>
            <w:tcW w:w="1440" w:type="dxa"/>
            <w:vAlign w:val="bottom"/>
            <w:shd w:val="clear" w:color="auto" w:fill="DBE5F1"/>
          </w:tcPr>
          <w:p>
            <w:pPr>
              <w:jc w:val="right"/>
              <w:ind w:right="26"/>
              <w:spacing w:after="0"/>
              <w:rPr>
                <w:sz w:val="20"/>
                <w:szCs w:val="20"/>
                <w:color w:val="auto"/>
              </w:rPr>
            </w:pPr>
            <w:r>
              <w:rPr>
                <w:rFonts w:ascii="Arial" w:cs="Arial" w:eastAsia="Arial" w:hAnsi="Arial"/>
                <w:sz w:val="11"/>
                <w:szCs w:val="11"/>
                <w:color w:val="auto"/>
              </w:rPr>
              <w:t>1,462,500</w:t>
            </w:r>
          </w:p>
        </w:tc>
        <w:tc>
          <w:tcPr>
            <w:tcW w:w="0" w:type="dxa"/>
            <w:vAlign w:val="bottom"/>
          </w:tcPr>
          <w:p>
            <w:pPr>
              <w:spacing w:after="0"/>
              <w:rPr>
                <w:sz w:val="1"/>
                <w:szCs w:val="1"/>
                <w:color w:val="auto"/>
              </w:rPr>
            </w:pPr>
          </w:p>
        </w:tc>
      </w:tr>
      <w:tr>
        <w:trPr>
          <w:trHeight w:val="162"/>
        </w:trPr>
        <w:tc>
          <w:tcPr>
            <w:tcW w:w="1380" w:type="dxa"/>
            <w:vAlign w:val="bottom"/>
            <w:tcBorders>
              <w:right w:val="single" w:sz="8" w:color="95B3D7"/>
            </w:tcBorders>
            <w:shd w:val="clear" w:color="auto" w:fill="DBE5F1"/>
          </w:tcPr>
          <w:p>
            <w:pPr>
              <w:spacing w:after="0"/>
              <w:rPr>
                <w:sz w:val="14"/>
                <w:szCs w:val="14"/>
                <w:color w:val="auto"/>
              </w:rPr>
            </w:pPr>
          </w:p>
        </w:tc>
        <w:tc>
          <w:tcPr>
            <w:tcW w:w="11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9/14/2023</w:t>
            </w:r>
          </w:p>
        </w:tc>
        <w:tc>
          <w:tcPr>
            <w:tcW w:w="100" w:type="dxa"/>
            <w:vAlign w:val="bottom"/>
            <w:shd w:val="clear" w:color="auto" w:fill="DBE5F1"/>
          </w:tcPr>
          <w:p>
            <w:pPr>
              <w:spacing w:after="0"/>
              <w:rPr>
                <w:sz w:val="14"/>
                <w:szCs w:val="14"/>
                <w:color w:val="auto"/>
              </w:rPr>
            </w:pPr>
          </w:p>
        </w:tc>
        <w:tc>
          <w:tcPr>
            <w:tcW w:w="128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42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w:t>
            </w:r>
          </w:p>
        </w:tc>
        <w:tc>
          <w:tcPr>
            <w:tcW w:w="920" w:type="dxa"/>
            <w:vAlign w:val="bottom"/>
            <w:shd w:val="clear" w:color="auto" w:fill="DBE5F1"/>
          </w:tcPr>
          <w:p>
            <w:pPr>
              <w:spacing w:after="0"/>
              <w:rPr>
                <w:sz w:val="14"/>
                <w:szCs w:val="14"/>
                <w:color w:val="auto"/>
              </w:rPr>
            </w:pPr>
          </w:p>
        </w:tc>
        <w:tc>
          <w:tcPr>
            <w:tcW w:w="24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tcBorders>
              <w:right w:val="single" w:sz="8" w:color="95B3D7"/>
            </w:tcBorders>
            <w:gridSpan w:val="2"/>
            <w:shd w:val="clear" w:color="auto" w:fill="DBE5F1"/>
          </w:tcPr>
          <w:p>
            <w:pPr>
              <w:jc w:val="right"/>
              <w:ind w:right="26"/>
              <w:spacing w:after="0"/>
              <w:rPr>
                <w:sz w:val="20"/>
                <w:szCs w:val="20"/>
                <w:color w:val="auto"/>
              </w:rPr>
            </w:pPr>
            <w:r>
              <w:rPr>
                <w:rFonts w:ascii="Arial" w:cs="Arial" w:eastAsia="Arial" w:hAnsi="Arial"/>
                <w:sz w:val="11"/>
                <w:szCs w:val="11"/>
                <w:color w:val="auto"/>
              </w:rPr>
              <w:t>1,020,442</w:t>
            </w:r>
          </w:p>
        </w:tc>
        <w:tc>
          <w:tcPr>
            <w:tcW w:w="1440" w:type="dxa"/>
            <w:vAlign w:val="bottom"/>
            <w:shd w:val="clear" w:color="auto" w:fill="DBE5F1"/>
          </w:tcPr>
          <w:p>
            <w:pPr>
              <w:jc w:val="right"/>
              <w:ind w:right="26"/>
              <w:spacing w:after="0"/>
              <w:rPr>
                <w:sz w:val="20"/>
                <w:szCs w:val="20"/>
                <w:color w:val="auto"/>
              </w:rPr>
            </w:pPr>
            <w:r>
              <w:rPr>
                <w:rFonts w:ascii="Arial" w:cs="Arial" w:eastAsia="Arial" w:hAnsi="Arial"/>
                <w:sz w:val="11"/>
                <w:szCs w:val="11"/>
                <w:color w:val="auto"/>
              </w:rPr>
              <w:t>11,479,973</w:t>
            </w:r>
          </w:p>
        </w:tc>
        <w:tc>
          <w:tcPr>
            <w:tcW w:w="0" w:type="dxa"/>
            <w:vAlign w:val="bottom"/>
          </w:tcPr>
          <w:p>
            <w:pPr>
              <w:spacing w:after="0"/>
              <w:rPr>
                <w:sz w:val="1"/>
                <w:szCs w:val="1"/>
                <w:color w:val="auto"/>
              </w:rPr>
            </w:pPr>
          </w:p>
        </w:tc>
      </w:tr>
      <w:tr>
        <w:trPr>
          <w:trHeight w:val="162"/>
        </w:trPr>
        <w:tc>
          <w:tcPr>
            <w:tcW w:w="1380" w:type="dxa"/>
            <w:vAlign w:val="bottom"/>
            <w:tcBorders>
              <w:right w:val="single" w:sz="8" w:color="95B3D7"/>
            </w:tcBorders>
            <w:shd w:val="clear" w:color="auto" w:fill="DBE5F1"/>
          </w:tcPr>
          <w:p>
            <w:pPr>
              <w:spacing w:after="0"/>
              <w:rPr>
                <w:sz w:val="14"/>
                <w:szCs w:val="14"/>
                <w:color w:val="auto"/>
              </w:rPr>
            </w:pPr>
          </w:p>
        </w:tc>
        <w:tc>
          <w:tcPr>
            <w:tcW w:w="11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9/12/2022</w:t>
            </w:r>
          </w:p>
        </w:tc>
        <w:tc>
          <w:tcPr>
            <w:tcW w:w="100" w:type="dxa"/>
            <w:vAlign w:val="bottom"/>
            <w:shd w:val="clear" w:color="auto" w:fill="DBE5F1"/>
          </w:tcPr>
          <w:p>
            <w:pPr>
              <w:spacing w:after="0"/>
              <w:rPr>
                <w:sz w:val="14"/>
                <w:szCs w:val="14"/>
                <w:color w:val="auto"/>
              </w:rPr>
            </w:pPr>
          </w:p>
        </w:tc>
        <w:tc>
          <w:tcPr>
            <w:tcW w:w="128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42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w:t>
            </w:r>
          </w:p>
        </w:tc>
        <w:tc>
          <w:tcPr>
            <w:tcW w:w="920" w:type="dxa"/>
            <w:vAlign w:val="bottom"/>
            <w:shd w:val="clear" w:color="auto" w:fill="DBE5F1"/>
          </w:tcPr>
          <w:p>
            <w:pPr>
              <w:spacing w:after="0"/>
              <w:rPr>
                <w:sz w:val="14"/>
                <w:szCs w:val="14"/>
                <w:color w:val="auto"/>
              </w:rPr>
            </w:pPr>
          </w:p>
        </w:tc>
        <w:tc>
          <w:tcPr>
            <w:tcW w:w="24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tcBorders>
              <w:right w:val="single" w:sz="8" w:color="95B3D7"/>
            </w:tcBorders>
            <w:gridSpan w:val="2"/>
            <w:shd w:val="clear" w:color="auto" w:fill="DBE5F1"/>
          </w:tcPr>
          <w:p>
            <w:pPr>
              <w:jc w:val="right"/>
              <w:ind w:right="26"/>
              <w:spacing w:after="0"/>
              <w:rPr>
                <w:sz w:val="20"/>
                <w:szCs w:val="20"/>
                <w:color w:val="auto"/>
              </w:rPr>
            </w:pPr>
            <w:r>
              <w:rPr>
                <w:rFonts w:ascii="Arial" w:cs="Arial" w:eastAsia="Arial" w:hAnsi="Arial"/>
                <w:sz w:val="11"/>
                <w:szCs w:val="11"/>
                <w:color w:val="auto"/>
              </w:rPr>
              <w:t>431,323</w:t>
            </w:r>
          </w:p>
        </w:tc>
        <w:tc>
          <w:tcPr>
            <w:tcW w:w="1440" w:type="dxa"/>
            <w:vAlign w:val="bottom"/>
            <w:shd w:val="clear" w:color="auto" w:fill="DBE5F1"/>
          </w:tcPr>
          <w:p>
            <w:pPr>
              <w:jc w:val="right"/>
              <w:ind w:right="26"/>
              <w:spacing w:after="0"/>
              <w:rPr>
                <w:sz w:val="20"/>
                <w:szCs w:val="20"/>
                <w:color w:val="auto"/>
              </w:rPr>
            </w:pPr>
            <w:r>
              <w:rPr>
                <w:rFonts w:ascii="Arial" w:cs="Arial" w:eastAsia="Arial" w:hAnsi="Arial"/>
                <w:sz w:val="11"/>
                <w:szCs w:val="11"/>
                <w:color w:val="auto"/>
              </w:rPr>
              <w:t>4,852,384</w:t>
            </w:r>
          </w:p>
        </w:tc>
        <w:tc>
          <w:tcPr>
            <w:tcW w:w="0" w:type="dxa"/>
            <w:vAlign w:val="bottom"/>
          </w:tcPr>
          <w:p>
            <w:pPr>
              <w:spacing w:after="0"/>
              <w:rPr>
                <w:sz w:val="1"/>
                <w:szCs w:val="1"/>
                <w:color w:val="auto"/>
              </w:rPr>
            </w:pPr>
          </w:p>
        </w:tc>
      </w:tr>
      <w:tr>
        <w:trPr>
          <w:trHeight w:val="243"/>
        </w:trPr>
        <w:tc>
          <w:tcPr>
            <w:tcW w:w="1380" w:type="dxa"/>
            <w:vAlign w:val="bottom"/>
            <w:tcBorders>
              <w:right w:val="single" w:sz="8" w:color="95B3D7"/>
            </w:tcBorders>
            <w:shd w:val="clear" w:color="auto" w:fill="DBE5F1"/>
          </w:tcPr>
          <w:p>
            <w:pPr>
              <w:spacing w:after="0"/>
              <w:rPr>
                <w:sz w:val="21"/>
                <w:szCs w:val="21"/>
                <w:color w:val="auto"/>
              </w:rPr>
            </w:pPr>
          </w:p>
        </w:tc>
        <w:tc>
          <w:tcPr>
            <w:tcW w:w="11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3/8/2022</w:t>
            </w:r>
          </w:p>
        </w:tc>
        <w:tc>
          <w:tcPr>
            <w:tcW w:w="100" w:type="dxa"/>
            <w:vAlign w:val="bottom"/>
            <w:shd w:val="clear" w:color="auto" w:fill="DBE5F1"/>
          </w:tcPr>
          <w:p>
            <w:pPr>
              <w:spacing w:after="0"/>
              <w:rPr>
                <w:sz w:val="21"/>
                <w:szCs w:val="21"/>
                <w:color w:val="auto"/>
              </w:rPr>
            </w:pPr>
          </w:p>
        </w:tc>
        <w:tc>
          <w:tcPr>
            <w:tcW w:w="1280" w:type="dxa"/>
            <w:vAlign w:val="bottom"/>
            <w:tcBorders>
              <w:right w:val="single" w:sz="8" w:color="95B3D7"/>
            </w:tcBorders>
            <w:vMerge w:val="restart"/>
            <w:shd w:val="clear" w:color="auto" w:fill="DBE5F1"/>
          </w:tcPr>
          <w:p>
            <w:pPr>
              <w:jc w:val="right"/>
              <w:ind w:right="47"/>
              <w:spacing w:after="0"/>
              <w:rPr>
                <w:sz w:val="20"/>
                <w:szCs w:val="20"/>
                <w:color w:val="auto"/>
              </w:rPr>
            </w:pPr>
            <w:r>
              <w:rPr>
                <w:rFonts w:ascii="Arial" w:cs="Arial" w:eastAsia="Arial" w:hAnsi="Arial"/>
                <w:sz w:val="11"/>
                <w:szCs w:val="11"/>
                <w:color w:val="auto"/>
              </w:rPr>
              <w:t>76,034</w:t>
            </w:r>
          </w:p>
        </w:tc>
        <w:tc>
          <w:tcPr>
            <w:tcW w:w="1420" w:type="dxa"/>
            <w:vAlign w:val="bottom"/>
            <w:tcBorders>
              <w:right w:val="single" w:sz="8" w:color="95B3D7"/>
            </w:tcBorders>
            <w:vMerge w:val="restart"/>
            <w:shd w:val="clear" w:color="auto" w:fill="DBE5F1"/>
          </w:tcPr>
          <w:p>
            <w:pPr>
              <w:jc w:val="right"/>
              <w:ind w:right="46"/>
              <w:spacing w:after="0"/>
              <w:rPr>
                <w:sz w:val="20"/>
                <w:szCs w:val="20"/>
                <w:color w:val="auto"/>
              </w:rPr>
            </w:pPr>
            <w:r>
              <w:rPr>
                <w:rFonts w:ascii="Arial" w:cs="Arial" w:eastAsia="Arial" w:hAnsi="Arial"/>
                <w:sz w:val="11"/>
                <w:szCs w:val="11"/>
                <w:color w:val="auto"/>
              </w:rPr>
              <w:t>76,034</w:t>
            </w:r>
          </w:p>
        </w:tc>
        <w:tc>
          <w:tcPr>
            <w:tcW w:w="920" w:type="dxa"/>
            <w:vAlign w:val="bottom"/>
            <w:shd w:val="clear" w:color="auto" w:fill="DBE5F1"/>
          </w:tcPr>
          <w:p>
            <w:pPr>
              <w:spacing w:after="0"/>
              <w:rPr>
                <w:sz w:val="21"/>
                <w:szCs w:val="21"/>
                <w:color w:val="auto"/>
              </w:rPr>
            </w:pPr>
          </w:p>
        </w:tc>
        <w:tc>
          <w:tcPr>
            <w:tcW w:w="24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9.06</w:t>
            </w:r>
          </w:p>
        </w:tc>
        <w:tc>
          <w:tcPr>
            <w:tcW w:w="110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3/8/2032</w:t>
            </w:r>
          </w:p>
        </w:tc>
        <w:tc>
          <w:tcPr>
            <w:tcW w:w="100" w:type="dxa"/>
            <w:vAlign w:val="bottom"/>
            <w:shd w:val="clear" w:color="auto" w:fill="DBE5F1"/>
          </w:tcPr>
          <w:p>
            <w:pPr>
              <w:spacing w:after="0"/>
              <w:rPr>
                <w:sz w:val="21"/>
                <w:szCs w:val="21"/>
                <w:color w:val="auto"/>
              </w:rPr>
            </w:pPr>
          </w:p>
        </w:tc>
        <w:tc>
          <w:tcPr>
            <w:tcW w:w="10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1440" w:type="dxa"/>
            <w:vAlign w:val="bottom"/>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1"/>
        </w:trPr>
        <w:tc>
          <w:tcPr>
            <w:tcW w:w="1380" w:type="dxa"/>
            <w:vAlign w:val="bottom"/>
            <w:tcBorders>
              <w:right w:val="single" w:sz="8" w:color="95B3D7"/>
            </w:tcBorders>
            <w:shd w:val="clear" w:color="auto" w:fill="DBE5F1"/>
          </w:tcPr>
          <w:p>
            <w:pPr>
              <w:spacing w:after="0"/>
              <w:rPr>
                <w:sz w:val="7"/>
                <w:szCs w:val="7"/>
                <w:color w:val="auto"/>
              </w:rPr>
            </w:pPr>
          </w:p>
        </w:tc>
        <w:tc>
          <w:tcPr>
            <w:tcW w:w="1120" w:type="dxa"/>
            <w:vAlign w:val="bottom"/>
            <w:tcBorders>
              <w:right w:val="single" w:sz="8" w:color="95B3D7"/>
            </w:tcBorders>
            <w:shd w:val="clear" w:color="auto" w:fill="DBE5F1"/>
          </w:tcPr>
          <w:p>
            <w:pPr>
              <w:spacing w:after="0"/>
              <w:rPr>
                <w:sz w:val="7"/>
                <w:szCs w:val="7"/>
                <w:color w:val="auto"/>
              </w:rPr>
            </w:pPr>
          </w:p>
        </w:tc>
        <w:tc>
          <w:tcPr>
            <w:tcW w:w="100" w:type="dxa"/>
            <w:vAlign w:val="bottom"/>
            <w:shd w:val="clear" w:color="auto" w:fill="DBE5F1"/>
          </w:tcPr>
          <w:p>
            <w:pPr>
              <w:spacing w:after="0"/>
              <w:rPr>
                <w:sz w:val="7"/>
                <w:szCs w:val="7"/>
                <w:color w:val="auto"/>
              </w:rPr>
            </w:pPr>
          </w:p>
        </w:tc>
        <w:tc>
          <w:tcPr>
            <w:tcW w:w="1280" w:type="dxa"/>
            <w:vAlign w:val="bottom"/>
            <w:tcBorders>
              <w:right w:val="single" w:sz="8" w:color="95B3D7"/>
            </w:tcBorders>
            <w:vMerge w:val="continue"/>
            <w:shd w:val="clear" w:color="auto" w:fill="DBE5F1"/>
          </w:tcPr>
          <w:p>
            <w:pPr>
              <w:spacing w:after="0"/>
              <w:rPr>
                <w:sz w:val="7"/>
                <w:szCs w:val="7"/>
                <w:color w:val="auto"/>
              </w:rPr>
            </w:pPr>
          </w:p>
        </w:tc>
        <w:tc>
          <w:tcPr>
            <w:tcW w:w="1420" w:type="dxa"/>
            <w:vAlign w:val="bottom"/>
            <w:tcBorders>
              <w:right w:val="single" w:sz="8" w:color="95B3D7"/>
            </w:tcBorders>
            <w:vMerge w:val="continue"/>
            <w:shd w:val="clear" w:color="auto" w:fill="DBE5F1"/>
          </w:tcPr>
          <w:p>
            <w:pPr>
              <w:spacing w:after="0"/>
              <w:rPr>
                <w:sz w:val="7"/>
                <w:szCs w:val="7"/>
                <w:color w:val="auto"/>
              </w:rPr>
            </w:pPr>
          </w:p>
        </w:tc>
        <w:tc>
          <w:tcPr>
            <w:tcW w:w="920" w:type="dxa"/>
            <w:vAlign w:val="bottom"/>
            <w:shd w:val="clear" w:color="auto" w:fill="DBE5F1"/>
          </w:tcPr>
          <w:p>
            <w:pPr>
              <w:spacing w:after="0"/>
              <w:rPr>
                <w:sz w:val="7"/>
                <w:szCs w:val="7"/>
                <w:color w:val="auto"/>
              </w:rPr>
            </w:pPr>
          </w:p>
        </w:tc>
        <w:tc>
          <w:tcPr>
            <w:tcW w:w="240" w:type="dxa"/>
            <w:vAlign w:val="bottom"/>
            <w:tcBorders>
              <w:right w:val="single" w:sz="8" w:color="95B3D7"/>
            </w:tcBorders>
            <w:shd w:val="clear" w:color="auto" w:fill="DBE5F1"/>
          </w:tcPr>
          <w:p>
            <w:pPr>
              <w:spacing w:after="0"/>
              <w:rPr>
                <w:sz w:val="7"/>
                <w:szCs w:val="7"/>
                <w:color w:val="auto"/>
              </w:rPr>
            </w:pPr>
          </w:p>
        </w:tc>
        <w:tc>
          <w:tcPr>
            <w:tcW w:w="940" w:type="dxa"/>
            <w:vAlign w:val="bottom"/>
            <w:tcBorders>
              <w:right w:val="single" w:sz="8" w:color="95B3D7"/>
            </w:tcBorders>
            <w:shd w:val="clear" w:color="auto" w:fill="DBE5F1"/>
          </w:tcPr>
          <w:p>
            <w:pPr>
              <w:spacing w:after="0"/>
              <w:rPr>
                <w:sz w:val="7"/>
                <w:szCs w:val="7"/>
                <w:color w:val="auto"/>
              </w:rPr>
            </w:pPr>
          </w:p>
        </w:tc>
        <w:tc>
          <w:tcPr>
            <w:tcW w:w="1100" w:type="dxa"/>
            <w:vAlign w:val="bottom"/>
            <w:tcBorders>
              <w:right w:val="single" w:sz="8" w:color="95B3D7"/>
            </w:tcBorders>
            <w:shd w:val="clear" w:color="auto" w:fill="DBE5F1"/>
          </w:tcPr>
          <w:p>
            <w:pPr>
              <w:spacing w:after="0"/>
              <w:rPr>
                <w:sz w:val="7"/>
                <w:szCs w:val="7"/>
                <w:color w:val="auto"/>
              </w:rPr>
            </w:pPr>
          </w:p>
        </w:tc>
        <w:tc>
          <w:tcPr>
            <w:tcW w:w="100" w:type="dxa"/>
            <w:vAlign w:val="bottom"/>
            <w:shd w:val="clear" w:color="auto" w:fill="DBE5F1"/>
          </w:tcPr>
          <w:p>
            <w:pPr>
              <w:spacing w:after="0"/>
              <w:rPr>
                <w:sz w:val="7"/>
                <w:szCs w:val="7"/>
                <w:color w:val="auto"/>
              </w:rPr>
            </w:pPr>
          </w:p>
        </w:tc>
        <w:tc>
          <w:tcPr>
            <w:tcW w:w="1020" w:type="dxa"/>
            <w:vAlign w:val="bottom"/>
            <w:tcBorders>
              <w:right w:val="single" w:sz="8" w:color="95B3D7"/>
            </w:tcBorders>
            <w:shd w:val="clear" w:color="auto" w:fill="DBE5F1"/>
          </w:tcPr>
          <w:p>
            <w:pPr>
              <w:spacing w:after="0"/>
              <w:rPr>
                <w:sz w:val="7"/>
                <w:szCs w:val="7"/>
                <w:color w:val="auto"/>
              </w:rPr>
            </w:pPr>
          </w:p>
        </w:tc>
        <w:tc>
          <w:tcPr>
            <w:tcW w:w="1440" w:type="dxa"/>
            <w:vAlign w:val="bottom"/>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380" w:type="dxa"/>
            <w:vAlign w:val="bottom"/>
            <w:tcBorders>
              <w:right w:val="single" w:sz="8" w:color="95B3D7"/>
            </w:tcBorders>
            <w:shd w:val="clear" w:color="auto" w:fill="DBE5F1"/>
          </w:tcPr>
          <w:p>
            <w:pPr>
              <w:spacing w:after="0"/>
              <w:rPr>
                <w:sz w:val="14"/>
                <w:szCs w:val="14"/>
                <w:color w:val="auto"/>
              </w:rPr>
            </w:pPr>
          </w:p>
        </w:tc>
        <w:tc>
          <w:tcPr>
            <w:tcW w:w="11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3/8/2022</w:t>
            </w:r>
          </w:p>
        </w:tc>
        <w:tc>
          <w:tcPr>
            <w:tcW w:w="100" w:type="dxa"/>
            <w:vAlign w:val="bottom"/>
            <w:shd w:val="clear" w:color="auto" w:fill="DBE5F1"/>
          </w:tcPr>
          <w:p>
            <w:pPr>
              <w:spacing w:after="0"/>
              <w:rPr>
                <w:sz w:val="14"/>
                <w:szCs w:val="14"/>
                <w:color w:val="auto"/>
              </w:rPr>
            </w:pPr>
          </w:p>
        </w:tc>
        <w:tc>
          <w:tcPr>
            <w:tcW w:w="1280" w:type="dxa"/>
            <w:vAlign w:val="bottom"/>
            <w:tcBorders>
              <w:right w:val="single" w:sz="8" w:color="95B3D7"/>
            </w:tcBorders>
            <w:shd w:val="clear" w:color="auto" w:fill="DBE5F1"/>
          </w:tcPr>
          <w:p>
            <w:pPr>
              <w:spacing w:after="0"/>
              <w:rPr>
                <w:sz w:val="14"/>
                <w:szCs w:val="14"/>
                <w:color w:val="auto"/>
              </w:rPr>
            </w:pPr>
          </w:p>
        </w:tc>
        <w:tc>
          <w:tcPr>
            <w:tcW w:w="1420" w:type="dxa"/>
            <w:vAlign w:val="bottom"/>
            <w:tcBorders>
              <w:right w:val="single" w:sz="8" w:color="95B3D7"/>
            </w:tcBorders>
            <w:shd w:val="clear" w:color="auto" w:fill="DBE5F1"/>
          </w:tcPr>
          <w:p>
            <w:pPr>
              <w:spacing w:after="0"/>
              <w:rPr>
                <w:sz w:val="14"/>
                <w:szCs w:val="14"/>
                <w:color w:val="auto"/>
              </w:rPr>
            </w:pPr>
          </w:p>
        </w:tc>
        <w:tc>
          <w:tcPr>
            <w:tcW w:w="920" w:type="dxa"/>
            <w:vAlign w:val="bottom"/>
            <w:shd w:val="clear" w:color="auto" w:fill="DBE5F1"/>
          </w:tcPr>
          <w:p>
            <w:pPr>
              <w:spacing w:after="0"/>
              <w:rPr>
                <w:sz w:val="14"/>
                <w:szCs w:val="14"/>
                <w:color w:val="auto"/>
              </w:rPr>
            </w:pPr>
          </w:p>
        </w:tc>
        <w:tc>
          <w:tcPr>
            <w:tcW w:w="240" w:type="dxa"/>
            <w:vAlign w:val="bottom"/>
            <w:tcBorders>
              <w:right w:val="single" w:sz="8" w:color="95B3D7"/>
            </w:tcBorders>
            <w:shd w:val="clear" w:color="auto" w:fill="DBE5F1"/>
          </w:tcPr>
          <w:p>
            <w:pPr>
              <w:spacing w:after="0"/>
              <w:rPr>
                <w:sz w:val="14"/>
                <w:szCs w:val="14"/>
                <w:color w:val="auto"/>
              </w:rPr>
            </w:pPr>
          </w:p>
        </w:tc>
        <w:tc>
          <w:tcPr>
            <w:tcW w:w="940" w:type="dxa"/>
            <w:vAlign w:val="bottom"/>
            <w:tcBorders>
              <w:right w:val="single" w:sz="8" w:color="95B3D7"/>
            </w:tcBorders>
            <w:shd w:val="clear" w:color="auto" w:fill="DBE5F1"/>
          </w:tcPr>
          <w:p>
            <w:pPr>
              <w:spacing w:after="0"/>
              <w:rPr>
                <w:sz w:val="14"/>
                <w:szCs w:val="14"/>
                <w:color w:val="auto"/>
              </w:rPr>
            </w:pPr>
          </w:p>
        </w:tc>
        <w:tc>
          <w:tcPr>
            <w:tcW w:w="1100" w:type="dxa"/>
            <w:vAlign w:val="bottom"/>
            <w:tcBorders>
              <w:right w:val="single" w:sz="8" w:color="95B3D7"/>
            </w:tcBorders>
            <w:shd w:val="clear" w:color="auto" w:fill="DBE5F1"/>
          </w:tcPr>
          <w:p>
            <w:pPr>
              <w:spacing w:after="0"/>
              <w:rPr>
                <w:sz w:val="14"/>
                <w:szCs w:val="14"/>
                <w:color w:val="auto"/>
              </w:rPr>
            </w:pPr>
          </w:p>
        </w:tc>
        <w:tc>
          <w:tcPr>
            <w:tcW w:w="1120" w:type="dxa"/>
            <w:vAlign w:val="bottom"/>
            <w:tcBorders>
              <w:right w:val="single" w:sz="8" w:color="95B3D7"/>
            </w:tcBorders>
            <w:gridSpan w:val="2"/>
            <w:shd w:val="clear" w:color="auto" w:fill="DBE5F1"/>
          </w:tcPr>
          <w:p>
            <w:pPr>
              <w:jc w:val="right"/>
              <w:ind w:right="26"/>
              <w:spacing w:after="0"/>
              <w:rPr>
                <w:sz w:val="20"/>
                <w:szCs w:val="20"/>
                <w:color w:val="auto"/>
              </w:rPr>
            </w:pPr>
            <w:r>
              <w:rPr>
                <w:rFonts w:ascii="Arial" w:cs="Arial" w:eastAsia="Arial" w:hAnsi="Arial"/>
                <w:sz w:val="11"/>
                <w:szCs w:val="11"/>
                <w:color w:val="auto"/>
              </w:rPr>
              <w:t>103,476</w:t>
            </w:r>
          </w:p>
        </w:tc>
        <w:tc>
          <w:tcPr>
            <w:tcW w:w="1440" w:type="dxa"/>
            <w:vAlign w:val="bottom"/>
            <w:shd w:val="clear" w:color="auto" w:fill="DBE5F1"/>
          </w:tcPr>
          <w:p>
            <w:pPr>
              <w:jc w:val="right"/>
              <w:ind w:right="26"/>
              <w:spacing w:after="0"/>
              <w:rPr>
                <w:sz w:val="20"/>
                <w:szCs w:val="20"/>
                <w:color w:val="auto"/>
              </w:rPr>
            </w:pPr>
            <w:r>
              <w:rPr>
                <w:rFonts w:ascii="Arial" w:cs="Arial" w:eastAsia="Arial" w:hAnsi="Arial"/>
                <w:sz w:val="11"/>
                <w:szCs w:val="11"/>
                <w:color w:val="auto"/>
              </w:rPr>
              <w:t>1,164,105</w:t>
            </w:r>
          </w:p>
        </w:tc>
        <w:tc>
          <w:tcPr>
            <w:tcW w:w="0" w:type="dxa"/>
            <w:vAlign w:val="bottom"/>
          </w:tcPr>
          <w:p>
            <w:pPr>
              <w:spacing w:after="0"/>
              <w:rPr>
                <w:sz w:val="1"/>
                <w:szCs w:val="1"/>
                <w:color w:val="auto"/>
              </w:rPr>
            </w:pPr>
          </w:p>
        </w:tc>
      </w:tr>
      <w:tr>
        <w:trPr>
          <w:trHeight w:val="243"/>
        </w:trPr>
        <w:tc>
          <w:tcPr>
            <w:tcW w:w="1380" w:type="dxa"/>
            <w:vAlign w:val="bottom"/>
            <w:tcBorders>
              <w:right w:val="single" w:sz="8" w:color="95B3D7"/>
            </w:tcBorders>
            <w:shd w:val="clear" w:color="auto" w:fill="DBE5F1"/>
          </w:tcPr>
          <w:p>
            <w:pPr>
              <w:spacing w:after="0"/>
              <w:rPr>
                <w:sz w:val="21"/>
                <w:szCs w:val="21"/>
                <w:color w:val="auto"/>
              </w:rPr>
            </w:pPr>
          </w:p>
        </w:tc>
        <w:tc>
          <w:tcPr>
            <w:tcW w:w="11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3/25/2021</w:t>
            </w:r>
          </w:p>
        </w:tc>
        <w:tc>
          <w:tcPr>
            <w:tcW w:w="100" w:type="dxa"/>
            <w:vAlign w:val="bottom"/>
            <w:shd w:val="clear" w:color="auto" w:fill="DBE5F1"/>
          </w:tcPr>
          <w:p>
            <w:pPr>
              <w:spacing w:after="0"/>
              <w:rPr>
                <w:sz w:val="21"/>
                <w:szCs w:val="21"/>
                <w:color w:val="auto"/>
              </w:rPr>
            </w:pPr>
          </w:p>
        </w:tc>
        <w:tc>
          <w:tcPr>
            <w:tcW w:w="1280" w:type="dxa"/>
            <w:vAlign w:val="bottom"/>
            <w:tcBorders>
              <w:right w:val="single" w:sz="8" w:color="95B3D7"/>
            </w:tcBorders>
            <w:vMerge w:val="restart"/>
            <w:shd w:val="clear" w:color="auto" w:fill="DBE5F1"/>
          </w:tcPr>
          <w:p>
            <w:pPr>
              <w:jc w:val="right"/>
              <w:ind w:right="47"/>
              <w:spacing w:after="0"/>
              <w:rPr>
                <w:sz w:val="20"/>
                <w:szCs w:val="20"/>
                <w:color w:val="auto"/>
              </w:rPr>
            </w:pPr>
            <w:r>
              <w:rPr>
                <w:rFonts w:ascii="Arial" w:cs="Arial" w:eastAsia="Arial" w:hAnsi="Arial"/>
                <w:sz w:val="11"/>
                <w:szCs w:val="11"/>
                <w:color w:val="auto"/>
              </w:rPr>
              <w:t>773,027</w:t>
            </w:r>
          </w:p>
        </w:tc>
        <w:tc>
          <w:tcPr>
            <w:tcW w:w="1420" w:type="dxa"/>
            <w:vAlign w:val="bottom"/>
            <w:tcBorders>
              <w:right w:val="single" w:sz="8" w:color="95B3D7"/>
            </w:tcBorders>
            <w:vMerge w:val="restart"/>
            <w:shd w:val="clear" w:color="auto" w:fill="DBE5F1"/>
          </w:tcPr>
          <w:p>
            <w:pPr>
              <w:jc w:val="right"/>
              <w:ind w:right="46"/>
              <w:spacing w:after="0"/>
              <w:rPr>
                <w:sz w:val="20"/>
                <w:szCs w:val="20"/>
                <w:color w:val="auto"/>
              </w:rPr>
            </w:pPr>
            <w:r>
              <w:rPr>
                <w:rFonts w:ascii="Arial" w:cs="Arial" w:eastAsia="Arial" w:hAnsi="Arial"/>
                <w:sz w:val="11"/>
                <w:szCs w:val="11"/>
                <w:color w:val="auto"/>
              </w:rPr>
              <w:t>257,675</w:t>
            </w:r>
          </w:p>
        </w:tc>
        <w:tc>
          <w:tcPr>
            <w:tcW w:w="920" w:type="dxa"/>
            <w:vAlign w:val="bottom"/>
            <w:shd w:val="clear" w:color="auto" w:fill="DBE5F1"/>
          </w:tcPr>
          <w:p>
            <w:pPr>
              <w:spacing w:after="0"/>
              <w:rPr>
                <w:sz w:val="21"/>
                <w:szCs w:val="21"/>
                <w:color w:val="auto"/>
              </w:rPr>
            </w:pPr>
          </w:p>
        </w:tc>
        <w:tc>
          <w:tcPr>
            <w:tcW w:w="24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18.00</w:t>
            </w:r>
          </w:p>
        </w:tc>
        <w:tc>
          <w:tcPr>
            <w:tcW w:w="110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3/25/2031</w:t>
            </w:r>
          </w:p>
        </w:tc>
        <w:tc>
          <w:tcPr>
            <w:tcW w:w="100" w:type="dxa"/>
            <w:vAlign w:val="bottom"/>
            <w:shd w:val="clear" w:color="auto" w:fill="DBE5F1"/>
          </w:tcPr>
          <w:p>
            <w:pPr>
              <w:spacing w:after="0"/>
              <w:rPr>
                <w:sz w:val="21"/>
                <w:szCs w:val="21"/>
                <w:color w:val="auto"/>
              </w:rPr>
            </w:pPr>
          </w:p>
        </w:tc>
        <w:tc>
          <w:tcPr>
            <w:tcW w:w="10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1440" w:type="dxa"/>
            <w:vAlign w:val="bottom"/>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1"/>
        </w:trPr>
        <w:tc>
          <w:tcPr>
            <w:tcW w:w="1380" w:type="dxa"/>
            <w:vAlign w:val="bottom"/>
            <w:tcBorders>
              <w:right w:val="single" w:sz="8" w:color="95B3D7"/>
            </w:tcBorders>
            <w:shd w:val="clear" w:color="auto" w:fill="DBE5F1"/>
          </w:tcPr>
          <w:p>
            <w:pPr>
              <w:spacing w:after="0"/>
              <w:rPr>
                <w:sz w:val="7"/>
                <w:szCs w:val="7"/>
                <w:color w:val="auto"/>
              </w:rPr>
            </w:pPr>
          </w:p>
        </w:tc>
        <w:tc>
          <w:tcPr>
            <w:tcW w:w="1120" w:type="dxa"/>
            <w:vAlign w:val="bottom"/>
            <w:tcBorders>
              <w:right w:val="single" w:sz="8" w:color="95B3D7"/>
            </w:tcBorders>
            <w:shd w:val="clear" w:color="auto" w:fill="DBE5F1"/>
          </w:tcPr>
          <w:p>
            <w:pPr>
              <w:spacing w:after="0"/>
              <w:rPr>
                <w:sz w:val="7"/>
                <w:szCs w:val="7"/>
                <w:color w:val="auto"/>
              </w:rPr>
            </w:pPr>
          </w:p>
        </w:tc>
        <w:tc>
          <w:tcPr>
            <w:tcW w:w="100" w:type="dxa"/>
            <w:vAlign w:val="bottom"/>
            <w:shd w:val="clear" w:color="auto" w:fill="DBE5F1"/>
          </w:tcPr>
          <w:p>
            <w:pPr>
              <w:spacing w:after="0"/>
              <w:rPr>
                <w:sz w:val="7"/>
                <w:szCs w:val="7"/>
                <w:color w:val="auto"/>
              </w:rPr>
            </w:pPr>
          </w:p>
        </w:tc>
        <w:tc>
          <w:tcPr>
            <w:tcW w:w="1280" w:type="dxa"/>
            <w:vAlign w:val="bottom"/>
            <w:tcBorders>
              <w:right w:val="single" w:sz="8" w:color="95B3D7"/>
            </w:tcBorders>
            <w:vMerge w:val="continue"/>
            <w:shd w:val="clear" w:color="auto" w:fill="DBE5F1"/>
          </w:tcPr>
          <w:p>
            <w:pPr>
              <w:spacing w:after="0"/>
              <w:rPr>
                <w:sz w:val="7"/>
                <w:szCs w:val="7"/>
                <w:color w:val="auto"/>
              </w:rPr>
            </w:pPr>
          </w:p>
        </w:tc>
        <w:tc>
          <w:tcPr>
            <w:tcW w:w="1420" w:type="dxa"/>
            <w:vAlign w:val="bottom"/>
            <w:tcBorders>
              <w:right w:val="single" w:sz="8" w:color="95B3D7"/>
            </w:tcBorders>
            <w:vMerge w:val="continue"/>
            <w:shd w:val="clear" w:color="auto" w:fill="DBE5F1"/>
          </w:tcPr>
          <w:p>
            <w:pPr>
              <w:spacing w:after="0"/>
              <w:rPr>
                <w:sz w:val="7"/>
                <w:szCs w:val="7"/>
                <w:color w:val="auto"/>
              </w:rPr>
            </w:pPr>
          </w:p>
        </w:tc>
        <w:tc>
          <w:tcPr>
            <w:tcW w:w="920" w:type="dxa"/>
            <w:vAlign w:val="bottom"/>
            <w:shd w:val="clear" w:color="auto" w:fill="DBE5F1"/>
          </w:tcPr>
          <w:p>
            <w:pPr>
              <w:spacing w:after="0"/>
              <w:rPr>
                <w:sz w:val="7"/>
                <w:szCs w:val="7"/>
                <w:color w:val="auto"/>
              </w:rPr>
            </w:pPr>
          </w:p>
        </w:tc>
        <w:tc>
          <w:tcPr>
            <w:tcW w:w="240" w:type="dxa"/>
            <w:vAlign w:val="bottom"/>
            <w:tcBorders>
              <w:right w:val="single" w:sz="8" w:color="95B3D7"/>
            </w:tcBorders>
            <w:shd w:val="clear" w:color="auto" w:fill="DBE5F1"/>
          </w:tcPr>
          <w:p>
            <w:pPr>
              <w:spacing w:after="0"/>
              <w:rPr>
                <w:sz w:val="7"/>
                <w:szCs w:val="7"/>
                <w:color w:val="auto"/>
              </w:rPr>
            </w:pPr>
          </w:p>
        </w:tc>
        <w:tc>
          <w:tcPr>
            <w:tcW w:w="940" w:type="dxa"/>
            <w:vAlign w:val="bottom"/>
            <w:tcBorders>
              <w:right w:val="single" w:sz="8" w:color="95B3D7"/>
            </w:tcBorders>
            <w:shd w:val="clear" w:color="auto" w:fill="DBE5F1"/>
          </w:tcPr>
          <w:p>
            <w:pPr>
              <w:spacing w:after="0"/>
              <w:rPr>
                <w:sz w:val="7"/>
                <w:szCs w:val="7"/>
                <w:color w:val="auto"/>
              </w:rPr>
            </w:pPr>
          </w:p>
        </w:tc>
        <w:tc>
          <w:tcPr>
            <w:tcW w:w="1100" w:type="dxa"/>
            <w:vAlign w:val="bottom"/>
            <w:tcBorders>
              <w:right w:val="single" w:sz="8" w:color="95B3D7"/>
            </w:tcBorders>
            <w:shd w:val="clear" w:color="auto" w:fill="DBE5F1"/>
          </w:tcPr>
          <w:p>
            <w:pPr>
              <w:spacing w:after="0"/>
              <w:rPr>
                <w:sz w:val="7"/>
                <w:szCs w:val="7"/>
                <w:color w:val="auto"/>
              </w:rPr>
            </w:pPr>
          </w:p>
        </w:tc>
        <w:tc>
          <w:tcPr>
            <w:tcW w:w="100" w:type="dxa"/>
            <w:vAlign w:val="bottom"/>
            <w:shd w:val="clear" w:color="auto" w:fill="DBE5F1"/>
          </w:tcPr>
          <w:p>
            <w:pPr>
              <w:spacing w:after="0"/>
              <w:rPr>
                <w:sz w:val="7"/>
                <w:szCs w:val="7"/>
                <w:color w:val="auto"/>
              </w:rPr>
            </w:pPr>
          </w:p>
        </w:tc>
        <w:tc>
          <w:tcPr>
            <w:tcW w:w="1020" w:type="dxa"/>
            <w:vAlign w:val="bottom"/>
            <w:tcBorders>
              <w:right w:val="single" w:sz="8" w:color="95B3D7"/>
            </w:tcBorders>
            <w:shd w:val="clear" w:color="auto" w:fill="DBE5F1"/>
          </w:tcPr>
          <w:p>
            <w:pPr>
              <w:spacing w:after="0"/>
              <w:rPr>
                <w:sz w:val="7"/>
                <w:szCs w:val="7"/>
                <w:color w:val="auto"/>
              </w:rPr>
            </w:pPr>
          </w:p>
        </w:tc>
        <w:tc>
          <w:tcPr>
            <w:tcW w:w="1440" w:type="dxa"/>
            <w:vAlign w:val="bottom"/>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380" w:type="dxa"/>
            <w:vAlign w:val="bottom"/>
            <w:tcBorders>
              <w:right w:val="single" w:sz="8" w:color="95B3D7"/>
            </w:tcBorders>
            <w:shd w:val="clear" w:color="auto" w:fill="DBE5F1"/>
          </w:tcPr>
          <w:p>
            <w:pPr>
              <w:spacing w:after="0"/>
              <w:rPr>
                <w:sz w:val="14"/>
                <w:szCs w:val="14"/>
                <w:color w:val="auto"/>
              </w:rPr>
            </w:pPr>
          </w:p>
        </w:tc>
        <w:tc>
          <w:tcPr>
            <w:tcW w:w="11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3/25/2021</w:t>
            </w:r>
          </w:p>
        </w:tc>
        <w:tc>
          <w:tcPr>
            <w:tcW w:w="100" w:type="dxa"/>
            <w:vAlign w:val="bottom"/>
            <w:shd w:val="clear" w:color="auto" w:fill="DBE5F1"/>
          </w:tcPr>
          <w:p>
            <w:pPr>
              <w:spacing w:after="0"/>
              <w:rPr>
                <w:sz w:val="14"/>
                <w:szCs w:val="14"/>
                <w:color w:val="auto"/>
              </w:rPr>
            </w:pPr>
          </w:p>
        </w:tc>
        <w:tc>
          <w:tcPr>
            <w:tcW w:w="128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42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w:t>
            </w:r>
          </w:p>
        </w:tc>
        <w:tc>
          <w:tcPr>
            <w:tcW w:w="920" w:type="dxa"/>
            <w:vAlign w:val="bottom"/>
            <w:shd w:val="clear" w:color="auto" w:fill="DBE5F1"/>
          </w:tcPr>
          <w:p>
            <w:pPr>
              <w:spacing w:after="0"/>
              <w:rPr>
                <w:sz w:val="14"/>
                <w:szCs w:val="14"/>
                <w:color w:val="auto"/>
              </w:rPr>
            </w:pPr>
          </w:p>
        </w:tc>
        <w:tc>
          <w:tcPr>
            <w:tcW w:w="24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tcBorders>
              <w:right w:val="single" w:sz="8" w:color="95B3D7"/>
            </w:tcBorders>
            <w:gridSpan w:val="2"/>
            <w:vMerge w:val="restart"/>
            <w:shd w:val="clear" w:color="auto" w:fill="DBE5F1"/>
          </w:tcPr>
          <w:p>
            <w:pPr>
              <w:jc w:val="right"/>
              <w:ind w:right="26"/>
              <w:spacing w:after="0"/>
              <w:rPr>
                <w:sz w:val="20"/>
                <w:szCs w:val="20"/>
                <w:color w:val="auto"/>
              </w:rPr>
            </w:pPr>
            <w:r>
              <w:rPr>
                <w:rFonts w:ascii="Arial" w:cs="Arial" w:eastAsia="Arial" w:hAnsi="Arial"/>
                <w:sz w:val="11"/>
                <w:szCs w:val="11"/>
                <w:color w:val="auto"/>
              </w:rPr>
              <w:t>20,462</w:t>
            </w:r>
          </w:p>
        </w:tc>
        <w:tc>
          <w:tcPr>
            <w:tcW w:w="1440" w:type="dxa"/>
            <w:vAlign w:val="bottom"/>
            <w:vMerge w:val="restart"/>
            <w:shd w:val="clear" w:color="auto" w:fill="DBE5F1"/>
          </w:tcPr>
          <w:p>
            <w:pPr>
              <w:jc w:val="right"/>
              <w:ind w:right="26"/>
              <w:spacing w:after="0"/>
              <w:rPr>
                <w:sz w:val="20"/>
                <w:szCs w:val="20"/>
                <w:color w:val="auto"/>
              </w:rPr>
            </w:pPr>
            <w:r>
              <w:rPr>
                <w:rFonts w:ascii="Arial" w:cs="Arial" w:eastAsia="Arial" w:hAnsi="Arial"/>
                <w:sz w:val="11"/>
                <w:szCs w:val="11"/>
                <w:color w:val="auto"/>
              </w:rPr>
              <w:t>230,198</w:t>
            </w:r>
          </w:p>
        </w:tc>
        <w:tc>
          <w:tcPr>
            <w:tcW w:w="0" w:type="dxa"/>
            <w:vAlign w:val="bottom"/>
          </w:tcPr>
          <w:p>
            <w:pPr>
              <w:spacing w:after="0"/>
              <w:rPr>
                <w:sz w:val="1"/>
                <w:szCs w:val="1"/>
                <w:color w:val="auto"/>
              </w:rPr>
            </w:pPr>
          </w:p>
        </w:tc>
      </w:tr>
      <w:tr>
        <w:trPr>
          <w:trHeight w:val="40"/>
        </w:trPr>
        <w:tc>
          <w:tcPr>
            <w:tcW w:w="1380" w:type="dxa"/>
            <w:vAlign w:val="bottom"/>
            <w:tcBorders>
              <w:right w:val="single" w:sz="8" w:color="95B3D7"/>
            </w:tcBorders>
            <w:shd w:val="clear" w:color="auto" w:fill="DBE5F1"/>
          </w:tcPr>
          <w:p>
            <w:pPr>
              <w:spacing w:after="0"/>
              <w:rPr>
                <w:sz w:val="3"/>
                <w:szCs w:val="3"/>
                <w:color w:val="auto"/>
              </w:rPr>
            </w:pPr>
          </w:p>
        </w:tc>
        <w:tc>
          <w:tcPr>
            <w:tcW w:w="1120" w:type="dxa"/>
            <w:vAlign w:val="bottom"/>
            <w:tcBorders>
              <w:right w:val="single" w:sz="8" w:color="95B3D7"/>
            </w:tcBorders>
            <w:shd w:val="clear" w:color="auto" w:fill="DBE5F1"/>
          </w:tcPr>
          <w:p>
            <w:pPr>
              <w:spacing w:after="0"/>
              <w:rPr>
                <w:sz w:val="3"/>
                <w:szCs w:val="3"/>
                <w:color w:val="auto"/>
              </w:rPr>
            </w:pPr>
          </w:p>
        </w:tc>
        <w:tc>
          <w:tcPr>
            <w:tcW w:w="100" w:type="dxa"/>
            <w:vAlign w:val="bottom"/>
            <w:shd w:val="clear" w:color="auto" w:fill="DBE5F1"/>
          </w:tcPr>
          <w:p>
            <w:pPr>
              <w:spacing w:after="0"/>
              <w:rPr>
                <w:sz w:val="3"/>
                <w:szCs w:val="3"/>
                <w:color w:val="auto"/>
              </w:rPr>
            </w:pPr>
          </w:p>
        </w:tc>
        <w:tc>
          <w:tcPr>
            <w:tcW w:w="1280" w:type="dxa"/>
            <w:vAlign w:val="bottom"/>
            <w:tcBorders>
              <w:right w:val="single" w:sz="8" w:color="95B3D7"/>
            </w:tcBorders>
            <w:shd w:val="clear" w:color="auto" w:fill="DBE5F1"/>
          </w:tcPr>
          <w:p>
            <w:pPr>
              <w:spacing w:after="0"/>
              <w:rPr>
                <w:sz w:val="3"/>
                <w:szCs w:val="3"/>
                <w:color w:val="auto"/>
              </w:rPr>
            </w:pPr>
          </w:p>
        </w:tc>
        <w:tc>
          <w:tcPr>
            <w:tcW w:w="1420" w:type="dxa"/>
            <w:vAlign w:val="bottom"/>
            <w:tcBorders>
              <w:right w:val="single" w:sz="8" w:color="95B3D7"/>
            </w:tcBorders>
            <w:shd w:val="clear" w:color="auto" w:fill="DBE5F1"/>
          </w:tcPr>
          <w:p>
            <w:pPr>
              <w:spacing w:after="0"/>
              <w:rPr>
                <w:sz w:val="3"/>
                <w:szCs w:val="3"/>
                <w:color w:val="auto"/>
              </w:rPr>
            </w:pPr>
          </w:p>
        </w:tc>
        <w:tc>
          <w:tcPr>
            <w:tcW w:w="920" w:type="dxa"/>
            <w:vAlign w:val="bottom"/>
            <w:shd w:val="clear" w:color="auto" w:fill="DBE5F1"/>
          </w:tcPr>
          <w:p>
            <w:pPr>
              <w:spacing w:after="0"/>
              <w:rPr>
                <w:sz w:val="3"/>
                <w:szCs w:val="3"/>
                <w:color w:val="auto"/>
              </w:rPr>
            </w:pPr>
          </w:p>
        </w:tc>
        <w:tc>
          <w:tcPr>
            <w:tcW w:w="240" w:type="dxa"/>
            <w:vAlign w:val="bottom"/>
            <w:tcBorders>
              <w:right w:val="single" w:sz="8" w:color="95B3D7"/>
            </w:tcBorders>
            <w:shd w:val="clear" w:color="auto" w:fill="DBE5F1"/>
          </w:tcPr>
          <w:p>
            <w:pPr>
              <w:spacing w:after="0"/>
              <w:rPr>
                <w:sz w:val="3"/>
                <w:szCs w:val="3"/>
                <w:color w:val="auto"/>
              </w:rPr>
            </w:pPr>
          </w:p>
        </w:tc>
        <w:tc>
          <w:tcPr>
            <w:tcW w:w="940" w:type="dxa"/>
            <w:vAlign w:val="bottom"/>
            <w:tcBorders>
              <w:right w:val="single" w:sz="8" w:color="95B3D7"/>
            </w:tcBorders>
            <w:shd w:val="clear" w:color="auto" w:fill="DBE5F1"/>
          </w:tcPr>
          <w:p>
            <w:pPr>
              <w:spacing w:after="0"/>
              <w:rPr>
                <w:sz w:val="3"/>
                <w:szCs w:val="3"/>
                <w:color w:val="auto"/>
              </w:rPr>
            </w:pPr>
          </w:p>
        </w:tc>
        <w:tc>
          <w:tcPr>
            <w:tcW w:w="1100" w:type="dxa"/>
            <w:vAlign w:val="bottom"/>
            <w:tcBorders>
              <w:right w:val="single" w:sz="8" w:color="95B3D7"/>
            </w:tcBorders>
            <w:shd w:val="clear" w:color="auto" w:fill="DBE5F1"/>
          </w:tcPr>
          <w:p>
            <w:pPr>
              <w:spacing w:after="0"/>
              <w:rPr>
                <w:sz w:val="3"/>
                <w:szCs w:val="3"/>
                <w:color w:val="auto"/>
              </w:rPr>
            </w:pPr>
          </w:p>
        </w:tc>
        <w:tc>
          <w:tcPr>
            <w:tcW w:w="1120" w:type="dxa"/>
            <w:vAlign w:val="bottom"/>
            <w:tcBorders>
              <w:right w:val="single" w:sz="8" w:color="95B3D7"/>
            </w:tcBorders>
            <w:gridSpan w:val="2"/>
            <w:vMerge w:val="continue"/>
            <w:shd w:val="clear" w:color="auto" w:fill="DBE5F1"/>
          </w:tcPr>
          <w:p>
            <w:pPr>
              <w:spacing w:after="0"/>
              <w:rPr>
                <w:sz w:val="3"/>
                <w:szCs w:val="3"/>
                <w:color w:val="auto"/>
              </w:rPr>
            </w:pPr>
          </w:p>
        </w:tc>
        <w:tc>
          <w:tcPr>
            <w:tcW w:w="1440" w:type="dxa"/>
            <w:vAlign w:val="bottom"/>
            <w:vMerge w:val="continue"/>
            <w:shd w:val="clear" w:color="auto" w:fill="DBE5F1"/>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1380" w:type="dxa"/>
            <w:vAlign w:val="bottom"/>
            <w:tcBorders>
              <w:bottom w:val="single" w:sz="8" w:color="DBE5F1"/>
              <w:right w:val="single" w:sz="8" w:color="95B3D7"/>
            </w:tcBorders>
            <w:shd w:val="clear" w:color="auto" w:fill="DBE5F1"/>
          </w:tcPr>
          <w:p>
            <w:pPr>
              <w:spacing w:after="0"/>
              <w:rPr>
                <w:sz w:val="3"/>
                <w:szCs w:val="3"/>
                <w:color w:val="auto"/>
              </w:rPr>
            </w:pPr>
          </w:p>
        </w:tc>
        <w:tc>
          <w:tcPr>
            <w:tcW w:w="1120" w:type="dxa"/>
            <w:vAlign w:val="bottom"/>
            <w:tcBorders>
              <w:bottom w:val="single" w:sz="8" w:color="DBE5F1"/>
              <w:right w:val="single" w:sz="8" w:color="95B3D7"/>
            </w:tcBorders>
            <w:shd w:val="clear" w:color="auto" w:fill="DBE5F1"/>
          </w:tcPr>
          <w:p>
            <w:pPr>
              <w:spacing w:after="0"/>
              <w:rPr>
                <w:sz w:val="3"/>
                <w:szCs w:val="3"/>
                <w:color w:val="auto"/>
              </w:rPr>
            </w:pPr>
          </w:p>
        </w:tc>
        <w:tc>
          <w:tcPr>
            <w:tcW w:w="100" w:type="dxa"/>
            <w:vAlign w:val="bottom"/>
            <w:tcBorders>
              <w:bottom w:val="single" w:sz="8" w:color="DBE5F1"/>
            </w:tcBorders>
            <w:shd w:val="clear" w:color="auto" w:fill="DBE5F1"/>
          </w:tcPr>
          <w:p>
            <w:pPr>
              <w:spacing w:after="0"/>
              <w:rPr>
                <w:sz w:val="3"/>
                <w:szCs w:val="3"/>
                <w:color w:val="auto"/>
              </w:rPr>
            </w:pPr>
          </w:p>
        </w:tc>
        <w:tc>
          <w:tcPr>
            <w:tcW w:w="1280" w:type="dxa"/>
            <w:vAlign w:val="bottom"/>
            <w:tcBorders>
              <w:bottom w:val="single" w:sz="8" w:color="DBE5F1"/>
              <w:right w:val="single" w:sz="8" w:color="95B3D7"/>
            </w:tcBorders>
            <w:shd w:val="clear" w:color="auto" w:fill="DBE5F1"/>
          </w:tcPr>
          <w:p>
            <w:pPr>
              <w:spacing w:after="0"/>
              <w:rPr>
                <w:sz w:val="3"/>
                <w:szCs w:val="3"/>
                <w:color w:val="auto"/>
              </w:rPr>
            </w:pPr>
          </w:p>
        </w:tc>
        <w:tc>
          <w:tcPr>
            <w:tcW w:w="1420" w:type="dxa"/>
            <w:vAlign w:val="bottom"/>
            <w:tcBorders>
              <w:bottom w:val="single" w:sz="8" w:color="DBE5F1"/>
              <w:right w:val="single" w:sz="8" w:color="95B3D7"/>
            </w:tcBorders>
            <w:shd w:val="clear" w:color="auto" w:fill="DBE5F1"/>
          </w:tcPr>
          <w:p>
            <w:pPr>
              <w:spacing w:after="0"/>
              <w:rPr>
                <w:sz w:val="3"/>
                <w:szCs w:val="3"/>
                <w:color w:val="auto"/>
              </w:rPr>
            </w:pPr>
          </w:p>
        </w:tc>
        <w:tc>
          <w:tcPr>
            <w:tcW w:w="920" w:type="dxa"/>
            <w:vAlign w:val="bottom"/>
            <w:tcBorders>
              <w:bottom w:val="single" w:sz="8" w:color="DBE5F1"/>
            </w:tcBorders>
            <w:shd w:val="clear" w:color="auto" w:fill="DBE5F1"/>
          </w:tcPr>
          <w:p>
            <w:pPr>
              <w:spacing w:after="0"/>
              <w:rPr>
                <w:sz w:val="3"/>
                <w:szCs w:val="3"/>
                <w:color w:val="auto"/>
              </w:rPr>
            </w:pPr>
          </w:p>
        </w:tc>
        <w:tc>
          <w:tcPr>
            <w:tcW w:w="240" w:type="dxa"/>
            <w:vAlign w:val="bottom"/>
            <w:tcBorders>
              <w:bottom w:val="single" w:sz="8" w:color="DBE5F1"/>
              <w:right w:val="single" w:sz="8" w:color="95B3D7"/>
            </w:tcBorders>
            <w:shd w:val="clear" w:color="auto" w:fill="DBE5F1"/>
          </w:tcPr>
          <w:p>
            <w:pPr>
              <w:spacing w:after="0"/>
              <w:rPr>
                <w:sz w:val="3"/>
                <w:szCs w:val="3"/>
                <w:color w:val="auto"/>
              </w:rPr>
            </w:pPr>
          </w:p>
        </w:tc>
        <w:tc>
          <w:tcPr>
            <w:tcW w:w="940" w:type="dxa"/>
            <w:vAlign w:val="bottom"/>
            <w:tcBorders>
              <w:bottom w:val="single" w:sz="8" w:color="DBE5F1"/>
              <w:right w:val="single" w:sz="8" w:color="95B3D7"/>
            </w:tcBorders>
            <w:shd w:val="clear" w:color="auto" w:fill="DBE5F1"/>
          </w:tcPr>
          <w:p>
            <w:pPr>
              <w:spacing w:after="0"/>
              <w:rPr>
                <w:sz w:val="3"/>
                <w:szCs w:val="3"/>
                <w:color w:val="auto"/>
              </w:rPr>
            </w:pPr>
          </w:p>
        </w:tc>
        <w:tc>
          <w:tcPr>
            <w:tcW w:w="1100" w:type="dxa"/>
            <w:vAlign w:val="bottom"/>
            <w:tcBorders>
              <w:bottom w:val="single" w:sz="8" w:color="DBE5F1"/>
              <w:right w:val="single" w:sz="8" w:color="95B3D7"/>
            </w:tcBorders>
            <w:shd w:val="clear" w:color="auto" w:fill="DBE5F1"/>
          </w:tcPr>
          <w:p>
            <w:pPr>
              <w:spacing w:after="0"/>
              <w:rPr>
                <w:sz w:val="3"/>
                <w:szCs w:val="3"/>
                <w:color w:val="auto"/>
              </w:rPr>
            </w:pPr>
          </w:p>
        </w:tc>
        <w:tc>
          <w:tcPr>
            <w:tcW w:w="1120" w:type="dxa"/>
            <w:vAlign w:val="bottom"/>
            <w:tcBorders>
              <w:bottom w:val="single" w:sz="8" w:color="DBE5F1"/>
              <w:right w:val="single" w:sz="8" w:color="95B3D7"/>
            </w:tcBorders>
            <w:gridSpan w:val="2"/>
            <w:vMerge w:val="continue"/>
            <w:shd w:val="clear" w:color="auto" w:fill="DBE5F1"/>
          </w:tcPr>
          <w:p>
            <w:pPr>
              <w:spacing w:after="0"/>
              <w:rPr>
                <w:sz w:val="3"/>
                <w:szCs w:val="3"/>
                <w:color w:val="auto"/>
              </w:rPr>
            </w:pPr>
          </w:p>
        </w:tc>
        <w:tc>
          <w:tcPr>
            <w:tcW w:w="1440" w:type="dxa"/>
            <w:vAlign w:val="bottom"/>
            <w:tcBorders>
              <w:bottom w:val="single" w:sz="8" w:color="DBE5F1"/>
            </w:tcBorders>
            <w:shd w:val="clear" w:color="auto" w:fill="DBE5F1"/>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1380" w:type="dxa"/>
            <w:vAlign w:val="bottom"/>
            <w:tcBorders>
              <w:right w:val="single" w:sz="8" w:color="95B3D7"/>
            </w:tcBorders>
          </w:tcPr>
          <w:p>
            <w:pPr>
              <w:ind w:left="20"/>
              <w:spacing w:after="0" w:line="109" w:lineRule="exact"/>
              <w:rPr>
                <w:sz w:val="20"/>
                <w:szCs w:val="20"/>
                <w:color w:val="auto"/>
              </w:rPr>
            </w:pPr>
            <w:r>
              <w:rPr>
                <w:rFonts w:ascii="Arial" w:cs="Arial" w:eastAsia="Arial" w:hAnsi="Arial"/>
                <w:sz w:val="11"/>
                <w:szCs w:val="11"/>
                <w:color w:val="auto"/>
              </w:rPr>
              <w:t>Hyong (Ken) Kim,</w:t>
            </w:r>
          </w:p>
        </w:tc>
        <w:tc>
          <w:tcPr>
            <w:tcW w:w="1120" w:type="dxa"/>
            <w:vAlign w:val="bottom"/>
            <w:tcBorders>
              <w:right w:val="single" w:sz="8" w:color="95B3D7"/>
            </w:tcBorders>
          </w:tcPr>
          <w:p>
            <w:pPr>
              <w:jc w:val="right"/>
              <w:ind w:right="26"/>
              <w:spacing w:after="0" w:line="109" w:lineRule="exact"/>
              <w:rPr>
                <w:sz w:val="20"/>
                <w:szCs w:val="20"/>
                <w:color w:val="auto"/>
              </w:rPr>
            </w:pPr>
            <w:r>
              <w:rPr>
                <w:rFonts w:ascii="Arial" w:cs="Arial" w:eastAsia="Arial" w:hAnsi="Arial"/>
                <w:sz w:val="11"/>
                <w:szCs w:val="11"/>
                <w:color w:val="auto"/>
              </w:rPr>
              <w:t>3/13/2024</w:t>
            </w:r>
          </w:p>
        </w:tc>
        <w:tc>
          <w:tcPr>
            <w:tcW w:w="100" w:type="dxa"/>
            <w:vAlign w:val="bottom"/>
          </w:tcPr>
          <w:p>
            <w:pPr>
              <w:spacing w:after="0"/>
              <w:rPr>
                <w:sz w:val="9"/>
                <w:szCs w:val="9"/>
                <w:color w:val="auto"/>
              </w:rPr>
            </w:pPr>
          </w:p>
        </w:tc>
        <w:tc>
          <w:tcPr>
            <w:tcW w:w="1280" w:type="dxa"/>
            <w:vAlign w:val="bottom"/>
            <w:tcBorders>
              <w:right w:val="single" w:sz="8" w:color="95B3D7"/>
            </w:tcBorders>
          </w:tcPr>
          <w:p>
            <w:pPr>
              <w:jc w:val="right"/>
              <w:ind w:right="47"/>
              <w:spacing w:after="0" w:line="109" w:lineRule="exact"/>
              <w:rPr>
                <w:sz w:val="20"/>
                <w:szCs w:val="20"/>
                <w:color w:val="auto"/>
              </w:rPr>
            </w:pPr>
            <w:r>
              <w:rPr>
                <w:rFonts w:ascii="Arial" w:cs="Arial" w:eastAsia="Arial" w:hAnsi="Arial"/>
                <w:sz w:val="11"/>
                <w:szCs w:val="11"/>
                <w:color w:val="auto"/>
              </w:rPr>
              <w:t>—</w:t>
            </w:r>
          </w:p>
        </w:tc>
        <w:tc>
          <w:tcPr>
            <w:tcW w:w="1420" w:type="dxa"/>
            <w:vAlign w:val="bottom"/>
            <w:tcBorders>
              <w:right w:val="single" w:sz="8" w:color="95B3D7"/>
            </w:tcBorders>
          </w:tcPr>
          <w:p>
            <w:pPr>
              <w:jc w:val="right"/>
              <w:ind w:right="46"/>
              <w:spacing w:after="0" w:line="109" w:lineRule="exact"/>
              <w:rPr>
                <w:sz w:val="20"/>
                <w:szCs w:val="20"/>
                <w:color w:val="auto"/>
              </w:rPr>
            </w:pPr>
            <w:r>
              <w:rPr>
                <w:rFonts w:ascii="Arial" w:cs="Arial" w:eastAsia="Arial" w:hAnsi="Arial"/>
                <w:sz w:val="11"/>
                <w:szCs w:val="11"/>
                <w:color w:val="auto"/>
              </w:rPr>
              <w:t>—</w:t>
            </w:r>
          </w:p>
        </w:tc>
        <w:tc>
          <w:tcPr>
            <w:tcW w:w="920" w:type="dxa"/>
            <w:vAlign w:val="bottom"/>
          </w:tcPr>
          <w:p>
            <w:pPr>
              <w:spacing w:after="0"/>
              <w:rPr>
                <w:sz w:val="9"/>
                <w:szCs w:val="9"/>
                <w:color w:val="auto"/>
              </w:rPr>
            </w:pPr>
          </w:p>
        </w:tc>
        <w:tc>
          <w:tcPr>
            <w:tcW w:w="240" w:type="dxa"/>
            <w:vAlign w:val="bottom"/>
            <w:tcBorders>
              <w:right w:val="single" w:sz="8" w:color="95B3D7"/>
            </w:tcBorders>
          </w:tcPr>
          <w:p>
            <w:pPr>
              <w:ind w:left="40"/>
              <w:spacing w:after="0" w:line="109" w:lineRule="exact"/>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6"/>
              <w:spacing w:after="0" w:line="109" w:lineRule="exact"/>
              <w:rPr>
                <w:sz w:val="20"/>
                <w:szCs w:val="20"/>
                <w:color w:val="auto"/>
              </w:rPr>
            </w:pPr>
            <w:r>
              <w:rPr>
                <w:rFonts w:ascii="Arial" w:cs="Arial" w:eastAsia="Arial" w:hAnsi="Arial"/>
                <w:sz w:val="11"/>
                <w:szCs w:val="11"/>
                <w:color w:val="auto"/>
              </w:rPr>
              <w:t>—</w:t>
            </w:r>
          </w:p>
        </w:tc>
        <w:tc>
          <w:tcPr>
            <w:tcW w:w="1100" w:type="dxa"/>
            <w:vAlign w:val="bottom"/>
            <w:tcBorders>
              <w:right w:val="single" w:sz="8" w:color="95B3D7"/>
            </w:tcBorders>
          </w:tcPr>
          <w:p>
            <w:pPr>
              <w:jc w:val="right"/>
              <w:ind w:right="46"/>
              <w:spacing w:after="0" w:line="109" w:lineRule="exact"/>
              <w:rPr>
                <w:sz w:val="20"/>
                <w:szCs w:val="20"/>
                <w:color w:val="auto"/>
              </w:rPr>
            </w:pPr>
            <w:r>
              <w:rPr>
                <w:rFonts w:ascii="Arial" w:cs="Arial" w:eastAsia="Arial" w:hAnsi="Arial"/>
                <w:sz w:val="11"/>
                <w:szCs w:val="11"/>
                <w:color w:val="auto"/>
              </w:rPr>
              <w:t>—</w:t>
            </w:r>
          </w:p>
        </w:tc>
        <w:tc>
          <w:tcPr>
            <w:tcW w:w="1120" w:type="dxa"/>
            <w:vAlign w:val="bottom"/>
            <w:tcBorders>
              <w:right w:val="single" w:sz="8" w:color="95B3D7"/>
            </w:tcBorders>
            <w:gridSpan w:val="2"/>
          </w:tcPr>
          <w:p>
            <w:pPr>
              <w:jc w:val="right"/>
              <w:ind w:right="26"/>
              <w:spacing w:after="0" w:line="109" w:lineRule="exact"/>
              <w:rPr>
                <w:sz w:val="20"/>
                <w:szCs w:val="20"/>
                <w:color w:val="auto"/>
              </w:rPr>
            </w:pPr>
            <w:r>
              <w:rPr>
                <w:rFonts w:ascii="Arial" w:cs="Arial" w:eastAsia="Arial" w:hAnsi="Arial"/>
                <w:sz w:val="11"/>
                <w:szCs w:val="11"/>
                <w:color w:val="auto"/>
              </w:rPr>
              <w:t>140,000</w:t>
            </w:r>
          </w:p>
        </w:tc>
        <w:tc>
          <w:tcPr>
            <w:tcW w:w="1440" w:type="dxa"/>
            <w:vAlign w:val="bottom"/>
          </w:tcPr>
          <w:p>
            <w:pPr>
              <w:jc w:val="right"/>
              <w:ind w:right="26"/>
              <w:spacing w:after="0" w:line="109" w:lineRule="exact"/>
              <w:rPr>
                <w:sz w:val="20"/>
                <w:szCs w:val="20"/>
                <w:color w:val="auto"/>
              </w:rPr>
            </w:pPr>
            <w:r>
              <w:rPr>
                <w:rFonts w:ascii="Arial" w:cs="Arial" w:eastAsia="Arial" w:hAnsi="Arial"/>
                <w:sz w:val="11"/>
                <w:szCs w:val="11"/>
                <w:color w:val="auto"/>
              </w:rPr>
              <w:t>1,575,000</w:t>
            </w:r>
          </w:p>
        </w:tc>
        <w:tc>
          <w:tcPr>
            <w:tcW w:w="0" w:type="dxa"/>
            <w:vAlign w:val="bottom"/>
          </w:tcPr>
          <w:p>
            <w:pPr>
              <w:spacing w:after="0"/>
              <w:rPr>
                <w:sz w:val="1"/>
                <w:szCs w:val="1"/>
                <w:color w:val="auto"/>
              </w:rPr>
            </w:pPr>
          </w:p>
        </w:tc>
      </w:tr>
      <w:tr>
        <w:trPr>
          <w:trHeight w:val="142"/>
        </w:trPr>
        <w:tc>
          <w:tcPr>
            <w:tcW w:w="1380" w:type="dxa"/>
            <w:vAlign w:val="bottom"/>
            <w:tcBorders>
              <w:right w:val="single" w:sz="8" w:color="95B3D7"/>
            </w:tcBorders>
          </w:tcPr>
          <w:p>
            <w:pPr>
              <w:ind w:left="20"/>
              <w:spacing w:after="0"/>
              <w:rPr>
                <w:sz w:val="20"/>
                <w:szCs w:val="20"/>
                <w:color w:val="auto"/>
              </w:rPr>
            </w:pPr>
            <w:r>
              <w:rPr>
                <w:rFonts w:ascii="Arial" w:cs="Arial" w:eastAsia="Arial" w:hAnsi="Arial"/>
                <w:sz w:val="11"/>
                <w:szCs w:val="11"/>
                <w:color w:val="auto"/>
              </w:rPr>
              <w:t>M.D.</w:t>
            </w:r>
          </w:p>
        </w:tc>
        <w:tc>
          <w:tcPr>
            <w:tcW w:w="1120" w:type="dxa"/>
            <w:vAlign w:val="bottom"/>
            <w:tcBorders>
              <w:right w:val="single" w:sz="8" w:color="95B3D7"/>
            </w:tcBorders>
            <w:vMerge w:val="restart"/>
          </w:tcPr>
          <w:p>
            <w:pPr>
              <w:jc w:val="right"/>
              <w:ind w:right="26"/>
              <w:spacing w:after="0"/>
              <w:rPr>
                <w:sz w:val="20"/>
                <w:szCs w:val="20"/>
                <w:color w:val="auto"/>
              </w:rPr>
            </w:pPr>
            <w:r>
              <w:rPr>
                <w:rFonts w:ascii="Arial" w:cs="Arial" w:eastAsia="Arial" w:hAnsi="Arial"/>
                <w:sz w:val="11"/>
                <w:szCs w:val="11"/>
                <w:color w:val="auto"/>
              </w:rPr>
              <w:t>3/13/2024</w:t>
            </w:r>
          </w:p>
        </w:tc>
        <w:tc>
          <w:tcPr>
            <w:tcW w:w="100" w:type="dxa"/>
            <w:vAlign w:val="bottom"/>
          </w:tcPr>
          <w:p>
            <w:pPr>
              <w:spacing w:after="0"/>
              <w:rPr>
                <w:sz w:val="12"/>
                <w:szCs w:val="12"/>
                <w:color w:val="auto"/>
              </w:rPr>
            </w:pPr>
          </w:p>
        </w:tc>
        <w:tc>
          <w:tcPr>
            <w:tcW w:w="1280" w:type="dxa"/>
            <w:vAlign w:val="bottom"/>
            <w:tcBorders>
              <w:right w:val="single" w:sz="8" w:color="95B3D7"/>
            </w:tcBorders>
            <w:vMerge w:val="restart"/>
          </w:tcPr>
          <w:p>
            <w:pPr>
              <w:jc w:val="right"/>
              <w:ind w:right="47"/>
              <w:spacing w:after="0"/>
              <w:rPr>
                <w:sz w:val="20"/>
                <w:szCs w:val="20"/>
                <w:color w:val="auto"/>
              </w:rPr>
            </w:pPr>
            <w:r>
              <w:rPr>
                <w:rFonts w:ascii="Arial" w:cs="Arial" w:eastAsia="Arial" w:hAnsi="Arial"/>
                <w:sz w:val="11"/>
                <w:szCs w:val="11"/>
                <w:color w:val="auto"/>
              </w:rPr>
              <w:t>—</w:t>
            </w:r>
          </w:p>
        </w:tc>
        <w:tc>
          <w:tcPr>
            <w:tcW w:w="1420" w:type="dxa"/>
            <w:vAlign w:val="bottom"/>
            <w:tcBorders>
              <w:right w:val="single" w:sz="8" w:color="95B3D7"/>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2"/>
                <w:szCs w:val="12"/>
                <w:color w:val="auto"/>
              </w:rPr>
            </w:pPr>
          </w:p>
        </w:tc>
        <w:tc>
          <w:tcPr>
            <w:tcW w:w="240" w:type="dxa"/>
            <w:vAlign w:val="bottom"/>
            <w:tcBorders>
              <w:right w:val="single" w:sz="8" w:color="95B3D7"/>
            </w:tcBorders>
            <w:vMerge w:val="restart"/>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vMerge w:val="restart"/>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95B3D7"/>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tcBorders>
              <w:right w:val="single" w:sz="8" w:color="95B3D7"/>
            </w:tcBorders>
            <w:gridSpan w:val="2"/>
            <w:vMerge w:val="restart"/>
          </w:tcPr>
          <w:p>
            <w:pPr>
              <w:jc w:val="right"/>
              <w:ind w:right="26"/>
              <w:spacing w:after="0"/>
              <w:rPr>
                <w:sz w:val="20"/>
                <w:szCs w:val="20"/>
                <w:color w:val="auto"/>
              </w:rPr>
            </w:pPr>
            <w:r>
              <w:rPr>
                <w:rFonts w:ascii="Arial" w:cs="Arial" w:eastAsia="Arial" w:hAnsi="Arial"/>
                <w:sz w:val="11"/>
                <w:szCs w:val="11"/>
                <w:color w:val="auto"/>
              </w:rPr>
              <w:t>140,000</w:t>
            </w:r>
          </w:p>
        </w:tc>
        <w:tc>
          <w:tcPr>
            <w:tcW w:w="1440" w:type="dxa"/>
            <w:vAlign w:val="bottom"/>
            <w:vMerge w:val="restart"/>
          </w:tcPr>
          <w:p>
            <w:pPr>
              <w:jc w:val="right"/>
              <w:ind w:right="26"/>
              <w:spacing w:after="0"/>
              <w:rPr>
                <w:sz w:val="20"/>
                <w:szCs w:val="20"/>
                <w:color w:val="auto"/>
              </w:rPr>
            </w:pPr>
            <w:r>
              <w:rPr>
                <w:rFonts w:ascii="Arial" w:cs="Arial" w:eastAsia="Arial" w:hAnsi="Arial"/>
                <w:sz w:val="11"/>
                <w:szCs w:val="11"/>
                <w:color w:val="auto"/>
              </w:rPr>
              <w:t>1,575,000</w:t>
            </w:r>
          </w:p>
        </w:tc>
        <w:tc>
          <w:tcPr>
            <w:tcW w:w="0" w:type="dxa"/>
            <w:vAlign w:val="bottom"/>
          </w:tcPr>
          <w:p>
            <w:pPr>
              <w:spacing w:after="0"/>
              <w:rPr>
                <w:sz w:val="1"/>
                <w:szCs w:val="1"/>
                <w:color w:val="auto"/>
              </w:rPr>
            </w:pPr>
          </w:p>
        </w:tc>
      </w:tr>
      <w:tr>
        <w:trPr>
          <w:trHeight w:val="95"/>
        </w:trPr>
        <w:tc>
          <w:tcPr>
            <w:tcW w:w="1380" w:type="dxa"/>
            <w:vAlign w:val="bottom"/>
            <w:tcBorders>
              <w:right w:val="single" w:sz="8" w:color="95B3D7"/>
            </w:tcBorders>
          </w:tcPr>
          <w:p>
            <w:pPr>
              <w:spacing w:after="0"/>
              <w:rPr>
                <w:sz w:val="8"/>
                <w:szCs w:val="8"/>
                <w:color w:val="auto"/>
              </w:rPr>
            </w:pPr>
          </w:p>
        </w:tc>
        <w:tc>
          <w:tcPr>
            <w:tcW w:w="1120" w:type="dxa"/>
            <w:vAlign w:val="bottom"/>
            <w:tcBorders>
              <w:right w:val="single" w:sz="8" w:color="95B3D7"/>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Borders>
              <w:right w:val="single" w:sz="8" w:color="95B3D7"/>
            </w:tcBorders>
            <w:vMerge w:val="continue"/>
          </w:tcPr>
          <w:p>
            <w:pPr>
              <w:spacing w:after="0"/>
              <w:rPr>
                <w:sz w:val="8"/>
                <w:szCs w:val="8"/>
                <w:color w:val="auto"/>
              </w:rPr>
            </w:pPr>
          </w:p>
        </w:tc>
        <w:tc>
          <w:tcPr>
            <w:tcW w:w="1420" w:type="dxa"/>
            <w:vAlign w:val="bottom"/>
            <w:tcBorders>
              <w:right w:val="single" w:sz="8" w:color="95B3D7"/>
            </w:tcBorders>
            <w:vMerge w:val="continue"/>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Borders>
              <w:right w:val="single" w:sz="8" w:color="95B3D7"/>
            </w:tcBorders>
            <w:vMerge w:val="continue"/>
          </w:tcPr>
          <w:p>
            <w:pPr>
              <w:spacing w:after="0"/>
              <w:rPr>
                <w:sz w:val="8"/>
                <w:szCs w:val="8"/>
                <w:color w:val="auto"/>
              </w:rPr>
            </w:pPr>
          </w:p>
        </w:tc>
        <w:tc>
          <w:tcPr>
            <w:tcW w:w="940" w:type="dxa"/>
            <w:vAlign w:val="bottom"/>
            <w:tcBorders>
              <w:right w:val="single" w:sz="8" w:color="95B3D7"/>
            </w:tcBorders>
            <w:vMerge w:val="continue"/>
          </w:tcPr>
          <w:p>
            <w:pPr>
              <w:spacing w:after="0"/>
              <w:rPr>
                <w:sz w:val="8"/>
                <w:szCs w:val="8"/>
                <w:color w:val="auto"/>
              </w:rPr>
            </w:pPr>
          </w:p>
        </w:tc>
        <w:tc>
          <w:tcPr>
            <w:tcW w:w="1100" w:type="dxa"/>
            <w:vAlign w:val="bottom"/>
            <w:tcBorders>
              <w:right w:val="single" w:sz="8" w:color="95B3D7"/>
            </w:tcBorders>
            <w:vMerge w:val="continue"/>
          </w:tcPr>
          <w:p>
            <w:pPr>
              <w:spacing w:after="0"/>
              <w:rPr>
                <w:sz w:val="8"/>
                <w:szCs w:val="8"/>
                <w:color w:val="auto"/>
              </w:rPr>
            </w:pPr>
          </w:p>
        </w:tc>
        <w:tc>
          <w:tcPr>
            <w:tcW w:w="1120" w:type="dxa"/>
            <w:vAlign w:val="bottom"/>
            <w:tcBorders>
              <w:right w:val="single" w:sz="8" w:color="95B3D7"/>
            </w:tcBorders>
            <w:gridSpan w:val="2"/>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380" w:type="dxa"/>
            <w:vAlign w:val="bottom"/>
            <w:tcBorders>
              <w:right w:val="single" w:sz="8" w:color="95B3D7"/>
            </w:tcBorders>
          </w:tcPr>
          <w:p>
            <w:pPr>
              <w:spacing w:after="0"/>
              <w:rPr>
                <w:sz w:val="17"/>
                <w:szCs w:val="17"/>
                <w:color w:val="auto"/>
              </w:rPr>
            </w:pPr>
          </w:p>
        </w:tc>
        <w:tc>
          <w:tcPr>
            <w:tcW w:w="11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10/4//2023</w:t>
            </w:r>
          </w:p>
        </w:tc>
        <w:tc>
          <w:tcPr>
            <w:tcW w:w="100" w:type="dxa"/>
            <w:vAlign w:val="bottom"/>
          </w:tcPr>
          <w:p>
            <w:pPr>
              <w:spacing w:after="0"/>
              <w:rPr>
                <w:sz w:val="17"/>
                <w:szCs w:val="17"/>
                <w:color w:val="auto"/>
              </w:rPr>
            </w:pPr>
          </w:p>
        </w:tc>
        <w:tc>
          <w:tcPr>
            <w:tcW w:w="1280" w:type="dxa"/>
            <w:vAlign w:val="bottom"/>
            <w:tcBorders>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420" w:type="dxa"/>
            <w:vAlign w:val="bottom"/>
            <w:tcBorders>
              <w:right w:val="single" w:sz="8" w:color="95B3D7"/>
            </w:tcBorders>
          </w:tcPr>
          <w:p>
            <w:pPr>
              <w:jc w:val="right"/>
              <w:ind w:right="46"/>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7"/>
                <w:szCs w:val="17"/>
                <w:color w:val="auto"/>
              </w:rPr>
            </w:pPr>
          </w:p>
        </w:tc>
        <w:tc>
          <w:tcPr>
            <w:tcW w:w="240" w:type="dxa"/>
            <w:vAlign w:val="bottom"/>
            <w:tcBorders>
              <w:right w:val="single" w:sz="8" w:color="95B3D7"/>
            </w:tcBorders>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95B3D7"/>
            </w:tcBorders>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tcBorders>
              <w:right w:val="single" w:sz="8" w:color="95B3D7"/>
            </w:tcBorders>
            <w:gridSpan w:val="2"/>
          </w:tcPr>
          <w:p>
            <w:pPr>
              <w:jc w:val="right"/>
              <w:ind w:right="26"/>
              <w:spacing w:after="0"/>
              <w:rPr>
                <w:sz w:val="20"/>
                <w:szCs w:val="20"/>
                <w:color w:val="auto"/>
              </w:rPr>
            </w:pPr>
            <w:r>
              <w:rPr>
                <w:rFonts w:ascii="Arial" w:cs="Arial" w:eastAsia="Arial" w:hAnsi="Arial"/>
                <w:sz w:val="11"/>
                <w:szCs w:val="11"/>
                <w:color w:val="auto"/>
              </w:rPr>
              <w:t>255,102</w:t>
            </w:r>
          </w:p>
        </w:tc>
        <w:tc>
          <w:tcPr>
            <w:tcW w:w="1440" w:type="dxa"/>
            <w:vAlign w:val="bottom"/>
          </w:tcPr>
          <w:p>
            <w:pPr>
              <w:jc w:val="right"/>
              <w:ind w:right="26"/>
              <w:spacing w:after="0"/>
              <w:rPr>
                <w:sz w:val="20"/>
                <w:szCs w:val="20"/>
                <w:color w:val="auto"/>
              </w:rPr>
            </w:pPr>
            <w:r>
              <w:rPr>
                <w:rFonts w:ascii="Arial" w:cs="Arial" w:eastAsia="Arial" w:hAnsi="Arial"/>
                <w:sz w:val="11"/>
                <w:szCs w:val="11"/>
                <w:color w:val="auto"/>
              </w:rPr>
              <w:t>2,869,898</w:t>
            </w:r>
          </w:p>
        </w:tc>
        <w:tc>
          <w:tcPr>
            <w:tcW w:w="0" w:type="dxa"/>
            <w:vAlign w:val="bottom"/>
          </w:tcPr>
          <w:p>
            <w:pPr>
              <w:spacing w:after="0"/>
              <w:rPr>
                <w:sz w:val="1"/>
                <w:szCs w:val="1"/>
                <w:color w:val="auto"/>
              </w:rPr>
            </w:pPr>
          </w:p>
        </w:tc>
      </w:tr>
      <w:tr>
        <w:trPr>
          <w:trHeight w:val="203"/>
        </w:trPr>
        <w:tc>
          <w:tcPr>
            <w:tcW w:w="1380" w:type="dxa"/>
            <w:vAlign w:val="bottom"/>
            <w:tcBorders>
              <w:right w:val="single" w:sz="8" w:color="95B3D7"/>
            </w:tcBorders>
          </w:tcPr>
          <w:p>
            <w:pPr>
              <w:spacing w:after="0"/>
              <w:rPr>
                <w:sz w:val="17"/>
                <w:szCs w:val="17"/>
                <w:color w:val="auto"/>
              </w:rPr>
            </w:pPr>
          </w:p>
        </w:tc>
        <w:tc>
          <w:tcPr>
            <w:tcW w:w="11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9/14/2023</w:t>
            </w:r>
          </w:p>
        </w:tc>
        <w:tc>
          <w:tcPr>
            <w:tcW w:w="100" w:type="dxa"/>
            <w:vAlign w:val="bottom"/>
          </w:tcPr>
          <w:p>
            <w:pPr>
              <w:spacing w:after="0"/>
              <w:rPr>
                <w:sz w:val="17"/>
                <w:szCs w:val="17"/>
                <w:color w:val="auto"/>
              </w:rPr>
            </w:pPr>
          </w:p>
        </w:tc>
        <w:tc>
          <w:tcPr>
            <w:tcW w:w="1280" w:type="dxa"/>
            <w:vAlign w:val="bottom"/>
            <w:tcBorders>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420" w:type="dxa"/>
            <w:vAlign w:val="bottom"/>
            <w:tcBorders>
              <w:right w:val="single" w:sz="8" w:color="95B3D7"/>
            </w:tcBorders>
          </w:tcPr>
          <w:p>
            <w:pPr>
              <w:jc w:val="right"/>
              <w:ind w:right="46"/>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7"/>
                <w:szCs w:val="17"/>
                <w:color w:val="auto"/>
              </w:rPr>
            </w:pPr>
          </w:p>
        </w:tc>
        <w:tc>
          <w:tcPr>
            <w:tcW w:w="240" w:type="dxa"/>
            <w:vAlign w:val="bottom"/>
            <w:tcBorders>
              <w:right w:val="single" w:sz="8" w:color="95B3D7"/>
            </w:tcBorders>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95B3D7"/>
            </w:tcBorders>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tcBorders>
              <w:right w:val="single" w:sz="8" w:color="95B3D7"/>
            </w:tcBorders>
            <w:gridSpan w:val="2"/>
          </w:tcPr>
          <w:p>
            <w:pPr>
              <w:jc w:val="right"/>
              <w:ind w:right="26"/>
              <w:spacing w:after="0"/>
              <w:rPr>
                <w:sz w:val="20"/>
                <w:szCs w:val="20"/>
                <w:color w:val="auto"/>
              </w:rPr>
            </w:pPr>
            <w:r>
              <w:rPr>
                <w:rFonts w:ascii="Arial" w:cs="Arial" w:eastAsia="Arial" w:hAnsi="Arial"/>
                <w:sz w:val="11"/>
                <w:szCs w:val="11"/>
                <w:color w:val="auto"/>
              </w:rPr>
              <w:t>58,400</w:t>
            </w:r>
          </w:p>
        </w:tc>
        <w:tc>
          <w:tcPr>
            <w:tcW w:w="1440" w:type="dxa"/>
            <w:vAlign w:val="bottom"/>
          </w:tcPr>
          <w:p>
            <w:pPr>
              <w:jc w:val="right"/>
              <w:ind w:right="26"/>
              <w:spacing w:after="0"/>
              <w:rPr>
                <w:sz w:val="20"/>
                <w:szCs w:val="20"/>
                <w:color w:val="auto"/>
              </w:rPr>
            </w:pPr>
            <w:r>
              <w:rPr>
                <w:rFonts w:ascii="Arial" w:cs="Arial" w:eastAsia="Arial" w:hAnsi="Arial"/>
                <w:sz w:val="11"/>
                <w:szCs w:val="11"/>
                <w:color w:val="auto"/>
              </w:rPr>
              <w:t>657,000</w:t>
            </w:r>
          </w:p>
        </w:tc>
        <w:tc>
          <w:tcPr>
            <w:tcW w:w="0" w:type="dxa"/>
            <w:vAlign w:val="bottom"/>
          </w:tcPr>
          <w:p>
            <w:pPr>
              <w:spacing w:after="0"/>
              <w:rPr>
                <w:sz w:val="1"/>
                <w:szCs w:val="1"/>
                <w:color w:val="auto"/>
              </w:rPr>
            </w:pPr>
          </w:p>
        </w:tc>
      </w:tr>
      <w:tr>
        <w:trPr>
          <w:trHeight w:val="60"/>
        </w:trPr>
        <w:tc>
          <w:tcPr>
            <w:tcW w:w="1380" w:type="dxa"/>
            <w:vAlign w:val="bottom"/>
            <w:tcBorders>
              <w:right w:val="single" w:sz="8" w:color="95B3D7"/>
            </w:tcBorders>
          </w:tcPr>
          <w:p>
            <w:pPr>
              <w:spacing w:after="0"/>
              <w:rPr>
                <w:sz w:val="5"/>
                <w:szCs w:val="5"/>
                <w:color w:val="auto"/>
              </w:rPr>
            </w:pPr>
          </w:p>
        </w:tc>
        <w:tc>
          <w:tcPr>
            <w:tcW w:w="1120" w:type="dxa"/>
            <w:vAlign w:val="bottom"/>
            <w:tcBorders>
              <w:right w:val="single" w:sz="8" w:color="95B3D7"/>
            </w:tcBorders>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Borders>
              <w:right w:val="single" w:sz="8" w:color="95B3D7"/>
            </w:tcBorders>
          </w:tcPr>
          <w:p>
            <w:pPr>
              <w:spacing w:after="0"/>
              <w:rPr>
                <w:sz w:val="5"/>
                <w:szCs w:val="5"/>
                <w:color w:val="auto"/>
              </w:rPr>
            </w:pPr>
          </w:p>
        </w:tc>
        <w:tc>
          <w:tcPr>
            <w:tcW w:w="1420" w:type="dxa"/>
            <w:vAlign w:val="bottom"/>
            <w:tcBorders>
              <w:right w:val="single" w:sz="8" w:color="95B3D7"/>
            </w:tcBorders>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Borders>
              <w:right w:val="single" w:sz="8" w:color="95B3D7"/>
            </w:tcBorders>
          </w:tcPr>
          <w:p>
            <w:pPr>
              <w:spacing w:after="0"/>
              <w:rPr>
                <w:sz w:val="5"/>
                <w:szCs w:val="5"/>
                <w:color w:val="auto"/>
              </w:rPr>
            </w:pPr>
          </w:p>
        </w:tc>
        <w:tc>
          <w:tcPr>
            <w:tcW w:w="940" w:type="dxa"/>
            <w:vAlign w:val="bottom"/>
            <w:tcBorders>
              <w:right w:val="single" w:sz="8" w:color="95B3D7"/>
            </w:tcBorders>
          </w:tcPr>
          <w:p>
            <w:pPr>
              <w:spacing w:after="0"/>
              <w:rPr>
                <w:sz w:val="5"/>
                <w:szCs w:val="5"/>
                <w:color w:val="auto"/>
              </w:rPr>
            </w:pPr>
          </w:p>
        </w:tc>
        <w:tc>
          <w:tcPr>
            <w:tcW w:w="1100" w:type="dxa"/>
            <w:vAlign w:val="bottom"/>
            <w:tcBorders>
              <w:right w:val="single" w:sz="8" w:color="95B3D7"/>
            </w:tcBorders>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Borders>
              <w:right w:val="single" w:sz="8" w:color="95B3D7"/>
            </w:tcBorders>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38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1"/>
                <w:szCs w:val="11"/>
                <w:color w:val="auto"/>
              </w:rPr>
              <w:t>Andreas Wagner</w:t>
            </w:r>
          </w:p>
        </w:tc>
        <w:tc>
          <w:tcPr>
            <w:tcW w:w="11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3/13/2024</w:t>
            </w:r>
          </w:p>
        </w:tc>
        <w:tc>
          <w:tcPr>
            <w:tcW w:w="100" w:type="dxa"/>
            <w:vAlign w:val="bottom"/>
            <w:shd w:val="clear" w:color="auto" w:fill="DBE5F1"/>
          </w:tcPr>
          <w:p>
            <w:pPr>
              <w:spacing w:after="0"/>
              <w:rPr>
                <w:sz w:val="12"/>
                <w:szCs w:val="12"/>
                <w:color w:val="auto"/>
              </w:rPr>
            </w:pPr>
          </w:p>
        </w:tc>
        <w:tc>
          <w:tcPr>
            <w:tcW w:w="128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42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w:t>
            </w:r>
          </w:p>
        </w:tc>
        <w:tc>
          <w:tcPr>
            <w:tcW w:w="920" w:type="dxa"/>
            <w:vAlign w:val="bottom"/>
            <w:shd w:val="clear" w:color="auto" w:fill="DBE5F1"/>
          </w:tcPr>
          <w:p>
            <w:pPr>
              <w:spacing w:after="0"/>
              <w:rPr>
                <w:sz w:val="12"/>
                <w:szCs w:val="12"/>
                <w:color w:val="auto"/>
              </w:rPr>
            </w:pPr>
          </w:p>
        </w:tc>
        <w:tc>
          <w:tcPr>
            <w:tcW w:w="24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tcBorders>
              <w:right w:val="single" w:sz="8" w:color="95B3D7"/>
            </w:tcBorders>
            <w:gridSpan w:val="2"/>
            <w:shd w:val="clear" w:color="auto" w:fill="DBE5F1"/>
          </w:tcPr>
          <w:p>
            <w:pPr>
              <w:jc w:val="right"/>
              <w:ind w:right="26"/>
              <w:spacing w:after="0"/>
              <w:rPr>
                <w:sz w:val="20"/>
                <w:szCs w:val="20"/>
                <w:color w:val="auto"/>
              </w:rPr>
            </w:pPr>
            <w:r>
              <w:rPr>
                <w:rFonts w:ascii="Arial" w:cs="Arial" w:eastAsia="Arial" w:hAnsi="Arial"/>
                <w:sz w:val="11"/>
                <w:szCs w:val="11"/>
                <w:color w:val="auto"/>
              </w:rPr>
              <w:t>60,000</w:t>
            </w:r>
          </w:p>
        </w:tc>
        <w:tc>
          <w:tcPr>
            <w:tcW w:w="1440" w:type="dxa"/>
            <w:vAlign w:val="bottom"/>
            <w:shd w:val="clear" w:color="auto" w:fill="DBE5F1"/>
          </w:tcPr>
          <w:p>
            <w:pPr>
              <w:jc w:val="right"/>
              <w:ind w:right="26"/>
              <w:spacing w:after="0"/>
              <w:rPr>
                <w:sz w:val="20"/>
                <w:szCs w:val="20"/>
                <w:color w:val="auto"/>
              </w:rPr>
            </w:pPr>
            <w:r>
              <w:rPr>
                <w:rFonts w:ascii="Arial" w:cs="Arial" w:eastAsia="Arial" w:hAnsi="Arial"/>
                <w:sz w:val="11"/>
                <w:szCs w:val="11"/>
                <w:color w:val="auto"/>
              </w:rPr>
              <w:t>675,000</w:t>
            </w:r>
          </w:p>
        </w:tc>
        <w:tc>
          <w:tcPr>
            <w:tcW w:w="0" w:type="dxa"/>
            <w:vAlign w:val="bottom"/>
          </w:tcPr>
          <w:p>
            <w:pPr>
              <w:spacing w:after="0"/>
              <w:rPr>
                <w:sz w:val="1"/>
                <w:szCs w:val="1"/>
                <w:color w:val="auto"/>
              </w:rPr>
            </w:pPr>
          </w:p>
        </w:tc>
      </w:tr>
      <w:tr>
        <w:trPr>
          <w:trHeight w:val="203"/>
        </w:trPr>
        <w:tc>
          <w:tcPr>
            <w:tcW w:w="1380" w:type="dxa"/>
            <w:vAlign w:val="bottom"/>
            <w:tcBorders>
              <w:right w:val="single" w:sz="8" w:color="95B3D7"/>
            </w:tcBorders>
            <w:shd w:val="clear" w:color="auto" w:fill="DBE5F1"/>
          </w:tcPr>
          <w:p>
            <w:pPr>
              <w:spacing w:after="0"/>
              <w:rPr>
                <w:sz w:val="17"/>
                <w:szCs w:val="17"/>
                <w:color w:val="auto"/>
              </w:rPr>
            </w:pPr>
          </w:p>
        </w:tc>
        <w:tc>
          <w:tcPr>
            <w:tcW w:w="11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3/13/2024</w:t>
            </w:r>
          </w:p>
        </w:tc>
        <w:tc>
          <w:tcPr>
            <w:tcW w:w="100" w:type="dxa"/>
            <w:vAlign w:val="bottom"/>
            <w:shd w:val="clear" w:color="auto" w:fill="DBE5F1"/>
          </w:tcPr>
          <w:p>
            <w:pPr>
              <w:spacing w:after="0"/>
              <w:rPr>
                <w:sz w:val="17"/>
                <w:szCs w:val="17"/>
                <w:color w:val="auto"/>
              </w:rPr>
            </w:pPr>
          </w:p>
        </w:tc>
        <w:tc>
          <w:tcPr>
            <w:tcW w:w="128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42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w:t>
            </w:r>
          </w:p>
        </w:tc>
        <w:tc>
          <w:tcPr>
            <w:tcW w:w="920" w:type="dxa"/>
            <w:vAlign w:val="bottom"/>
            <w:shd w:val="clear" w:color="auto" w:fill="DBE5F1"/>
          </w:tcPr>
          <w:p>
            <w:pPr>
              <w:spacing w:after="0"/>
              <w:rPr>
                <w:sz w:val="17"/>
                <w:szCs w:val="17"/>
                <w:color w:val="auto"/>
              </w:rPr>
            </w:pPr>
          </w:p>
        </w:tc>
        <w:tc>
          <w:tcPr>
            <w:tcW w:w="24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tcBorders>
              <w:right w:val="single" w:sz="8" w:color="95B3D7"/>
            </w:tcBorders>
            <w:gridSpan w:val="2"/>
            <w:shd w:val="clear" w:color="auto" w:fill="DBE5F1"/>
          </w:tcPr>
          <w:p>
            <w:pPr>
              <w:jc w:val="right"/>
              <w:ind w:right="26"/>
              <w:spacing w:after="0"/>
              <w:rPr>
                <w:sz w:val="20"/>
                <w:szCs w:val="20"/>
                <w:color w:val="auto"/>
              </w:rPr>
            </w:pPr>
            <w:r>
              <w:rPr>
                <w:rFonts w:ascii="Arial" w:cs="Arial" w:eastAsia="Arial" w:hAnsi="Arial"/>
                <w:sz w:val="11"/>
                <w:szCs w:val="11"/>
                <w:color w:val="auto"/>
              </w:rPr>
              <w:t>60,000</w:t>
            </w:r>
          </w:p>
        </w:tc>
        <w:tc>
          <w:tcPr>
            <w:tcW w:w="1440" w:type="dxa"/>
            <w:vAlign w:val="bottom"/>
            <w:shd w:val="clear" w:color="auto" w:fill="DBE5F1"/>
          </w:tcPr>
          <w:p>
            <w:pPr>
              <w:jc w:val="right"/>
              <w:ind w:right="26"/>
              <w:spacing w:after="0"/>
              <w:rPr>
                <w:sz w:val="20"/>
                <w:szCs w:val="20"/>
                <w:color w:val="auto"/>
              </w:rPr>
            </w:pPr>
            <w:r>
              <w:rPr>
                <w:rFonts w:ascii="Arial" w:cs="Arial" w:eastAsia="Arial" w:hAnsi="Arial"/>
                <w:sz w:val="11"/>
                <w:szCs w:val="11"/>
                <w:color w:val="auto"/>
              </w:rPr>
              <w:t>675,000</w:t>
            </w:r>
          </w:p>
        </w:tc>
        <w:tc>
          <w:tcPr>
            <w:tcW w:w="0" w:type="dxa"/>
            <w:vAlign w:val="bottom"/>
          </w:tcPr>
          <w:p>
            <w:pPr>
              <w:spacing w:after="0"/>
              <w:rPr>
                <w:sz w:val="1"/>
                <w:szCs w:val="1"/>
                <w:color w:val="auto"/>
              </w:rPr>
            </w:pPr>
          </w:p>
        </w:tc>
      </w:tr>
      <w:tr>
        <w:trPr>
          <w:trHeight w:val="203"/>
        </w:trPr>
        <w:tc>
          <w:tcPr>
            <w:tcW w:w="1380" w:type="dxa"/>
            <w:vAlign w:val="bottom"/>
            <w:tcBorders>
              <w:right w:val="single" w:sz="8" w:color="95B3D7"/>
            </w:tcBorders>
            <w:shd w:val="clear" w:color="auto" w:fill="DBE5F1"/>
          </w:tcPr>
          <w:p>
            <w:pPr>
              <w:spacing w:after="0"/>
              <w:rPr>
                <w:sz w:val="17"/>
                <w:szCs w:val="17"/>
                <w:color w:val="auto"/>
              </w:rPr>
            </w:pPr>
          </w:p>
        </w:tc>
        <w:tc>
          <w:tcPr>
            <w:tcW w:w="11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2/7/2024</w:t>
            </w:r>
          </w:p>
        </w:tc>
        <w:tc>
          <w:tcPr>
            <w:tcW w:w="100" w:type="dxa"/>
            <w:vAlign w:val="bottom"/>
            <w:shd w:val="clear" w:color="auto" w:fill="DBE5F1"/>
          </w:tcPr>
          <w:p>
            <w:pPr>
              <w:spacing w:after="0"/>
              <w:rPr>
                <w:sz w:val="17"/>
                <w:szCs w:val="17"/>
                <w:color w:val="auto"/>
              </w:rPr>
            </w:pPr>
          </w:p>
        </w:tc>
        <w:tc>
          <w:tcPr>
            <w:tcW w:w="128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42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w:t>
            </w:r>
          </w:p>
        </w:tc>
        <w:tc>
          <w:tcPr>
            <w:tcW w:w="920" w:type="dxa"/>
            <w:vAlign w:val="bottom"/>
            <w:shd w:val="clear" w:color="auto" w:fill="DBE5F1"/>
          </w:tcPr>
          <w:p>
            <w:pPr>
              <w:spacing w:after="0"/>
              <w:rPr>
                <w:sz w:val="17"/>
                <w:szCs w:val="17"/>
                <w:color w:val="auto"/>
              </w:rPr>
            </w:pPr>
          </w:p>
        </w:tc>
        <w:tc>
          <w:tcPr>
            <w:tcW w:w="24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95B3D7"/>
            </w:tcBorders>
            <w:shd w:val="clear" w:color="auto" w:fill="DBE5F1"/>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tcBorders>
              <w:right w:val="single" w:sz="8" w:color="95B3D7"/>
            </w:tcBorders>
            <w:gridSpan w:val="2"/>
            <w:shd w:val="clear" w:color="auto" w:fill="DBE5F1"/>
          </w:tcPr>
          <w:p>
            <w:pPr>
              <w:jc w:val="right"/>
              <w:ind w:right="26"/>
              <w:spacing w:after="0"/>
              <w:rPr>
                <w:sz w:val="20"/>
                <w:szCs w:val="20"/>
                <w:color w:val="auto"/>
              </w:rPr>
            </w:pPr>
            <w:r>
              <w:rPr>
                <w:rFonts w:ascii="Arial" w:cs="Arial" w:eastAsia="Arial" w:hAnsi="Arial"/>
                <w:sz w:val="11"/>
                <w:szCs w:val="11"/>
                <w:color w:val="auto"/>
              </w:rPr>
              <w:t>155,763</w:t>
            </w:r>
          </w:p>
        </w:tc>
        <w:tc>
          <w:tcPr>
            <w:tcW w:w="1440" w:type="dxa"/>
            <w:vAlign w:val="bottom"/>
            <w:shd w:val="clear" w:color="auto" w:fill="DBE5F1"/>
          </w:tcPr>
          <w:p>
            <w:pPr>
              <w:jc w:val="right"/>
              <w:ind w:right="26"/>
              <w:spacing w:after="0"/>
              <w:rPr>
                <w:sz w:val="20"/>
                <w:szCs w:val="20"/>
                <w:color w:val="auto"/>
              </w:rPr>
            </w:pPr>
            <w:r>
              <w:rPr>
                <w:rFonts w:ascii="Arial" w:cs="Arial" w:eastAsia="Arial" w:hAnsi="Arial"/>
                <w:sz w:val="11"/>
                <w:szCs w:val="11"/>
                <w:color w:val="auto"/>
              </w:rPr>
              <w:t>1,752,334</w:t>
            </w:r>
          </w:p>
        </w:tc>
        <w:tc>
          <w:tcPr>
            <w:tcW w:w="0" w:type="dxa"/>
            <w:vAlign w:val="bottom"/>
          </w:tcPr>
          <w:p>
            <w:pPr>
              <w:spacing w:after="0"/>
              <w:rPr>
                <w:sz w:val="1"/>
                <w:szCs w:val="1"/>
                <w:color w:val="auto"/>
              </w:rPr>
            </w:pPr>
          </w:p>
        </w:tc>
      </w:tr>
      <w:tr>
        <w:trPr>
          <w:trHeight w:val="60"/>
        </w:trPr>
        <w:tc>
          <w:tcPr>
            <w:tcW w:w="1380" w:type="dxa"/>
            <w:vAlign w:val="bottom"/>
            <w:tcBorders>
              <w:bottom w:val="single" w:sz="8" w:color="95B3D7"/>
              <w:right w:val="single" w:sz="8" w:color="95B3D7"/>
            </w:tcBorders>
            <w:shd w:val="clear" w:color="auto" w:fill="DBE5F1"/>
          </w:tcPr>
          <w:p>
            <w:pPr>
              <w:spacing w:after="0"/>
              <w:rPr>
                <w:sz w:val="5"/>
                <w:szCs w:val="5"/>
                <w:color w:val="auto"/>
              </w:rPr>
            </w:pPr>
          </w:p>
        </w:tc>
        <w:tc>
          <w:tcPr>
            <w:tcW w:w="1120" w:type="dxa"/>
            <w:vAlign w:val="bottom"/>
            <w:tcBorders>
              <w:bottom w:val="single" w:sz="8" w:color="95B3D7"/>
              <w:right w:val="single" w:sz="8" w:color="95B3D7"/>
            </w:tcBorders>
            <w:shd w:val="clear" w:color="auto" w:fill="DBE5F1"/>
          </w:tcPr>
          <w:p>
            <w:pPr>
              <w:spacing w:after="0"/>
              <w:rPr>
                <w:sz w:val="5"/>
                <w:szCs w:val="5"/>
                <w:color w:val="auto"/>
              </w:rPr>
            </w:pPr>
          </w:p>
        </w:tc>
        <w:tc>
          <w:tcPr>
            <w:tcW w:w="100" w:type="dxa"/>
            <w:vAlign w:val="bottom"/>
            <w:tcBorders>
              <w:bottom w:val="single" w:sz="8" w:color="95B3D7"/>
            </w:tcBorders>
            <w:shd w:val="clear" w:color="auto" w:fill="DBE5F1"/>
          </w:tcPr>
          <w:p>
            <w:pPr>
              <w:spacing w:after="0"/>
              <w:rPr>
                <w:sz w:val="5"/>
                <w:szCs w:val="5"/>
                <w:color w:val="auto"/>
              </w:rPr>
            </w:pPr>
          </w:p>
        </w:tc>
        <w:tc>
          <w:tcPr>
            <w:tcW w:w="1280" w:type="dxa"/>
            <w:vAlign w:val="bottom"/>
            <w:tcBorders>
              <w:bottom w:val="single" w:sz="8" w:color="95B3D7"/>
              <w:right w:val="single" w:sz="8" w:color="95B3D7"/>
            </w:tcBorders>
            <w:shd w:val="clear" w:color="auto" w:fill="DBE5F1"/>
          </w:tcPr>
          <w:p>
            <w:pPr>
              <w:spacing w:after="0"/>
              <w:rPr>
                <w:sz w:val="5"/>
                <w:szCs w:val="5"/>
                <w:color w:val="auto"/>
              </w:rPr>
            </w:pPr>
          </w:p>
        </w:tc>
        <w:tc>
          <w:tcPr>
            <w:tcW w:w="1420" w:type="dxa"/>
            <w:vAlign w:val="bottom"/>
            <w:tcBorders>
              <w:bottom w:val="single" w:sz="8" w:color="95B3D7"/>
              <w:right w:val="single" w:sz="8" w:color="95B3D7"/>
            </w:tcBorders>
            <w:shd w:val="clear" w:color="auto" w:fill="DBE5F1"/>
          </w:tcPr>
          <w:p>
            <w:pPr>
              <w:spacing w:after="0"/>
              <w:rPr>
                <w:sz w:val="5"/>
                <w:szCs w:val="5"/>
                <w:color w:val="auto"/>
              </w:rPr>
            </w:pPr>
          </w:p>
        </w:tc>
        <w:tc>
          <w:tcPr>
            <w:tcW w:w="920" w:type="dxa"/>
            <w:vAlign w:val="bottom"/>
            <w:tcBorders>
              <w:bottom w:val="single" w:sz="8" w:color="95B3D7"/>
            </w:tcBorders>
            <w:shd w:val="clear" w:color="auto" w:fill="DBE5F1"/>
          </w:tcPr>
          <w:p>
            <w:pPr>
              <w:spacing w:after="0"/>
              <w:rPr>
                <w:sz w:val="5"/>
                <w:szCs w:val="5"/>
                <w:color w:val="auto"/>
              </w:rPr>
            </w:pPr>
          </w:p>
        </w:tc>
        <w:tc>
          <w:tcPr>
            <w:tcW w:w="240" w:type="dxa"/>
            <w:vAlign w:val="bottom"/>
            <w:tcBorders>
              <w:bottom w:val="single" w:sz="8" w:color="95B3D7"/>
              <w:right w:val="single" w:sz="8" w:color="95B3D7"/>
            </w:tcBorders>
            <w:shd w:val="clear" w:color="auto" w:fill="DBE5F1"/>
          </w:tcPr>
          <w:p>
            <w:pPr>
              <w:spacing w:after="0"/>
              <w:rPr>
                <w:sz w:val="5"/>
                <w:szCs w:val="5"/>
                <w:color w:val="auto"/>
              </w:rPr>
            </w:pPr>
          </w:p>
        </w:tc>
        <w:tc>
          <w:tcPr>
            <w:tcW w:w="940" w:type="dxa"/>
            <w:vAlign w:val="bottom"/>
            <w:tcBorders>
              <w:bottom w:val="single" w:sz="8" w:color="95B3D7"/>
              <w:right w:val="single" w:sz="8" w:color="95B3D7"/>
            </w:tcBorders>
            <w:shd w:val="clear" w:color="auto" w:fill="DBE5F1"/>
          </w:tcPr>
          <w:p>
            <w:pPr>
              <w:spacing w:after="0"/>
              <w:rPr>
                <w:sz w:val="5"/>
                <w:szCs w:val="5"/>
                <w:color w:val="auto"/>
              </w:rPr>
            </w:pPr>
          </w:p>
        </w:tc>
        <w:tc>
          <w:tcPr>
            <w:tcW w:w="1100" w:type="dxa"/>
            <w:vAlign w:val="bottom"/>
            <w:tcBorders>
              <w:bottom w:val="single" w:sz="8" w:color="95B3D7"/>
              <w:right w:val="single" w:sz="8" w:color="95B3D7"/>
            </w:tcBorders>
            <w:shd w:val="clear" w:color="auto" w:fill="DBE5F1"/>
          </w:tcPr>
          <w:p>
            <w:pPr>
              <w:spacing w:after="0"/>
              <w:rPr>
                <w:sz w:val="5"/>
                <w:szCs w:val="5"/>
                <w:color w:val="auto"/>
              </w:rPr>
            </w:pPr>
          </w:p>
        </w:tc>
        <w:tc>
          <w:tcPr>
            <w:tcW w:w="100" w:type="dxa"/>
            <w:vAlign w:val="bottom"/>
            <w:tcBorders>
              <w:bottom w:val="single" w:sz="8" w:color="95B3D7"/>
            </w:tcBorders>
            <w:shd w:val="clear" w:color="auto" w:fill="DBE5F1"/>
          </w:tcPr>
          <w:p>
            <w:pPr>
              <w:spacing w:after="0"/>
              <w:rPr>
                <w:sz w:val="5"/>
                <w:szCs w:val="5"/>
                <w:color w:val="auto"/>
              </w:rPr>
            </w:pPr>
          </w:p>
        </w:tc>
        <w:tc>
          <w:tcPr>
            <w:tcW w:w="1020" w:type="dxa"/>
            <w:vAlign w:val="bottom"/>
            <w:tcBorders>
              <w:bottom w:val="single" w:sz="8" w:color="95B3D7"/>
              <w:right w:val="single" w:sz="8" w:color="95B3D7"/>
            </w:tcBorders>
            <w:shd w:val="clear" w:color="auto" w:fill="DBE5F1"/>
          </w:tcPr>
          <w:p>
            <w:pPr>
              <w:spacing w:after="0"/>
              <w:rPr>
                <w:sz w:val="5"/>
                <w:szCs w:val="5"/>
                <w:color w:val="auto"/>
              </w:rPr>
            </w:pPr>
          </w:p>
        </w:tc>
        <w:tc>
          <w:tcPr>
            <w:tcW w:w="1440" w:type="dxa"/>
            <w:vAlign w:val="bottom"/>
            <w:tcBorders>
              <w:bottom w:val="single" w:sz="8" w:color="95B3D7"/>
            </w:tcBorders>
            <w:shd w:val="clear" w:color="auto" w:fill="DBE5F1"/>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67" w:name="page68"/>
    <w:bookmarkEnd w:id="67"/>
    <w:p>
      <w:pPr>
        <w:ind w:left="328" w:right="20" w:hanging="328"/>
        <w:spacing w:after="0" w:line="275" w:lineRule="auto"/>
        <w:tabs>
          <w:tab w:leader="none" w:pos="320" w:val="left"/>
        </w:tabs>
        <w:numPr>
          <w:ilvl w:val="0"/>
          <w:numId w:val="49"/>
        </w:numPr>
        <w:rPr>
          <w:rFonts w:ascii="Times New Roman" w:cs="Times New Roman" w:eastAsia="Times New Roman" w:hAnsi="Times New Roman"/>
          <w:sz w:val="14"/>
          <w:szCs w:val="14"/>
          <w:color w:val="auto"/>
        </w:rPr>
      </w:pPr>
      <w:r>
        <w:rPr>
          <w:rFonts w:ascii="Arial" w:cs="Arial" w:eastAsia="Arial" w:hAnsi="Arial"/>
          <w:sz w:val="14"/>
          <w:szCs w:val="14"/>
          <w:color w:val="auto"/>
        </w:rPr>
        <w:t>Represents unvested options, RSUs and PSUs. PSUs granted on March 13, 2024 assume target-level achievement. PSUs granted on September 14, 2023 assume achievement at 116.8%, which we determined to be the probable achievement outcome as of December 31, 2024. Actual shares delivered under PSU awards are subject to performance conditions and therefore may vary from the target units reported here. The vesting schedules of the options, RSUs and PSUs are as follows (subject to the named executive officer’s continued employment through each applicable vesting date):</w:t>
      </w:r>
    </w:p>
    <w:p>
      <w:pPr>
        <w:spacing w:after="0" w:line="243" w:lineRule="exact"/>
        <w:rPr>
          <w:sz w:val="20"/>
          <w:szCs w:val="20"/>
          <w:color w:val="auto"/>
        </w:rPr>
      </w:pPr>
    </w:p>
    <w:tbl>
      <w:tblPr>
        <w:tblLayout w:type="fixed"/>
        <w:tblInd w:w="948" w:type="dxa"/>
        <w:tblCellMar>
          <w:top w:w="0" w:type="dxa"/>
          <w:left w:w="0" w:type="dxa"/>
          <w:bottom w:w="0" w:type="dxa"/>
          <w:right w:w="0" w:type="dxa"/>
        </w:tblCellMar>
      </w:tblPr>
      <w:tr>
        <w:trPr>
          <w:trHeight w:val="155"/>
        </w:trPr>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Name</w:t>
            </w:r>
          </w:p>
        </w:tc>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Grant Date</w:t>
            </w: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Grant Type</w:t>
            </w:r>
          </w:p>
        </w:tc>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Service-based Vesting Schedule</w:t>
            </w:r>
          </w:p>
        </w:tc>
      </w:tr>
      <w:tr>
        <w:trPr>
          <w:trHeight w:val="108"/>
        </w:trPr>
        <w:tc>
          <w:tcPr>
            <w:tcW w:w="1080" w:type="dxa"/>
            <w:vAlign w:val="bottom"/>
            <w:tcBorders>
              <w:right w:val="single" w:sz="8" w:color="95B3D7"/>
            </w:tcBorders>
            <w:shd w:val="clear" w:color="auto" w:fill="DBE5F1"/>
          </w:tcPr>
          <w:p>
            <w:pPr>
              <w:ind w:left="60"/>
              <w:spacing w:after="0" w:line="109" w:lineRule="exact"/>
              <w:rPr>
                <w:sz w:val="20"/>
                <w:szCs w:val="20"/>
                <w:color w:val="auto"/>
              </w:rPr>
            </w:pPr>
            <w:r>
              <w:rPr>
                <w:rFonts w:ascii="Arial" w:cs="Arial" w:eastAsia="Arial" w:hAnsi="Arial"/>
                <w:sz w:val="11"/>
                <w:szCs w:val="11"/>
                <w:color w:val="auto"/>
              </w:rPr>
              <w:t>John Kao</w:t>
            </w:r>
          </w:p>
        </w:tc>
        <w:tc>
          <w:tcPr>
            <w:tcW w:w="1420" w:type="dxa"/>
            <w:vAlign w:val="bottom"/>
            <w:tcBorders>
              <w:right w:val="single" w:sz="8" w:color="95B3D7"/>
            </w:tcBorders>
            <w:shd w:val="clear" w:color="auto" w:fill="DBE5F1"/>
          </w:tcPr>
          <w:p>
            <w:pPr>
              <w:ind w:left="40"/>
              <w:spacing w:after="0" w:line="109" w:lineRule="exact"/>
              <w:rPr>
                <w:sz w:val="20"/>
                <w:szCs w:val="20"/>
                <w:color w:val="auto"/>
              </w:rPr>
            </w:pPr>
            <w:r>
              <w:rPr>
                <w:rFonts w:ascii="Arial" w:cs="Arial" w:eastAsia="Arial" w:hAnsi="Arial"/>
                <w:sz w:val="11"/>
                <w:szCs w:val="11"/>
                <w:color w:val="auto"/>
              </w:rPr>
              <w:t>3/13/2024</w:t>
            </w:r>
          </w:p>
        </w:tc>
        <w:tc>
          <w:tcPr>
            <w:tcW w:w="960" w:type="dxa"/>
            <w:vAlign w:val="bottom"/>
            <w:tcBorders>
              <w:right w:val="single" w:sz="8" w:color="95B3D7"/>
            </w:tcBorders>
            <w:shd w:val="clear" w:color="auto" w:fill="DBE5F1"/>
          </w:tcPr>
          <w:p>
            <w:pPr>
              <w:ind w:left="60"/>
              <w:spacing w:after="0" w:line="109" w:lineRule="exact"/>
              <w:rPr>
                <w:sz w:val="20"/>
                <w:szCs w:val="20"/>
                <w:color w:val="auto"/>
              </w:rPr>
            </w:pPr>
            <w:r>
              <w:rPr>
                <w:rFonts w:ascii="Arial" w:cs="Arial" w:eastAsia="Arial" w:hAnsi="Arial"/>
                <w:sz w:val="11"/>
                <w:szCs w:val="11"/>
                <w:color w:val="auto"/>
              </w:rPr>
              <w:t>RSUs</w:t>
            </w:r>
          </w:p>
        </w:tc>
        <w:tc>
          <w:tcPr>
            <w:tcW w:w="5240" w:type="dxa"/>
            <w:vAlign w:val="bottom"/>
            <w:shd w:val="clear" w:color="auto" w:fill="DBE5F1"/>
          </w:tcPr>
          <w:p>
            <w:pPr>
              <w:ind w:left="60"/>
              <w:spacing w:after="0" w:line="109" w:lineRule="exact"/>
              <w:rPr>
                <w:sz w:val="20"/>
                <w:szCs w:val="20"/>
                <w:color w:val="auto"/>
              </w:rPr>
            </w:pPr>
            <w:r>
              <w:rPr>
                <w:rFonts w:ascii="Arial" w:cs="Arial" w:eastAsia="Arial" w:hAnsi="Arial"/>
                <w:sz w:val="11"/>
                <w:szCs w:val="11"/>
                <w:color w:val="auto"/>
              </w:rPr>
              <w:t>Vests 25% per year over 4 years with 82,500 shares vesting on each of 3/13/2025, 3/13/2026, 3/13/2027</w:t>
            </w:r>
          </w:p>
        </w:tc>
      </w:tr>
      <w:tr>
        <w:trPr>
          <w:trHeight w:val="142"/>
        </w:trPr>
        <w:tc>
          <w:tcPr>
            <w:tcW w:w="1080" w:type="dxa"/>
            <w:vAlign w:val="bottom"/>
            <w:tcBorders>
              <w:right w:val="single" w:sz="8" w:color="95B3D7"/>
            </w:tcBorders>
            <w:shd w:val="clear" w:color="auto" w:fill="DBE5F1"/>
          </w:tcPr>
          <w:p>
            <w:pPr>
              <w:spacing w:after="0"/>
              <w:rPr>
                <w:sz w:val="12"/>
                <w:szCs w:val="12"/>
                <w:color w:val="auto"/>
              </w:rPr>
            </w:pPr>
          </w:p>
        </w:tc>
        <w:tc>
          <w:tcPr>
            <w:tcW w:w="1420" w:type="dxa"/>
            <w:vAlign w:val="bottom"/>
            <w:tcBorders>
              <w:right w:val="single" w:sz="8" w:color="95B3D7"/>
            </w:tcBorders>
            <w:shd w:val="clear" w:color="auto" w:fill="DBE5F1"/>
          </w:tcPr>
          <w:p>
            <w:pPr>
              <w:spacing w:after="0"/>
              <w:rPr>
                <w:sz w:val="12"/>
                <w:szCs w:val="12"/>
                <w:color w:val="auto"/>
              </w:rPr>
            </w:pPr>
          </w:p>
        </w:tc>
        <w:tc>
          <w:tcPr>
            <w:tcW w:w="960" w:type="dxa"/>
            <w:vAlign w:val="bottom"/>
            <w:tcBorders>
              <w:right w:val="single" w:sz="8" w:color="95B3D7"/>
            </w:tcBorders>
            <w:shd w:val="clear" w:color="auto" w:fill="DBE5F1"/>
          </w:tcPr>
          <w:p>
            <w:pPr>
              <w:spacing w:after="0"/>
              <w:rPr>
                <w:sz w:val="12"/>
                <w:szCs w:val="12"/>
                <w:color w:val="auto"/>
              </w:rPr>
            </w:pPr>
          </w:p>
        </w:tc>
        <w:tc>
          <w:tcPr>
            <w:tcW w:w="5240" w:type="dxa"/>
            <w:vAlign w:val="bottom"/>
            <w:shd w:val="clear" w:color="auto" w:fill="DBE5F1"/>
          </w:tcPr>
          <w:p>
            <w:pPr>
              <w:ind w:left="60"/>
              <w:spacing w:after="0"/>
              <w:rPr>
                <w:sz w:val="20"/>
                <w:szCs w:val="20"/>
                <w:color w:val="auto"/>
              </w:rPr>
            </w:pPr>
            <w:r>
              <w:rPr>
                <w:rFonts w:ascii="Arial" w:cs="Arial" w:eastAsia="Arial" w:hAnsi="Arial"/>
                <w:sz w:val="11"/>
                <w:szCs w:val="11"/>
                <w:color w:val="auto"/>
              </w:rPr>
              <w:t>and 3/13/2028</w:t>
            </w:r>
          </w:p>
        </w:tc>
      </w:tr>
      <w:tr>
        <w:trPr>
          <w:trHeight w:val="162"/>
        </w:trPr>
        <w:tc>
          <w:tcPr>
            <w:tcW w:w="1080" w:type="dxa"/>
            <w:vAlign w:val="bottom"/>
            <w:tcBorders>
              <w:right w:val="single" w:sz="8" w:color="95B3D7"/>
            </w:tcBorders>
            <w:shd w:val="clear" w:color="auto" w:fill="DBE5F1"/>
          </w:tcPr>
          <w:p>
            <w:pPr>
              <w:spacing w:after="0"/>
              <w:rPr>
                <w:sz w:val="14"/>
                <w:szCs w:val="14"/>
                <w:color w:val="auto"/>
              </w:rPr>
            </w:pPr>
          </w:p>
        </w:tc>
        <w:tc>
          <w:tcPr>
            <w:tcW w:w="142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3/13/2024</w:t>
            </w:r>
          </w:p>
        </w:tc>
        <w:tc>
          <w:tcPr>
            <w:tcW w:w="96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1"/>
                <w:szCs w:val="11"/>
                <w:color w:val="auto"/>
              </w:rPr>
              <w:t>PSUs</w:t>
            </w:r>
          </w:p>
        </w:tc>
        <w:tc>
          <w:tcPr>
            <w:tcW w:w="5240" w:type="dxa"/>
            <w:vAlign w:val="bottom"/>
            <w:shd w:val="clear" w:color="auto" w:fill="DBE5F1"/>
          </w:tcPr>
          <w:p>
            <w:pPr>
              <w:ind w:left="60"/>
              <w:spacing w:after="0"/>
              <w:rPr>
                <w:sz w:val="20"/>
                <w:szCs w:val="20"/>
                <w:color w:val="auto"/>
              </w:rPr>
            </w:pPr>
            <w:r>
              <w:rPr>
                <w:rFonts w:ascii="Arial" w:cs="Arial" w:eastAsia="Arial" w:hAnsi="Arial"/>
                <w:sz w:val="11"/>
                <w:szCs w:val="11"/>
                <w:color w:val="auto"/>
              </w:rPr>
              <w:t>Vests on or about 2/28/2027, subject to achievement of performance metrics</w:t>
            </w:r>
          </w:p>
        </w:tc>
      </w:tr>
      <w:tr>
        <w:trPr>
          <w:trHeight w:val="162"/>
        </w:trPr>
        <w:tc>
          <w:tcPr>
            <w:tcW w:w="1080" w:type="dxa"/>
            <w:vAlign w:val="bottom"/>
            <w:tcBorders>
              <w:right w:val="single" w:sz="8" w:color="95B3D7"/>
            </w:tcBorders>
            <w:shd w:val="clear" w:color="auto" w:fill="DBE5F1"/>
          </w:tcPr>
          <w:p>
            <w:pPr>
              <w:spacing w:after="0"/>
              <w:rPr>
                <w:sz w:val="14"/>
                <w:szCs w:val="14"/>
                <w:color w:val="auto"/>
              </w:rPr>
            </w:pPr>
          </w:p>
        </w:tc>
        <w:tc>
          <w:tcPr>
            <w:tcW w:w="142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9/14/2023</w:t>
            </w:r>
          </w:p>
        </w:tc>
        <w:tc>
          <w:tcPr>
            <w:tcW w:w="96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1"/>
                <w:szCs w:val="11"/>
                <w:color w:val="auto"/>
              </w:rPr>
              <w:t>PSUs</w:t>
            </w:r>
          </w:p>
        </w:tc>
        <w:tc>
          <w:tcPr>
            <w:tcW w:w="5240" w:type="dxa"/>
            <w:vAlign w:val="bottom"/>
            <w:shd w:val="clear" w:color="auto" w:fill="DBE5F1"/>
          </w:tcPr>
          <w:p>
            <w:pPr>
              <w:ind w:left="60"/>
              <w:spacing w:after="0"/>
              <w:rPr>
                <w:sz w:val="20"/>
                <w:szCs w:val="20"/>
                <w:color w:val="auto"/>
              </w:rPr>
            </w:pPr>
            <w:r>
              <w:rPr>
                <w:rFonts w:ascii="Arial" w:cs="Arial" w:eastAsia="Arial" w:hAnsi="Arial"/>
                <w:sz w:val="11"/>
                <w:szCs w:val="11"/>
                <w:color w:val="auto"/>
              </w:rPr>
              <w:t>Vests 50% on the certification date and 50% on 12/31/25</w:t>
            </w:r>
          </w:p>
        </w:tc>
      </w:tr>
      <w:tr>
        <w:trPr>
          <w:trHeight w:val="162"/>
        </w:trPr>
        <w:tc>
          <w:tcPr>
            <w:tcW w:w="1080" w:type="dxa"/>
            <w:vAlign w:val="bottom"/>
            <w:tcBorders>
              <w:right w:val="single" w:sz="8" w:color="95B3D7"/>
            </w:tcBorders>
            <w:shd w:val="clear" w:color="auto" w:fill="DBE5F1"/>
          </w:tcPr>
          <w:p>
            <w:pPr>
              <w:spacing w:after="0"/>
              <w:rPr>
                <w:sz w:val="14"/>
                <w:szCs w:val="14"/>
                <w:color w:val="auto"/>
              </w:rPr>
            </w:pPr>
          </w:p>
        </w:tc>
        <w:tc>
          <w:tcPr>
            <w:tcW w:w="142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9/12/2022</w:t>
            </w:r>
          </w:p>
        </w:tc>
        <w:tc>
          <w:tcPr>
            <w:tcW w:w="96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1"/>
                <w:szCs w:val="11"/>
                <w:color w:val="auto"/>
              </w:rPr>
              <w:t>RSUs</w:t>
            </w:r>
          </w:p>
        </w:tc>
        <w:tc>
          <w:tcPr>
            <w:tcW w:w="5240" w:type="dxa"/>
            <w:vAlign w:val="bottom"/>
            <w:shd w:val="clear" w:color="auto" w:fill="DBE5F1"/>
          </w:tcPr>
          <w:p>
            <w:pPr>
              <w:ind w:left="60"/>
              <w:spacing w:after="0"/>
              <w:rPr>
                <w:sz w:val="20"/>
                <w:szCs w:val="20"/>
                <w:color w:val="auto"/>
              </w:rPr>
            </w:pPr>
            <w:r>
              <w:rPr>
                <w:rFonts w:ascii="Arial" w:cs="Arial" w:eastAsia="Arial" w:hAnsi="Arial"/>
                <w:sz w:val="11"/>
                <w:szCs w:val="11"/>
                <w:color w:val="auto"/>
              </w:rPr>
              <w:t>Vests 819,514 shares on 9/7/2025 and 819,513 shares on 9/7/2026</w:t>
            </w:r>
          </w:p>
        </w:tc>
      </w:tr>
      <w:tr>
        <w:trPr>
          <w:trHeight w:val="128"/>
        </w:trPr>
        <w:tc>
          <w:tcPr>
            <w:tcW w:w="1080" w:type="dxa"/>
            <w:vAlign w:val="bottom"/>
            <w:tcBorders>
              <w:right w:val="single" w:sz="8" w:color="95B3D7"/>
            </w:tcBorders>
            <w:shd w:val="clear" w:color="auto" w:fill="DBE5F1"/>
          </w:tcPr>
          <w:p>
            <w:pPr>
              <w:spacing w:after="0"/>
              <w:rPr>
                <w:sz w:val="11"/>
                <w:szCs w:val="11"/>
                <w:color w:val="auto"/>
              </w:rPr>
            </w:pPr>
          </w:p>
        </w:tc>
        <w:tc>
          <w:tcPr>
            <w:tcW w:w="142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3/8/2022</w:t>
            </w:r>
          </w:p>
        </w:tc>
        <w:tc>
          <w:tcPr>
            <w:tcW w:w="96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1"/>
                <w:szCs w:val="11"/>
                <w:color w:val="auto"/>
              </w:rPr>
              <w:t>RSUs</w:t>
            </w:r>
          </w:p>
        </w:tc>
        <w:tc>
          <w:tcPr>
            <w:tcW w:w="5240" w:type="dxa"/>
            <w:vAlign w:val="bottom"/>
            <w:shd w:val="clear" w:color="auto" w:fill="DBE5F1"/>
          </w:tcPr>
          <w:p>
            <w:pPr>
              <w:ind w:left="60"/>
              <w:spacing w:after="0"/>
              <w:rPr>
                <w:sz w:val="20"/>
                <w:szCs w:val="20"/>
                <w:color w:val="auto"/>
              </w:rPr>
            </w:pPr>
            <w:r>
              <w:rPr>
                <w:rFonts w:ascii="Arial" w:cs="Arial" w:eastAsia="Arial" w:hAnsi="Arial"/>
                <w:sz w:val="11"/>
                <w:szCs w:val="11"/>
                <w:color w:val="auto"/>
              </w:rPr>
              <w:t>Vests 25% per year over 4 years with approximately 124,172 vesting on each of 3/8/2023, 3/8/2024,</w:t>
            </w:r>
          </w:p>
        </w:tc>
      </w:tr>
      <w:tr>
        <w:trPr>
          <w:trHeight w:val="142"/>
        </w:trPr>
        <w:tc>
          <w:tcPr>
            <w:tcW w:w="1080" w:type="dxa"/>
            <w:vAlign w:val="bottom"/>
            <w:tcBorders>
              <w:right w:val="single" w:sz="8" w:color="95B3D7"/>
            </w:tcBorders>
            <w:shd w:val="clear" w:color="auto" w:fill="DBE5F1"/>
          </w:tcPr>
          <w:p>
            <w:pPr>
              <w:spacing w:after="0"/>
              <w:rPr>
                <w:sz w:val="12"/>
                <w:szCs w:val="12"/>
                <w:color w:val="auto"/>
              </w:rPr>
            </w:pPr>
          </w:p>
        </w:tc>
        <w:tc>
          <w:tcPr>
            <w:tcW w:w="1420" w:type="dxa"/>
            <w:vAlign w:val="bottom"/>
            <w:tcBorders>
              <w:right w:val="single" w:sz="8" w:color="95B3D7"/>
            </w:tcBorders>
            <w:shd w:val="clear" w:color="auto" w:fill="DBE5F1"/>
          </w:tcPr>
          <w:p>
            <w:pPr>
              <w:spacing w:after="0"/>
              <w:rPr>
                <w:sz w:val="12"/>
                <w:szCs w:val="12"/>
                <w:color w:val="auto"/>
              </w:rPr>
            </w:pPr>
          </w:p>
        </w:tc>
        <w:tc>
          <w:tcPr>
            <w:tcW w:w="960" w:type="dxa"/>
            <w:vAlign w:val="bottom"/>
            <w:tcBorders>
              <w:right w:val="single" w:sz="8" w:color="95B3D7"/>
            </w:tcBorders>
            <w:shd w:val="clear" w:color="auto" w:fill="DBE5F1"/>
          </w:tcPr>
          <w:p>
            <w:pPr>
              <w:spacing w:after="0"/>
              <w:rPr>
                <w:sz w:val="12"/>
                <w:szCs w:val="12"/>
                <w:color w:val="auto"/>
              </w:rPr>
            </w:pPr>
          </w:p>
        </w:tc>
        <w:tc>
          <w:tcPr>
            <w:tcW w:w="5240" w:type="dxa"/>
            <w:vAlign w:val="bottom"/>
            <w:shd w:val="clear" w:color="auto" w:fill="DBE5F1"/>
          </w:tcPr>
          <w:p>
            <w:pPr>
              <w:ind w:left="60"/>
              <w:spacing w:after="0"/>
              <w:rPr>
                <w:sz w:val="20"/>
                <w:szCs w:val="20"/>
                <w:color w:val="auto"/>
              </w:rPr>
            </w:pPr>
            <w:r>
              <w:rPr>
                <w:rFonts w:ascii="Arial" w:cs="Arial" w:eastAsia="Arial" w:hAnsi="Arial"/>
                <w:sz w:val="11"/>
                <w:szCs w:val="11"/>
                <w:color w:val="auto"/>
              </w:rPr>
              <w:t>3/8/2025 and 3/8/2026</w:t>
            </w:r>
          </w:p>
        </w:tc>
      </w:tr>
      <w:tr>
        <w:trPr>
          <w:trHeight w:val="162"/>
        </w:trPr>
        <w:tc>
          <w:tcPr>
            <w:tcW w:w="1080" w:type="dxa"/>
            <w:vAlign w:val="bottom"/>
            <w:tcBorders>
              <w:right w:val="single" w:sz="8" w:color="95B3D7"/>
            </w:tcBorders>
            <w:shd w:val="clear" w:color="auto" w:fill="DBE5F1"/>
          </w:tcPr>
          <w:p>
            <w:pPr>
              <w:spacing w:after="0"/>
              <w:rPr>
                <w:sz w:val="14"/>
                <w:szCs w:val="14"/>
                <w:color w:val="auto"/>
              </w:rPr>
            </w:pPr>
          </w:p>
        </w:tc>
        <w:tc>
          <w:tcPr>
            <w:tcW w:w="142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3/8/2022</w:t>
            </w:r>
          </w:p>
        </w:tc>
        <w:tc>
          <w:tcPr>
            <w:tcW w:w="96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1"/>
                <w:szCs w:val="11"/>
                <w:color w:val="auto"/>
              </w:rPr>
              <w:t>Options</w:t>
            </w:r>
          </w:p>
        </w:tc>
        <w:tc>
          <w:tcPr>
            <w:tcW w:w="5240" w:type="dxa"/>
            <w:vAlign w:val="bottom"/>
            <w:shd w:val="clear" w:color="auto" w:fill="DBE5F1"/>
          </w:tcPr>
          <w:p>
            <w:pPr>
              <w:ind w:left="60"/>
              <w:spacing w:after="0"/>
              <w:rPr>
                <w:sz w:val="20"/>
                <w:szCs w:val="20"/>
                <w:color w:val="auto"/>
              </w:rPr>
            </w:pPr>
            <w:r>
              <w:rPr>
                <w:rFonts w:ascii="Arial" w:cs="Arial" w:eastAsia="Arial" w:hAnsi="Arial"/>
                <w:sz w:val="11"/>
                <w:szCs w:val="11"/>
                <w:color w:val="auto"/>
                <w:w w:val="98"/>
              </w:rPr>
              <w:t>Vests 25% per year over 4 years with 91,241 vesting on each of 3/8/2023, 3/8/2024, 3/8/2025 and 3/8/2026</w:t>
            </w:r>
          </w:p>
        </w:tc>
      </w:tr>
      <w:tr>
        <w:trPr>
          <w:trHeight w:val="162"/>
        </w:trPr>
        <w:tc>
          <w:tcPr>
            <w:tcW w:w="1080" w:type="dxa"/>
            <w:vAlign w:val="bottom"/>
            <w:tcBorders>
              <w:right w:val="single" w:sz="8" w:color="95B3D7"/>
            </w:tcBorders>
            <w:shd w:val="clear" w:color="auto" w:fill="DBE5F1"/>
          </w:tcPr>
          <w:p>
            <w:pPr>
              <w:spacing w:after="0"/>
              <w:rPr>
                <w:sz w:val="14"/>
                <w:szCs w:val="14"/>
                <w:color w:val="auto"/>
              </w:rPr>
            </w:pPr>
          </w:p>
        </w:tc>
        <w:tc>
          <w:tcPr>
            <w:tcW w:w="142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3/25/2021</w:t>
            </w:r>
          </w:p>
        </w:tc>
        <w:tc>
          <w:tcPr>
            <w:tcW w:w="96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1"/>
                <w:szCs w:val="11"/>
                <w:color w:val="auto"/>
              </w:rPr>
              <w:t>Options</w:t>
            </w:r>
          </w:p>
        </w:tc>
        <w:tc>
          <w:tcPr>
            <w:tcW w:w="5240" w:type="dxa"/>
            <w:vAlign w:val="bottom"/>
            <w:shd w:val="clear" w:color="auto" w:fill="DBE5F1"/>
          </w:tcPr>
          <w:p>
            <w:pPr>
              <w:ind w:left="60"/>
              <w:spacing w:after="0"/>
              <w:rPr>
                <w:sz w:val="20"/>
                <w:szCs w:val="20"/>
                <w:color w:val="auto"/>
              </w:rPr>
            </w:pPr>
            <w:r>
              <w:rPr>
                <w:rFonts w:ascii="Arial" w:cs="Arial" w:eastAsia="Arial" w:hAnsi="Arial"/>
                <w:sz w:val="11"/>
                <w:szCs w:val="11"/>
                <w:color w:val="auto"/>
              </w:rPr>
              <w:t>Vests 25% per year over 4 years with 979,167 vesting on each of 3/25/2022, 2023, 2024, and 2025</w:t>
            </w:r>
          </w:p>
        </w:tc>
      </w:tr>
      <w:tr>
        <w:trPr>
          <w:trHeight w:val="128"/>
        </w:trPr>
        <w:tc>
          <w:tcPr>
            <w:tcW w:w="1080" w:type="dxa"/>
            <w:vAlign w:val="bottom"/>
            <w:tcBorders>
              <w:right w:val="single" w:sz="8" w:color="95B3D7"/>
            </w:tcBorders>
            <w:shd w:val="clear" w:color="auto" w:fill="DBE5F1"/>
          </w:tcPr>
          <w:p>
            <w:pPr>
              <w:spacing w:after="0"/>
              <w:rPr>
                <w:sz w:val="11"/>
                <w:szCs w:val="11"/>
                <w:color w:val="auto"/>
              </w:rPr>
            </w:pPr>
          </w:p>
        </w:tc>
        <w:tc>
          <w:tcPr>
            <w:tcW w:w="142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3/25/2021</w:t>
            </w:r>
          </w:p>
        </w:tc>
        <w:tc>
          <w:tcPr>
            <w:tcW w:w="96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1"/>
                <w:szCs w:val="11"/>
                <w:color w:val="auto"/>
              </w:rPr>
              <w:t>RSUs</w:t>
            </w:r>
          </w:p>
        </w:tc>
        <w:tc>
          <w:tcPr>
            <w:tcW w:w="5240" w:type="dxa"/>
            <w:vAlign w:val="bottom"/>
            <w:shd w:val="clear" w:color="auto" w:fill="DBE5F1"/>
          </w:tcPr>
          <w:p>
            <w:pPr>
              <w:ind w:left="60"/>
              <w:spacing w:after="0"/>
              <w:rPr>
                <w:sz w:val="20"/>
                <w:szCs w:val="20"/>
                <w:color w:val="auto"/>
              </w:rPr>
            </w:pPr>
            <w:r>
              <w:rPr>
                <w:rFonts w:ascii="Arial" w:cs="Arial" w:eastAsia="Arial" w:hAnsi="Arial"/>
                <w:sz w:val="11"/>
                <w:szCs w:val="11"/>
                <w:color w:val="auto"/>
              </w:rPr>
              <w:t>Vests 25% per year over 4 years with approximately 77,758 vesting on each of 3/25/2022, 3/25/2023,</w:t>
            </w:r>
          </w:p>
        </w:tc>
      </w:tr>
      <w:tr>
        <w:trPr>
          <w:trHeight w:val="142"/>
        </w:trPr>
        <w:tc>
          <w:tcPr>
            <w:tcW w:w="1080" w:type="dxa"/>
            <w:vAlign w:val="bottom"/>
            <w:tcBorders>
              <w:right w:val="single" w:sz="8" w:color="95B3D7"/>
            </w:tcBorders>
            <w:shd w:val="clear" w:color="auto" w:fill="DBE5F1"/>
          </w:tcPr>
          <w:p>
            <w:pPr>
              <w:spacing w:after="0"/>
              <w:rPr>
                <w:sz w:val="12"/>
                <w:szCs w:val="12"/>
                <w:color w:val="auto"/>
              </w:rPr>
            </w:pPr>
          </w:p>
        </w:tc>
        <w:tc>
          <w:tcPr>
            <w:tcW w:w="1420" w:type="dxa"/>
            <w:vAlign w:val="bottom"/>
            <w:tcBorders>
              <w:right w:val="single" w:sz="8" w:color="95B3D7"/>
            </w:tcBorders>
            <w:shd w:val="clear" w:color="auto" w:fill="DBE5F1"/>
          </w:tcPr>
          <w:p>
            <w:pPr>
              <w:spacing w:after="0"/>
              <w:rPr>
                <w:sz w:val="12"/>
                <w:szCs w:val="12"/>
                <w:color w:val="auto"/>
              </w:rPr>
            </w:pPr>
          </w:p>
        </w:tc>
        <w:tc>
          <w:tcPr>
            <w:tcW w:w="960" w:type="dxa"/>
            <w:vAlign w:val="bottom"/>
            <w:tcBorders>
              <w:right w:val="single" w:sz="8" w:color="95B3D7"/>
            </w:tcBorders>
            <w:shd w:val="clear" w:color="auto" w:fill="DBE5F1"/>
          </w:tcPr>
          <w:p>
            <w:pPr>
              <w:spacing w:after="0"/>
              <w:rPr>
                <w:sz w:val="12"/>
                <w:szCs w:val="12"/>
                <w:color w:val="auto"/>
              </w:rPr>
            </w:pPr>
          </w:p>
        </w:tc>
        <w:tc>
          <w:tcPr>
            <w:tcW w:w="5240" w:type="dxa"/>
            <w:vAlign w:val="bottom"/>
            <w:shd w:val="clear" w:color="auto" w:fill="DBE5F1"/>
          </w:tcPr>
          <w:p>
            <w:pPr>
              <w:ind w:left="60"/>
              <w:spacing w:after="0"/>
              <w:rPr>
                <w:sz w:val="20"/>
                <w:szCs w:val="20"/>
                <w:color w:val="auto"/>
              </w:rPr>
            </w:pPr>
            <w:r>
              <w:rPr>
                <w:rFonts w:ascii="Arial" w:cs="Arial" w:eastAsia="Arial" w:hAnsi="Arial"/>
                <w:sz w:val="11"/>
                <w:szCs w:val="11"/>
                <w:color w:val="auto"/>
              </w:rPr>
              <w:t>3/25/2024 and 3/25/2025</w:t>
            </w:r>
          </w:p>
        </w:tc>
      </w:tr>
      <w:tr>
        <w:trPr>
          <w:trHeight w:val="142"/>
        </w:trPr>
        <w:tc>
          <w:tcPr>
            <w:tcW w:w="1080" w:type="dxa"/>
            <w:vAlign w:val="bottom"/>
            <w:tcBorders>
              <w:bottom w:val="single" w:sz="8" w:color="95B3D7"/>
              <w:right w:val="single" w:sz="8" w:color="95B3D7"/>
            </w:tcBorders>
            <w:shd w:val="clear" w:color="auto" w:fill="DBE5F1"/>
          </w:tcPr>
          <w:p>
            <w:pPr>
              <w:spacing w:after="0"/>
              <w:rPr>
                <w:sz w:val="12"/>
                <w:szCs w:val="12"/>
                <w:color w:val="auto"/>
              </w:rPr>
            </w:pPr>
          </w:p>
        </w:tc>
        <w:tc>
          <w:tcPr>
            <w:tcW w:w="1420" w:type="dxa"/>
            <w:vAlign w:val="bottom"/>
            <w:tcBorders>
              <w:bottom w:val="single" w:sz="8" w:color="95B3D7"/>
              <w:right w:val="single" w:sz="8" w:color="95B3D7"/>
            </w:tcBorders>
            <w:shd w:val="clear" w:color="auto" w:fill="DBE5F1"/>
          </w:tcPr>
          <w:p>
            <w:pPr>
              <w:spacing w:after="0"/>
              <w:rPr>
                <w:sz w:val="12"/>
                <w:szCs w:val="12"/>
                <w:color w:val="auto"/>
              </w:rPr>
            </w:pPr>
          </w:p>
        </w:tc>
        <w:tc>
          <w:tcPr>
            <w:tcW w:w="960" w:type="dxa"/>
            <w:vAlign w:val="bottom"/>
            <w:tcBorders>
              <w:bottom w:val="single" w:sz="8" w:color="95B3D7"/>
              <w:right w:val="single" w:sz="8" w:color="95B3D7"/>
            </w:tcBorders>
            <w:shd w:val="clear" w:color="auto" w:fill="DBE5F1"/>
          </w:tcPr>
          <w:p>
            <w:pPr>
              <w:spacing w:after="0"/>
              <w:rPr>
                <w:sz w:val="12"/>
                <w:szCs w:val="12"/>
                <w:color w:val="auto"/>
              </w:rPr>
            </w:pPr>
          </w:p>
        </w:tc>
        <w:tc>
          <w:tcPr>
            <w:tcW w:w="5240" w:type="dxa"/>
            <w:vAlign w:val="bottom"/>
            <w:tcBorders>
              <w:bottom w:val="single" w:sz="8" w:color="95B3D7"/>
            </w:tcBorders>
            <w:shd w:val="clear" w:color="auto" w:fill="DBE5F1"/>
          </w:tcPr>
          <w:p>
            <w:pPr>
              <w:spacing w:after="0"/>
              <w:rPr>
                <w:sz w:val="12"/>
                <w:szCs w:val="12"/>
                <w:color w:val="auto"/>
              </w:rPr>
            </w:pPr>
          </w:p>
        </w:tc>
      </w:tr>
      <w:tr>
        <w:trPr>
          <w:trHeight w:val="102"/>
        </w:trPr>
        <w:tc>
          <w:tcPr>
            <w:tcW w:w="1080" w:type="dxa"/>
            <w:vAlign w:val="bottom"/>
            <w:tcBorders>
              <w:right w:val="single" w:sz="8" w:color="95B3D7"/>
            </w:tcBorders>
          </w:tcPr>
          <w:p>
            <w:pPr>
              <w:ind w:left="60"/>
              <w:spacing w:after="0" w:line="102" w:lineRule="exact"/>
              <w:rPr>
                <w:sz w:val="20"/>
                <w:szCs w:val="20"/>
                <w:color w:val="auto"/>
              </w:rPr>
            </w:pPr>
            <w:r>
              <w:rPr>
                <w:rFonts w:ascii="Arial" w:cs="Arial" w:eastAsia="Arial" w:hAnsi="Arial"/>
                <w:sz w:val="11"/>
                <w:szCs w:val="11"/>
                <w:color w:val="auto"/>
              </w:rPr>
              <w:t>Thomas Freeman</w:t>
            </w:r>
          </w:p>
        </w:tc>
        <w:tc>
          <w:tcPr>
            <w:tcW w:w="1420" w:type="dxa"/>
            <w:vAlign w:val="bottom"/>
            <w:tcBorders>
              <w:right w:val="single" w:sz="8" w:color="95B3D7"/>
            </w:tcBorders>
          </w:tcPr>
          <w:p>
            <w:pPr>
              <w:ind w:left="40"/>
              <w:spacing w:after="0" w:line="102" w:lineRule="exact"/>
              <w:rPr>
                <w:sz w:val="20"/>
                <w:szCs w:val="20"/>
                <w:color w:val="auto"/>
              </w:rPr>
            </w:pPr>
            <w:r>
              <w:rPr>
                <w:rFonts w:ascii="Arial" w:cs="Arial" w:eastAsia="Arial" w:hAnsi="Arial"/>
                <w:sz w:val="11"/>
                <w:szCs w:val="11"/>
                <w:color w:val="auto"/>
              </w:rPr>
              <w:t>3/13/2024</w:t>
            </w:r>
          </w:p>
        </w:tc>
        <w:tc>
          <w:tcPr>
            <w:tcW w:w="960" w:type="dxa"/>
            <w:vAlign w:val="bottom"/>
            <w:tcBorders>
              <w:right w:val="single" w:sz="8" w:color="95B3D7"/>
            </w:tcBorders>
          </w:tcPr>
          <w:p>
            <w:pPr>
              <w:ind w:left="60"/>
              <w:spacing w:after="0" w:line="102" w:lineRule="exact"/>
              <w:rPr>
                <w:sz w:val="20"/>
                <w:szCs w:val="20"/>
                <w:color w:val="auto"/>
              </w:rPr>
            </w:pPr>
            <w:r>
              <w:rPr>
                <w:rFonts w:ascii="Arial" w:cs="Arial" w:eastAsia="Arial" w:hAnsi="Arial"/>
                <w:sz w:val="11"/>
                <w:szCs w:val="11"/>
                <w:color w:val="auto"/>
              </w:rPr>
              <w:t>RSUs</w:t>
            </w:r>
          </w:p>
        </w:tc>
        <w:tc>
          <w:tcPr>
            <w:tcW w:w="5240" w:type="dxa"/>
            <w:vAlign w:val="bottom"/>
          </w:tcPr>
          <w:p>
            <w:pPr>
              <w:ind w:left="60"/>
              <w:spacing w:after="0" w:line="102" w:lineRule="exact"/>
              <w:rPr>
                <w:sz w:val="20"/>
                <w:szCs w:val="20"/>
                <w:color w:val="auto"/>
              </w:rPr>
            </w:pPr>
            <w:r>
              <w:rPr>
                <w:rFonts w:ascii="Arial" w:cs="Arial" w:eastAsia="Arial" w:hAnsi="Arial"/>
                <w:sz w:val="11"/>
                <w:szCs w:val="11"/>
                <w:color w:val="auto"/>
              </w:rPr>
              <w:t>Vests 25% per year over 4 years with approximately 27,500 shares vesting on each of 3/13/2025,</w:t>
            </w:r>
          </w:p>
        </w:tc>
      </w:tr>
      <w:tr>
        <w:trPr>
          <w:trHeight w:val="142"/>
        </w:trPr>
        <w:tc>
          <w:tcPr>
            <w:tcW w:w="1080" w:type="dxa"/>
            <w:vAlign w:val="bottom"/>
            <w:tcBorders>
              <w:right w:val="single" w:sz="8" w:color="95B3D7"/>
            </w:tcBorders>
          </w:tcPr>
          <w:p>
            <w:pPr>
              <w:spacing w:after="0"/>
              <w:rPr>
                <w:sz w:val="12"/>
                <w:szCs w:val="12"/>
                <w:color w:val="auto"/>
              </w:rPr>
            </w:pPr>
          </w:p>
        </w:tc>
        <w:tc>
          <w:tcPr>
            <w:tcW w:w="1420" w:type="dxa"/>
            <w:vAlign w:val="bottom"/>
            <w:tcBorders>
              <w:right w:val="single" w:sz="8" w:color="95B3D7"/>
            </w:tcBorders>
          </w:tcPr>
          <w:p>
            <w:pPr>
              <w:spacing w:after="0"/>
              <w:rPr>
                <w:sz w:val="12"/>
                <w:szCs w:val="12"/>
                <w:color w:val="auto"/>
              </w:rPr>
            </w:pPr>
          </w:p>
        </w:tc>
        <w:tc>
          <w:tcPr>
            <w:tcW w:w="960" w:type="dxa"/>
            <w:vAlign w:val="bottom"/>
            <w:tcBorders>
              <w:right w:val="single" w:sz="8" w:color="95B3D7"/>
            </w:tcBorders>
          </w:tcPr>
          <w:p>
            <w:pPr>
              <w:spacing w:after="0"/>
              <w:rPr>
                <w:sz w:val="12"/>
                <w:szCs w:val="12"/>
                <w:color w:val="auto"/>
              </w:rPr>
            </w:pPr>
          </w:p>
        </w:tc>
        <w:tc>
          <w:tcPr>
            <w:tcW w:w="5240" w:type="dxa"/>
            <w:vAlign w:val="bottom"/>
          </w:tcPr>
          <w:p>
            <w:pPr>
              <w:ind w:left="60"/>
              <w:spacing w:after="0"/>
              <w:rPr>
                <w:sz w:val="20"/>
                <w:szCs w:val="20"/>
                <w:color w:val="auto"/>
              </w:rPr>
            </w:pPr>
            <w:r>
              <w:rPr>
                <w:rFonts w:ascii="Arial" w:cs="Arial" w:eastAsia="Arial" w:hAnsi="Arial"/>
                <w:sz w:val="11"/>
                <w:szCs w:val="11"/>
                <w:color w:val="auto"/>
              </w:rPr>
              <w:t>3/13/2026, 3/13/2027 and 3/13/2028</w:t>
            </w:r>
          </w:p>
        </w:tc>
      </w:tr>
      <w:tr>
        <w:trPr>
          <w:trHeight w:val="162"/>
        </w:trPr>
        <w:tc>
          <w:tcPr>
            <w:tcW w:w="1080" w:type="dxa"/>
            <w:vAlign w:val="bottom"/>
            <w:tcBorders>
              <w:right w:val="single" w:sz="8" w:color="95B3D7"/>
            </w:tcBorders>
          </w:tcPr>
          <w:p>
            <w:pPr>
              <w:spacing w:after="0"/>
              <w:rPr>
                <w:sz w:val="14"/>
                <w:szCs w:val="14"/>
                <w:color w:val="auto"/>
              </w:rPr>
            </w:pPr>
          </w:p>
        </w:tc>
        <w:tc>
          <w:tcPr>
            <w:tcW w:w="1420" w:type="dxa"/>
            <w:vAlign w:val="bottom"/>
            <w:tcBorders>
              <w:right w:val="single" w:sz="8" w:color="95B3D7"/>
            </w:tcBorders>
          </w:tcPr>
          <w:p>
            <w:pPr>
              <w:ind w:left="40"/>
              <w:spacing w:after="0"/>
              <w:rPr>
                <w:sz w:val="20"/>
                <w:szCs w:val="20"/>
                <w:color w:val="auto"/>
              </w:rPr>
            </w:pPr>
            <w:r>
              <w:rPr>
                <w:rFonts w:ascii="Arial" w:cs="Arial" w:eastAsia="Arial" w:hAnsi="Arial"/>
                <w:sz w:val="11"/>
                <w:szCs w:val="11"/>
                <w:color w:val="auto"/>
              </w:rPr>
              <w:t>3/13/2024</w:t>
            </w:r>
          </w:p>
        </w:tc>
        <w:tc>
          <w:tcPr>
            <w:tcW w:w="960" w:type="dxa"/>
            <w:vAlign w:val="bottom"/>
            <w:tcBorders>
              <w:right w:val="single" w:sz="8" w:color="95B3D7"/>
            </w:tcBorders>
          </w:tcPr>
          <w:p>
            <w:pPr>
              <w:ind w:left="60"/>
              <w:spacing w:after="0"/>
              <w:rPr>
                <w:sz w:val="20"/>
                <w:szCs w:val="20"/>
                <w:color w:val="auto"/>
              </w:rPr>
            </w:pPr>
            <w:r>
              <w:rPr>
                <w:rFonts w:ascii="Arial" w:cs="Arial" w:eastAsia="Arial" w:hAnsi="Arial"/>
                <w:sz w:val="11"/>
                <w:szCs w:val="11"/>
                <w:color w:val="auto"/>
              </w:rPr>
              <w:t>PSUs</w:t>
            </w:r>
          </w:p>
        </w:tc>
        <w:tc>
          <w:tcPr>
            <w:tcW w:w="5240" w:type="dxa"/>
            <w:vAlign w:val="bottom"/>
          </w:tcPr>
          <w:p>
            <w:pPr>
              <w:ind w:left="60"/>
              <w:spacing w:after="0"/>
              <w:rPr>
                <w:sz w:val="20"/>
                <w:szCs w:val="20"/>
                <w:color w:val="auto"/>
              </w:rPr>
            </w:pPr>
            <w:r>
              <w:rPr>
                <w:rFonts w:ascii="Arial" w:cs="Arial" w:eastAsia="Arial" w:hAnsi="Arial"/>
                <w:sz w:val="11"/>
                <w:szCs w:val="11"/>
                <w:color w:val="auto"/>
              </w:rPr>
              <w:t>Vests on or about 2/28/2027, subject to achievement of performance metrics</w:t>
            </w:r>
          </w:p>
        </w:tc>
      </w:tr>
      <w:tr>
        <w:trPr>
          <w:trHeight w:val="162"/>
        </w:trPr>
        <w:tc>
          <w:tcPr>
            <w:tcW w:w="1080" w:type="dxa"/>
            <w:vAlign w:val="bottom"/>
            <w:tcBorders>
              <w:right w:val="single" w:sz="8" w:color="95B3D7"/>
            </w:tcBorders>
          </w:tcPr>
          <w:p>
            <w:pPr>
              <w:spacing w:after="0"/>
              <w:rPr>
                <w:sz w:val="14"/>
                <w:szCs w:val="14"/>
                <w:color w:val="auto"/>
              </w:rPr>
            </w:pPr>
          </w:p>
        </w:tc>
        <w:tc>
          <w:tcPr>
            <w:tcW w:w="1420" w:type="dxa"/>
            <w:vAlign w:val="bottom"/>
            <w:tcBorders>
              <w:right w:val="single" w:sz="8" w:color="95B3D7"/>
            </w:tcBorders>
          </w:tcPr>
          <w:p>
            <w:pPr>
              <w:ind w:left="40"/>
              <w:spacing w:after="0"/>
              <w:rPr>
                <w:sz w:val="20"/>
                <w:szCs w:val="20"/>
                <w:color w:val="auto"/>
              </w:rPr>
            </w:pPr>
            <w:r>
              <w:rPr>
                <w:rFonts w:ascii="Arial" w:cs="Arial" w:eastAsia="Arial" w:hAnsi="Arial"/>
                <w:sz w:val="11"/>
                <w:szCs w:val="11"/>
                <w:color w:val="auto"/>
              </w:rPr>
              <w:t>9/14/2023</w:t>
            </w:r>
          </w:p>
        </w:tc>
        <w:tc>
          <w:tcPr>
            <w:tcW w:w="960" w:type="dxa"/>
            <w:vAlign w:val="bottom"/>
            <w:tcBorders>
              <w:right w:val="single" w:sz="8" w:color="95B3D7"/>
            </w:tcBorders>
          </w:tcPr>
          <w:p>
            <w:pPr>
              <w:ind w:left="60"/>
              <w:spacing w:after="0"/>
              <w:rPr>
                <w:sz w:val="20"/>
                <w:szCs w:val="20"/>
                <w:color w:val="auto"/>
              </w:rPr>
            </w:pPr>
            <w:r>
              <w:rPr>
                <w:rFonts w:ascii="Arial" w:cs="Arial" w:eastAsia="Arial" w:hAnsi="Arial"/>
                <w:sz w:val="11"/>
                <w:szCs w:val="11"/>
                <w:color w:val="auto"/>
              </w:rPr>
              <w:t>PSUs</w:t>
            </w:r>
          </w:p>
        </w:tc>
        <w:tc>
          <w:tcPr>
            <w:tcW w:w="5240" w:type="dxa"/>
            <w:vAlign w:val="bottom"/>
          </w:tcPr>
          <w:p>
            <w:pPr>
              <w:ind w:left="60"/>
              <w:spacing w:after="0"/>
              <w:rPr>
                <w:sz w:val="20"/>
                <w:szCs w:val="20"/>
                <w:color w:val="auto"/>
              </w:rPr>
            </w:pPr>
            <w:r>
              <w:rPr>
                <w:rFonts w:ascii="Arial" w:cs="Arial" w:eastAsia="Arial" w:hAnsi="Arial"/>
                <w:sz w:val="11"/>
                <w:szCs w:val="11"/>
                <w:color w:val="auto"/>
              </w:rPr>
              <w:t>Vests 50% on the certification date and 50% on 12/31/25</w:t>
            </w:r>
          </w:p>
        </w:tc>
      </w:tr>
      <w:tr>
        <w:trPr>
          <w:trHeight w:val="162"/>
        </w:trPr>
        <w:tc>
          <w:tcPr>
            <w:tcW w:w="1080" w:type="dxa"/>
            <w:vAlign w:val="bottom"/>
            <w:tcBorders>
              <w:right w:val="single" w:sz="8" w:color="95B3D7"/>
            </w:tcBorders>
          </w:tcPr>
          <w:p>
            <w:pPr>
              <w:spacing w:after="0"/>
              <w:rPr>
                <w:sz w:val="14"/>
                <w:szCs w:val="14"/>
                <w:color w:val="auto"/>
              </w:rPr>
            </w:pPr>
          </w:p>
        </w:tc>
        <w:tc>
          <w:tcPr>
            <w:tcW w:w="1420" w:type="dxa"/>
            <w:vAlign w:val="bottom"/>
            <w:tcBorders>
              <w:right w:val="single" w:sz="8" w:color="95B3D7"/>
            </w:tcBorders>
          </w:tcPr>
          <w:p>
            <w:pPr>
              <w:ind w:left="40"/>
              <w:spacing w:after="0"/>
              <w:rPr>
                <w:sz w:val="20"/>
                <w:szCs w:val="20"/>
                <w:color w:val="auto"/>
              </w:rPr>
            </w:pPr>
            <w:r>
              <w:rPr>
                <w:rFonts w:ascii="Arial" w:cs="Arial" w:eastAsia="Arial" w:hAnsi="Arial"/>
                <w:sz w:val="11"/>
                <w:szCs w:val="11"/>
                <w:color w:val="auto"/>
              </w:rPr>
              <w:t>9/12/2022</w:t>
            </w:r>
          </w:p>
        </w:tc>
        <w:tc>
          <w:tcPr>
            <w:tcW w:w="960" w:type="dxa"/>
            <w:vAlign w:val="bottom"/>
            <w:tcBorders>
              <w:right w:val="single" w:sz="8" w:color="95B3D7"/>
            </w:tcBorders>
          </w:tcPr>
          <w:p>
            <w:pPr>
              <w:ind w:left="60"/>
              <w:spacing w:after="0"/>
              <w:rPr>
                <w:sz w:val="20"/>
                <w:szCs w:val="20"/>
                <w:color w:val="auto"/>
              </w:rPr>
            </w:pPr>
            <w:r>
              <w:rPr>
                <w:rFonts w:ascii="Arial" w:cs="Arial" w:eastAsia="Arial" w:hAnsi="Arial"/>
                <w:sz w:val="11"/>
                <w:szCs w:val="11"/>
                <w:color w:val="auto"/>
              </w:rPr>
              <w:t>RSUs</w:t>
            </w:r>
          </w:p>
        </w:tc>
        <w:tc>
          <w:tcPr>
            <w:tcW w:w="5240" w:type="dxa"/>
            <w:vAlign w:val="bottom"/>
          </w:tcPr>
          <w:p>
            <w:pPr>
              <w:ind w:left="60"/>
              <w:spacing w:after="0"/>
              <w:rPr>
                <w:sz w:val="20"/>
                <w:szCs w:val="20"/>
                <w:color w:val="auto"/>
              </w:rPr>
            </w:pPr>
            <w:r>
              <w:rPr>
                <w:rFonts w:ascii="Arial" w:cs="Arial" w:eastAsia="Arial" w:hAnsi="Arial"/>
                <w:sz w:val="11"/>
                <w:szCs w:val="11"/>
                <w:color w:val="auto"/>
              </w:rPr>
              <w:t>Vests 159,590 shares on 9/7/2025 and 159,589 shares on 9/7/2026.</w:t>
            </w:r>
          </w:p>
        </w:tc>
      </w:tr>
      <w:tr>
        <w:trPr>
          <w:trHeight w:val="128"/>
        </w:trPr>
        <w:tc>
          <w:tcPr>
            <w:tcW w:w="1080" w:type="dxa"/>
            <w:vAlign w:val="bottom"/>
            <w:tcBorders>
              <w:right w:val="single" w:sz="8" w:color="95B3D7"/>
            </w:tcBorders>
          </w:tcPr>
          <w:p>
            <w:pPr>
              <w:spacing w:after="0"/>
              <w:rPr>
                <w:sz w:val="11"/>
                <w:szCs w:val="11"/>
                <w:color w:val="auto"/>
              </w:rPr>
            </w:pPr>
          </w:p>
        </w:tc>
        <w:tc>
          <w:tcPr>
            <w:tcW w:w="1420" w:type="dxa"/>
            <w:vAlign w:val="bottom"/>
            <w:tcBorders>
              <w:right w:val="single" w:sz="8" w:color="95B3D7"/>
            </w:tcBorders>
          </w:tcPr>
          <w:p>
            <w:pPr>
              <w:ind w:left="40"/>
              <w:spacing w:after="0"/>
              <w:rPr>
                <w:sz w:val="20"/>
                <w:szCs w:val="20"/>
                <w:color w:val="auto"/>
              </w:rPr>
            </w:pPr>
            <w:r>
              <w:rPr>
                <w:rFonts w:ascii="Arial" w:cs="Arial" w:eastAsia="Arial" w:hAnsi="Arial"/>
                <w:sz w:val="11"/>
                <w:szCs w:val="11"/>
                <w:color w:val="auto"/>
              </w:rPr>
              <w:t>3/8/2022</w:t>
            </w:r>
          </w:p>
        </w:tc>
        <w:tc>
          <w:tcPr>
            <w:tcW w:w="960" w:type="dxa"/>
            <w:vAlign w:val="bottom"/>
            <w:tcBorders>
              <w:right w:val="single" w:sz="8" w:color="95B3D7"/>
            </w:tcBorders>
          </w:tcPr>
          <w:p>
            <w:pPr>
              <w:ind w:left="60"/>
              <w:spacing w:after="0"/>
              <w:rPr>
                <w:sz w:val="20"/>
                <w:szCs w:val="20"/>
                <w:color w:val="auto"/>
              </w:rPr>
            </w:pPr>
            <w:r>
              <w:rPr>
                <w:rFonts w:ascii="Arial" w:cs="Arial" w:eastAsia="Arial" w:hAnsi="Arial"/>
                <w:sz w:val="11"/>
                <w:szCs w:val="11"/>
                <w:color w:val="auto"/>
              </w:rPr>
              <w:t>RSUs</w:t>
            </w:r>
          </w:p>
        </w:tc>
        <w:tc>
          <w:tcPr>
            <w:tcW w:w="5240" w:type="dxa"/>
            <w:vAlign w:val="bottom"/>
          </w:tcPr>
          <w:p>
            <w:pPr>
              <w:ind w:left="60"/>
              <w:spacing w:after="0"/>
              <w:rPr>
                <w:sz w:val="20"/>
                <w:szCs w:val="20"/>
                <w:color w:val="auto"/>
              </w:rPr>
            </w:pPr>
            <w:r>
              <w:rPr>
                <w:rFonts w:ascii="Arial" w:cs="Arial" w:eastAsia="Arial" w:hAnsi="Arial"/>
                <w:sz w:val="11"/>
                <w:szCs w:val="11"/>
                <w:color w:val="auto"/>
                <w:w w:val="98"/>
              </w:rPr>
              <w:t>Vests 25% per year over 4 years with approximately 34,147 vesting on each of 3/8/2023, 3/8/2024, 3/8/2025</w:t>
            </w:r>
          </w:p>
        </w:tc>
      </w:tr>
      <w:tr>
        <w:trPr>
          <w:trHeight w:val="142"/>
        </w:trPr>
        <w:tc>
          <w:tcPr>
            <w:tcW w:w="1080" w:type="dxa"/>
            <w:vAlign w:val="bottom"/>
            <w:tcBorders>
              <w:right w:val="single" w:sz="8" w:color="95B3D7"/>
            </w:tcBorders>
          </w:tcPr>
          <w:p>
            <w:pPr>
              <w:spacing w:after="0"/>
              <w:rPr>
                <w:sz w:val="12"/>
                <w:szCs w:val="12"/>
                <w:color w:val="auto"/>
              </w:rPr>
            </w:pPr>
          </w:p>
        </w:tc>
        <w:tc>
          <w:tcPr>
            <w:tcW w:w="1420" w:type="dxa"/>
            <w:vAlign w:val="bottom"/>
            <w:tcBorders>
              <w:right w:val="single" w:sz="8" w:color="95B3D7"/>
            </w:tcBorders>
          </w:tcPr>
          <w:p>
            <w:pPr>
              <w:spacing w:after="0"/>
              <w:rPr>
                <w:sz w:val="12"/>
                <w:szCs w:val="12"/>
                <w:color w:val="auto"/>
              </w:rPr>
            </w:pPr>
          </w:p>
        </w:tc>
        <w:tc>
          <w:tcPr>
            <w:tcW w:w="960" w:type="dxa"/>
            <w:vAlign w:val="bottom"/>
            <w:tcBorders>
              <w:right w:val="single" w:sz="8" w:color="95B3D7"/>
            </w:tcBorders>
          </w:tcPr>
          <w:p>
            <w:pPr>
              <w:spacing w:after="0"/>
              <w:rPr>
                <w:sz w:val="12"/>
                <w:szCs w:val="12"/>
                <w:color w:val="auto"/>
              </w:rPr>
            </w:pPr>
          </w:p>
        </w:tc>
        <w:tc>
          <w:tcPr>
            <w:tcW w:w="5240" w:type="dxa"/>
            <w:vAlign w:val="bottom"/>
          </w:tcPr>
          <w:p>
            <w:pPr>
              <w:ind w:left="60"/>
              <w:spacing w:after="0"/>
              <w:rPr>
                <w:sz w:val="20"/>
                <w:szCs w:val="20"/>
                <w:color w:val="auto"/>
              </w:rPr>
            </w:pPr>
            <w:r>
              <w:rPr>
                <w:rFonts w:ascii="Arial" w:cs="Arial" w:eastAsia="Arial" w:hAnsi="Arial"/>
                <w:sz w:val="11"/>
                <w:szCs w:val="11"/>
                <w:color w:val="auto"/>
              </w:rPr>
              <w:t>and 3/8/2026</w:t>
            </w:r>
          </w:p>
        </w:tc>
      </w:tr>
      <w:tr>
        <w:trPr>
          <w:trHeight w:val="128"/>
        </w:trPr>
        <w:tc>
          <w:tcPr>
            <w:tcW w:w="1080" w:type="dxa"/>
            <w:vAlign w:val="bottom"/>
            <w:tcBorders>
              <w:right w:val="single" w:sz="8" w:color="95B3D7"/>
            </w:tcBorders>
          </w:tcPr>
          <w:p>
            <w:pPr>
              <w:spacing w:after="0"/>
              <w:rPr>
                <w:sz w:val="11"/>
                <w:szCs w:val="11"/>
                <w:color w:val="auto"/>
              </w:rPr>
            </w:pPr>
          </w:p>
        </w:tc>
        <w:tc>
          <w:tcPr>
            <w:tcW w:w="1420" w:type="dxa"/>
            <w:vAlign w:val="bottom"/>
            <w:tcBorders>
              <w:right w:val="single" w:sz="8" w:color="95B3D7"/>
            </w:tcBorders>
          </w:tcPr>
          <w:p>
            <w:pPr>
              <w:ind w:left="40"/>
              <w:spacing w:after="0"/>
              <w:rPr>
                <w:sz w:val="20"/>
                <w:szCs w:val="20"/>
                <w:color w:val="auto"/>
              </w:rPr>
            </w:pPr>
            <w:r>
              <w:rPr>
                <w:rFonts w:ascii="Arial" w:cs="Arial" w:eastAsia="Arial" w:hAnsi="Arial"/>
                <w:sz w:val="11"/>
                <w:szCs w:val="11"/>
                <w:color w:val="auto"/>
              </w:rPr>
              <w:t>3/8/2022</w:t>
            </w:r>
          </w:p>
        </w:tc>
        <w:tc>
          <w:tcPr>
            <w:tcW w:w="960" w:type="dxa"/>
            <w:vAlign w:val="bottom"/>
            <w:tcBorders>
              <w:right w:val="single" w:sz="8" w:color="95B3D7"/>
            </w:tcBorders>
          </w:tcPr>
          <w:p>
            <w:pPr>
              <w:ind w:left="60"/>
              <w:spacing w:after="0"/>
              <w:rPr>
                <w:sz w:val="20"/>
                <w:szCs w:val="20"/>
                <w:color w:val="auto"/>
              </w:rPr>
            </w:pPr>
            <w:r>
              <w:rPr>
                <w:rFonts w:ascii="Arial" w:cs="Arial" w:eastAsia="Arial" w:hAnsi="Arial"/>
                <w:sz w:val="11"/>
                <w:szCs w:val="11"/>
                <w:color w:val="auto"/>
              </w:rPr>
              <w:t>Options</w:t>
            </w:r>
          </w:p>
        </w:tc>
        <w:tc>
          <w:tcPr>
            <w:tcW w:w="5240" w:type="dxa"/>
            <w:vAlign w:val="bottom"/>
          </w:tcPr>
          <w:p>
            <w:pPr>
              <w:ind w:left="60"/>
              <w:spacing w:after="0"/>
              <w:rPr>
                <w:sz w:val="20"/>
                <w:szCs w:val="20"/>
                <w:color w:val="auto"/>
              </w:rPr>
            </w:pPr>
            <w:r>
              <w:rPr>
                <w:rFonts w:ascii="Arial" w:cs="Arial" w:eastAsia="Arial" w:hAnsi="Arial"/>
                <w:sz w:val="11"/>
                <w:szCs w:val="11"/>
                <w:color w:val="auto"/>
                <w:w w:val="98"/>
              </w:rPr>
              <w:t>Vests 25% per year over 4 years with approximately 25,091 vesting on each of 3/8/2023, 3/8/2024, 3/8/2025</w:t>
            </w:r>
          </w:p>
        </w:tc>
      </w:tr>
      <w:tr>
        <w:trPr>
          <w:trHeight w:val="142"/>
        </w:trPr>
        <w:tc>
          <w:tcPr>
            <w:tcW w:w="1080" w:type="dxa"/>
            <w:vAlign w:val="bottom"/>
            <w:tcBorders>
              <w:right w:val="single" w:sz="8" w:color="95B3D7"/>
            </w:tcBorders>
          </w:tcPr>
          <w:p>
            <w:pPr>
              <w:spacing w:after="0"/>
              <w:rPr>
                <w:sz w:val="12"/>
                <w:szCs w:val="12"/>
                <w:color w:val="auto"/>
              </w:rPr>
            </w:pPr>
          </w:p>
        </w:tc>
        <w:tc>
          <w:tcPr>
            <w:tcW w:w="1420" w:type="dxa"/>
            <w:vAlign w:val="bottom"/>
            <w:tcBorders>
              <w:right w:val="single" w:sz="8" w:color="95B3D7"/>
            </w:tcBorders>
          </w:tcPr>
          <w:p>
            <w:pPr>
              <w:spacing w:after="0"/>
              <w:rPr>
                <w:sz w:val="12"/>
                <w:szCs w:val="12"/>
                <w:color w:val="auto"/>
              </w:rPr>
            </w:pPr>
          </w:p>
        </w:tc>
        <w:tc>
          <w:tcPr>
            <w:tcW w:w="960" w:type="dxa"/>
            <w:vAlign w:val="bottom"/>
            <w:tcBorders>
              <w:right w:val="single" w:sz="8" w:color="95B3D7"/>
            </w:tcBorders>
          </w:tcPr>
          <w:p>
            <w:pPr>
              <w:spacing w:after="0"/>
              <w:rPr>
                <w:sz w:val="12"/>
                <w:szCs w:val="12"/>
                <w:color w:val="auto"/>
              </w:rPr>
            </w:pPr>
          </w:p>
        </w:tc>
        <w:tc>
          <w:tcPr>
            <w:tcW w:w="5240" w:type="dxa"/>
            <w:vAlign w:val="bottom"/>
          </w:tcPr>
          <w:p>
            <w:pPr>
              <w:ind w:left="60"/>
              <w:spacing w:after="0"/>
              <w:rPr>
                <w:sz w:val="20"/>
                <w:szCs w:val="20"/>
                <w:color w:val="auto"/>
              </w:rPr>
            </w:pPr>
            <w:r>
              <w:rPr>
                <w:rFonts w:ascii="Arial" w:cs="Arial" w:eastAsia="Arial" w:hAnsi="Arial"/>
                <w:sz w:val="11"/>
                <w:szCs w:val="11"/>
                <w:color w:val="auto"/>
              </w:rPr>
              <w:t>and 3/8/2026.</w:t>
            </w:r>
          </w:p>
        </w:tc>
      </w:tr>
      <w:tr>
        <w:trPr>
          <w:trHeight w:val="162"/>
        </w:trPr>
        <w:tc>
          <w:tcPr>
            <w:tcW w:w="1080" w:type="dxa"/>
            <w:vAlign w:val="bottom"/>
            <w:tcBorders>
              <w:right w:val="single" w:sz="8" w:color="95B3D7"/>
            </w:tcBorders>
          </w:tcPr>
          <w:p>
            <w:pPr>
              <w:spacing w:after="0"/>
              <w:rPr>
                <w:sz w:val="14"/>
                <w:szCs w:val="14"/>
                <w:color w:val="auto"/>
              </w:rPr>
            </w:pPr>
          </w:p>
        </w:tc>
        <w:tc>
          <w:tcPr>
            <w:tcW w:w="1420" w:type="dxa"/>
            <w:vAlign w:val="bottom"/>
            <w:tcBorders>
              <w:right w:val="single" w:sz="8" w:color="95B3D7"/>
            </w:tcBorders>
          </w:tcPr>
          <w:p>
            <w:pPr>
              <w:ind w:left="40"/>
              <w:spacing w:after="0"/>
              <w:rPr>
                <w:sz w:val="20"/>
                <w:szCs w:val="20"/>
                <w:color w:val="auto"/>
              </w:rPr>
            </w:pPr>
            <w:r>
              <w:rPr>
                <w:rFonts w:ascii="Arial" w:cs="Arial" w:eastAsia="Arial" w:hAnsi="Arial"/>
                <w:sz w:val="11"/>
                <w:szCs w:val="11"/>
                <w:color w:val="auto"/>
              </w:rPr>
              <w:t>3/25/2021</w:t>
            </w:r>
          </w:p>
        </w:tc>
        <w:tc>
          <w:tcPr>
            <w:tcW w:w="960" w:type="dxa"/>
            <w:vAlign w:val="bottom"/>
            <w:tcBorders>
              <w:right w:val="single" w:sz="8" w:color="95B3D7"/>
            </w:tcBorders>
          </w:tcPr>
          <w:p>
            <w:pPr>
              <w:ind w:left="60"/>
              <w:spacing w:after="0"/>
              <w:rPr>
                <w:sz w:val="20"/>
                <w:szCs w:val="20"/>
                <w:color w:val="auto"/>
              </w:rPr>
            </w:pPr>
            <w:r>
              <w:rPr>
                <w:rFonts w:ascii="Arial" w:cs="Arial" w:eastAsia="Arial" w:hAnsi="Arial"/>
                <w:sz w:val="11"/>
                <w:szCs w:val="11"/>
                <w:color w:val="auto"/>
              </w:rPr>
              <w:t>Options</w:t>
            </w:r>
          </w:p>
        </w:tc>
        <w:tc>
          <w:tcPr>
            <w:tcW w:w="5240" w:type="dxa"/>
            <w:vAlign w:val="bottom"/>
          </w:tcPr>
          <w:p>
            <w:pPr>
              <w:ind w:left="60"/>
              <w:spacing w:after="0"/>
              <w:rPr>
                <w:sz w:val="20"/>
                <w:szCs w:val="20"/>
                <w:color w:val="auto"/>
              </w:rPr>
            </w:pPr>
            <w:r>
              <w:rPr>
                <w:rFonts w:ascii="Arial" w:cs="Arial" w:eastAsia="Arial" w:hAnsi="Arial"/>
                <w:sz w:val="11"/>
                <w:szCs w:val="11"/>
                <w:color w:val="auto"/>
              </w:rPr>
              <w:t>Vests 25% per year over 4 years with 190,680 vesting on each of 3/25/2022, 2023, 2024, and 2025</w:t>
            </w:r>
          </w:p>
        </w:tc>
      </w:tr>
      <w:tr>
        <w:trPr>
          <w:trHeight w:val="128"/>
        </w:trPr>
        <w:tc>
          <w:tcPr>
            <w:tcW w:w="1080" w:type="dxa"/>
            <w:vAlign w:val="bottom"/>
            <w:tcBorders>
              <w:right w:val="single" w:sz="8" w:color="95B3D7"/>
            </w:tcBorders>
          </w:tcPr>
          <w:p>
            <w:pPr>
              <w:spacing w:after="0"/>
              <w:rPr>
                <w:sz w:val="11"/>
                <w:szCs w:val="11"/>
                <w:color w:val="auto"/>
              </w:rPr>
            </w:pPr>
          </w:p>
        </w:tc>
        <w:tc>
          <w:tcPr>
            <w:tcW w:w="1420" w:type="dxa"/>
            <w:vAlign w:val="bottom"/>
            <w:tcBorders>
              <w:right w:val="single" w:sz="8" w:color="95B3D7"/>
            </w:tcBorders>
          </w:tcPr>
          <w:p>
            <w:pPr>
              <w:ind w:left="40"/>
              <w:spacing w:after="0"/>
              <w:rPr>
                <w:sz w:val="20"/>
                <w:szCs w:val="20"/>
                <w:color w:val="auto"/>
              </w:rPr>
            </w:pPr>
            <w:r>
              <w:rPr>
                <w:rFonts w:ascii="Arial" w:cs="Arial" w:eastAsia="Arial" w:hAnsi="Arial"/>
                <w:sz w:val="11"/>
                <w:szCs w:val="11"/>
                <w:color w:val="auto"/>
              </w:rPr>
              <w:t>3/25/2021</w:t>
            </w:r>
          </w:p>
        </w:tc>
        <w:tc>
          <w:tcPr>
            <w:tcW w:w="960" w:type="dxa"/>
            <w:vAlign w:val="bottom"/>
            <w:tcBorders>
              <w:right w:val="single" w:sz="8" w:color="95B3D7"/>
            </w:tcBorders>
          </w:tcPr>
          <w:p>
            <w:pPr>
              <w:ind w:left="60"/>
              <w:spacing w:after="0"/>
              <w:rPr>
                <w:sz w:val="20"/>
                <w:szCs w:val="20"/>
                <w:color w:val="auto"/>
              </w:rPr>
            </w:pPr>
            <w:r>
              <w:rPr>
                <w:rFonts w:ascii="Arial" w:cs="Arial" w:eastAsia="Arial" w:hAnsi="Arial"/>
                <w:sz w:val="11"/>
                <w:szCs w:val="11"/>
                <w:color w:val="auto"/>
              </w:rPr>
              <w:t>RSUs</w:t>
            </w:r>
          </w:p>
        </w:tc>
        <w:tc>
          <w:tcPr>
            <w:tcW w:w="5240" w:type="dxa"/>
            <w:vAlign w:val="bottom"/>
          </w:tcPr>
          <w:p>
            <w:pPr>
              <w:ind w:left="60"/>
              <w:spacing w:after="0"/>
              <w:rPr>
                <w:sz w:val="20"/>
                <w:szCs w:val="20"/>
                <w:color w:val="auto"/>
              </w:rPr>
            </w:pPr>
            <w:r>
              <w:rPr>
                <w:rFonts w:ascii="Arial" w:cs="Arial" w:eastAsia="Arial" w:hAnsi="Arial"/>
                <w:sz w:val="11"/>
                <w:szCs w:val="11"/>
                <w:color w:val="auto"/>
                <w:w w:val="99"/>
              </w:rPr>
              <w:t>Vests 25% per year over 4 years with approximately 15,143 vesting on each of 3/25/2022, 2023, 2024, and</w:t>
            </w:r>
          </w:p>
        </w:tc>
      </w:tr>
      <w:tr>
        <w:trPr>
          <w:trHeight w:val="142"/>
        </w:trPr>
        <w:tc>
          <w:tcPr>
            <w:tcW w:w="1080" w:type="dxa"/>
            <w:vAlign w:val="bottom"/>
            <w:tcBorders>
              <w:right w:val="single" w:sz="8" w:color="95B3D7"/>
            </w:tcBorders>
          </w:tcPr>
          <w:p>
            <w:pPr>
              <w:spacing w:after="0"/>
              <w:rPr>
                <w:sz w:val="12"/>
                <w:szCs w:val="12"/>
                <w:color w:val="auto"/>
              </w:rPr>
            </w:pPr>
          </w:p>
        </w:tc>
        <w:tc>
          <w:tcPr>
            <w:tcW w:w="1420" w:type="dxa"/>
            <w:vAlign w:val="bottom"/>
            <w:tcBorders>
              <w:right w:val="single" w:sz="8" w:color="95B3D7"/>
            </w:tcBorders>
          </w:tcPr>
          <w:p>
            <w:pPr>
              <w:spacing w:after="0"/>
              <w:rPr>
                <w:sz w:val="12"/>
                <w:szCs w:val="12"/>
                <w:color w:val="auto"/>
              </w:rPr>
            </w:pPr>
          </w:p>
        </w:tc>
        <w:tc>
          <w:tcPr>
            <w:tcW w:w="960" w:type="dxa"/>
            <w:vAlign w:val="bottom"/>
            <w:tcBorders>
              <w:right w:val="single" w:sz="8" w:color="95B3D7"/>
            </w:tcBorders>
          </w:tcPr>
          <w:p>
            <w:pPr>
              <w:spacing w:after="0"/>
              <w:rPr>
                <w:sz w:val="12"/>
                <w:szCs w:val="12"/>
                <w:color w:val="auto"/>
              </w:rPr>
            </w:pPr>
          </w:p>
        </w:tc>
        <w:tc>
          <w:tcPr>
            <w:tcW w:w="5240" w:type="dxa"/>
            <w:vAlign w:val="bottom"/>
          </w:tcPr>
          <w:p>
            <w:pPr>
              <w:ind w:left="60"/>
              <w:spacing w:after="0"/>
              <w:rPr>
                <w:sz w:val="20"/>
                <w:szCs w:val="20"/>
                <w:color w:val="auto"/>
              </w:rPr>
            </w:pPr>
            <w:r>
              <w:rPr>
                <w:rFonts w:ascii="Arial" w:cs="Arial" w:eastAsia="Arial" w:hAnsi="Arial"/>
                <w:sz w:val="11"/>
                <w:szCs w:val="11"/>
                <w:color w:val="auto"/>
              </w:rPr>
              <w:t>2025</w:t>
            </w:r>
          </w:p>
        </w:tc>
      </w:tr>
      <w:tr>
        <w:trPr>
          <w:trHeight w:val="141"/>
        </w:trPr>
        <w:tc>
          <w:tcPr>
            <w:tcW w:w="1080" w:type="dxa"/>
            <w:vAlign w:val="bottom"/>
            <w:tcBorders>
              <w:bottom w:val="single" w:sz="8" w:color="95B3D7"/>
              <w:right w:val="single" w:sz="8" w:color="95B3D7"/>
            </w:tcBorders>
          </w:tcPr>
          <w:p>
            <w:pPr>
              <w:spacing w:after="0"/>
              <w:rPr>
                <w:sz w:val="12"/>
                <w:szCs w:val="12"/>
                <w:color w:val="auto"/>
              </w:rPr>
            </w:pPr>
          </w:p>
        </w:tc>
        <w:tc>
          <w:tcPr>
            <w:tcW w:w="1420" w:type="dxa"/>
            <w:vAlign w:val="bottom"/>
            <w:tcBorders>
              <w:bottom w:val="single" w:sz="8" w:color="95B3D7"/>
              <w:right w:val="single" w:sz="8" w:color="95B3D7"/>
            </w:tcBorders>
          </w:tcPr>
          <w:p>
            <w:pPr>
              <w:spacing w:after="0"/>
              <w:rPr>
                <w:sz w:val="12"/>
                <w:szCs w:val="12"/>
                <w:color w:val="auto"/>
              </w:rPr>
            </w:pPr>
          </w:p>
        </w:tc>
        <w:tc>
          <w:tcPr>
            <w:tcW w:w="960" w:type="dxa"/>
            <w:vAlign w:val="bottom"/>
            <w:tcBorders>
              <w:bottom w:val="single" w:sz="8" w:color="95B3D7"/>
              <w:right w:val="single" w:sz="8" w:color="95B3D7"/>
            </w:tcBorders>
          </w:tcPr>
          <w:p>
            <w:pPr>
              <w:spacing w:after="0"/>
              <w:rPr>
                <w:sz w:val="12"/>
                <w:szCs w:val="12"/>
                <w:color w:val="auto"/>
              </w:rPr>
            </w:pPr>
          </w:p>
        </w:tc>
        <w:tc>
          <w:tcPr>
            <w:tcW w:w="5240" w:type="dxa"/>
            <w:vAlign w:val="bottom"/>
            <w:tcBorders>
              <w:bottom w:val="single" w:sz="8" w:color="95B3D7"/>
            </w:tcBorders>
          </w:tcPr>
          <w:p>
            <w:pPr>
              <w:spacing w:after="0"/>
              <w:rPr>
                <w:sz w:val="12"/>
                <w:szCs w:val="12"/>
                <w:color w:val="auto"/>
              </w:rPr>
            </w:pPr>
          </w:p>
        </w:tc>
      </w:tr>
      <w:tr>
        <w:trPr>
          <w:trHeight w:val="102"/>
        </w:trPr>
        <w:tc>
          <w:tcPr>
            <w:tcW w:w="1080" w:type="dxa"/>
            <w:vAlign w:val="bottom"/>
            <w:tcBorders>
              <w:right w:val="single" w:sz="8" w:color="95B3D7"/>
            </w:tcBorders>
            <w:shd w:val="clear" w:color="auto" w:fill="DBE5F1"/>
          </w:tcPr>
          <w:p>
            <w:pPr>
              <w:ind w:left="60"/>
              <w:spacing w:after="0" w:line="102" w:lineRule="exact"/>
              <w:rPr>
                <w:sz w:val="20"/>
                <w:szCs w:val="20"/>
                <w:color w:val="auto"/>
              </w:rPr>
            </w:pPr>
            <w:r>
              <w:rPr>
                <w:rFonts w:ascii="Arial" w:cs="Arial" w:eastAsia="Arial" w:hAnsi="Arial"/>
                <w:sz w:val="11"/>
                <w:szCs w:val="11"/>
                <w:color w:val="auto"/>
              </w:rPr>
              <w:t>Dawn Maroney</w:t>
            </w:r>
          </w:p>
        </w:tc>
        <w:tc>
          <w:tcPr>
            <w:tcW w:w="1420" w:type="dxa"/>
            <w:vAlign w:val="bottom"/>
            <w:tcBorders>
              <w:right w:val="single" w:sz="8" w:color="95B3D7"/>
            </w:tcBorders>
            <w:shd w:val="clear" w:color="auto" w:fill="DBE5F1"/>
          </w:tcPr>
          <w:p>
            <w:pPr>
              <w:ind w:left="40"/>
              <w:spacing w:after="0" w:line="102" w:lineRule="exact"/>
              <w:rPr>
                <w:sz w:val="20"/>
                <w:szCs w:val="20"/>
                <w:color w:val="auto"/>
              </w:rPr>
            </w:pPr>
            <w:r>
              <w:rPr>
                <w:rFonts w:ascii="Arial" w:cs="Arial" w:eastAsia="Arial" w:hAnsi="Arial"/>
                <w:sz w:val="11"/>
                <w:szCs w:val="11"/>
                <w:color w:val="auto"/>
              </w:rPr>
              <w:t>3/13/2024</w:t>
            </w:r>
          </w:p>
        </w:tc>
        <w:tc>
          <w:tcPr>
            <w:tcW w:w="960" w:type="dxa"/>
            <w:vAlign w:val="bottom"/>
            <w:tcBorders>
              <w:right w:val="single" w:sz="8" w:color="95B3D7"/>
            </w:tcBorders>
            <w:shd w:val="clear" w:color="auto" w:fill="DBE5F1"/>
          </w:tcPr>
          <w:p>
            <w:pPr>
              <w:ind w:left="60"/>
              <w:spacing w:after="0" w:line="102" w:lineRule="exact"/>
              <w:rPr>
                <w:sz w:val="20"/>
                <w:szCs w:val="20"/>
                <w:color w:val="auto"/>
              </w:rPr>
            </w:pPr>
            <w:r>
              <w:rPr>
                <w:rFonts w:ascii="Arial" w:cs="Arial" w:eastAsia="Arial" w:hAnsi="Arial"/>
                <w:sz w:val="11"/>
                <w:szCs w:val="11"/>
                <w:color w:val="auto"/>
              </w:rPr>
              <w:t>RSUs</w:t>
            </w:r>
          </w:p>
        </w:tc>
        <w:tc>
          <w:tcPr>
            <w:tcW w:w="5240" w:type="dxa"/>
            <w:vAlign w:val="bottom"/>
            <w:shd w:val="clear" w:color="auto" w:fill="DBE5F1"/>
          </w:tcPr>
          <w:p>
            <w:pPr>
              <w:ind w:left="60"/>
              <w:spacing w:after="0" w:line="102" w:lineRule="exact"/>
              <w:rPr>
                <w:sz w:val="20"/>
                <w:szCs w:val="20"/>
                <w:color w:val="auto"/>
              </w:rPr>
            </w:pPr>
            <w:r>
              <w:rPr>
                <w:rFonts w:ascii="Arial" w:cs="Arial" w:eastAsia="Arial" w:hAnsi="Arial"/>
                <w:sz w:val="11"/>
                <w:szCs w:val="11"/>
                <w:color w:val="auto"/>
              </w:rPr>
              <w:t>Vests 25% per year over 4 years with approximately 32,500 shares vesting on each of 3/13/2025,</w:t>
            </w:r>
          </w:p>
        </w:tc>
      </w:tr>
      <w:tr>
        <w:trPr>
          <w:trHeight w:val="142"/>
        </w:trPr>
        <w:tc>
          <w:tcPr>
            <w:tcW w:w="1080" w:type="dxa"/>
            <w:vAlign w:val="bottom"/>
            <w:tcBorders>
              <w:right w:val="single" w:sz="8" w:color="95B3D7"/>
            </w:tcBorders>
            <w:shd w:val="clear" w:color="auto" w:fill="DBE5F1"/>
          </w:tcPr>
          <w:p>
            <w:pPr>
              <w:spacing w:after="0"/>
              <w:rPr>
                <w:sz w:val="12"/>
                <w:szCs w:val="12"/>
                <w:color w:val="auto"/>
              </w:rPr>
            </w:pPr>
          </w:p>
        </w:tc>
        <w:tc>
          <w:tcPr>
            <w:tcW w:w="1420" w:type="dxa"/>
            <w:vAlign w:val="bottom"/>
            <w:tcBorders>
              <w:right w:val="single" w:sz="8" w:color="95B3D7"/>
            </w:tcBorders>
            <w:shd w:val="clear" w:color="auto" w:fill="DBE5F1"/>
          </w:tcPr>
          <w:p>
            <w:pPr>
              <w:spacing w:after="0"/>
              <w:rPr>
                <w:sz w:val="12"/>
                <w:szCs w:val="12"/>
                <w:color w:val="auto"/>
              </w:rPr>
            </w:pPr>
          </w:p>
        </w:tc>
        <w:tc>
          <w:tcPr>
            <w:tcW w:w="960" w:type="dxa"/>
            <w:vAlign w:val="bottom"/>
            <w:tcBorders>
              <w:right w:val="single" w:sz="8" w:color="95B3D7"/>
            </w:tcBorders>
            <w:shd w:val="clear" w:color="auto" w:fill="DBE5F1"/>
          </w:tcPr>
          <w:p>
            <w:pPr>
              <w:spacing w:after="0"/>
              <w:rPr>
                <w:sz w:val="12"/>
                <w:szCs w:val="12"/>
                <w:color w:val="auto"/>
              </w:rPr>
            </w:pPr>
          </w:p>
        </w:tc>
        <w:tc>
          <w:tcPr>
            <w:tcW w:w="5240" w:type="dxa"/>
            <w:vAlign w:val="bottom"/>
            <w:shd w:val="clear" w:color="auto" w:fill="DBE5F1"/>
          </w:tcPr>
          <w:p>
            <w:pPr>
              <w:ind w:left="60"/>
              <w:spacing w:after="0"/>
              <w:rPr>
                <w:sz w:val="20"/>
                <w:szCs w:val="20"/>
                <w:color w:val="auto"/>
              </w:rPr>
            </w:pPr>
            <w:r>
              <w:rPr>
                <w:rFonts w:ascii="Arial" w:cs="Arial" w:eastAsia="Arial" w:hAnsi="Arial"/>
                <w:sz w:val="11"/>
                <w:szCs w:val="11"/>
                <w:color w:val="auto"/>
              </w:rPr>
              <w:t>3/13/2026, 3/13/2027 and 3/13/2028</w:t>
            </w:r>
          </w:p>
        </w:tc>
      </w:tr>
      <w:tr>
        <w:trPr>
          <w:trHeight w:val="162"/>
        </w:trPr>
        <w:tc>
          <w:tcPr>
            <w:tcW w:w="1080" w:type="dxa"/>
            <w:vAlign w:val="bottom"/>
            <w:tcBorders>
              <w:right w:val="single" w:sz="8" w:color="95B3D7"/>
            </w:tcBorders>
            <w:shd w:val="clear" w:color="auto" w:fill="DBE5F1"/>
          </w:tcPr>
          <w:p>
            <w:pPr>
              <w:spacing w:after="0"/>
              <w:rPr>
                <w:sz w:val="14"/>
                <w:szCs w:val="14"/>
                <w:color w:val="auto"/>
              </w:rPr>
            </w:pPr>
          </w:p>
        </w:tc>
        <w:tc>
          <w:tcPr>
            <w:tcW w:w="142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3/13/2024</w:t>
            </w:r>
          </w:p>
        </w:tc>
        <w:tc>
          <w:tcPr>
            <w:tcW w:w="96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1"/>
                <w:szCs w:val="11"/>
                <w:color w:val="auto"/>
              </w:rPr>
              <w:t>PSUs</w:t>
            </w:r>
          </w:p>
        </w:tc>
        <w:tc>
          <w:tcPr>
            <w:tcW w:w="5240" w:type="dxa"/>
            <w:vAlign w:val="bottom"/>
            <w:shd w:val="clear" w:color="auto" w:fill="DBE5F1"/>
          </w:tcPr>
          <w:p>
            <w:pPr>
              <w:ind w:left="60"/>
              <w:spacing w:after="0"/>
              <w:rPr>
                <w:sz w:val="20"/>
                <w:szCs w:val="20"/>
                <w:color w:val="auto"/>
              </w:rPr>
            </w:pPr>
            <w:r>
              <w:rPr>
                <w:rFonts w:ascii="Arial" w:cs="Arial" w:eastAsia="Arial" w:hAnsi="Arial"/>
                <w:sz w:val="11"/>
                <w:szCs w:val="11"/>
                <w:color w:val="auto"/>
              </w:rPr>
              <w:t>Vests on or about 2/28/2027, subject to achievement of performance metrics</w:t>
            </w:r>
          </w:p>
        </w:tc>
      </w:tr>
      <w:tr>
        <w:trPr>
          <w:trHeight w:val="162"/>
        </w:trPr>
        <w:tc>
          <w:tcPr>
            <w:tcW w:w="1080" w:type="dxa"/>
            <w:vAlign w:val="bottom"/>
            <w:tcBorders>
              <w:right w:val="single" w:sz="8" w:color="95B3D7"/>
            </w:tcBorders>
            <w:shd w:val="clear" w:color="auto" w:fill="DBE5F1"/>
          </w:tcPr>
          <w:p>
            <w:pPr>
              <w:spacing w:after="0"/>
              <w:rPr>
                <w:sz w:val="14"/>
                <w:szCs w:val="14"/>
                <w:color w:val="auto"/>
              </w:rPr>
            </w:pPr>
          </w:p>
        </w:tc>
        <w:tc>
          <w:tcPr>
            <w:tcW w:w="142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9/14/2023</w:t>
            </w:r>
          </w:p>
        </w:tc>
        <w:tc>
          <w:tcPr>
            <w:tcW w:w="96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1"/>
                <w:szCs w:val="11"/>
                <w:color w:val="auto"/>
              </w:rPr>
              <w:t>PSUs</w:t>
            </w:r>
          </w:p>
        </w:tc>
        <w:tc>
          <w:tcPr>
            <w:tcW w:w="5240" w:type="dxa"/>
            <w:vAlign w:val="bottom"/>
            <w:shd w:val="clear" w:color="auto" w:fill="DBE5F1"/>
          </w:tcPr>
          <w:p>
            <w:pPr>
              <w:ind w:left="60"/>
              <w:spacing w:after="0"/>
              <w:rPr>
                <w:sz w:val="20"/>
                <w:szCs w:val="20"/>
                <w:color w:val="auto"/>
              </w:rPr>
            </w:pPr>
            <w:r>
              <w:rPr>
                <w:rFonts w:ascii="Arial" w:cs="Arial" w:eastAsia="Arial" w:hAnsi="Arial"/>
                <w:sz w:val="11"/>
                <w:szCs w:val="11"/>
                <w:color w:val="auto"/>
              </w:rPr>
              <w:t>Vests 50% on the certification date and 50% on 12/31/25</w:t>
            </w:r>
          </w:p>
        </w:tc>
      </w:tr>
      <w:tr>
        <w:trPr>
          <w:trHeight w:val="162"/>
        </w:trPr>
        <w:tc>
          <w:tcPr>
            <w:tcW w:w="1080" w:type="dxa"/>
            <w:vAlign w:val="bottom"/>
            <w:tcBorders>
              <w:right w:val="single" w:sz="8" w:color="95B3D7"/>
            </w:tcBorders>
            <w:shd w:val="clear" w:color="auto" w:fill="DBE5F1"/>
          </w:tcPr>
          <w:p>
            <w:pPr>
              <w:spacing w:after="0"/>
              <w:rPr>
                <w:sz w:val="14"/>
                <w:szCs w:val="14"/>
                <w:color w:val="auto"/>
              </w:rPr>
            </w:pPr>
          </w:p>
        </w:tc>
        <w:tc>
          <w:tcPr>
            <w:tcW w:w="142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9/12/2022</w:t>
            </w:r>
          </w:p>
        </w:tc>
        <w:tc>
          <w:tcPr>
            <w:tcW w:w="96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1"/>
                <w:szCs w:val="11"/>
                <w:color w:val="auto"/>
              </w:rPr>
              <w:t>RSUs</w:t>
            </w:r>
          </w:p>
        </w:tc>
        <w:tc>
          <w:tcPr>
            <w:tcW w:w="5240" w:type="dxa"/>
            <w:vAlign w:val="bottom"/>
            <w:shd w:val="clear" w:color="auto" w:fill="DBE5F1"/>
          </w:tcPr>
          <w:p>
            <w:pPr>
              <w:ind w:left="60"/>
              <w:spacing w:after="0"/>
              <w:rPr>
                <w:sz w:val="20"/>
                <w:szCs w:val="20"/>
                <w:color w:val="auto"/>
              </w:rPr>
            </w:pPr>
            <w:r>
              <w:rPr>
                <w:rFonts w:ascii="Arial" w:cs="Arial" w:eastAsia="Arial" w:hAnsi="Arial"/>
                <w:sz w:val="11"/>
                <w:szCs w:val="11"/>
                <w:color w:val="auto"/>
              </w:rPr>
              <w:t>Vests 215,662 shares on 9/7/2025 and 215,661 shares on 9/7/2026</w:t>
            </w:r>
          </w:p>
        </w:tc>
      </w:tr>
      <w:tr>
        <w:trPr>
          <w:trHeight w:val="128"/>
        </w:trPr>
        <w:tc>
          <w:tcPr>
            <w:tcW w:w="1080" w:type="dxa"/>
            <w:vAlign w:val="bottom"/>
            <w:tcBorders>
              <w:right w:val="single" w:sz="8" w:color="95B3D7"/>
            </w:tcBorders>
            <w:shd w:val="clear" w:color="auto" w:fill="DBE5F1"/>
          </w:tcPr>
          <w:p>
            <w:pPr>
              <w:spacing w:after="0"/>
              <w:rPr>
                <w:sz w:val="11"/>
                <w:szCs w:val="11"/>
                <w:color w:val="auto"/>
              </w:rPr>
            </w:pPr>
          </w:p>
        </w:tc>
        <w:tc>
          <w:tcPr>
            <w:tcW w:w="142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3/8/2022</w:t>
            </w:r>
          </w:p>
        </w:tc>
        <w:tc>
          <w:tcPr>
            <w:tcW w:w="96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1"/>
                <w:szCs w:val="11"/>
                <w:color w:val="auto"/>
              </w:rPr>
              <w:t>RSUs</w:t>
            </w:r>
          </w:p>
        </w:tc>
        <w:tc>
          <w:tcPr>
            <w:tcW w:w="5240" w:type="dxa"/>
            <w:vAlign w:val="bottom"/>
            <w:shd w:val="clear" w:color="auto" w:fill="DBE5F1"/>
          </w:tcPr>
          <w:p>
            <w:pPr>
              <w:ind w:left="60"/>
              <w:spacing w:after="0"/>
              <w:rPr>
                <w:sz w:val="20"/>
                <w:szCs w:val="20"/>
                <w:color w:val="auto"/>
              </w:rPr>
            </w:pPr>
            <w:r>
              <w:rPr>
                <w:rFonts w:ascii="Arial" w:cs="Arial" w:eastAsia="Arial" w:hAnsi="Arial"/>
                <w:sz w:val="11"/>
                <w:szCs w:val="11"/>
                <w:color w:val="auto"/>
                <w:w w:val="98"/>
              </w:rPr>
              <w:t>Vests 25% per year over 4 years with approximately 51,739 vesting on each of 3/8/2023, 3/8/2024, 3/8/2025</w:t>
            </w:r>
          </w:p>
        </w:tc>
      </w:tr>
      <w:tr>
        <w:trPr>
          <w:trHeight w:val="142"/>
        </w:trPr>
        <w:tc>
          <w:tcPr>
            <w:tcW w:w="1080" w:type="dxa"/>
            <w:vAlign w:val="bottom"/>
            <w:tcBorders>
              <w:right w:val="single" w:sz="8" w:color="95B3D7"/>
            </w:tcBorders>
            <w:shd w:val="clear" w:color="auto" w:fill="DBE5F1"/>
          </w:tcPr>
          <w:p>
            <w:pPr>
              <w:spacing w:after="0"/>
              <w:rPr>
                <w:sz w:val="12"/>
                <w:szCs w:val="12"/>
                <w:color w:val="auto"/>
              </w:rPr>
            </w:pPr>
          </w:p>
        </w:tc>
        <w:tc>
          <w:tcPr>
            <w:tcW w:w="1420" w:type="dxa"/>
            <w:vAlign w:val="bottom"/>
            <w:tcBorders>
              <w:right w:val="single" w:sz="8" w:color="95B3D7"/>
            </w:tcBorders>
            <w:shd w:val="clear" w:color="auto" w:fill="DBE5F1"/>
          </w:tcPr>
          <w:p>
            <w:pPr>
              <w:spacing w:after="0"/>
              <w:rPr>
                <w:sz w:val="12"/>
                <w:szCs w:val="12"/>
                <w:color w:val="auto"/>
              </w:rPr>
            </w:pPr>
          </w:p>
        </w:tc>
        <w:tc>
          <w:tcPr>
            <w:tcW w:w="960" w:type="dxa"/>
            <w:vAlign w:val="bottom"/>
            <w:tcBorders>
              <w:right w:val="single" w:sz="8" w:color="95B3D7"/>
            </w:tcBorders>
            <w:shd w:val="clear" w:color="auto" w:fill="DBE5F1"/>
          </w:tcPr>
          <w:p>
            <w:pPr>
              <w:spacing w:after="0"/>
              <w:rPr>
                <w:sz w:val="12"/>
                <w:szCs w:val="12"/>
                <w:color w:val="auto"/>
              </w:rPr>
            </w:pPr>
          </w:p>
        </w:tc>
        <w:tc>
          <w:tcPr>
            <w:tcW w:w="5240" w:type="dxa"/>
            <w:vAlign w:val="bottom"/>
            <w:shd w:val="clear" w:color="auto" w:fill="DBE5F1"/>
          </w:tcPr>
          <w:p>
            <w:pPr>
              <w:ind w:left="60"/>
              <w:spacing w:after="0"/>
              <w:rPr>
                <w:sz w:val="20"/>
                <w:szCs w:val="20"/>
                <w:color w:val="auto"/>
              </w:rPr>
            </w:pPr>
            <w:r>
              <w:rPr>
                <w:rFonts w:ascii="Arial" w:cs="Arial" w:eastAsia="Arial" w:hAnsi="Arial"/>
                <w:sz w:val="11"/>
                <w:szCs w:val="11"/>
                <w:color w:val="auto"/>
              </w:rPr>
              <w:t>and 3/8/2026</w:t>
            </w:r>
          </w:p>
        </w:tc>
      </w:tr>
      <w:tr>
        <w:trPr>
          <w:trHeight w:val="162"/>
        </w:trPr>
        <w:tc>
          <w:tcPr>
            <w:tcW w:w="1080" w:type="dxa"/>
            <w:vAlign w:val="bottom"/>
            <w:tcBorders>
              <w:right w:val="single" w:sz="8" w:color="95B3D7"/>
            </w:tcBorders>
            <w:shd w:val="clear" w:color="auto" w:fill="DBE5F1"/>
          </w:tcPr>
          <w:p>
            <w:pPr>
              <w:spacing w:after="0"/>
              <w:rPr>
                <w:sz w:val="14"/>
                <w:szCs w:val="14"/>
                <w:color w:val="auto"/>
              </w:rPr>
            </w:pPr>
          </w:p>
        </w:tc>
        <w:tc>
          <w:tcPr>
            <w:tcW w:w="142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3/8/2022</w:t>
            </w:r>
          </w:p>
        </w:tc>
        <w:tc>
          <w:tcPr>
            <w:tcW w:w="96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1"/>
                <w:szCs w:val="11"/>
                <w:color w:val="auto"/>
              </w:rPr>
              <w:t>Options</w:t>
            </w:r>
          </w:p>
        </w:tc>
        <w:tc>
          <w:tcPr>
            <w:tcW w:w="5240" w:type="dxa"/>
            <w:vAlign w:val="bottom"/>
            <w:shd w:val="clear" w:color="auto" w:fill="DBE5F1"/>
          </w:tcPr>
          <w:p>
            <w:pPr>
              <w:ind w:left="60"/>
              <w:spacing w:after="0"/>
              <w:rPr>
                <w:sz w:val="20"/>
                <w:szCs w:val="20"/>
                <w:color w:val="auto"/>
              </w:rPr>
            </w:pPr>
            <w:r>
              <w:rPr>
                <w:rFonts w:ascii="Arial" w:cs="Arial" w:eastAsia="Arial" w:hAnsi="Arial"/>
                <w:sz w:val="11"/>
                <w:szCs w:val="11"/>
                <w:color w:val="auto"/>
                <w:w w:val="98"/>
              </w:rPr>
              <w:t>Vests 25% per year over 4 years with 38,017 vesting on each of 3/8/2023, 3/8/2024, 3/8/2025 and 3/8/2026</w:t>
            </w:r>
          </w:p>
        </w:tc>
      </w:tr>
      <w:tr>
        <w:trPr>
          <w:trHeight w:val="128"/>
        </w:trPr>
        <w:tc>
          <w:tcPr>
            <w:tcW w:w="1080" w:type="dxa"/>
            <w:vAlign w:val="bottom"/>
            <w:tcBorders>
              <w:right w:val="single" w:sz="8" w:color="95B3D7"/>
            </w:tcBorders>
            <w:shd w:val="clear" w:color="auto" w:fill="DBE5F1"/>
          </w:tcPr>
          <w:p>
            <w:pPr>
              <w:spacing w:after="0"/>
              <w:rPr>
                <w:sz w:val="11"/>
                <w:szCs w:val="11"/>
                <w:color w:val="auto"/>
              </w:rPr>
            </w:pPr>
          </w:p>
        </w:tc>
        <w:tc>
          <w:tcPr>
            <w:tcW w:w="142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3/25/2021</w:t>
            </w:r>
          </w:p>
        </w:tc>
        <w:tc>
          <w:tcPr>
            <w:tcW w:w="96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1"/>
                <w:szCs w:val="11"/>
                <w:color w:val="auto"/>
              </w:rPr>
              <w:t>Options</w:t>
            </w:r>
          </w:p>
        </w:tc>
        <w:tc>
          <w:tcPr>
            <w:tcW w:w="5240" w:type="dxa"/>
            <w:vAlign w:val="bottom"/>
            <w:shd w:val="clear" w:color="auto" w:fill="DBE5F1"/>
          </w:tcPr>
          <w:p>
            <w:pPr>
              <w:ind w:left="60"/>
              <w:spacing w:after="0"/>
              <w:rPr>
                <w:sz w:val="20"/>
                <w:szCs w:val="20"/>
                <w:color w:val="auto"/>
              </w:rPr>
            </w:pPr>
            <w:r>
              <w:rPr>
                <w:rFonts w:ascii="Arial" w:cs="Arial" w:eastAsia="Arial" w:hAnsi="Arial"/>
                <w:sz w:val="11"/>
                <w:szCs w:val="11"/>
                <w:color w:val="auto"/>
                <w:w w:val="98"/>
              </w:rPr>
              <w:t>Vests 25% per year over 4 years with approximately 257,676 vesting on each of 3/25/2022, 2023, 2024, and</w:t>
            </w:r>
          </w:p>
        </w:tc>
      </w:tr>
      <w:tr>
        <w:trPr>
          <w:trHeight w:val="142"/>
        </w:trPr>
        <w:tc>
          <w:tcPr>
            <w:tcW w:w="1080" w:type="dxa"/>
            <w:vAlign w:val="bottom"/>
            <w:tcBorders>
              <w:right w:val="single" w:sz="8" w:color="95B3D7"/>
            </w:tcBorders>
            <w:shd w:val="clear" w:color="auto" w:fill="DBE5F1"/>
          </w:tcPr>
          <w:p>
            <w:pPr>
              <w:spacing w:after="0"/>
              <w:rPr>
                <w:sz w:val="12"/>
                <w:szCs w:val="12"/>
                <w:color w:val="auto"/>
              </w:rPr>
            </w:pPr>
          </w:p>
        </w:tc>
        <w:tc>
          <w:tcPr>
            <w:tcW w:w="1420" w:type="dxa"/>
            <w:vAlign w:val="bottom"/>
            <w:tcBorders>
              <w:right w:val="single" w:sz="8" w:color="95B3D7"/>
            </w:tcBorders>
            <w:shd w:val="clear" w:color="auto" w:fill="DBE5F1"/>
          </w:tcPr>
          <w:p>
            <w:pPr>
              <w:spacing w:after="0"/>
              <w:rPr>
                <w:sz w:val="12"/>
                <w:szCs w:val="12"/>
                <w:color w:val="auto"/>
              </w:rPr>
            </w:pPr>
          </w:p>
        </w:tc>
        <w:tc>
          <w:tcPr>
            <w:tcW w:w="960" w:type="dxa"/>
            <w:vAlign w:val="bottom"/>
            <w:tcBorders>
              <w:right w:val="single" w:sz="8" w:color="95B3D7"/>
            </w:tcBorders>
            <w:shd w:val="clear" w:color="auto" w:fill="DBE5F1"/>
          </w:tcPr>
          <w:p>
            <w:pPr>
              <w:spacing w:after="0"/>
              <w:rPr>
                <w:sz w:val="12"/>
                <w:szCs w:val="12"/>
                <w:color w:val="auto"/>
              </w:rPr>
            </w:pPr>
          </w:p>
        </w:tc>
        <w:tc>
          <w:tcPr>
            <w:tcW w:w="5240" w:type="dxa"/>
            <w:vAlign w:val="bottom"/>
            <w:shd w:val="clear" w:color="auto" w:fill="DBE5F1"/>
          </w:tcPr>
          <w:p>
            <w:pPr>
              <w:ind w:left="60"/>
              <w:spacing w:after="0"/>
              <w:rPr>
                <w:sz w:val="20"/>
                <w:szCs w:val="20"/>
                <w:color w:val="auto"/>
              </w:rPr>
            </w:pPr>
            <w:r>
              <w:rPr>
                <w:rFonts w:ascii="Arial" w:cs="Arial" w:eastAsia="Arial" w:hAnsi="Arial"/>
                <w:sz w:val="11"/>
                <w:szCs w:val="11"/>
                <w:color w:val="auto"/>
              </w:rPr>
              <w:t>2025</w:t>
            </w:r>
          </w:p>
        </w:tc>
      </w:tr>
      <w:tr>
        <w:trPr>
          <w:trHeight w:val="128"/>
        </w:trPr>
        <w:tc>
          <w:tcPr>
            <w:tcW w:w="1080" w:type="dxa"/>
            <w:vAlign w:val="bottom"/>
            <w:tcBorders>
              <w:right w:val="single" w:sz="8" w:color="95B3D7"/>
            </w:tcBorders>
            <w:shd w:val="clear" w:color="auto" w:fill="DBE5F1"/>
          </w:tcPr>
          <w:p>
            <w:pPr>
              <w:spacing w:after="0"/>
              <w:rPr>
                <w:sz w:val="11"/>
                <w:szCs w:val="11"/>
                <w:color w:val="auto"/>
              </w:rPr>
            </w:pPr>
          </w:p>
        </w:tc>
        <w:tc>
          <w:tcPr>
            <w:tcW w:w="142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3/25/2021</w:t>
            </w:r>
          </w:p>
        </w:tc>
        <w:tc>
          <w:tcPr>
            <w:tcW w:w="96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1"/>
                <w:szCs w:val="11"/>
                <w:color w:val="auto"/>
              </w:rPr>
              <w:t>RSUs</w:t>
            </w:r>
          </w:p>
        </w:tc>
        <w:tc>
          <w:tcPr>
            <w:tcW w:w="5240" w:type="dxa"/>
            <w:vAlign w:val="bottom"/>
            <w:shd w:val="clear" w:color="auto" w:fill="DBE5F1"/>
          </w:tcPr>
          <w:p>
            <w:pPr>
              <w:ind w:left="60"/>
              <w:spacing w:after="0"/>
              <w:rPr>
                <w:sz w:val="20"/>
                <w:szCs w:val="20"/>
                <w:color w:val="auto"/>
              </w:rPr>
            </w:pPr>
            <w:r>
              <w:rPr>
                <w:rFonts w:ascii="Arial" w:cs="Arial" w:eastAsia="Arial" w:hAnsi="Arial"/>
                <w:sz w:val="11"/>
                <w:szCs w:val="11"/>
                <w:color w:val="auto"/>
                <w:w w:val="99"/>
              </w:rPr>
              <w:t>Vests 25% per year over 4 years with approximately 20,463 vesting on each of 3/25/2022, 2023, 2024, and</w:t>
            </w:r>
          </w:p>
        </w:tc>
      </w:tr>
      <w:tr>
        <w:trPr>
          <w:trHeight w:val="142"/>
        </w:trPr>
        <w:tc>
          <w:tcPr>
            <w:tcW w:w="1080" w:type="dxa"/>
            <w:vAlign w:val="bottom"/>
            <w:tcBorders>
              <w:right w:val="single" w:sz="8" w:color="95B3D7"/>
            </w:tcBorders>
            <w:shd w:val="clear" w:color="auto" w:fill="DBE5F1"/>
          </w:tcPr>
          <w:p>
            <w:pPr>
              <w:spacing w:after="0"/>
              <w:rPr>
                <w:sz w:val="12"/>
                <w:szCs w:val="12"/>
                <w:color w:val="auto"/>
              </w:rPr>
            </w:pPr>
          </w:p>
        </w:tc>
        <w:tc>
          <w:tcPr>
            <w:tcW w:w="1420" w:type="dxa"/>
            <w:vAlign w:val="bottom"/>
            <w:tcBorders>
              <w:right w:val="single" w:sz="8" w:color="95B3D7"/>
            </w:tcBorders>
            <w:shd w:val="clear" w:color="auto" w:fill="DBE5F1"/>
          </w:tcPr>
          <w:p>
            <w:pPr>
              <w:spacing w:after="0"/>
              <w:rPr>
                <w:sz w:val="12"/>
                <w:szCs w:val="12"/>
                <w:color w:val="auto"/>
              </w:rPr>
            </w:pPr>
          </w:p>
        </w:tc>
        <w:tc>
          <w:tcPr>
            <w:tcW w:w="960" w:type="dxa"/>
            <w:vAlign w:val="bottom"/>
            <w:tcBorders>
              <w:right w:val="single" w:sz="8" w:color="95B3D7"/>
            </w:tcBorders>
            <w:shd w:val="clear" w:color="auto" w:fill="DBE5F1"/>
          </w:tcPr>
          <w:p>
            <w:pPr>
              <w:spacing w:after="0"/>
              <w:rPr>
                <w:sz w:val="12"/>
                <w:szCs w:val="12"/>
                <w:color w:val="auto"/>
              </w:rPr>
            </w:pPr>
          </w:p>
        </w:tc>
        <w:tc>
          <w:tcPr>
            <w:tcW w:w="5240" w:type="dxa"/>
            <w:vAlign w:val="bottom"/>
            <w:shd w:val="clear" w:color="auto" w:fill="DBE5F1"/>
          </w:tcPr>
          <w:p>
            <w:pPr>
              <w:ind w:left="60"/>
              <w:spacing w:after="0"/>
              <w:rPr>
                <w:sz w:val="20"/>
                <w:szCs w:val="20"/>
                <w:color w:val="auto"/>
              </w:rPr>
            </w:pPr>
            <w:r>
              <w:rPr>
                <w:rFonts w:ascii="Arial" w:cs="Arial" w:eastAsia="Arial" w:hAnsi="Arial"/>
                <w:sz w:val="11"/>
                <w:szCs w:val="11"/>
                <w:color w:val="auto"/>
              </w:rPr>
              <w:t>2025</w:t>
            </w:r>
          </w:p>
        </w:tc>
      </w:tr>
      <w:tr>
        <w:trPr>
          <w:trHeight w:val="141"/>
        </w:trPr>
        <w:tc>
          <w:tcPr>
            <w:tcW w:w="1080" w:type="dxa"/>
            <w:vAlign w:val="bottom"/>
            <w:tcBorders>
              <w:bottom w:val="single" w:sz="8" w:color="95B3D7"/>
              <w:right w:val="single" w:sz="8" w:color="95B3D7"/>
            </w:tcBorders>
            <w:shd w:val="clear" w:color="auto" w:fill="DBE5F1"/>
          </w:tcPr>
          <w:p>
            <w:pPr>
              <w:spacing w:after="0"/>
              <w:rPr>
                <w:sz w:val="12"/>
                <w:szCs w:val="12"/>
                <w:color w:val="auto"/>
              </w:rPr>
            </w:pPr>
          </w:p>
        </w:tc>
        <w:tc>
          <w:tcPr>
            <w:tcW w:w="1420" w:type="dxa"/>
            <w:vAlign w:val="bottom"/>
            <w:tcBorders>
              <w:bottom w:val="single" w:sz="8" w:color="95B3D7"/>
              <w:right w:val="single" w:sz="8" w:color="95B3D7"/>
            </w:tcBorders>
            <w:shd w:val="clear" w:color="auto" w:fill="DBE5F1"/>
          </w:tcPr>
          <w:p>
            <w:pPr>
              <w:spacing w:after="0"/>
              <w:rPr>
                <w:sz w:val="12"/>
                <w:szCs w:val="12"/>
                <w:color w:val="auto"/>
              </w:rPr>
            </w:pPr>
          </w:p>
        </w:tc>
        <w:tc>
          <w:tcPr>
            <w:tcW w:w="960" w:type="dxa"/>
            <w:vAlign w:val="bottom"/>
            <w:tcBorders>
              <w:bottom w:val="single" w:sz="8" w:color="95B3D7"/>
              <w:right w:val="single" w:sz="8" w:color="95B3D7"/>
            </w:tcBorders>
            <w:shd w:val="clear" w:color="auto" w:fill="DBE5F1"/>
          </w:tcPr>
          <w:p>
            <w:pPr>
              <w:spacing w:after="0"/>
              <w:rPr>
                <w:sz w:val="12"/>
                <w:szCs w:val="12"/>
                <w:color w:val="auto"/>
              </w:rPr>
            </w:pPr>
          </w:p>
        </w:tc>
        <w:tc>
          <w:tcPr>
            <w:tcW w:w="5240" w:type="dxa"/>
            <w:vAlign w:val="bottom"/>
            <w:tcBorders>
              <w:bottom w:val="single" w:sz="8" w:color="95B3D7"/>
            </w:tcBorders>
            <w:shd w:val="clear" w:color="auto" w:fill="DBE5F1"/>
          </w:tcPr>
          <w:p>
            <w:pPr>
              <w:spacing w:after="0"/>
              <w:rPr>
                <w:sz w:val="12"/>
                <w:szCs w:val="12"/>
                <w:color w:val="auto"/>
              </w:rPr>
            </w:pPr>
          </w:p>
        </w:tc>
      </w:tr>
      <w:tr>
        <w:trPr>
          <w:trHeight w:val="102"/>
        </w:trPr>
        <w:tc>
          <w:tcPr>
            <w:tcW w:w="1080" w:type="dxa"/>
            <w:vAlign w:val="bottom"/>
            <w:tcBorders>
              <w:right w:val="single" w:sz="8" w:color="95B3D7"/>
            </w:tcBorders>
          </w:tcPr>
          <w:p>
            <w:pPr>
              <w:ind w:left="60"/>
              <w:spacing w:after="0" w:line="102" w:lineRule="exact"/>
              <w:rPr>
                <w:sz w:val="20"/>
                <w:szCs w:val="20"/>
                <w:color w:val="auto"/>
              </w:rPr>
            </w:pPr>
            <w:r>
              <w:rPr>
                <w:rFonts w:ascii="Arial" w:cs="Arial" w:eastAsia="Arial" w:hAnsi="Arial"/>
                <w:sz w:val="11"/>
                <w:szCs w:val="11"/>
                <w:color w:val="auto"/>
              </w:rPr>
              <w:t>Hyong (Ken) Kim,</w:t>
            </w:r>
          </w:p>
        </w:tc>
        <w:tc>
          <w:tcPr>
            <w:tcW w:w="1420" w:type="dxa"/>
            <w:vAlign w:val="bottom"/>
            <w:tcBorders>
              <w:right w:val="single" w:sz="8" w:color="95B3D7"/>
            </w:tcBorders>
          </w:tcPr>
          <w:p>
            <w:pPr>
              <w:ind w:left="40"/>
              <w:spacing w:after="0" w:line="102" w:lineRule="exact"/>
              <w:rPr>
                <w:sz w:val="20"/>
                <w:szCs w:val="20"/>
                <w:color w:val="auto"/>
              </w:rPr>
            </w:pPr>
            <w:r>
              <w:rPr>
                <w:rFonts w:ascii="Arial" w:cs="Arial" w:eastAsia="Arial" w:hAnsi="Arial"/>
                <w:sz w:val="11"/>
                <w:szCs w:val="11"/>
                <w:color w:val="auto"/>
              </w:rPr>
              <w:t>3/13/2024</w:t>
            </w:r>
          </w:p>
        </w:tc>
        <w:tc>
          <w:tcPr>
            <w:tcW w:w="960" w:type="dxa"/>
            <w:vAlign w:val="bottom"/>
            <w:tcBorders>
              <w:right w:val="single" w:sz="8" w:color="95B3D7"/>
            </w:tcBorders>
          </w:tcPr>
          <w:p>
            <w:pPr>
              <w:ind w:left="60"/>
              <w:spacing w:after="0" w:line="102" w:lineRule="exact"/>
              <w:rPr>
                <w:sz w:val="20"/>
                <w:szCs w:val="20"/>
                <w:color w:val="auto"/>
              </w:rPr>
            </w:pPr>
            <w:r>
              <w:rPr>
                <w:rFonts w:ascii="Arial" w:cs="Arial" w:eastAsia="Arial" w:hAnsi="Arial"/>
                <w:sz w:val="11"/>
                <w:szCs w:val="11"/>
                <w:color w:val="auto"/>
              </w:rPr>
              <w:t>RSUs</w:t>
            </w:r>
          </w:p>
        </w:tc>
        <w:tc>
          <w:tcPr>
            <w:tcW w:w="5240" w:type="dxa"/>
            <w:vAlign w:val="bottom"/>
          </w:tcPr>
          <w:p>
            <w:pPr>
              <w:ind w:left="60"/>
              <w:spacing w:after="0" w:line="102" w:lineRule="exact"/>
              <w:rPr>
                <w:sz w:val="20"/>
                <w:szCs w:val="20"/>
                <w:color w:val="auto"/>
              </w:rPr>
            </w:pPr>
            <w:r>
              <w:rPr>
                <w:rFonts w:ascii="Arial" w:cs="Arial" w:eastAsia="Arial" w:hAnsi="Arial"/>
                <w:sz w:val="11"/>
                <w:szCs w:val="11"/>
                <w:color w:val="auto"/>
              </w:rPr>
              <w:t>Vests 25% per year over 4 years with approximately 35,000 shares vesting on each of 3/13/2025,</w:t>
            </w:r>
          </w:p>
        </w:tc>
      </w:tr>
      <w:tr>
        <w:trPr>
          <w:trHeight w:val="142"/>
        </w:trPr>
        <w:tc>
          <w:tcPr>
            <w:tcW w:w="1080" w:type="dxa"/>
            <w:vAlign w:val="bottom"/>
            <w:tcBorders>
              <w:right w:val="single" w:sz="8" w:color="95B3D7"/>
            </w:tcBorders>
          </w:tcPr>
          <w:p>
            <w:pPr>
              <w:ind w:left="60"/>
              <w:spacing w:after="0"/>
              <w:rPr>
                <w:sz w:val="20"/>
                <w:szCs w:val="20"/>
                <w:color w:val="auto"/>
              </w:rPr>
            </w:pPr>
            <w:r>
              <w:rPr>
                <w:rFonts w:ascii="Arial" w:cs="Arial" w:eastAsia="Arial" w:hAnsi="Arial"/>
                <w:sz w:val="11"/>
                <w:szCs w:val="11"/>
                <w:color w:val="auto"/>
              </w:rPr>
              <w:t>M.D.</w:t>
            </w:r>
          </w:p>
        </w:tc>
        <w:tc>
          <w:tcPr>
            <w:tcW w:w="1420" w:type="dxa"/>
            <w:vAlign w:val="bottom"/>
            <w:tcBorders>
              <w:right w:val="single" w:sz="8" w:color="95B3D7"/>
            </w:tcBorders>
          </w:tcPr>
          <w:p>
            <w:pPr>
              <w:spacing w:after="0"/>
              <w:rPr>
                <w:sz w:val="12"/>
                <w:szCs w:val="12"/>
                <w:color w:val="auto"/>
              </w:rPr>
            </w:pPr>
          </w:p>
        </w:tc>
        <w:tc>
          <w:tcPr>
            <w:tcW w:w="960" w:type="dxa"/>
            <w:vAlign w:val="bottom"/>
            <w:tcBorders>
              <w:right w:val="single" w:sz="8" w:color="95B3D7"/>
            </w:tcBorders>
          </w:tcPr>
          <w:p>
            <w:pPr>
              <w:spacing w:after="0"/>
              <w:rPr>
                <w:sz w:val="12"/>
                <w:szCs w:val="12"/>
                <w:color w:val="auto"/>
              </w:rPr>
            </w:pPr>
          </w:p>
        </w:tc>
        <w:tc>
          <w:tcPr>
            <w:tcW w:w="5240" w:type="dxa"/>
            <w:vAlign w:val="bottom"/>
          </w:tcPr>
          <w:p>
            <w:pPr>
              <w:ind w:left="60"/>
              <w:spacing w:after="0"/>
              <w:rPr>
                <w:sz w:val="20"/>
                <w:szCs w:val="20"/>
                <w:color w:val="auto"/>
              </w:rPr>
            </w:pPr>
            <w:r>
              <w:rPr>
                <w:rFonts w:ascii="Arial" w:cs="Arial" w:eastAsia="Arial" w:hAnsi="Arial"/>
                <w:sz w:val="11"/>
                <w:szCs w:val="11"/>
                <w:color w:val="auto"/>
              </w:rPr>
              <w:t>3/13/2026, 3/13/2027 and 3/13/2028</w:t>
            </w:r>
          </w:p>
        </w:tc>
      </w:tr>
      <w:tr>
        <w:trPr>
          <w:trHeight w:val="162"/>
        </w:trPr>
        <w:tc>
          <w:tcPr>
            <w:tcW w:w="1080" w:type="dxa"/>
            <w:vAlign w:val="bottom"/>
            <w:tcBorders>
              <w:right w:val="single" w:sz="8" w:color="95B3D7"/>
            </w:tcBorders>
          </w:tcPr>
          <w:p>
            <w:pPr>
              <w:spacing w:after="0"/>
              <w:rPr>
                <w:sz w:val="14"/>
                <w:szCs w:val="14"/>
                <w:color w:val="auto"/>
              </w:rPr>
            </w:pPr>
          </w:p>
        </w:tc>
        <w:tc>
          <w:tcPr>
            <w:tcW w:w="1420" w:type="dxa"/>
            <w:vAlign w:val="bottom"/>
            <w:tcBorders>
              <w:right w:val="single" w:sz="8" w:color="95B3D7"/>
            </w:tcBorders>
          </w:tcPr>
          <w:p>
            <w:pPr>
              <w:ind w:left="40"/>
              <w:spacing w:after="0"/>
              <w:rPr>
                <w:sz w:val="20"/>
                <w:szCs w:val="20"/>
                <w:color w:val="auto"/>
              </w:rPr>
            </w:pPr>
            <w:r>
              <w:rPr>
                <w:rFonts w:ascii="Arial" w:cs="Arial" w:eastAsia="Arial" w:hAnsi="Arial"/>
                <w:sz w:val="11"/>
                <w:szCs w:val="11"/>
                <w:color w:val="auto"/>
              </w:rPr>
              <w:t>3/13/2024</w:t>
            </w:r>
          </w:p>
        </w:tc>
        <w:tc>
          <w:tcPr>
            <w:tcW w:w="960" w:type="dxa"/>
            <w:vAlign w:val="bottom"/>
            <w:tcBorders>
              <w:right w:val="single" w:sz="8" w:color="95B3D7"/>
            </w:tcBorders>
          </w:tcPr>
          <w:p>
            <w:pPr>
              <w:ind w:left="60"/>
              <w:spacing w:after="0"/>
              <w:rPr>
                <w:sz w:val="20"/>
                <w:szCs w:val="20"/>
                <w:color w:val="auto"/>
              </w:rPr>
            </w:pPr>
            <w:r>
              <w:rPr>
                <w:rFonts w:ascii="Arial" w:cs="Arial" w:eastAsia="Arial" w:hAnsi="Arial"/>
                <w:sz w:val="11"/>
                <w:szCs w:val="11"/>
                <w:color w:val="auto"/>
              </w:rPr>
              <w:t>PSUs</w:t>
            </w:r>
          </w:p>
        </w:tc>
        <w:tc>
          <w:tcPr>
            <w:tcW w:w="5240" w:type="dxa"/>
            <w:vAlign w:val="bottom"/>
          </w:tcPr>
          <w:p>
            <w:pPr>
              <w:ind w:left="60"/>
              <w:spacing w:after="0"/>
              <w:rPr>
                <w:sz w:val="20"/>
                <w:szCs w:val="20"/>
                <w:color w:val="auto"/>
              </w:rPr>
            </w:pPr>
            <w:r>
              <w:rPr>
                <w:rFonts w:ascii="Arial" w:cs="Arial" w:eastAsia="Arial" w:hAnsi="Arial"/>
                <w:sz w:val="11"/>
                <w:szCs w:val="11"/>
                <w:color w:val="auto"/>
              </w:rPr>
              <w:t>Vests on or about 2/28/2027, subject to achievement of performance metrics</w:t>
            </w:r>
          </w:p>
        </w:tc>
      </w:tr>
      <w:tr>
        <w:trPr>
          <w:trHeight w:val="128"/>
        </w:trPr>
        <w:tc>
          <w:tcPr>
            <w:tcW w:w="1080" w:type="dxa"/>
            <w:vAlign w:val="bottom"/>
            <w:tcBorders>
              <w:right w:val="single" w:sz="8" w:color="95B3D7"/>
            </w:tcBorders>
          </w:tcPr>
          <w:p>
            <w:pPr>
              <w:spacing w:after="0"/>
              <w:rPr>
                <w:sz w:val="11"/>
                <w:szCs w:val="11"/>
                <w:color w:val="auto"/>
              </w:rPr>
            </w:pPr>
          </w:p>
        </w:tc>
        <w:tc>
          <w:tcPr>
            <w:tcW w:w="1420" w:type="dxa"/>
            <w:vAlign w:val="bottom"/>
            <w:tcBorders>
              <w:right w:val="single" w:sz="8" w:color="95B3D7"/>
            </w:tcBorders>
          </w:tcPr>
          <w:p>
            <w:pPr>
              <w:ind w:left="40"/>
              <w:spacing w:after="0"/>
              <w:rPr>
                <w:sz w:val="20"/>
                <w:szCs w:val="20"/>
                <w:color w:val="auto"/>
              </w:rPr>
            </w:pPr>
            <w:r>
              <w:rPr>
                <w:rFonts w:ascii="Arial" w:cs="Arial" w:eastAsia="Arial" w:hAnsi="Arial"/>
                <w:sz w:val="11"/>
                <w:szCs w:val="11"/>
                <w:color w:val="auto"/>
              </w:rPr>
              <w:t>10/4/2023</w:t>
            </w:r>
          </w:p>
        </w:tc>
        <w:tc>
          <w:tcPr>
            <w:tcW w:w="960" w:type="dxa"/>
            <w:vAlign w:val="bottom"/>
            <w:tcBorders>
              <w:right w:val="single" w:sz="8" w:color="95B3D7"/>
            </w:tcBorders>
          </w:tcPr>
          <w:p>
            <w:pPr>
              <w:ind w:left="60"/>
              <w:spacing w:after="0"/>
              <w:rPr>
                <w:sz w:val="20"/>
                <w:szCs w:val="20"/>
                <w:color w:val="auto"/>
              </w:rPr>
            </w:pPr>
            <w:r>
              <w:rPr>
                <w:rFonts w:ascii="Arial" w:cs="Arial" w:eastAsia="Arial" w:hAnsi="Arial"/>
                <w:sz w:val="11"/>
                <w:szCs w:val="11"/>
                <w:color w:val="auto"/>
              </w:rPr>
              <w:t>RSUs</w:t>
            </w:r>
          </w:p>
        </w:tc>
        <w:tc>
          <w:tcPr>
            <w:tcW w:w="5240" w:type="dxa"/>
            <w:vAlign w:val="bottom"/>
          </w:tcPr>
          <w:p>
            <w:pPr>
              <w:ind w:left="60"/>
              <w:spacing w:after="0"/>
              <w:rPr>
                <w:sz w:val="20"/>
                <w:szCs w:val="20"/>
                <w:color w:val="auto"/>
              </w:rPr>
            </w:pPr>
            <w:r>
              <w:rPr>
                <w:rFonts w:ascii="Arial" w:cs="Arial" w:eastAsia="Arial" w:hAnsi="Arial"/>
                <w:sz w:val="11"/>
                <w:szCs w:val="11"/>
                <w:color w:val="auto"/>
              </w:rPr>
              <w:t>Vests 25% per year over 4 years with approximately 85,034 shares vesting on each of 10/4/2024,</w:t>
            </w:r>
          </w:p>
        </w:tc>
      </w:tr>
      <w:tr>
        <w:trPr>
          <w:trHeight w:val="142"/>
        </w:trPr>
        <w:tc>
          <w:tcPr>
            <w:tcW w:w="1080" w:type="dxa"/>
            <w:vAlign w:val="bottom"/>
            <w:tcBorders>
              <w:right w:val="single" w:sz="8" w:color="95B3D7"/>
            </w:tcBorders>
          </w:tcPr>
          <w:p>
            <w:pPr>
              <w:spacing w:after="0"/>
              <w:rPr>
                <w:sz w:val="12"/>
                <w:szCs w:val="12"/>
                <w:color w:val="auto"/>
              </w:rPr>
            </w:pPr>
          </w:p>
        </w:tc>
        <w:tc>
          <w:tcPr>
            <w:tcW w:w="1420" w:type="dxa"/>
            <w:vAlign w:val="bottom"/>
            <w:tcBorders>
              <w:right w:val="single" w:sz="8" w:color="95B3D7"/>
            </w:tcBorders>
          </w:tcPr>
          <w:p>
            <w:pPr>
              <w:spacing w:after="0"/>
              <w:rPr>
                <w:sz w:val="12"/>
                <w:szCs w:val="12"/>
                <w:color w:val="auto"/>
              </w:rPr>
            </w:pPr>
          </w:p>
        </w:tc>
        <w:tc>
          <w:tcPr>
            <w:tcW w:w="960" w:type="dxa"/>
            <w:vAlign w:val="bottom"/>
            <w:tcBorders>
              <w:right w:val="single" w:sz="8" w:color="95B3D7"/>
            </w:tcBorders>
          </w:tcPr>
          <w:p>
            <w:pPr>
              <w:spacing w:after="0"/>
              <w:rPr>
                <w:sz w:val="12"/>
                <w:szCs w:val="12"/>
                <w:color w:val="auto"/>
              </w:rPr>
            </w:pPr>
          </w:p>
        </w:tc>
        <w:tc>
          <w:tcPr>
            <w:tcW w:w="5240" w:type="dxa"/>
            <w:vAlign w:val="bottom"/>
          </w:tcPr>
          <w:p>
            <w:pPr>
              <w:ind w:left="60"/>
              <w:spacing w:after="0"/>
              <w:rPr>
                <w:sz w:val="20"/>
                <w:szCs w:val="20"/>
                <w:color w:val="auto"/>
              </w:rPr>
            </w:pPr>
            <w:r>
              <w:rPr>
                <w:rFonts w:ascii="Arial" w:cs="Arial" w:eastAsia="Arial" w:hAnsi="Arial"/>
                <w:sz w:val="11"/>
                <w:szCs w:val="11"/>
                <w:color w:val="auto"/>
              </w:rPr>
              <w:t>10/4/2025, 10/4/2026 and 10/4/2027</w:t>
            </w:r>
          </w:p>
        </w:tc>
      </w:tr>
      <w:tr>
        <w:trPr>
          <w:trHeight w:val="162"/>
        </w:trPr>
        <w:tc>
          <w:tcPr>
            <w:tcW w:w="1080" w:type="dxa"/>
            <w:vAlign w:val="bottom"/>
            <w:tcBorders>
              <w:right w:val="single" w:sz="8" w:color="95B3D7"/>
            </w:tcBorders>
          </w:tcPr>
          <w:p>
            <w:pPr>
              <w:spacing w:after="0"/>
              <w:rPr>
                <w:sz w:val="14"/>
                <w:szCs w:val="14"/>
                <w:color w:val="auto"/>
              </w:rPr>
            </w:pPr>
          </w:p>
        </w:tc>
        <w:tc>
          <w:tcPr>
            <w:tcW w:w="1420" w:type="dxa"/>
            <w:vAlign w:val="bottom"/>
            <w:tcBorders>
              <w:right w:val="single" w:sz="8" w:color="95B3D7"/>
            </w:tcBorders>
          </w:tcPr>
          <w:p>
            <w:pPr>
              <w:ind w:left="40"/>
              <w:spacing w:after="0"/>
              <w:rPr>
                <w:sz w:val="20"/>
                <w:szCs w:val="20"/>
                <w:color w:val="auto"/>
              </w:rPr>
            </w:pPr>
            <w:r>
              <w:rPr>
                <w:rFonts w:ascii="Arial" w:cs="Arial" w:eastAsia="Arial" w:hAnsi="Arial"/>
                <w:sz w:val="11"/>
                <w:szCs w:val="11"/>
                <w:color w:val="auto"/>
              </w:rPr>
              <w:t>9/14/2023</w:t>
            </w:r>
          </w:p>
        </w:tc>
        <w:tc>
          <w:tcPr>
            <w:tcW w:w="960" w:type="dxa"/>
            <w:vAlign w:val="bottom"/>
            <w:tcBorders>
              <w:right w:val="single" w:sz="8" w:color="95B3D7"/>
            </w:tcBorders>
          </w:tcPr>
          <w:p>
            <w:pPr>
              <w:ind w:left="60"/>
              <w:spacing w:after="0"/>
              <w:rPr>
                <w:sz w:val="20"/>
                <w:szCs w:val="20"/>
                <w:color w:val="auto"/>
              </w:rPr>
            </w:pPr>
            <w:r>
              <w:rPr>
                <w:rFonts w:ascii="Arial" w:cs="Arial" w:eastAsia="Arial" w:hAnsi="Arial"/>
                <w:sz w:val="11"/>
                <w:szCs w:val="11"/>
                <w:color w:val="auto"/>
              </w:rPr>
              <w:t>PSUs</w:t>
            </w:r>
          </w:p>
        </w:tc>
        <w:tc>
          <w:tcPr>
            <w:tcW w:w="5240" w:type="dxa"/>
            <w:vAlign w:val="bottom"/>
          </w:tcPr>
          <w:p>
            <w:pPr>
              <w:ind w:left="60"/>
              <w:spacing w:after="0"/>
              <w:rPr>
                <w:sz w:val="20"/>
                <w:szCs w:val="20"/>
                <w:color w:val="auto"/>
              </w:rPr>
            </w:pPr>
            <w:r>
              <w:rPr>
                <w:rFonts w:ascii="Arial" w:cs="Arial" w:eastAsia="Arial" w:hAnsi="Arial"/>
                <w:sz w:val="11"/>
                <w:szCs w:val="11"/>
                <w:color w:val="auto"/>
              </w:rPr>
              <w:t>Vests 50% on the certification date and 50% on 12/31/25</w:t>
            </w:r>
          </w:p>
        </w:tc>
      </w:tr>
      <w:tr>
        <w:trPr>
          <w:trHeight w:val="142"/>
        </w:trPr>
        <w:tc>
          <w:tcPr>
            <w:tcW w:w="1080" w:type="dxa"/>
            <w:vAlign w:val="bottom"/>
            <w:tcBorders>
              <w:bottom w:val="single" w:sz="8" w:color="95B3D7"/>
              <w:right w:val="single" w:sz="8" w:color="95B3D7"/>
            </w:tcBorders>
          </w:tcPr>
          <w:p>
            <w:pPr>
              <w:spacing w:after="0"/>
              <w:rPr>
                <w:sz w:val="12"/>
                <w:szCs w:val="12"/>
                <w:color w:val="auto"/>
              </w:rPr>
            </w:pPr>
          </w:p>
        </w:tc>
        <w:tc>
          <w:tcPr>
            <w:tcW w:w="1420" w:type="dxa"/>
            <w:vAlign w:val="bottom"/>
            <w:tcBorders>
              <w:bottom w:val="single" w:sz="8" w:color="95B3D7"/>
              <w:right w:val="single" w:sz="8" w:color="95B3D7"/>
            </w:tcBorders>
          </w:tcPr>
          <w:p>
            <w:pPr>
              <w:spacing w:after="0"/>
              <w:rPr>
                <w:sz w:val="12"/>
                <w:szCs w:val="12"/>
                <w:color w:val="auto"/>
              </w:rPr>
            </w:pPr>
          </w:p>
        </w:tc>
        <w:tc>
          <w:tcPr>
            <w:tcW w:w="960" w:type="dxa"/>
            <w:vAlign w:val="bottom"/>
            <w:tcBorders>
              <w:bottom w:val="single" w:sz="8" w:color="95B3D7"/>
              <w:right w:val="single" w:sz="8" w:color="95B3D7"/>
            </w:tcBorders>
          </w:tcPr>
          <w:p>
            <w:pPr>
              <w:spacing w:after="0"/>
              <w:rPr>
                <w:sz w:val="12"/>
                <w:szCs w:val="12"/>
                <w:color w:val="auto"/>
              </w:rPr>
            </w:pPr>
          </w:p>
        </w:tc>
        <w:tc>
          <w:tcPr>
            <w:tcW w:w="5240" w:type="dxa"/>
            <w:vAlign w:val="bottom"/>
            <w:tcBorders>
              <w:bottom w:val="single" w:sz="8" w:color="95B3D7"/>
            </w:tcBorders>
          </w:tcPr>
          <w:p>
            <w:pPr>
              <w:spacing w:after="0"/>
              <w:rPr>
                <w:sz w:val="12"/>
                <w:szCs w:val="12"/>
                <w:color w:val="auto"/>
              </w:rPr>
            </w:pPr>
          </w:p>
        </w:tc>
      </w:tr>
      <w:tr>
        <w:trPr>
          <w:trHeight w:val="102"/>
        </w:trPr>
        <w:tc>
          <w:tcPr>
            <w:tcW w:w="1080" w:type="dxa"/>
            <w:vAlign w:val="bottom"/>
            <w:tcBorders>
              <w:right w:val="single" w:sz="8" w:color="95B3D7"/>
            </w:tcBorders>
            <w:shd w:val="clear" w:color="auto" w:fill="DBE5F1"/>
          </w:tcPr>
          <w:p>
            <w:pPr>
              <w:ind w:left="60"/>
              <w:spacing w:after="0" w:line="102" w:lineRule="exact"/>
              <w:rPr>
                <w:sz w:val="20"/>
                <w:szCs w:val="20"/>
                <w:color w:val="auto"/>
              </w:rPr>
            </w:pPr>
            <w:r>
              <w:rPr>
                <w:rFonts w:ascii="Arial" w:cs="Arial" w:eastAsia="Arial" w:hAnsi="Arial"/>
                <w:sz w:val="11"/>
                <w:szCs w:val="11"/>
                <w:color w:val="auto"/>
              </w:rPr>
              <w:t>Andreas Wagner</w:t>
            </w:r>
          </w:p>
        </w:tc>
        <w:tc>
          <w:tcPr>
            <w:tcW w:w="1420" w:type="dxa"/>
            <w:vAlign w:val="bottom"/>
            <w:tcBorders>
              <w:right w:val="single" w:sz="8" w:color="95B3D7"/>
            </w:tcBorders>
            <w:shd w:val="clear" w:color="auto" w:fill="DBE5F1"/>
          </w:tcPr>
          <w:p>
            <w:pPr>
              <w:ind w:left="40"/>
              <w:spacing w:after="0" w:line="102" w:lineRule="exact"/>
              <w:rPr>
                <w:sz w:val="20"/>
                <w:szCs w:val="20"/>
                <w:color w:val="auto"/>
              </w:rPr>
            </w:pPr>
            <w:r>
              <w:rPr>
                <w:rFonts w:ascii="Arial" w:cs="Arial" w:eastAsia="Arial" w:hAnsi="Arial"/>
                <w:sz w:val="11"/>
                <w:szCs w:val="11"/>
                <w:color w:val="auto"/>
              </w:rPr>
              <w:t>3/13/2024</w:t>
            </w:r>
          </w:p>
        </w:tc>
        <w:tc>
          <w:tcPr>
            <w:tcW w:w="960" w:type="dxa"/>
            <w:vAlign w:val="bottom"/>
            <w:tcBorders>
              <w:right w:val="single" w:sz="8" w:color="95B3D7"/>
            </w:tcBorders>
            <w:shd w:val="clear" w:color="auto" w:fill="DBE5F1"/>
          </w:tcPr>
          <w:p>
            <w:pPr>
              <w:ind w:left="60"/>
              <w:spacing w:after="0" w:line="102" w:lineRule="exact"/>
              <w:rPr>
                <w:sz w:val="20"/>
                <w:szCs w:val="20"/>
                <w:color w:val="auto"/>
              </w:rPr>
            </w:pPr>
            <w:r>
              <w:rPr>
                <w:rFonts w:ascii="Arial" w:cs="Arial" w:eastAsia="Arial" w:hAnsi="Arial"/>
                <w:sz w:val="11"/>
                <w:szCs w:val="11"/>
                <w:color w:val="auto"/>
              </w:rPr>
              <w:t>RSUs</w:t>
            </w:r>
          </w:p>
        </w:tc>
        <w:tc>
          <w:tcPr>
            <w:tcW w:w="5240" w:type="dxa"/>
            <w:vAlign w:val="bottom"/>
            <w:shd w:val="clear" w:color="auto" w:fill="DBE5F1"/>
          </w:tcPr>
          <w:p>
            <w:pPr>
              <w:ind w:left="60"/>
              <w:spacing w:after="0" w:line="102" w:lineRule="exact"/>
              <w:rPr>
                <w:sz w:val="20"/>
                <w:szCs w:val="20"/>
                <w:color w:val="auto"/>
              </w:rPr>
            </w:pPr>
            <w:r>
              <w:rPr>
                <w:rFonts w:ascii="Arial" w:cs="Arial" w:eastAsia="Arial" w:hAnsi="Arial"/>
                <w:sz w:val="11"/>
                <w:szCs w:val="11"/>
                <w:color w:val="auto"/>
              </w:rPr>
              <w:t>Vests 25% per year over 4 years with approximately 15,000 shares vesting on each of 3/13/2025,</w:t>
            </w:r>
          </w:p>
        </w:tc>
      </w:tr>
      <w:tr>
        <w:trPr>
          <w:trHeight w:val="142"/>
        </w:trPr>
        <w:tc>
          <w:tcPr>
            <w:tcW w:w="1080" w:type="dxa"/>
            <w:vAlign w:val="bottom"/>
            <w:tcBorders>
              <w:right w:val="single" w:sz="8" w:color="95B3D7"/>
            </w:tcBorders>
            <w:shd w:val="clear" w:color="auto" w:fill="DBE5F1"/>
          </w:tcPr>
          <w:p>
            <w:pPr>
              <w:spacing w:after="0"/>
              <w:rPr>
                <w:sz w:val="12"/>
                <w:szCs w:val="12"/>
                <w:color w:val="auto"/>
              </w:rPr>
            </w:pPr>
          </w:p>
        </w:tc>
        <w:tc>
          <w:tcPr>
            <w:tcW w:w="1420" w:type="dxa"/>
            <w:vAlign w:val="bottom"/>
            <w:tcBorders>
              <w:right w:val="single" w:sz="8" w:color="95B3D7"/>
            </w:tcBorders>
            <w:shd w:val="clear" w:color="auto" w:fill="DBE5F1"/>
          </w:tcPr>
          <w:p>
            <w:pPr>
              <w:spacing w:after="0"/>
              <w:rPr>
                <w:sz w:val="12"/>
                <w:szCs w:val="12"/>
                <w:color w:val="auto"/>
              </w:rPr>
            </w:pPr>
          </w:p>
        </w:tc>
        <w:tc>
          <w:tcPr>
            <w:tcW w:w="960" w:type="dxa"/>
            <w:vAlign w:val="bottom"/>
            <w:tcBorders>
              <w:right w:val="single" w:sz="8" w:color="95B3D7"/>
            </w:tcBorders>
            <w:shd w:val="clear" w:color="auto" w:fill="DBE5F1"/>
          </w:tcPr>
          <w:p>
            <w:pPr>
              <w:spacing w:after="0"/>
              <w:rPr>
                <w:sz w:val="12"/>
                <w:szCs w:val="12"/>
                <w:color w:val="auto"/>
              </w:rPr>
            </w:pPr>
          </w:p>
        </w:tc>
        <w:tc>
          <w:tcPr>
            <w:tcW w:w="5240" w:type="dxa"/>
            <w:vAlign w:val="bottom"/>
            <w:shd w:val="clear" w:color="auto" w:fill="DBE5F1"/>
          </w:tcPr>
          <w:p>
            <w:pPr>
              <w:ind w:left="60"/>
              <w:spacing w:after="0"/>
              <w:rPr>
                <w:sz w:val="20"/>
                <w:szCs w:val="20"/>
                <w:color w:val="auto"/>
              </w:rPr>
            </w:pPr>
            <w:r>
              <w:rPr>
                <w:rFonts w:ascii="Arial" w:cs="Arial" w:eastAsia="Arial" w:hAnsi="Arial"/>
                <w:sz w:val="11"/>
                <w:szCs w:val="11"/>
                <w:color w:val="auto"/>
              </w:rPr>
              <w:t>3/13/2026, 3/13/2027 and 3/13/2028</w:t>
            </w:r>
          </w:p>
        </w:tc>
      </w:tr>
      <w:tr>
        <w:trPr>
          <w:trHeight w:val="162"/>
        </w:trPr>
        <w:tc>
          <w:tcPr>
            <w:tcW w:w="1080" w:type="dxa"/>
            <w:vAlign w:val="bottom"/>
            <w:tcBorders>
              <w:right w:val="single" w:sz="8" w:color="95B3D7"/>
            </w:tcBorders>
            <w:shd w:val="clear" w:color="auto" w:fill="DBE5F1"/>
          </w:tcPr>
          <w:p>
            <w:pPr>
              <w:spacing w:after="0"/>
              <w:rPr>
                <w:sz w:val="14"/>
                <w:szCs w:val="14"/>
                <w:color w:val="auto"/>
              </w:rPr>
            </w:pPr>
          </w:p>
        </w:tc>
        <w:tc>
          <w:tcPr>
            <w:tcW w:w="142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3/13/2024</w:t>
            </w:r>
          </w:p>
        </w:tc>
        <w:tc>
          <w:tcPr>
            <w:tcW w:w="96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1"/>
                <w:szCs w:val="11"/>
                <w:color w:val="auto"/>
              </w:rPr>
              <w:t>PSUs</w:t>
            </w:r>
          </w:p>
        </w:tc>
        <w:tc>
          <w:tcPr>
            <w:tcW w:w="5240" w:type="dxa"/>
            <w:vAlign w:val="bottom"/>
            <w:shd w:val="clear" w:color="auto" w:fill="DBE5F1"/>
          </w:tcPr>
          <w:p>
            <w:pPr>
              <w:ind w:left="60"/>
              <w:spacing w:after="0"/>
              <w:rPr>
                <w:sz w:val="20"/>
                <w:szCs w:val="20"/>
                <w:color w:val="auto"/>
              </w:rPr>
            </w:pPr>
            <w:r>
              <w:rPr>
                <w:rFonts w:ascii="Arial" w:cs="Arial" w:eastAsia="Arial" w:hAnsi="Arial"/>
                <w:sz w:val="11"/>
                <w:szCs w:val="11"/>
                <w:color w:val="auto"/>
              </w:rPr>
              <w:t>Vests on or about 2/28/2027, subject to achievement of performance metrics</w:t>
            </w:r>
          </w:p>
        </w:tc>
      </w:tr>
      <w:tr>
        <w:trPr>
          <w:trHeight w:val="128"/>
        </w:trPr>
        <w:tc>
          <w:tcPr>
            <w:tcW w:w="1080" w:type="dxa"/>
            <w:vAlign w:val="bottom"/>
            <w:tcBorders>
              <w:right w:val="single" w:sz="8" w:color="95B3D7"/>
            </w:tcBorders>
            <w:shd w:val="clear" w:color="auto" w:fill="DBE5F1"/>
          </w:tcPr>
          <w:p>
            <w:pPr>
              <w:spacing w:after="0"/>
              <w:rPr>
                <w:sz w:val="11"/>
                <w:szCs w:val="11"/>
                <w:color w:val="auto"/>
              </w:rPr>
            </w:pPr>
          </w:p>
        </w:tc>
        <w:tc>
          <w:tcPr>
            <w:tcW w:w="1420" w:type="dxa"/>
            <w:vAlign w:val="bottom"/>
            <w:tcBorders>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2/7/2024</w:t>
            </w:r>
          </w:p>
        </w:tc>
        <w:tc>
          <w:tcPr>
            <w:tcW w:w="96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1"/>
                <w:szCs w:val="11"/>
                <w:color w:val="auto"/>
              </w:rPr>
              <w:t>RSUs</w:t>
            </w:r>
          </w:p>
        </w:tc>
        <w:tc>
          <w:tcPr>
            <w:tcW w:w="5240" w:type="dxa"/>
            <w:vAlign w:val="bottom"/>
            <w:shd w:val="clear" w:color="auto" w:fill="DBE5F1"/>
          </w:tcPr>
          <w:p>
            <w:pPr>
              <w:ind w:left="60"/>
              <w:spacing w:after="0"/>
              <w:rPr>
                <w:sz w:val="20"/>
                <w:szCs w:val="20"/>
                <w:color w:val="auto"/>
              </w:rPr>
            </w:pPr>
            <w:r>
              <w:rPr>
                <w:rFonts w:ascii="Arial" w:cs="Arial" w:eastAsia="Arial" w:hAnsi="Arial"/>
                <w:sz w:val="11"/>
                <w:szCs w:val="11"/>
                <w:color w:val="auto"/>
                <w:w w:val="99"/>
              </w:rPr>
              <w:t>Vests 25% per year over 4 years with approximately 38,941 shares vesting on each of 2/7/2025, 2/7/2026,</w:t>
            </w:r>
          </w:p>
        </w:tc>
      </w:tr>
      <w:tr>
        <w:trPr>
          <w:trHeight w:val="142"/>
        </w:trPr>
        <w:tc>
          <w:tcPr>
            <w:tcW w:w="1080" w:type="dxa"/>
            <w:vAlign w:val="bottom"/>
            <w:tcBorders>
              <w:right w:val="single" w:sz="8" w:color="95B3D7"/>
            </w:tcBorders>
            <w:shd w:val="clear" w:color="auto" w:fill="DBE5F1"/>
          </w:tcPr>
          <w:p>
            <w:pPr>
              <w:spacing w:after="0"/>
              <w:rPr>
                <w:sz w:val="12"/>
                <w:szCs w:val="12"/>
                <w:color w:val="auto"/>
              </w:rPr>
            </w:pPr>
          </w:p>
        </w:tc>
        <w:tc>
          <w:tcPr>
            <w:tcW w:w="1420" w:type="dxa"/>
            <w:vAlign w:val="bottom"/>
            <w:tcBorders>
              <w:right w:val="single" w:sz="8" w:color="95B3D7"/>
            </w:tcBorders>
            <w:shd w:val="clear" w:color="auto" w:fill="DBE5F1"/>
          </w:tcPr>
          <w:p>
            <w:pPr>
              <w:spacing w:after="0"/>
              <w:rPr>
                <w:sz w:val="12"/>
                <w:szCs w:val="12"/>
                <w:color w:val="auto"/>
              </w:rPr>
            </w:pPr>
          </w:p>
        </w:tc>
        <w:tc>
          <w:tcPr>
            <w:tcW w:w="960" w:type="dxa"/>
            <w:vAlign w:val="bottom"/>
            <w:tcBorders>
              <w:right w:val="single" w:sz="8" w:color="95B3D7"/>
            </w:tcBorders>
            <w:shd w:val="clear" w:color="auto" w:fill="DBE5F1"/>
          </w:tcPr>
          <w:p>
            <w:pPr>
              <w:spacing w:after="0"/>
              <w:rPr>
                <w:sz w:val="12"/>
                <w:szCs w:val="12"/>
                <w:color w:val="auto"/>
              </w:rPr>
            </w:pPr>
          </w:p>
        </w:tc>
        <w:tc>
          <w:tcPr>
            <w:tcW w:w="5240" w:type="dxa"/>
            <w:vAlign w:val="bottom"/>
            <w:shd w:val="clear" w:color="auto" w:fill="DBE5F1"/>
          </w:tcPr>
          <w:p>
            <w:pPr>
              <w:ind w:left="60"/>
              <w:spacing w:after="0"/>
              <w:rPr>
                <w:sz w:val="20"/>
                <w:szCs w:val="20"/>
                <w:color w:val="auto"/>
              </w:rPr>
            </w:pPr>
            <w:r>
              <w:rPr>
                <w:rFonts w:ascii="Arial" w:cs="Arial" w:eastAsia="Arial" w:hAnsi="Arial"/>
                <w:sz w:val="11"/>
                <w:szCs w:val="11"/>
                <w:color w:val="auto"/>
              </w:rPr>
              <w:t>2/7/2027 and 2/7/2028</w:t>
            </w:r>
          </w:p>
        </w:tc>
      </w:tr>
      <w:tr>
        <w:trPr>
          <w:trHeight w:val="141"/>
        </w:trPr>
        <w:tc>
          <w:tcPr>
            <w:tcW w:w="1080" w:type="dxa"/>
            <w:vAlign w:val="bottom"/>
            <w:tcBorders>
              <w:bottom w:val="single" w:sz="8" w:color="95B3D7"/>
              <w:right w:val="single" w:sz="8" w:color="95B3D7"/>
            </w:tcBorders>
            <w:shd w:val="clear" w:color="auto" w:fill="DBE5F1"/>
          </w:tcPr>
          <w:p>
            <w:pPr>
              <w:spacing w:after="0"/>
              <w:rPr>
                <w:sz w:val="12"/>
                <w:szCs w:val="12"/>
                <w:color w:val="auto"/>
              </w:rPr>
            </w:pPr>
          </w:p>
        </w:tc>
        <w:tc>
          <w:tcPr>
            <w:tcW w:w="1420" w:type="dxa"/>
            <w:vAlign w:val="bottom"/>
            <w:tcBorders>
              <w:bottom w:val="single" w:sz="8" w:color="95B3D7"/>
              <w:right w:val="single" w:sz="8" w:color="95B3D7"/>
            </w:tcBorders>
            <w:shd w:val="clear" w:color="auto" w:fill="DBE5F1"/>
          </w:tcPr>
          <w:p>
            <w:pPr>
              <w:spacing w:after="0"/>
              <w:rPr>
                <w:sz w:val="12"/>
                <w:szCs w:val="12"/>
                <w:color w:val="auto"/>
              </w:rPr>
            </w:pPr>
          </w:p>
        </w:tc>
        <w:tc>
          <w:tcPr>
            <w:tcW w:w="960" w:type="dxa"/>
            <w:vAlign w:val="bottom"/>
            <w:tcBorders>
              <w:bottom w:val="single" w:sz="8" w:color="95B3D7"/>
              <w:right w:val="single" w:sz="8" w:color="95B3D7"/>
            </w:tcBorders>
            <w:shd w:val="clear" w:color="auto" w:fill="DBE5F1"/>
          </w:tcPr>
          <w:p>
            <w:pPr>
              <w:spacing w:after="0"/>
              <w:rPr>
                <w:sz w:val="12"/>
                <w:szCs w:val="12"/>
                <w:color w:val="auto"/>
              </w:rPr>
            </w:pPr>
          </w:p>
        </w:tc>
        <w:tc>
          <w:tcPr>
            <w:tcW w:w="5240" w:type="dxa"/>
            <w:vAlign w:val="bottom"/>
            <w:tcBorders>
              <w:bottom w:val="single" w:sz="8" w:color="95B3D7"/>
            </w:tcBorders>
            <w:shd w:val="clear" w:color="auto" w:fill="DBE5F1"/>
          </w:tcPr>
          <w:p>
            <w:pPr>
              <w:spacing w:after="0"/>
              <w:rPr>
                <w:sz w:val="12"/>
                <w:szCs w:val="12"/>
                <w:color w:val="auto"/>
              </w:rPr>
            </w:pPr>
          </w:p>
        </w:tc>
      </w:tr>
    </w:tbl>
    <w:p>
      <w:pPr>
        <w:spacing w:after="0" w:line="328" w:lineRule="exact"/>
        <w:rPr>
          <w:sz w:val="20"/>
          <w:szCs w:val="20"/>
          <w:color w:val="auto"/>
        </w:rPr>
      </w:pPr>
    </w:p>
    <w:p>
      <w:pPr>
        <w:ind w:left="328" w:hanging="328"/>
        <w:spacing w:after="0" w:line="324" w:lineRule="auto"/>
        <w:tabs>
          <w:tab w:leader="none" w:pos="320" w:val="left"/>
        </w:tabs>
        <w:numPr>
          <w:ilvl w:val="0"/>
          <w:numId w:val="50"/>
        </w:numPr>
        <w:rPr>
          <w:rFonts w:ascii="Times New Roman" w:cs="Times New Roman" w:eastAsia="Times New Roman" w:hAnsi="Times New Roman"/>
          <w:sz w:val="14"/>
          <w:szCs w:val="14"/>
          <w:color w:val="auto"/>
        </w:rPr>
      </w:pPr>
      <w:r>
        <w:rPr>
          <w:rFonts w:ascii="Arial" w:cs="Arial" w:eastAsia="Arial" w:hAnsi="Arial"/>
          <w:sz w:val="14"/>
          <w:szCs w:val="14"/>
          <w:color w:val="auto"/>
        </w:rPr>
        <w:t>The dollar amounts shown in this column are determined by multiplying the number of shares or units reported in the “Number of Shares or Units of Stock That Have Not Vested” column by $11.25, the closing price of our common stock on the last trading day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72"/>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56515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8"/>
          </w:cols>
          <w:pgMar w:left="652" w:top="1426" w:right="479" w:bottom="1440" w:gutter="0" w:footer="0" w:header="0"/>
        </w:sectPr>
      </w:pPr>
    </w:p>
    <w:bookmarkStart w:id="68" w:name="page69"/>
    <w:bookmarkEnd w:id="68"/>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Exercises and Stock Vested During Fiscal Year 2024</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information about exercises and vesting of RSUs, restricted shares and stock options during fiscal year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109" w:lineRule="exact"/>
        <w:rPr>
          <w:sz w:val="20"/>
          <w:szCs w:val="20"/>
          <w:color w:val="auto"/>
        </w:rPr>
      </w:pPr>
    </w:p>
    <w:tbl>
      <w:tblPr>
        <w:tblLayout w:type="fixed"/>
        <w:tblInd w:w="1540" w:type="dxa"/>
        <w:tblCellMar>
          <w:top w:w="0" w:type="dxa"/>
          <w:left w:w="0" w:type="dxa"/>
          <w:bottom w:w="0" w:type="dxa"/>
          <w:right w:w="0" w:type="dxa"/>
        </w:tblCellMar>
      </w:tblPr>
      <w:tr>
        <w:trPr>
          <w:trHeight w:val="197"/>
        </w:trPr>
        <w:tc>
          <w:tcPr>
            <w:tcW w:w="1760" w:type="dxa"/>
            <w:vAlign w:val="bottom"/>
            <w:tcBorders>
              <w:bottom w:val="single" w:sz="8" w:color="95B3D7"/>
            </w:tcBorders>
          </w:tcPr>
          <w:p>
            <w:pPr>
              <w:spacing w:after="0"/>
              <w:rPr>
                <w:sz w:val="17"/>
                <w:szCs w:val="17"/>
                <w:color w:val="auto"/>
              </w:rPr>
            </w:pPr>
          </w:p>
        </w:tc>
        <w:tc>
          <w:tcPr>
            <w:tcW w:w="3180" w:type="dxa"/>
            <w:vAlign w:val="bottom"/>
            <w:tcBorders>
              <w:bottom w:val="single" w:sz="8" w:color="95B3D7"/>
            </w:tcBorders>
            <w:gridSpan w:val="2"/>
          </w:tcPr>
          <w:p>
            <w:pPr>
              <w:ind w:left="1060"/>
              <w:spacing w:after="0"/>
              <w:rPr>
                <w:sz w:val="20"/>
                <w:szCs w:val="20"/>
                <w:color w:val="auto"/>
              </w:rPr>
            </w:pPr>
            <w:r>
              <w:rPr>
                <w:rFonts w:ascii="Arial" w:cs="Arial" w:eastAsia="Arial" w:hAnsi="Arial"/>
                <w:sz w:val="14"/>
                <w:szCs w:val="14"/>
                <w:b w:val="1"/>
                <w:bCs w:val="1"/>
                <w:color w:val="auto"/>
              </w:rPr>
              <w:t>Option Awards</w:t>
            </w:r>
          </w:p>
        </w:tc>
        <w:tc>
          <w:tcPr>
            <w:tcW w:w="3240" w:type="dxa"/>
            <w:vAlign w:val="bottom"/>
            <w:tcBorders>
              <w:bottom w:val="single" w:sz="8" w:color="95B3D7"/>
            </w:tcBorders>
            <w:gridSpan w:val="2"/>
          </w:tcPr>
          <w:p>
            <w:pPr>
              <w:jc w:val="right"/>
              <w:ind w:right="1088"/>
              <w:spacing w:after="0"/>
              <w:rPr>
                <w:sz w:val="20"/>
                <w:szCs w:val="20"/>
                <w:color w:val="auto"/>
              </w:rPr>
            </w:pPr>
            <w:r>
              <w:rPr>
                <w:rFonts w:ascii="Arial" w:cs="Arial" w:eastAsia="Arial" w:hAnsi="Arial"/>
                <w:sz w:val="14"/>
                <w:szCs w:val="14"/>
                <w:b w:val="1"/>
                <w:bCs w:val="1"/>
                <w:color w:val="auto"/>
              </w:rPr>
              <w:t>Stock Awards</w:t>
            </w:r>
          </w:p>
        </w:tc>
      </w:tr>
      <w:tr>
        <w:trPr>
          <w:trHeight w:val="157"/>
        </w:trPr>
        <w:tc>
          <w:tcPr>
            <w:tcW w:w="1760" w:type="dxa"/>
            <w:vAlign w:val="bottom"/>
            <w:tcBorders>
              <w:right w:val="single" w:sz="8" w:color="95B3D7"/>
            </w:tcBorders>
            <w:shd w:val="clear" w:color="auto" w:fill="DBE5F1"/>
          </w:tcPr>
          <w:p>
            <w:pPr>
              <w:ind w:left="60"/>
              <w:spacing w:after="0" w:line="157" w:lineRule="exact"/>
              <w:rPr>
                <w:sz w:val="20"/>
                <w:szCs w:val="20"/>
                <w:color w:val="auto"/>
              </w:rPr>
            </w:pPr>
            <w:r>
              <w:rPr>
                <w:rFonts w:ascii="Arial" w:cs="Arial" w:eastAsia="Arial" w:hAnsi="Arial"/>
                <w:sz w:val="14"/>
                <w:szCs w:val="14"/>
                <w:b w:val="1"/>
                <w:bCs w:val="1"/>
                <w:color w:val="auto"/>
              </w:rPr>
              <w:t>Name</w:t>
            </w:r>
          </w:p>
        </w:tc>
        <w:tc>
          <w:tcPr>
            <w:tcW w:w="1640" w:type="dxa"/>
            <w:vAlign w:val="bottom"/>
            <w:tcBorders>
              <w:right w:val="single" w:sz="8" w:color="95B3D7"/>
            </w:tcBorders>
            <w:shd w:val="clear" w:color="auto" w:fill="DBE5F1"/>
          </w:tcPr>
          <w:p>
            <w:pPr>
              <w:jc w:val="center"/>
              <w:spacing w:after="0" w:line="157" w:lineRule="exact"/>
              <w:rPr>
                <w:sz w:val="20"/>
                <w:szCs w:val="20"/>
                <w:color w:val="auto"/>
              </w:rPr>
            </w:pPr>
            <w:r>
              <w:rPr>
                <w:rFonts w:ascii="Arial" w:cs="Arial" w:eastAsia="Arial" w:hAnsi="Arial"/>
                <w:sz w:val="14"/>
                <w:szCs w:val="14"/>
                <w:b w:val="1"/>
                <w:bCs w:val="1"/>
                <w:color w:val="auto"/>
              </w:rPr>
              <w:t>Number of Shares</w:t>
            </w:r>
          </w:p>
        </w:tc>
        <w:tc>
          <w:tcPr>
            <w:tcW w:w="1540" w:type="dxa"/>
            <w:vAlign w:val="bottom"/>
            <w:tcBorders>
              <w:right w:val="single" w:sz="8" w:color="95B3D7"/>
            </w:tcBorders>
            <w:shd w:val="clear" w:color="auto" w:fill="DBE5F1"/>
          </w:tcPr>
          <w:p>
            <w:pPr>
              <w:jc w:val="center"/>
              <w:spacing w:after="0" w:line="157" w:lineRule="exact"/>
              <w:rPr>
                <w:sz w:val="20"/>
                <w:szCs w:val="20"/>
                <w:color w:val="auto"/>
              </w:rPr>
            </w:pPr>
            <w:r>
              <w:rPr>
                <w:rFonts w:ascii="Arial" w:cs="Arial" w:eastAsia="Arial" w:hAnsi="Arial"/>
                <w:sz w:val="14"/>
                <w:szCs w:val="14"/>
                <w:b w:val="1"/>
                <w:bCs w:val="1"/>
                <w:color w:val="auto"/>
              </w:rPr>
              <w:t>Value Realized on</w:t>
            </w:r>
          </w:p>
        </w:tc>
        <w:tc>
          <w:tcPr>
            <w:tcW w:w="1640" w:type="dxa"/>
            <w:vAlign w:val="bottom"/>
            <w:tcBorders>
              <w:right w:val="single" w:sz="8" w:color="95B3D7"/>
            </w:tcBorders>
            <w:shd w:val="clear" w:color="auto" w:fill="DBE5F1"/>
          </w:tcPr>
          <w:p>
            <w:pPr>
              <w:jc w:val="right"/>
              <w:ind w:right="148"/>
              <w:spacing w:after="0" w:line="157" w:lineRule="exact"/>
              <w:rPr>
                <w:sz w:val="20"/>
                <w:szCs w:val="20"/>
                <w:color w:val="auto"/>
              </w:rPr>
            </w:pPr>
            <w:r>
              <w:rPr>
                <w:rFonts w:ascii="Arial" w:cs="Arial" w:eastAsia="Arial" w:hAnsi="Arial"/>
                <w:sz w:val="14"/>
                <w:szCs w:val="14"/>
                <w:b w:val="1"/>
                <w:bCs w:val="1"/>
                <w:color w:val="auto"/>
              </w:rPr>
              <w:t>Number of Shares</w:t>
            </w:r>
          </w:p>
        </w:tc>
        <w:tc>
          <w:tcPr>
            <w:tcW w:w="1600" w:type="dxa"/>
            <w:vAlign w:val="bottom"/>
            <w:shd w:val="clear" w:color="auto" w:fill="DBE5F1"/>
          </w:tcPr>
          <w:p>
            <w:pPr>
              <w:jc w:val="right"/>
              <w:ind w:right="148"/>
              <w:spacing w:after="0" w:line="157" w:lineRule="exact"/>
              <w:rPr>
                <w:sz w:val="20"/>
                <w:szCs w:val="20"/>
                <w:color w:val="auto"/>
              </w:rPr>
            </w:pPr>
            <w:r>
              <w:rPr>
                <w:rFonts w:ascii="Arial" w:cs="Arial" w:eastAsia="Arial" w:hAnsi="Arial"/>
                <w:sz w:val="14"/>
                <w:szCs w:val="14"/>
                <w:b w:val="1"/>
                <w:bCs w:val="1"/>
                <w:color w:val="auto"/>
              </w:rPr>
              <w:t>Value Realized on</w:t>
            </w:r>
          </w:p>
        </w:tc>
      </w:tr>
      <w:tr>
        <w:trPr>
          <w:trHeight w:val="176"/>
        </w:trPr>
        <w:tc>
          <w:tcPr>
            <w:tcW w:w="1760" w:type="dxa"/>
            <w:vAlign w:val="bottom"/>
            <w:tcBorders>
              <w:right w:val="single" w:sz="8" w:color="95B3D7"/>
            </w:tcBorders>
            <w:shd w:val="clear" w:color="auto" w:fill="DBE5F1"/>
          </w:tcPr>
          <w:p>
            <w:pPr>
              <w:spacing w:after="0"/>
              <w:rPr>
                <w:sz w:val="15"/>
                <w:szCs w:val="15"/>
                <w:color w:val="auto"/>
              </w:rPr>
            </w:pPr>
          </w:p>
        </w:tc>
        <w:tc>
          <w:tcPr>
            <w:tcW w:w="164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4"/>
                <w:szCs w:val="14"/>
                <w:b w:val="1"/>
                <w:bCs w:val="1"/>
                <w:color w:val="auto"/>
              </w:rPr>
              <w:t>Acquired on Exercise</w:t>
            </w:r>
          </w:p>
        </w:tc>
        <w:tc>
          <w:tcPr>
            <w:tcW w:w="154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4"/>
                <w:szCs w:val="14"/>
                <w:b w:val="1"/>
                <w:bCs w:val="1"/>
                <w:color w:val="auto"/>
              </w:rPr>
              <w:t>Exercise ($)</w:t>
            </w:r>
          </w:p>
        </w:tc>
        <w:tc>
          <w:tcPr>
            <w:tcW w:w="1640" w:type="dxa"/>
            <w:vAlign w:val="bottom"/>
            <w:tcBorders>
              <w:right w:val="single" w:sz="8" w:color="95B3D7"/>
            </w:tcBorders>
            <w:shd w:val="clear" w:color="auto" w:fill="DBE5F1"/>
          </w:tcPr>
          <w:p>
            <w:pPr>
              <w:jc w:val="right"/>
              <w:ind w:right="68"/>
              <w:spacing w:after="0"/>
              <w:rPr>
                <w:sz w:val="20"/>
                <w:szCs w:val="20"/>
                <w:color w:val="auto"/>
              </w:rPr>
            </w:pPr>
            <w:r>
              <w:rPr>
                <w:rFonts w:ascii="Arial" w:cs="Arial" w:eastAsia="Arial" w:hAnsi="Arial"/>
                <w:sz w:val="14"/>
                <w:szCs w:val="14"/>
                <w:b w:val="1"/>
                <w:bCs w:val="1"/>
                <w:color w:val="auto"/>
              </w:rPr>
              <w:t>Acquired on Vesting</w:t>
            </w:r>
          </w:p>
        </w:tc>
        <w:tc>
          <w:tcPr>
            <w:tcW w:w="1600" w:type="dxa"/>
            <w:vAlign w:val="bottom"/>
            <w:shd w:val="clear" w:color="auto" w:fill="DBE5F1"/>
          </w:tcPr>
          <w:p>
            <w:pPr>
              <w:jc w:val="right"/>
              <w:ind w:right="428"/>
              <w:spacing w:after="0" w:line="176" w:lineRule="exact"/>
              <w:rPr>
                <w:sz w:val="20"/>
                <w:szCs w:val="20"/>
                <w:color w:val="auto"/>
              </w:rPr>
            </w:pPr>
            <w:r>
              <w:rPr>
                <w:rFonts w:ascii="Arial" w:cs="Arial" w:eastAsia="Arial" w:hAnsi="Arial"/>
                <w:sz w:val="14"/>
                <w:szCs w:val="14"/>
                <w:b w:val="1"/>
                <w:bCs w:val="1"/>
                <w:color w:val="auto"/>
              </w:rPr>
              <w:t>Vesting</w:t>
            </w:r>
            <w:r>
              <w:rPr>
                <w:rFonts w:ascii="Arial" w:cs="Arial" w:eastAsia="Arial" w:hAnsi="Arial"/>
                <w:sz w:val="18"/>
                <w:szCs w:val="18"/>
                <w:b w:val="1"/>
                <w:bCs w:val="1"/>
                <w:color w:val="auto"/>
                <w:vertAlign w:val="superscript"/>
              </w:rPr>
              <w:t>(1)</w:t>
            </w:r>
          </w:p>
        </w:tc>
      </w:tr>
      <w:tr>
        <w:trPr>
          <w:trHeight w:val="233"/>
        </w:trPr>
        <w:tc>
          <w:tcPr>
            <w:tcW w:w="1760" w:type="dxa"/>
            <w:vAlign w:val="bottom"/>
            <w:tcBorders>
              <w:bottom w:val="single" w:sz="8" w:color="DBE5F1"/>
              <w:right w:val="single" w:sz="8" w:color="95B3D7"/>
            </w:tcBorders>
            <w:shd w:val="clear" w:color="auto" w:fill="DBE5F1"/>
          </w:tcPr>
          <w:p>
            <w:pPr>
              <w:spacing w:after="0"/>
              <w:rPr>
                <w:sz w:val="19"/>
                <w:szCs w:val="19"/>
                <w:color w:val="auto"/>
              </w:rPr>
            </w:pPr>
          </w:p>
        </w:tc>
        <w:tc>
          <w:tcPr>
            <w:tcW w:w="164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DBE5F1"/>
              <w:right w:val="single" w:sz="8" w:color="95B3D7"/>
            </w:tcBorders>
            <w:shd w:val="clear" w:color="auto" w:fill="DBE5F1"/>
          </w:tcPr>
          <w:p>
            <w:pPr>
              <w:spacing w:after="0"/>
              <w:rPr>
                <w:sz w:val="19"/>
                <w:szCs w:val="19"/>
                <w:color w:val="auto"/>
              </w:rPr>
            </w:pPr>
          </w:p>
        </w:tc>
        <w:tc>
          <w:tcPr>
            <w:tcW w:w="1640" w:type="dxa"/>
            <w:vAlign w:val="bottom"/>
            <w:tcBorders>
              <w:bottom w:val="single" w:sz="8" w:color="DBE5F1"/>
              <w:right w:val="single" w:sz="8" w:color="95B3D7"/>
            </w:tcBorders>
            <w:shd w:val="clear" w:color="auto" w:fill="DBE5F1"/>
          </w:tcPr>
          <w:p>
            <w:pPr>
              <w:jc w:val="right"/>
              <w:ind w:right="68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BE5F1"/>
            </w:tcBorders>
            <w:shd w:val="clear" w:color="auto" w:fill="DBE5F1"/>
          </w:tcPr>
          <w:p>
            <w:pPr>
              <w:jc w:val="right"/>
              <w:ind w:right="648"/>
              <w:spacing w:after="0"/>
              <w:rPr>
                <w:sz w:val="20"/>
                <w:szCs w:val="20"/>
                <w:color w:val="auto"/>
              </w:rPr>
            </w:pPr>
            <w:r>
              <w:rPr>
                <w:rFonts w:ascii="Arial" w:cs="Arial" w:eastAsia="Arial" w:hAnsi="Arial"/>
                <w:sz w:val="14"/>
                <w:szCs w:val="14"/>
                <w:b w:val="1"/>
                <w:bCs w:val="1"/>
                <w:color w:val="auto"/>
              </w:rPr>
              <w:t>($)</w:t>
            </w:r>
          </w:p>
        </w:tc>
      </w:tr>
      <w:tr>
        <w:trPr>
          <w:trHeight w:val="224"/>
        </w:trPr>
        <w:tc>
          <w:tcPr>
            <w:tcW w:w="1760" w:type="dxa"/>
            <w:vAlign w:val="bottom"/>
            <w:tcBorders>
              <w:top w:val="single" w:sz="8" w:color="auto"/>
              <w:bottom w:val="single" w:sz="8" w:color="95B3D7"/>
              <w:right w:val="single" w:sz="8" w:color="95B3D7"/>
            </w:tcBorders>
          </w:tcPr>
          <w:p>
            <w:pPr>
              <w:ind w:left="60"/>
              <w:spacing w:after="0"/>
              <w:rPr>
                <w:sz w:val="20"/>
                <w:szCs w:val="20"/>
                <w:color w:val="auto"/>
              </w:rPr>
            </w:pPr>
            <w:r>
              <w:rPr>
                <w:rFonts w:ascii="Arial" w:cs="Arial" w:eastAsia="Arial" w:hAnsi="Arial"/>
                <w:sz w:val="14"/>
                <w:szCs w:val="14"/>
                <w:color w:val="auto"/>
              </w:rPr>
              <w:t>John Kao</w:t>
            </w:r>
          </w:p>
        </w:tc>
        <w:tc>
          <w:tcPr>
            <w:tcW w:w="1640" w:type="dxa"/>
            <w:vAlign w:val="bottom"/>
            <w:tcBorders>
              <w:top w:val="single" w:sz="8" w:color="auto"/>
              <w:bottom w:val="single" w:sz="8" w:color="95B3D7"/>
              <w:right w:val="single" w:sz="8" w:color="95B3D7"/>
            </w:tcBorders>
          </w:tcPr>
          <w:p>
            <w:pPr>
              <w:jc w:val="center"/>
              <w:spacing w:after="0"/>
              <w:rPr>
                <w:sz w:val="20"/>
                <w:szCs w:val="20"/>
                <w:color w:val="auto"/>
              </w:rPr>
            </w:pPr>
            <w:r>
              <w:rPr>
                <w:rFonts w:ascii="Arial" w:cs="Arial" w:eastAsia="Arial" w:hAnsi="Arial"/>
                <w:sz w:val="14"/>
                <w:szCs w:val="14"/>
                <w:color w:val="auto"/>
                <w:w w:val="99"/>
              </w:rPr>
              <w:t>—</w:t>
            </w:r>
          </w:p>
        </w:tc>
        <w:tc>
          <w:tcPr>
            <w:tcW w:w="1540" w:type="dxa"/>
            <w:vAlign w:val="bottom"/>
            <w:tcBorders>
              <w:top w:val="single" w:sz="8" w:color="auto"/>
              <w:bottom w:val="single" w:sz="8" w:color="95B3D7"/>
              <w:right w:val="single" w:sz="8" w:color="95B3D7"/>
            </w:tcBorders>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Borders>
              <w:top w:val="single" w:sz="8" w:color="auto"/>
              <w:bottom w:val="single" w:sz="8" w:color="95B3D7"/>
              <w:right w:val="single" w:sz="8" w:color="95B3D7"/>
            </w:tcBorders>
          </w:tcPr>
          <w:p>
            <w:pPr>
              <w:jc w:val="right"/>
              <w:ind w:right="28"/>
              <w:spacing w:after="0"/>
              <w:rPr>
                <w:sz w:val="20"/>
                <w:szCs w:val="20"/>
                <w:color w:val="auto"/>
              </w:rPr>
            </w:pPr>
            <w:r>
              <w:rPr>
                <w:rFonts w:ascii="Arial" w:cs="Arial" w:eastAsia="Arial" w:hAnsi="Arial"/>
                <w:sz w:val="14"/>
                <w:szCs w:val="14"/>
                <w:color w:val="auto"/>
              </w:rPr>
              <w:t>429,071</w:t>
            </w:r>
            <w:r>
              <w:rPr>
                <w:rFonts w:ascii="Arial" w:cs="Arial" w:eastAsia="Arial" w:hAnsi="Arial"/>
                <w:sz w:val="18"/>
                <w:szCs w:val="18"/>
                <w:color w:val="auto"/>
                <w:vertAlign w:val="superscript"/>
              </w:rPr>
              <w:t>(2)</w:t>
            </w:r>
          </w:p>
        </w:tc>
        <w:tc>
          <w:tcPr>
            <w:tcW w:w="1600" w:type="dxa"/>
            <w:vAlign w:val="bottom"/>
            <w:tcBorders>
              <w:top w:val="single" w:sz="8" w:color="auto"/>
              <w:bottom w:val="single" w:sz="8" w:color="95B3D7"/>
            </w:tcBorders>
          </w:tcPr>
          <w:p>
            <w:pPr>
              <w:jc w:val="right"/>
              <w:spacing w:after="0"/>
              <w:rPr>
                <w:sz w:val="20"/>
                <w:szCs w:val="20"/>
                <w:color w:val="auto"/>
              </w:rPr>
            </w:pPr>
            <w:r>
              <w:rPr>
                <w:rFonts w:ascii="Arial" w:cs="Arial" w:eastAsia="Arial" w:hAnsi="Arial"/>
                <w:sz w:val="14"/>
                <w:szCs w:val="14"/>
                <w:color w:val="auto"/>
              </w:rPr>
              <w:t>2,987,266</w:t>
            </w:r>
          </w:p>
        </w:tc>
      </w:tr>
      <w:tr>
        <w:trPr>
          <w:trHeight w:val="223"/>
        </w:trPr>
        <w:tc>
          <w:tcPr>
            <w:tcW w:w="1760" w:type="dxa"/>
            <w:vAlign w:val="bottom"/>
            <w:tcBorders>
              <w:bottom w:val="single" w:sz="8" w:color="95B3D7"/>
              <w:right w:val="single" w:sz="8" w:color="95B3D7"/>
            </w:tcBorders>
            <w:shd w:val="clear" w:color="auto" w:fill="DBE5F1"/>
          </w:tcPr>
          <w:p>
            <w:pPr>
              <w:ind w:left="60"/>
              <w:spacing w:after="0"/>
              <w:rPr>
                <w:sz w:val="20"/>
                <w:szCs w:val="20"/>
                <w:color w:val="auto"/>
              </w:rPr>
            </w:pPr>
            <w:r>
              <w:rPr>
                <w:rFonts w:ascii="Arial" w:cs="Arial" w:eastAsia="Arial" w:hAnsi="Arial"/>
                <w:sz w:val="14"/>
                <w:szCs w:val="14"/>
                <w:color w:val="auto"/>
              </w:rPr>
              <w:t>Thomas Freeman</w:t>
            </w:r>
          </w:p>
        </w:tc>
        <w:tc>
          <w:tcPr>
            <w:tcW w:w="164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w w:val="99"/>
              </w:rPr>
              <w:t>—</w:t>
            </w:r>
          </w:p>
        </w:tc>
        <w:tc>
          <w:tcPr>
            <w:tcW w:w="154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Borders>
              <w:bottom w:val="single" w:sz="8" w:color="95B3D7"/>
              <w:right w:val="single" w:sz="8" w:color="95B3D7"/>
            </w:tcBorders>
            <w:shd w:val="clear" w:color="auto" w:fill="DBE5F1"/>
          </w:tcPr>
          <w:p>
            <w:pPr>
              <w:jc w:val="right"/>
              <w:ind w:right="28"/>
              <w:spacing w:after="0"/>
              <w:rPr>
                <w:sz w:val="20"/>
                <w:szCs w:val="20"/>
                <w:color w:val="auto"/>
              </w:rPr>
            </w:pPr>
            <w:r>
              <w:rPr>
                <w:rFonts w:ascii="Arial" w:cs="Arial" w:eastAsia="Arial" w:hAnsi="Arial"/>
                <w:sz w:val="14"/>
                <w:szCs w:val="14"/>
                <w:color w:val="auto"/>
              </w:rPr>
              <w:t>149,168</w:t>
            </w:r>
            <w:r>
              <w:rPr>
                <w:rFonts w:ascii="Arial" w:cs="Arial" w:eastAsia="Arial" w:hAnsi="Arial"/>
                <w:sz w:val="18"/>
                <w:szCs w:val="18"/>
                <w:color w:val="auto"/>
                <w:vertAlign w:val="superscript"/>
              </w:rPr>
              <w:t>(3)</w:t>
            </w:r>
          </w:p>
        </w:tc>
        <w:tc>
          <w:tcPr>
            <w:tcW w:w="1600" w:type="dxa"/>
            <w:vAlign w:val="bottom"/>
            <w:tcBorders>
              <w:bottom w:val="single" w:sz="8" w:color="95B3D7"/>
            </w:tcBorders>
            <w:shd w:val="clear" w:color="auto" w:fill="DBE5F1"/>
          </w:tcPr>
          <w:p>
            <w:pPr>
              <w:jc w:val="right"/>
              <w:spacing w:after="0"/>
              <w:rPr>
                <w:sz w:val="20"/>
                <w:szCs w:val="20"/>
                <w:color w:val="auto"/>
              </w:rPr>
            </w:pPr>
            <w:r>
              <w:rPr>
                <w:rFonts w:ascii="Arial" w:cs="Arial" w:eastAsia="Arial" w:hAnsi="Arial"/>
                <w:sz w:val="14"/>
                <w:szCs w:val="14"/>
                <w:color w:val="auto"/>
              </w:rPr>
              <w:t>786,747</w:t>
            </w:r>
          </w:p>
        </w:tc>
      </w:tr>
      <w:tr>
        <w:trPr>
          <w:trHeight w:val="223"/>
        </w:trPr>
        <w:tc>
          <w:tcPr>
            <w:tcW w:w="1760" w:type="dxa"/>
            <w:vAlign w:val="bottom"/>
            <w:tcBorders>
              <w:bottom w:val="single" w:sz="8" w:color="95B3D7"/>
              <w:right w:val="single" w:sz="8" w:color="95B3D7"/>
            </w:tcBorders>
          </w:tcPr>
          <w:p>
            <w:pPr>
              <w:ind w:left="60"/>
              <w:spacing w:after="0"/>
              <w:rPr>
                <w:sz w:val="20"/>
                <w:szCs w:val="20"/>
                <w:color w:val="auto"/>
              </w:rPr>
            </w:pPr>
            <w:r>
              <w:rPr>
                <w:rFonts w:ascii="Arial" w:cs="Arial" w:eastAsia="Arial" w:hAnsi="Arial"/>
                <w:sz w:val="14"/>
                <w:szCs w:val="14"/>
                <w:color w:val="auto"/>
              </w:rPr>
              <w:t>Dawn Maroney</w:t>
            </w:r>
          </w:p>
        </w:tc>
        <w:tc>
          <w:tcPr>
            <w:tcW w:w="164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4"/>
                <w:szCs w:val="14"/>
                <w:color w:val="auto"/>
                <w:w w:val="99"/>
              </w:rPr>
              <w:t>—</w:t>
            </w:r>
          </w:p>
        </w:tc>
        <w:tc>
          <w:tcPr>
            <w:tcW w:w="154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Borders>
              <w:bottom w:val="single" w:sz="8" w:color="95B3D7"/>
              <w:right w:val="single" w:sz="8" w:color="95B3D7"/>
            </w:tcBorders>
          </w:tcPr>
          <w:p>
            <w:pPr>
              <w:jc w:val="right"/>
              <w:ind w:right="28"/>
              <w:spacing w:after="0"/>
              <w:rPr>
                <w:sz w:val="20"/>
                <w:szCs w:val="20"/>
                <w:color w:val="auto"/>
              </w:rPr>
            </w:pPr>
            <w:r>
              <w:rPr>
                <w:rFonts w:ascii="Arial" w:cs="Arial" w:eastAsia="Arial" w:hAnsi="Arial"/>
                <w:sz w:val="14"/>
                <w:szCs w:val="14"/>
                <w:color w:val="auto"/>
              </w:rPr>
              <w:t>230,594</w:t>
            </w:r>
            <w:r>
              <w:rPr>
                <w:rFonts w:ascii="Arial" w:cs="Arial" w:eastAsia="Arial" w:hAnsi="Arial"/>
                <w:sz w:val="18"/>
                <w:szCs w:val="18"/>
                <w:color w:val="auto"/>
                <w:vertAlign w:val="superscript"/>
              </w:rPr>
              <w:t>(4)</w:t>
            </w:r>
          </w:p>
        </w:tc>
        <w:tc>
          <w:tcPr>
            <w:tcW w:w="1600" w:type="dxa"/>
            <w:vAlign w:val="bottom"/>
            <w:tcBorders>
              <w:bottom w:val="single" w:sz="8" w:color="95B3D7"/>
            </w:tcBorders>
          </w:tcPr>
          <w:p>
            <w:pPr>
              <w:jc w:val="right"/>
              <w:spacing w:after="0"/>
              <w:rPr>
                <w:sz w:val="20"/>
                <w:szCs w:val="20"/>
                <w:color w:val="auto"/>
              </w:rPr>
            </w:pPr>
            <w:r>
              <w:rPr>
                <w:rFonts w:ascii="Arial" w:cs="Arial" w:eastAsia="Arial" w:hAnsi="Arial"/>
                <w:sz w:val="14"/>
                <w:szCs w:val="14"/>
                <w:color w:val="auto"/>
              </w:rPr>
              <w:t>1,460,618</w:t>
            </w:r>
          </w:p>
        </w:tc>
      </w:tr>
      <w:tr>
        <w:trPr>
          <w:trHeight w:val="223"/>
        </w:trPr>
        <w:tc>
          <w:tcPr>
            <w:tcW w:w="1760" w:type="dxa"/>
            <w:vAlign w:val="bottom"/>
            <w:tcBorders>
              <w:bottom w:val="single" w:sz="8" w:color="95B3D7"/>
              <w:right w:val="single" w:sz="8" w:color="95B3D7"/>
            </w:tcBorders>
            <w:shd w:val="clear" w:color="auto" w:fill="DBE5F1"/>
          </w:tcPr>
          <w:p>
            <w:pPr>
              <w:ind w:left="60"/>
              <w:spacing w:after="0"/>
              <w:rPr>
                <w:sz w:val="20"/>
                <w:szCs w:val="20"/>
                <w:color w:val="auto"/>
              </w:rPr>
            </w:pPr>
            <w:r>
              <w:rPr>
                <w:rFonts w:ascii="Arial" w:cs="Arial" w:eastAsia="Arial" w:hAnsi="Arial"/>
                <w:sz w:val="14"/>
                <w:szCs w:val="14"/>
                <w:color w:val="auto"/>
              </w:rPr>
              <w:t>Hyong (Ken) Kim, M.D.</w:t>
            </w:r>
          </w:p>
        </w:tc>
        <w:tc>
          <w:tcPr>
            <w:tcW w:w="164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w w:val="99"/>
              </w:rPr>
              <w:t>—</w:t>
            </w:r>
          </w:p>
        </w:tc>
        <w:tc>
          <w:tcPr>
            <w:tcW w:w="154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Borders>
              <w:bottom w:val="single" w:sz="8" w:color="95B3D7"/>
              <w:right w:val="single" w:sz="8" w:color="95B3D7"/>
            </w:tcBorders>
            <w:shd w:val="clear" w:color="auto" w:fill="DBE5F1"/>
          </w:tcPr>
          <w:p>
            <w:pPr>
              <w:jc w:val="right"/>
              <w:ind w:right="28"/>
              <w:spacing w:after="0"/>
              <w:rPr>
                <w:sz w:val="20"/>
                <w:szCs w:val="20"/>
                <w:color w:val="auto"/>
              </w:rPr>
            </w:pPr>
            <w:r>
              <w:rPr>
                <w:rFonts w:ascii="Arial" w:cs="Arial" w:eastAsia="Arial" w:hAnsi="Arial"/>
                <w:sz w:val="14"/>
                <w:szCs w:val="14"/>
                <w:color w:val="auto"/>
              </w:rPr>
              <w:t>104,004</w:t>
            </w:r>
            <w:r>
              <w:rPr>
                <w:rFonts w:ascii="Arial" w:cs="Arial" w:eastAsia="Arial" w:hAnsi="Arial"/>
                <w:sz w:val="18"/>
                <w:szCs w:val="18"/>
                <w:color w:val="auto"/>
                <w:vertAlign w:val="superscript"/>
              </w:rPr>
              <w:t>(5)</w:t>
            </w:r>
          </w:p>
        </w:tc>
        <w:tc>
          <w:tcPr>
            <w:tcW w:w="1600" w:type="dxa"/>
            <w:vAlign w:val="bottom"/>
            <w:tcBorders>
              <w:bottom w:val="single" w:sz="8" w:color="95B3D7"/>
            </w:tcBorders>
            <w:shd w:val="clear" w:color="auto" w:fill="DBE5F1"/>
          </w:tcPr>
          <w:p>
            <w:pPr>
              <w:jc w:val="right"/>
              <w:spacing w:after="0"/>
              <w:rPr>
                <w:sz w:val="20"/>
                <w:szCs w:val="20"/>
                <w:color w:val="auto"/>
              </w:rPr>
            </w:pPr>
            <w:r>
              <w:rPr>
                <w:rFonts w:ascii="Arial" w:cs="Arial" w:eastAsia="Arial" w:hAnsi="Arial"/>
                <w:sz w:val="14"/>
                <w:szCs w:val="14"/>
                <w:color w:val="auto"/>
              </w:rPr>
              <w:t>1,023,421</w:t>
            </w:r>
          </w:p>
        </w:tc>
      </w:tr>
      <w:tr>
        <w:trPr>
          <w:trHeight w:val="192"/>
        </w:trPr>
        <w:tc>
          <w:tcPr>
            <w:tcW w:w="1760" w:type="dxa"/>
            <w:vAlign w:val="bottom"/>
            <w:tcBorders>
              <w:bottom w:val="single" w:sz="8" w:color="95B3D7"/>
              <w:right w:val="single" w:sz="8" w:color="95B3D7"/>
            </w:tcBorders>
          </w:tcPr>
          <w:p>
            <w:pPr>
              <w:ind w:left="40"/>
              <w:spacing w:after="0"/>
              <w:rPr>
                <w:sz w:val="20"/>
                <w:szCs w:val="20"/>
                <w:color w:val="auto"/>
              </w:rPr>
            </w:pPr>
            <w:r>
              <w:rPr>
                <w:rFonts w:ascii="Arial" w:cs="Arial" w:eastAsia="Arial" w:hAnsi="Arial"/>
                <w:sz w:val="14"/>
                <w:szCs w:val="14"/>
                <w:color w:val="auto"/>
              </w:rPr>
              <w:t>Andreas Wagner</w:t>
            </w:r>
          </w:p>
        </w:tc>
        <w:tc>
          <w:tcPr>
            <w:tcW w:w="164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4"/>
                <w:szCs w:val="14"/>
                <w:color w:val="auto"/>
                <w:w w:val="99"/>
              </w:rPr>
              <w:t>—</w:t>
            </w:r>
          </w:p>
        </w:tc>
        <w:tc>
          <w:tcPr>
            <w:tcW w:w="154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Borders>
              <w:bottom w:val="single" w:sz="8" w:color="95B3D7"/>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61" w:lineRule="exact"/>
        <w:rPr>
          <w:sz w:val="20"/>
          <w:szCs w:val="20"/>
          <w:color w:val="auto"/>
        </w:rPr>
      </w:pPr>
    </w:p>
    <w:p>
      <w:pPr>
        <w:ind w:left="660" w:right="140" w:hanging="328"/>
        <w:spacing w:after="0" w:line="324" w:lineRule="auto"/>
        <w:tabs>
          <w:tab w:leader="none" w:pos="652" w:val="left"/>
        </w:tabs>
        <w:numPr>
          <w:ilvl w:val="0"/>
          <w:numId w:val="51"/>
        </w:numPr>
        <w:rPr>
          <w:rFonts w:ascii="Times New Roman" w:cs="Times New Roman" w:eastAsia="Times New Roman" w:hAnsi="Times New Roman"/>
          <w:sz w:val="14"/>
          <w:szCs w:val="14"/>
          <w:color w:val="auto"/>
        </w:rPr>
      </w:pPr>
      <w:r>
        <w:rPr>
          <w:rFonts w:ascii="Arial" w:cs="Arial" w:eastAsia="Arial" w:hAnsi="Arial"/>
          <w:sz w:val="14"/>
          <w:szCs w:val="14"/>
          <w:color w:val="auto"/>
        </w:rPr>
        <w:t>The dollar amounts shown in the “Value Realized on Vesting” column are determined by multiplying (i) the number of shares that vested, by (ii) the per-share closing market price of our common stock on the vesting date.</w:t>
      </w:r>
    </w:p>
    <w:p>
      <w:pPr>
        <w:spacing w:after="0" w:line="36" w:lineRule="exact"/>
        <w:rPr>
          <w:rFonts w:ascii="Times New Roman" w:cs="Times New Roman" w:eastAsia="Times New Roman" w:hAnsi="Times New Roman"/>
          <w:sz w:val="14"/>
          <w:szCs w:val="14"/>
          <w:color w:val="auto"/>
        </w:rPr>
      </w:pPr>
    </w:p>
    <w:p>
      <w:pPr>
        <w:ind w:left="660" w:right="160" w:hanging="328"/>
        <w:spacing w:after="0" w:line="282" w:lineRule="auto"/>
        <w:tabs>
          <w:tab w:leader="none" w:pos="652" w:val="left"/>
        </w:tabs>
        <w:numPr>
          <w:ilvl w:val="0"/>
          <w:numId w:val="51"/>
        </w:numPr>
        <w:rPr>
          <w:rFonts w:ascii="Times New Roman" w:cs="Times New Roman" w:eastAsia="Times New Roman" w:hAnsi="Times New Roman"/>
          <w:sz w:val="14"/>
          <w:szCs w:val="14"/>
          <w:color w:val="auto"/>
        </w:rPr>
      </w:pPr>
      <w:r>
        <w:rPr>
          <w:rFonts w:ascii="Arial" w:cs="Arial" w:eastAsia="Arial" w:hAnsi="Arial"/>
          <w:sz w:val="14"/>
          <w:szCs w:val="14"/>
          <w:color w:val="auto"/>
        </w:rPr>
        <w:t>Represents (a) 124,172 shares issued upon vesting of RSUs with a value realized on vesting based on a per-share closing market price of $5.39; (b) 77,757 shares issued upon vesting of RSUs with a value realized on vesting based on a per-share closing market price of $4.63; and (c) 227,142 restricted shares with a value realized on vesting based on a per-share closing market price of $8.62.</w:t>
      </w:r>
    </w:p>
    <w:p>
      <w:pPr>
        <w:spacing w:after="0" w:line="66" w:lineRule="exact"/>
        <w:rPr>
          <w:rFonts w:ascii="Times New Roman" w:cs="Times New Roman" w:eastAsia="Times New Roman" w:hAnsi="Times New Roman"/>
          <w:sz w:val="14"/>
          <w:szCs w:val="14"/>
          <w:color w:val="auto"/>
        </w:rPr>
      </w:pPr>
    </w:p>
    <w:p>
      <w:pPr>
        <w:ind w:left="660" w:hanging="328"/>
        <w:spacing w:after="0" w:line="275" w:lineRule="auto"/>
        <w:tabs>
          <w:tab w:leader="none" w:pos="652" w:val="left"/>
        </w:tabs>
        <w:numPr>
          <w:ilvl w:val="0"/>
          <w:numId w:val="51"/>
        </w:numPr>
        <w:rPr>
          <w:rFonts w:ascii="Times New Roman" w:cs="Times New Roman" w:eastAsia="Times New Roman" w:hAnsi="Times New Roman"/>
          <w:sz w:val="14"/>
          <w:szCs w:val="14"/>
          <w:color w:val="auto"/>
        </w:rPr>
      </w:pPr>
      <w:r>
        <w:rPr>
          <w:rFonts w:ascii="Arial" w:cs="Arial" w:eastAsia="Arial" w:hAnsi="Arial"/>
          <w:sz w:val="14"/>
          <w:szCs w:val="14"/>
          <w:color w:val="auto"/>
        </w:rPr>
        <w:t>Represents (a) 34,147 shares issued upon vesting of RSUs with a value realized on vesting based on a per-share closing market price of $5.39; (b) 90,710 shares issued upon the grant of an immediately vested stock award with a value realized on vesting based on a per-share closing market price of $5.00; (c) 15,142 shares issued upon vesting of RSUs with a value realized on vesting based on a per-share closing market price of $4.63; and (d) 9,169 restricted shares with a value realized on vesting based on a per-share closing market price of $8.62.</w:t>
      </w:r>
    </w:p>
    <w:p>
      <w:pPr>
        <w:spacing w:after="0" w:line="71" w:lineRule="exact"/>
        <w:rPr>
          <w:rFonts w:ascii="Times New Roman" w:cs="Times New Roman" w:eastAsia="Times New Roman" w:hAnsi="Times New Roman"/>
          <w:sz w:val="14"/>
          <w:szCs w:val="14"/>
          <w:color w:val="auto"/>
        </w:rPr>
      </w:pPr>
    </w:p>
    <w:p>
      <w:pPr>
        <w:ind w:left="660" w:right="240" w:hanging="328"/>
        <w:spacing w:after="0" w:line="282" w:lineRule="auto"/>
        <w:tabs>
          <w:tab w:leader="none" w:pos="652" w:val="left"/>
        </w:tabs>
        <w:numPr>
          <w:ilvl w:val="0"/>
          <w:numId w:val="51"/>
        </w:numPr>
        <w:rPr>
          <w:rFonts w:ascii="Times New Roman" w:cs="Times New Roman" w:eastAsia="Times New Roman" w:hAnsi="Times New Roman"/>
          <w:sz w:val="14"/>
          <w:szCs w:val="14"/>
          <w:color w:val="auto"/>
        </w:rPr>
      </w:pPr>
      <w:r>
        <w:rPr>
          <w:rFonts w:ascii="Arial" w:cs="Arial" w:eastAsia="Arial" w:hAnsi="Arial"/>
          <w:sz w:val="14"/>
          <w:szCs w:val="14"/>
          <w:color w:val="auto"/>
        </w:rPr>
        <w:t>Represents (a) 51,739 shares issued upon vesting of RSUs with a value realized on vesting based on a per-share closing market price of $5.39; (b) 76,890 shares issued upon the grant of immediately vested stock awards with a value realized on vesting based on a per-share closing market price of $5.00; (c) 20,462 shares issued upon vesting of RSUs with a value realized on vesting based on a per-share closing market price of $4.63; and (d) 81,503 restricted shares with a value realized on vesting based on a per-share closing market price of $8.62.</w:t>
      </w:r>
    </w:p>
    <w:p>
      <w:pPr>
        <w:spacing w:after="0" w:line="52" w:lineRule="exact"/>
        <w:rPr>
          <w:rFonts w:ascii="Times New Roman" w:cs="Times New Roman" w:eastAsia="Times New Roman" w:hAnsi="Times New Roman"/>
          <w:sz w:val="14"/>
          <w:szCs w:val="14"/>
          <w:color w:val="auto"/>
        </w:rPr>
      </w:pPr>
    </w:p>
    <w:p>
      <w:pPr>
        <w:ind w:left="660" w:hanging="328"/>
        <w:spacing w:after="0" w:line="324" w:lineRule="auto"/>
        <w:tabs>
          <w:tab w:leader="none" w:pos="652" w:val="left"/>
        </w:tabs>
        <w:numPr>
          <w:ilvl w:val="0"/>
          <w:numId w:val="51"/>
        </w:numPr>
        <w:rPr>
          <w:rFonts w:ascii="Times New Roman" w:cs="Times New Roman" w:eastAsia="Times New Roman" w:hAnsi="Times New Roman"/>
          <w:sz w:val="14"/>
          <w:szCs w:val="14"/>
          <w:color w:val="auto"/>
        </w:rPr>
      </w:pPr>
      <w:r>
        <w:rPr>
          <w:rFonts w:ascii="Arial" w:cs="Arial" w:eastAsia="Arial" w:hAnsi="Arial"/>
          <w:sz w:val="14"/>
          <w:szCs w:val="14"/>
          <w:color w:val="auto"/>
        </w:rPr>
        <w:t>Represents (a) 18,970 shares issued upon the grant of immediately vested stock awards with a value realized on vesting based on a per-share closing market price of $5.00; and (b) 85,034 shares issued upon vesting of RSUs with a value realized on vesting based on a per-share closing market price of $10.92.</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Potential Payments Upon Termination or Change in Control</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Severance Payments and Benefits</w:t>
      </w:r>
    </w:p>
    <w:p>
      <w:pPr>
        <w:spacing w:after="0" w:line="223" w:lineRule="exact"/>
        <w:rPr>
          <w:sz w:val="20"/>
          <w:szCs w:val="20"/>
          <w:color w:val="auto"/>
        </w:rPr>
      </w:pPr>
    </w:p>
    <w:p>
      <w:pPr>
        <w:ind w:right="460" w:firstLine="405"/>
        <w:spacing w:after="0" w:line="262" w:lineRule="auto"/>
        <w:rPr>
          <w:sz w:val="20"/>
          <w:szCs w:val="20"/>
          <w:color w:val="auto"/>
        </w:rPr>
      </w:pPr>
      <w:r>
        <w:rPr>
          <w:rFonts w:ascii="Arial" w:cs="Arial" w:eastAsia="Arial" w:hAnsi="Arial"/>
          <w:sz w:val="18"/>
          <w:szCs w:val="18"/>
          <w:color w:val="auto"/>
        </w:rPr>
        <w:t>Under each of the NEO Employment Agreements, upon a termination of employment for any reason, the Named Executive Officer would receive (i) the unpaid portion of any accrued base salary and paid-time-off through the termination date, (ii) reimbursement of expenses not previously reimbursed and (iii) continuation of health insurance coverage as required under applicable law (“Accrued Benefits”).</w:t>
      </w:r>
    </w:p>
    <w:p>
      <w:pPr>
        <w:spacing w:after="0" w:line="176" w:lineRule="exact"/>
        <w:rPr>
          <w:sz w:val="20"/>
          <w:szCs w:val="20"/>
          <w:color w:val="auto"/>
        </w:rPr>
      </w:pPr>
    </w:p>
    <w:p>
      <w:pPr>
        <w:ind w:right="60" w:firstLine="405"/>
        <w:spacing w:after="0" w:line="268" w:lineRule="auto"/>
        <w:rPr>
          <w:sz w:val="20"/>
          <w:szCs w:val="20"/>
          <w:color w:val="auto"/>
        </w:rPr>
      </w:pPr>
      <w:r>
        <w:rPr>
          <w:rFonts w:ascii="Arial" w:cs="Arial" w:eastAsia="Arial" w:hAnsi="Arial"/>
          <w:sz w:val="18"/>
          <w:szCs w:val="18"/>
          <w:color w:val="auto"/>
        </w:rPr>
        <w:t>In the event of the Named Executive Officer’s death, disability, or delivery by the Named Executive Officer of a notice of non-renewal, in addition to the Accrued Benefits, the Named Executive Officer would receive his or her accrued but unpaid bonus for the calendar year preceding the year of termination, payable at the time bonuses for such calendar year are otherwise payable to other senior executives.</w:t>
      </w:r>
    </w:p>
    <w:p>
      <w:pPr>
        <w:spacing w:after="0" w:line="171"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Upon a termination of employment by the Company without “cause,” a resignation by the Named Executive Officer for “good reason,” or a termination of employment due to the delivery of a notice of non-renewal by the Company to the Named Executive Officer, subject to the execution and delivery of a release of claims and the Named Executive Officer’s continued compliance with restrictive covenants (as described below), each of our Named Executive Officers would receive the following severance payments and benefits (in addition to the Accrued Benefits): (i) cash payment equal to one times (two times for Mr. Kao) the sum of the Named Executive Officer’s (A) base salary and</w:t>
      </w:r>
    </w:p>
    <w:p>
      <w:pPr>
        <w:spacing w:after="0" w:line="3" w:lineRule="exact"/>
        <w:rPr>
          <w:sz w:val="20"/>
          <w:szCs w:val="20"/>
          <w:color w:val="auto"/>
        </w:rPr>
      </w:pPr>
    </w:p>
    <w:p>
      <w:pPr>
        <w:ind w:left="300" w:hanging="292"/>
        <w:spacing w:after="0"/>
        <w:tabs>
          <w:tab w:leader="none" w:pos="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target annual cash incentive bonus, paid in substantially equal installments over the 12-month (24-month for Mr. Kao) period following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8"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termination in accordance with the Company’s normal payroll practices; (ii) prorated portion of the Named Executive Officer’s annual cash incentive bonus for the year of termination (except for Mr. Kao, whose annual cash incentive bonus for the year of termination would not be prorated), determined after the end of the year of termination and based on the amount the Named Executive Officer would have been paid had his or her employment not been terminated; and (iii) if the Named Executive Officer timely elects for COBRA benefits, payment or reimbursement of the Named Executive Officer’s share of COBRA premiums until the earlier of (A) the first annual anniversary of termination or (B) the date that the Named Executive Officer is eligible to receive health benefits through a new employer. The foregoing severance benefits are payable in lieu of any other benefits the Named Executive Officer may be entitled to under a separate severance agreement or executive severance plan.</w:t>
      </w:r>
    </w:p>
    <w:p>
      <w:pPr>
        <w:spacing w:after="0" w:line="185" w:lineRule="exact"/>
        <w:rPr>
          <w:sz w:val="20"/>
          <w:szCs w:val="20"/>
          <w:color w:val="auto"/>
        </w:rPr>
      </w:pPr>
    </w:p>
    <w:p>
      <w:pPr>
        <w:ind w:right="120" w:firstLine="405"/>
        <w:spacing w:after="0" w:line="268" w:lineRule="auto"/>
        <w:rPr>
          <w:sz w:val="20"/>
          <w:szCs w:val="20"/>
          <w:color w:val="auto"/>
        </w:rPr>
      </w:pPr>
      <w:r>
        <w:rPr>
          <w:rFonts w:ascii="Arial" w:cs="Arial" w:eastAsia="Arial" w:hAnsi="Arial"/>
          <w:sz w:val="18"/>
          <w:szCs w:val="18"/>
          <w:color w:val="auto"/>
        </w:rPr>
        <w:t>Each Named Executive Officer is subject to the following restrictive covenants: (i) non-competition during employment, (ii) non-solicitation of employees or customers during employment and for one year following termination, (iii) perpetual non-disparagement and (iv) perpetual confidentiality.</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“Cause” for purposes of the NEO Employment Agreements generally means the employee’s: (i) failure to devote substantially all of the employee’s working time to the business of the employer and its affiliates; (ii) willful disregard of the employee’s duties, or the employee’s intentional failure to act where the taking of such action would be in the ordinary course of the employee’s duties, provided that the employee is first given 30 days prior written notice of such conduct in order for the employee to cure such alleged conduct during such period of time;</w:t>
      </w:r>
    </w:p>
    <w:p>
      <w:pPr>
        <w:spacing w:after="0" w:line="2" w:lineRule="exact"/>
        <w:rPr>
          <w:sz w:val="20"/>
          <w:szCs w:val="20"/>
          <w:color w:val="auto"/>
        </w:rPr>
      </w:pPr>
    </w:p>
    <w:p>
      <w:pPr>
        <w:ind w:firstLine="8"/>
        <w:spacing w:after="0" w:line="254" w:lineRule="auto"/>
        <w:tabs>
          <w:tab w:leader="none" w:pos="29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violation or breach of certain provisions, representations or covenants provided in the NEO Employment Agreements; (iv) gross negligence or willful misconduct in the performance of the employee’s duties; (v) commission of any act of fraud, theft or financial dishonesty, or any felony or criminal act involving moral turpitude; or (vi) unlawful use (including being under the influence) of alcohol or drugs or possession of illegal drugs on the premises of the employer or any of its affiliates or while performing duties and responsibilities to the employer and its affiliates.</w:t>
      </w:r>
    </w:p>
    <w:p>
      <w:pPr>
        <w:spacing w:after="0" w:line="183"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“Good reason” for purposes of the NEO Employment Agreements generally means: (i) a material reduction during any 24 consecutive month period in base salary or in the employee’s annual total cash compensation opportunity (</w:t>
      </w:r>
      <w:r>
        <w:rPr>
          <w:rFonts w:ascii="Arial" w:cs="Arial" w:eastAsia="Arial" w:hAnsi="Arial"/>
          <w:sz w:val="18"/>
          <w:szCs w:val="18"/>
          <w:i w:val="1"/>
          <w:iCs w:val="1"/>
          <w:color w:val="auto"/>
        </w:rPr>
        <w:t>i.e.</w:t>
      </w:r>
      <w:r>
        <w:rPr>
          <w:rFonts w:ascii="Arial" w:cs="Arial" w:eastAsia="Arial" w:hAnsi="Arial"/>
          <w:sz w:val="18"/>
          <w:szCs w:val="18"/>
          <w:color w:val="auto"/>
        </w:rPr>
        <w:t>, base salary and target bonus), but excluding any reduction applicable to management employees generally; (ii) a material breach of the NEO Employment Agreement by the employer; or (iii) for all NEOs except Mr. Kao, a change in the employee’s principal work location to a location more than 50 miles from the employee’s prior work location and more than 50 miles from the employee’s principal residence as of the date of such change in work location. Notwithstanding the foregoing, “good reason” will not exist (A) if the employee has in his or her sole discretion agreed in writing that such event will not constitute “good reason,” or (B) unless, (I) within 60 days of the occurrence of the events claimed to be “good reason” the employee notifies the employer in writing of the reasons why the employee believes that “good reason” exists, (II) the employer has failed to correct the circumstance that would otherwise be “good reason” within 30 days of receipt of such notice and (III) the employee terminates his or her employment within 60 days of such 30-day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1F497D"/>
        </w:rPr>
        <w:t>Treatment of Equity Incentive Awards</w:t>
      </w:r>
    </w:p>
    <w:p>
      <w:pPr>
        <w:spacing w:after="0" w:line="223"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Pursuant to the terms of our 2021 Plan, generally, upon a termination of employment for any reason, all unvested equity awards would terminate and be forfeited for no consideration. In the event of a termination for “cause,” vested options also terminate for no consideration. Upon a termination of employment due to death or disability, vested options may be exercised by the participant at any time within the one-year period following termination, but in no event beyond the expiration of the stated term of the options. Upon an involuntary termination without “cause” or voluntary resignation, vested options may be exercised by the participant at any time within the 90-day period following termination, but in no event beyond the expiration of the stated term of the options.</w:t>
      </w:r>
    </w:p>
    <w:p>
      <w:pPr>
        <w:spacing w:after="0" w:line="182" w:lineRule="exact"/>
        <w:rPr>
          <w:sz w:val="20"/>
          <w:szCs w:val="20"/>
          <w:color w:val="auto"/>
        </w:rPr>
      </w:pPr>
    </w:p>
    <w:p>
      <w:pPr>
        <w:ind w:right="180" w:firstLine="405"/>
        <w:spacing w:after="0" w:line="287" w:lineRule="auto"/>
        <w:rPr>
          <w:sz w:val="20"/>
          <w:szCs w:val="20"/>
          <w:color w:val="auto"/>
        </w:rPr>
      </w:pPr>
      <w:r>
        <w:rPr>
          <w:rFonts w:ascii="Arial" w:cs="Arial" w:eastAsia="Arial" w:hAnsi="Arial"/>
          <w:sz w:val="18"/>
          <w:szCs w:val="18"/>
          <w:color w:val="auto"/>
        </w:rPr>
        <w:t>Under the 2021 Plan, upon a termination by the Company without “cause” (other than as a result of death or disability) on or within 12 months following a “change in control,” any outstanding, unvested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0" w:name="page71"/>
    <w:bookmarkEnd w:id="70"/>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awards held by the participant would accelerate and vest on the date of such termination. Notwithstanding the foregoing, the 2021 Plan provides that the Board (or designated committee) may provide for (i) continuation, assumption or substitution for awards with substantially the same terms and value, (ii) acceleration of vesting immediately prior to or as of the date of such “change in control,” or (iii) in the case of an option, cancellation in consideration of a payment in cash or other consideration equal to the excess (if any) of the applicable stock price over the applicable exercise price.</w:t>
      </w:r>
    </w:p>
    <w:p>
      <w:pPr>
        <w:spacing w:after="0" w:line="179"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Pursuant the terms of each NEO’s option and restricted stock unit award agreements under the 2021 Plan, upon a termination by the Company without “cause” (other than as a result of death or disability) or a resignation by the participant for “good reason,” in each case, on or following a “change in control,” any outstanding, unvested options or restricted stock units held by the executive would accelerate and vest on the date of such termination.</w:t>
      </w:r>
    </w:p>
    <w:p>
      <w:pPr>
        <w:spacing w:after="0" w:line="176"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Under each NEO’s PSU award agreements, upon a change in control, all outstanding PSUs would be deemed earned on the date of such change in control based on actual performance through (x) the date of the change in control if the change in control occurs prior to the end of the measurement period (subject to any pro rata or other adjustments determined by the Board (or designated committee)), or</w:t>
      </w:r>
    </w:p>
    <w:p>
      <w:pPr>
        <w:spacing w:after="0" w:line="1" w:lineRule="exact"/>
        <w:rPr>
          <w:sz w:val="20"/>
          <w:szCs w:val="20"/>
          <w:color w:val="auto"/>
        </w:rPr>
      </w:pPr>
    </w:p>
    <w:p>
      <w:pPr>
        <w:ind w:firstLine="8"/>
        <w:spacing w:after="0" w:line="253" w:lineRule="auto"/>
        <w:tabs>
          <w:tab w:leader="none" w:pos="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through the last day of the measurement period if the change in control occurs on or following such date; provided, in each case, that in no event will the PSUs be deemed earned at less than target; provided further that the Board (or designated committee) may in its discretion determine that the PSUs are deemed earned at maximum performance (irrespective of the applicable performance metrics). Any earned PSUs as a result of such change in control will vest on the applicable vesting date, subject to the NEO’s continued service through such date; provided that upon a termination by the Company without cause (other than as a result of death or disability) or a resignation by the NEO for good reason on or following a change in control, any earned PSUs that have not yet vested will accelerate and vest as of the date of such termination or resignation.</w:t>
      </w:r>
    </w:p>
    <w:p>
      <w:pPr>
        <w:spacing w:after="0" w:line="183"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"Good reason” for purposes of the award agreements under the 2021 Plan generally means the following, without the executive’s express written consent: (i) a reduction in annual base salary or annual target bonus opportunity; (ii) for certain executive officers, a diminution in status, authority, title, duties or responsibilities (including a change which results in the Company no longer being a publicly traded entity or the executive no longer being the Chief Executive Officer of a publicly traded entity) or (iii) for certain executive officers, a failure of the Company’s successor to assume and perform the award agreement; provided that any such termination by the executive will only be deemed “good reason” if: (1) the executive gives the Company written notice within 30 days (60 days for certain executive officers) following initial awareness of the occurrence of the condition constituting “good reason,” which notice will describe such condition and intent to terminate for “good reason”; (2) the Company fails to remedy such condition to the executive’s satisfaction within 30 days following receipt of the written notice; and (3) the executive voluntarily terminates employment within 30 days following the end of the 30-day cure period.</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“Cause” for purposes of the 2021 Plan has the same meaning as provided under the NEO Employment Agreements.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“Change in Control” for purposes of the 2021 Plan generally means: (a) any “person,” as that term is used in Sections 13(d) and 14(d) of the Securities Exchange Act of 1934 (the “Exchange Act”) (other than the Company, any trustee or other fiduciary holding securities under any employee benefit plan of the Company, or any company owned, directly or indirectly, by the stockholders in substantially the same proportions as their ownership of common stock), becomes the beneficial owner (as defined in Rule 13d-3 under the Exchange Act), directly or indirectly, of securities of the Company representing 50% or more of the combined voting power of the Company’s then outstanding securities; (b) during any period of 12 consecutive calendar months, individuals who were directors serving on the Board on the first day of such period (the “Incumbent Directors”) cease for any reason to constitute a majority of the Board; provided, however, that any individual becoming a director after the first day of such period whose election, or nomination for election, by the stockholders was approved by a vote of at least 2/3 of the Incumbent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Directors will be considered as though such individual were an Incumbent Director, but excluding, for purposes of this proviso, any such individual whose initial assumption of office occurs as a result of an actual or threatened proxy contest with respect to election or removal of directors or other actual or threatened solicitation of proxies or consents by or on behalf of a “person” (as used in Section 13(d) of the Exchange Act), in each case other than the Board; (c) consummation of a reorganization, merger, consolidation, or other business combination (any of the foregoing, a “Business Combination”) of the Company or any direct or indirect subsidiary of the Company with any other corporation, in any case with respect to which the Company voting securities outstanding immediately before such Business Combination do not, immediately after such Business Combination, continue to represent (either by remaining outstanding or being converted into voting securities of the Company or any ultimate parent thereof) more than 50% of the then outstanding voting securities entitled to vote generally in the election of directors of the Company (or its successor) or any ultimate parent thereof after the Business Combination; or (d) a complete liquidation or dissolution of the Company or the consummation of a sale or disposition by the Company of all or substantially all of the Company’s assets other than the sale or disposition of all or substantially all of the assets of the Company to a person or persons who beneficially own, directly or indirectly, 50% or more of the combined voting power of the outstanding voting securities of the Company at the time of the sale. Notwithstanding the foregoing terms and conditions of this definition, with respect to any award that is characterized as “nonqualified deferred compensation” within the meaning of Section 409A, an event will not be considered to be a “change in control” under the 2021 Plan for purposes of payment of such award unless such event is also a “change in control event” within the meaning of Section 409A. Notwithstanding the foregoing, a “change in control” will not be deemed to have occurred if immediately after the occurrence of any of the events described in clauses (a) – (d) above, a designated holder or designated holders are the beneficial owners, directly or indirectly, of more than 35% of the combined voting power of the Company or any successor.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1F497D"/>
        </w:rPr>
        <w:t>Table Showing Estimated Payments and Benefits</w:t>
      </w:r>
    </w:p>
    <w:p>
      <w:pPr>
        <w:spacing w:after="0" w:line="22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following table presents information concerning estimated payments and benefits (other than the Accrued Benefits) that would be provided in certain circumstances for each of the NEOs serving as of the end of the fiscal year ending December 31, 2024. Unless otherwise stated, the payments and benefits set forth below are estimated assuming that the termination of employment or change in control event occurred on the last business day of our fiscal year ending December 31, 2024 using the closing market price of $11.25 per share of our Common Stock on that date. Actual payments and benefits could be different if such events were to occur on any other date or at any other price or if any other assumptions are used to estimate potential payments and benefits.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Annual Bonus</w:t>
            </w:r>
            <w:r>
              <w:rPr>
                <w:rFonts w:ascii="Arial" w:cs="Arial" w:eastAsia="Arial" w:hAnsi="Arial"/>
                <w:sz w:val="18"/>
                <w:szCs w:val="18"/>
                <w:b w:val="1"/>
                <w:bCs w:val="1"/>
                <w:color w:val="auto"/>
                <w:vertAlign w:val="superscript"/>
              </w:rPr>
              <w:t>(1)</w:t>
            </w:r>
          </w:p>
        </w:tc>
        <w:tc>
          <w:tcPr>
            <w:tcW w:w="340" w:type="dxa"/>
            <w:vAlign w:val="bottom"/>
          </w:tcPr>
          <w:p>
            <w:pPr>
              <w:spacing w:after="0"/>
              <w:rPr>
                <w:sz w:val="14"/>
                <w:szCs w:val="14"/>
                <w:color w:val="auto"/>
              </w:rPr>
            </w:pP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Stock Award</w:t>
            </w:r>
            <w:r>
              <w:rPr>
                <w:rFonts w:ascii="Arial" w:cs="Arial" w:eastAsia="Arial" w:hAnsi="Arial"/>
                <w:sz w:val="18"/>
                <w:szCs w:val="18"/>
                <w:b w:val="1"/>
                <w:bCs w:val="1"/>
                <w:color w:val="auto"/>
                <w:vertAlign w:val="superscript"/>
              </w:rPr>
              <w:t>(2)</w:t>
            </w:r>
          </w:p>
        </w:tc>
        <w:tc>
          <w:tcPr>
            <w:tcW w:w="340" w:type="dxa"/>
            <w:vAlign w:val="bottom"/>
          </w:tcPr>
          <w:p>
            <w:pPr>
              <w:spacing w:after="0"/>
              <w:rPr>
                <w:sz w:val="14"/>
                <w:szCs w:val="14"/>
                <w:color w:val="auto"/>
              </w:rPr>
            </w:pPr>
          </w:p>
        </w:tc>
        <w:tc>
          <w:tcPr>
            <w:tcW w:w="1500" w:type="dxa"/>
            <w:vAlign w:val="bottom"/>
          </w:tcPr>
          <w:p>
            <w:pPr>
              <w:jc w:val="center"/>
              <w:ind w:right="289"/>
              <w:spacing w:after="0"/>
              <w:rPr>
                <w:sz w:val="20"/>
                <w:szCs w:val="20"/>
                <w:color w:val="auto"/>
              </w:rPr>
            </w:pPr>
            <w:r>
              <w:rPr>
                <w:rFonts w:ascii="Arial" w:cs="Arial" w:eastAsia="Arial" w:hAnsi="Arial"/>
                <w:sz w:val="13"/>
                <w:szCs w:val="13"/>
                <w:b w:val="1"/>
                <w:bCs w:val="1"/>
                <w:color w:val="auto"/>
              </w:rPr>
              <w:t>COBRA</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60" w:type="dxa"/>
            <w:vAlign w:val="bottom"/>
          </w:tcPr>
          <w:p>
            <w:pPr>
              <w:spacing w:after="0"/>
              <w:rPr>
                <w:sz w:val="14"/>
                <w:szCs w:val="14"/>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Cash Severance</w:t>
            </w:r>
          </w:p>
        </w:tc>
        <w:tc>
          <w:tcPr>
            <w:tcW w:w="3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jc w:val="center"/>
              <w:ind w:right="289"/>
              <w:spacing w:after="0"/>
              <w:rPr>
                <w:sz w:val="20"/>
                <w:szCs w:val="20"/>
                <w:color w:val="auto"/>
              </w:rPr>
            </w:pPr>
            <w:r>
              <w:rPr>
                <w:rFonts w:ascii="Arial" w:cs="Arial" w:eastAsia="Arial" w:hAnsi="Arial"/>
                <w:sz w:val="13"/>
                <w:szCs w:val="13"/>
                <w:b w:val="1"/>
                <w:bCs w:val="1"/>
                <w:color w:val="auto"/>
              </w:rPr>
              <w:t>Premiums</w:t>
            </w:r>
          </w:p>
        </w:tc>
        <w:tc>
          <w:tcPr>
            <w:tcW w:w="184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30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Name</w:t>
            </w:r>
          </w:p>
        </w:tc>
        <w:tc>
          <w:tcPr>
            <w:tcW w:w="1260" w:type="dxa"/>
            <w:vAlign w:val="bottom"/>
            <w:vMerge w:val="continue"/>
          </w:tcPr>
          <w:p>
            <w:pPr>
              <w:spacing w:after="0"/>
              <w:rPr>
                <w:sz w:val="2"/>
                <w:szCs w:val="2"/>
                <w:color w:val="auto"/>
              </w:rPr>
            </w:pPr>
          </w:p>
        </w:tc>
        <w:tc>
          <w:tcPr>
            <w:tcW w:w="1620" w:type="dxa"/>
            <w:vAlign w:val="bottom"/>
            <w:gridSpan w:val="2"/>
            <w:vMerge w:val="restart"/>
          </w:tcPr>
          <w:p>
            <w:pPr>
              <w:jc w:val="right"/>
              <w:ind w:right="488"/>
              <w:spacing w:after="0"/>
              <w:rPr>
                <w:sz w:val="20"/>
                <w:szCs w:val="20"/>
                <w:color w:val="auto"/>
              </w:rPr>
            </w:pPr>
            <w:r>
              <w:rPr>
                <w:rFonts w:ascii="Arial" w:cs="Arial" w:eastAsia="Arial" w:hAnsi="Arial"/>
                <w:sz w:val="14"/>
                <w:szCs w:val="14"/>
                <w:b w:val="1"/>
                <w:bCs w:val="1"/>
                <w:color w:val="auto"/>
              </w:rPr>
              <w:t>($)</w:t>
            </w:r>
          </w:p>
        </w:tc>
        <w:tc>
          <w:tcPr>
            <w:tcW w:w="1620" w:type="dxa"/>
            <w:vAlign w:val="bottom"/>
            <w:gridSpan w:val="2"/>
            <w:vMerge w:val="restart"/>
          </w:tcPr>
          <w:p>
            <w:pPr>
              <w:jc w:val="right"/>
              <w:ind w:right="488"/>
              <w:spacing w:after="0"/>
              <w:rPr>
                <w:sz w:val="20"/>
                <w:szCs w:val="20"/>
                <w:color w:val="auto"/>
              </w:rPr>
            </w:pPr>
            <w:r>
              <w:rPr>
                <w:rFonts w:ascii="Arial" w:cs="Arial" w:eastAsia="Arial" w:hAnsi="Arial"/>
                <w:sz w:val="14"/>
                <w:szCs w:val="14"/>
                <w:b w:val="1"/>
                <w:bCs w:val="1"/>
                <w:color w:val="auto"/>
              </w:rPr>
              <w:t>($)</w:t>
            </w:r>
          </w:p>
        </w:tc>
        <w:tc>
          <w:tcPr>
            <w:tcW w:w="1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8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306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tcBorders>
            <w:gridSpan w:val="2"/>
            <w:vMerge w:val="continue"/>
          </w:tcPr>
          <w:p>
            <w:pPr>
              <w:spacing w:after="0"/>
              <w:rPr>
                <w:sz w:val="16"/>
                <w:szCs w:val="16"/>
                <w:color w:val="auto"/>
              </w:rPr>
            </w:pPr>
          </w:p>
        </w:tc>
        <w:tc>
          <w:tcPr>
            <w:tcW w:w="1620" w:type="dxa"/>
            <w:vAlign w:val="bottom"/>
            <w:tcBorders>
              <w:bottom w:val="single" w:sz="8" w:color="auto"/>
            </w:tcBorders>
            <w:gridSpan w:val="2"/>
            <w:vMerge w:val="continue"/>
          </w:tcPr>
          <w:p>
            <w:pPr>
              <w:spacing w:after="0"/>
              <w:rPr>
                <w:sz w:val="16"/>
                <w:szCs w:val="16"/>
                <w:color w:val="auto"/>
              </w:rPr>
            </w:pPr>
          </w:p>
        </w:tc>
        <w:tc>
          <w:tcPr>
            <w:tcW w:w="1840" w:type="dxa"/>
            <w:vAlign w:val="bottom"/>
            <w:tcBorders>
              <w:bottom w:val="single" w:sz="8" w:color="auto"/>
            </w:tcBorders>
            <w:gridSpan w:val="2"/>
            <w:vMerge w:val="continue"/>
          </w:tcPr>
          <w:p>
            <w:pPr>
              <w:spacing w:after="0"/>
              <w:rPr>
                <w:sz w:val="16"/>
                <w:szCs w:val="16"/>
                <w:color w:val="auto"/>
              </w:rPr>
            </w:pPr>
          </w:p>
        </w:tc>
        <w:tc>
          <w:tcPr>
            <w:tcW w:w="18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88"/>
        </w:trPr>
        <w:tc>
          <w:tcPr>
            <w:tcW w:w="306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4"/>
                <w:szCs w:val="14"/>
                <w:b w:val="1"/>
                <w:bCs w:val="1"/>
                <w:color w:val="auto"/>
              </w:rPr>
              <w:t>John Kao</w:t>
            </w:r>
          </w:p>
        </w:tc>
        <w:tc>
          <w:tcPr>
            <w:tcW w:w="1260" w:type="dxa"/>
            <w:vAlign w:val="bottom"/>
            <w:shd w:val="clear" w:color="auto" w:fill="DBE5F1"/>
          </w:tcPr>
          <w:p>
            <w:pPr>
              <w:spacing w:after="0"/>
              <w:rPr>
                <w:sz w:val="24"/>
                <w:szCs w:val="24"/>
                <w:color w:val="auto"/>
              </w:rPr>
            </w:pPr>
          </w:p>
        </w:tc>
        <w:tc>
          <w:tcPr>
            <w:tcW w:w="360" w:type="dxa"/>
            <w:vAlign w:val="bottom"/>
            <w:tcBorders>
              <w:right w:val="single" w:sz="8" w:color="95B3D7"/>
            </w:tcBorders>
            <w:shd w:val="clear" w:color="auto" w:fill="DBE5F1"/>
          </w:tcPr>
          <w:p>
            <w:pPr>
              <w:spacing w:after="0"/>
              <w:rPr>
                <w:sz w:val="24"/>
                <w:szCs w:val="24"/>
                <w:color w:val="auto"/>
              </w:rPr>
            </w:pPr>
          </w:p>
        </w:tc>
        <w:tc>
          <w:tcPr>
            <w:tcW w:w="1260" w:type="dxa"/>
            <w:vAlign w:val="bottom"/>
            <w:shd w:val="clear" w:color="auto" w:fill="DBE5F1"/>
          </w:tcPr>
          <w:p>
            <w:pPr>
              <w:spacing w:after="0"/>
              <w:rPr>
                <w:sz w:val="24"/>
                <w:szCs w:val="24"/>
                <w:color w:val="auto"/>
              </w:rPr>
            </w:pPr>
          </w:p>
        </w:tc>
        <w:tc>
          <w:tcPr>
            <w:tcW w:w="340" w:type="dxa"/>
            <w:vAlign w:val="bottom"/>
            <w:tcBorders>
              <w:right w:val="single" w:sz="8" w:color="95B3D7"/>
            </w:tcBorders>
            <w:shd w:val="clear" w:color="auto" w:fill="DBE5F1"/>
          </w:tcPr>
          <w:p>
            <w:pPr>
              <w:spacing w:after="0"/>
              <w:rPr>
                <w:sz w:val="24"/>
                <w:szCs w:val="24"/>
                <w:color w:val="auto"/>
              </w:rPr>
            </w:pPr>
          </w:p>
        </w:tc>
        <w:tc>
          <w:tcPr>
            <w:tcW w:w="1280" w:type="dxa"/>
            <w:vAlign w:val="bottom"/>
            <w:shd w:val="clear" w:color="auto" w:fill="DBE5F1"/>
          </w:tcPr>
          <w:p>
            <w:pPr>
              <w:spacing w:after="0"/>
              <w:rPr>
                <w:sz w:val="24"/>
                <w:szCs w:val="24"/>
                <w:color w:val="auto"/>
              </w:rPr>
            </w:pPr>
          </w:p>
        </w:tc>
        <w:tc>
          <w:tcPr>
            <w:tcW w:w="340" w:type="dxa"/>
            <w:vAlign w:val="bottom"/>
            <w:tcBorders>
              <w:right w:val="single" w:sz="8" w:color="95B3D7"/>
            </w:tcBorders>
            <w:shd w:val="clear" w:color="auto" w:fill="DBE5F1"/>
          </w:tcPr>
          <w:p>
            <w:pPr>
              <w:spacing w:after="0"/>
              <w:rPr>
                <w:sz w:val="24"/>
                <w:szCs w:val="24"/>
                <w:color w:val="auto"/>
              </w:rPr>
            </w:pPr>
          </w:p>
        </w:tc>
        <w:tc>
          <w:tcPr>
            <w:tcW w:w="1500" w:type="dxa"/>
            <w:vAlign w:val="bottom"/>
            <w:tcBorders>
              <w:right w:val="single" w:sz="8" w:color="95B3D7"/>
            </w:tcBorders>
            <w:shd w:val="clear" w:color="auto" w:fill="DBE5F1"/>
          </w:tcPr>
          <w:p>
            <w:pPr>
              <w:spacing w:after="0"/>
              <w:rPr>
                <w:sz w:val="24"/>
                <w:szCs w:val="24"/>
                <w:color w:val="auto"/>
              </w:rPr>
            </w:pPr>
          </w:p>
        </w:tc>
        <w:tc>
          <w:tcPr>
            <w:tcW w:w="1840" w:type="dxa"/>
            <w:vAlign w:val="bottom"/>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06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Termination without Cause / Resignation</w:t>
            </w: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3,740,000</w:t>
            </w: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1,020,000</w:t>
            </w:r>
          </w:p>
        </w:tc>
        <w:tc>
          <w:tcPr>
            <w:tcW w:w="340" w:type="dxa"/>
            <w:vAlign w:val="bottom"/>
            <w:tcBorders>
              <w:right w:val="single" w:sz="8" w:color="95B3D7"/>
            </w:tcBorders>
            <w:shd w:val="clear" w:color="auto" w:fill="DBE5F1"/>
          </w:tcPr>
          <w:p>
            <w:pPr>
              <w:spacing w:after="0"/>
              <w:rPr>
                <w:sz w:val="16"/>
                <w:szCs w:val="16"/>
                <w:color w:val="auto"/>
              </w:rPr>
            </w:pPr>
          </w:p>
        </w:tc>
        <w:tc>
          <w:tcPr>
            <w:tcW w:w="128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jc w:val="right"/>
              <w:ind w:right="349"/>
              <w:spacing w:after="0"/>
              <w:rPr>
                <w:sz w:val="20"/>
                <w:szCs w:val="20"/>
                <w:color w:val="auto"/>
              </w:rPr>
            </w:pPr>
            <w:r>
              <w:rPr>
                <w:rFonts w:ascii="Arial" w:cs="Arial" w:eastAsia="Arial" w:hAnsi="Arial"/>
                <w:sz w:val="14"/>
                <w:szCs w:val="14"/>
                <w:color w:val="auto"/>
              </w:rPr>
              <w:t>32,128</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4,792,128</w:t>
            </w:r>
          </w:p>
        </w:tc>
        <w:tc>
          <w:tcPr>
            <w:tcW w:w="0" w:type="dxa"/>
            <w:vAlign w:val="bottom"/>
          </w:tcPr>
          <w:p>
            <w:pPr>
              <w:spacing w:after="0"/>
              <w:rPr>
                <w:sz w:val="1"/>
                <w:szCs w:val="1"/>
                <w:color w:val="auto"/>
              </w:rPr>
            </w:pPr>
          </w:p>
        </w:tc>
      </w:tr>
      <w:tr>
        <w:trPr>
          <w:trHeight w:val="175"/>
        </w:trPr>
        <w:tc>
          <w:tcPr>
            <w:tcW w:w="306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for Good Reason / Non-Renewal by</w:t>
            </w:r>
          </w:p>
        </w:tc>
        <w:tc>
          <w:tcPr>
            <w:tcW w:w="1260" w:type="dxa"/>
            <w:vAlign w:val="bottom"/>
            <w:shd w:val="clear" w:color="auto" w:fill="DBE5F1"/>
          </w:tcPr>
          <w:p>
            <w:pPr>
              <w:spacing w:after="0"/>
              <w:rPr>
                <w:sz w:val="15"/>
                <w:szCs w:val="15"/>
                <w:color w:val="auto"/>
              </w:rPr>
            </w:pPr>
          </w:p>
        </w:tc>
        <w:tc>
          <w:tcPr>
            <w:tcW w:w="360" w:type="dxa"/>
            <w:vAlign w:val="bottom"/>
            <w:tcBorders>
              <w:right w:val="single" w:sz="8" w:color="95B3D7"/>
            </w:tcBorders>
            <w:shd w:val="clear" w:color="auto" w:fill="DBE5F1"/>
          </w:tcPr>
          <w:p>
            <w:pPr>
              <w:spacing w:after="0"/>
              <w:rPr>
                <w:sz w:val="15"/>
                <w:szCs w:val="15"/>
                <w:color w:val="auto"/>
              </w:rPr>
            </w:pPr>
          </w:p>
        </w:tc>
        <w:tc>
          <w:tcPr>
            <w:tcW w:w="1260" w:type="dxa"/>
            <w:vAlign w:val="bottom"/>
            <w:shd w:val="clear" w:color="auto" w:fill="DBE5F1"/>
          </w:tcPr>
          <w:p>
            <w:pPr>
              <w:spacing w:after="0"/>
              <w:rPr>
                <w:sz w:val="15"/>
                <w:szCs w:val="15"/>
                <w:color w:val="auto"/>
              </w:rPr>
            </w:pPr>
          </w:p>
        </w:tc>
        <w:tc>
          <w:tcPr>
            <w:tcW w:w="340" w:type="dxa"/>
            <w:vAlign w:val="bottom"/>
            <w:tcBorders>
              <w:right w:val="single" w:sz="8" w:color="95B3D7"/>
            </w:tcBorders>
            <w:shd w:val="clear" w:color="auto" w:fill="DBE5F1"/>
          </w:tcPr>
          <w:p>
            <w:pPr>
              <w:spacing w:after="0"/>
              <w:rPr>
                <w:sz w:val="15"/>
                <w:szCs w:val="15"/>
                <w:color w:val="auto"/>
              </w:rPr>
            </w:pPr>
          </w:p>
        </w:tc>
        <w:tc>
          <w:tcPr>
            <w:tcW w:w="1280" w:type="dxa"/>
            <w:vAlign w:val="bottom"/>
            <w:shd w:val="clear" w:color="auto" w:fill="DBE5F1"/>
          </w:tcPr>
          <w:p>
            <w:pPr>
              <w:spacing w:after="0"/>
              <w:rPr>
                <w:sz w:val="15"/>
                <w:szCs w:val="15"/>
                <w:color w:val="auto"/>
              </w:rPr>
            </w:pPr>
          </w:p>
        </w:tc>
        <w:tc>
          <w:tcPr>
            <w:tcW w:w="340" w:type="dxa"/>
            <w:vAlign w:val="bottom"/>
            <w:tcBorders>
              <w:right w:val="single" w:sz="8" w:color="95B3D7"/>
            </w:tcBorders>
            <w:shd w:val="clear" w:color="auto" w:fill="DBE5F1"/>
          </w:tcPr>
          <w:p>
            <w:pPr>
              <w:spacing w:after="0"/>
              <w:rPr>
                <w:sz w:val="15"/>
                <w:szCs w:val="15"/>
                <w:color w:val="auto"/>
              </w:rPr>
            </w:pPr>
          </w:p>
        </w:tc>
        <w:tc>
          <w:tcPr>
            <w:tcW w:w="1500" w:type="dxa"/>
            <w:vAlign w:val="bottom"/>
            <w:tcBorders>
              <w:right w:val="single" w:sz="8" w:color="95B3D7"/>
            </w:tcBorders>
            <w:shd w:val="clear" w:color="auto" w:fill="DBE5F1"/>
          </w:tcPr>
          <w:p>
            <w:pPr>
              <w:spacing w:after="0"/>
              <w:rPr>
                <w:sz w:val="15"/>
                <w:szCs w:val="15"/>
                <w:color w:val="auto"/>
              </w:rPr>
            </w:pPr>
          </w:p>
        </w:tc>
        <w:tc>
          <w:tcPr>
            <w:tcW w:w="1840" w:type="dxa"/>
            <w:vAlign w:val="bottom"/>
            <w:shd w:val="clear" w:color="auto" w:fill="DBE5F1"/>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6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the Company</w:t>
            </w:r>
          </w:p>
        </w:tc>
        <w:tc>
          <w:tcPr>
            <w:tcW w:w="1260" w:type="dxa"/>
            <w:vAlign w:val="bottom"/>
            <w:shd w:val="clear" w:color="auto" w:fill="DBE5F1"/>
          </w:tcPr>
          <w:p>
            <w:pPr>
              <w:spacing w:after="0"/>
              <w:rPr>
                <w:sz w:val="16"/>
                <w:szCs w:val="16"/>
                <w:color w:val="auto"/>
              </w:rPr>
            </w:pP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28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spacing w:after="0"/>
              <w:rPr>
                <w:sz w:val="16"/>
                <w:szCs w:val="16"/>
                <w:color w:val="auto"/>
              </w:rPr>
            </w:pPr>
          </w:p>
        </w:tc>
        <w:tc>
          <w:tcPr>
            <w:tcW w:w="184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6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Termination with Cause / Resignation</w:t>
            </w: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shd w:val="clear" w:color="auto" w:fill="DBE5F1"/>
          </w:tcPr>
          <w:p>
            <w:pPr>
              <w:spacing w:after="0"/>
              <w:rPr>
                <w:sz w:val="17"/>
                <w:szCs w:val="17"/>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7"/>
                <w:szCs w:val="17"/>
                <w:color w:val="auto"/>
              </w:rPr>
            </w:pPr>
          </w:p>
        </w:tc>
        <w:tc>
          <w:tcPr>
            <w:tcW w:w="128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7"/>
                <w:szCs w:val="17"/>
                <w:color w:val="auto"/>
              </w:rPr>
            </w:pPr>
          </w:p>
        </w:tc>
        <w:tc>
          <w:tcPr>
            <w:tcW w:w="1500" w:type="dxa"/>
            <w:vAlign w:val="bottom"/>
            <w:tcBorders>
              <w:right w:val="single" w:sz="8" w:color="95B3D7"/>
            </w:tcBorders>
            <w:shd w:val="clear" w:color="auto" w:fill="DBE5F1"/>
          </w:tcPr>
          <w:p>
            <w:pPr>
              <w:jc w:val="right"/>
              <w:ind w:right="349"/>
              <w:spacing w:after="0"/>
              <w:rPr>
                <w:sz w:val="20"/>
                <w:szCs w:val="20"/>
                <w:color w:val="auto"/>
              </w:rPr>
            </w:pPr>
            <w:r>
              <w:rPr>
                <w:rFonts w:ascii="Arial" w:cs="Arial" w:eastAsia="Arial" w:hAnsi="Arial"/>
                <w:sz w:val="14"/>
                <w:szCs w:val="14"/>
                <w:color w:val="auto"/>
              </w:rPr>
              <w:t>—</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06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without Good Reason</w:t>
            </w:r>
          </w:p>
        </w:tc>
        <w:tc>
          <w:tcPr>
            <w:tcW w:w="1260" w:type="dxa"/>
            <w:vAlign w:val="bottom"/>
            <w:shd w:val="clear" w:color="auto" w:fill="DBE5F1"/>
          </w:tcPr>
          <w:p>
            <w:pPr>
              <w:spacing w:after="0"/>
              <w:rPr>
                <w:sz w:val="16"/>
                <w:szCs w:val="16"/>
                <w:color w:val="auto"/>
              </w:rPr>
            </w:pP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28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spacing w:after="0"/>
              <w:rPr>
                <w:sz w:val="16"/>
                <w:szCs w:val="16"/>
                <w:color w:val="auto"/>
              </w:rPr>
            </w:pPr>
          </w:p>
        </w:tc>
        <w:tc>
          <w:tcPr>
            <w:tcW w:w="184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06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Change in Control without Termination</w:t>
            </w: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shd w:val="clear" w:color="auto" w:fill="DBE5F1"/>
          </w:tcPr>
          <w:p>
            <w:pPr>
              <w:spacing w:after="0"/>
              <w:rPr>
                <w:sz w:val="19"/>
                <w:szCs w:val="19"/>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9"/>
                <w:szCs w:val="19"/>
                <w:color w:val="auto"/>
              </w:rPr>
            </w:pPr>
          </w:p>
        </w:tc>
        <w:tc>
          <w:tcPr>
            <w:tcW w:w="128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9"/>
                <w:szCs w:val="19"/>
                <w:color w:val="auto"/>
              </w:rPr>
            </w:pPr>
          </w:p>
        </w:tc>
        <w:tc>
          <w:tcPr>
            <w:tcW w:w="1500" w:type="dxa"/>
            <w:vAlign w:val="bottom"/>
            <w:tcBorders>
              <w:right w:val="single" w:sz="8" w:color="95B3D7"/>
            </w:tcBorders>
            <w:shd w:val="clear" w:color="auto" w:fill="DBE5F1"/>
          </w:tcPr>
          <w:p>
            <w:pPr>
              <w:jc w:val="right"/>
              <w:ind w:right="349"/>
              <w:spacing w:after="0"/>
              <w:rPr>
                <w:sz w:val="20"/>
                <w:szCs w:val="20"/>
                <w:color w:val="auto"/>
              </w:rPr>
            </w:pPr>
            <w:r>
              <w:rPr>
                <w:rFonts w:ascii="Arial" w:cs="Arial" w:eastAsia="Arial" w:hAnsi="Arial"/>
                <w:sz w:val="14"/>
                <w:szCs w:val="14"/>
                <w:color w:val="auto"/>
              </w:rPr>
              <w:t>—</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306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Change in Control with Qualifying</w:t>
            </w: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3,740,000</w:t>
            </w:r>
          </w:p>
        </w:tc>
        <w:tc>
          <w:tcPr>
            <w:tcW w:w="360" w:type="dxa"/>
            <w:vAlign w:val="bottom"/>
            <w:tcBorders>
              <w:right w:val="single" w:sz="8" w:color="95B3D7"/>
            </w:tcBorders>
            <w:shd w:val="clear" w:color="auto" w:fill="DBE5F1"/>
          </w:tcPr>
          <w:p>
            <w:pPr>
              <w:spacing w:after="0"/>
              <w:rPr>
                <w:sz w:val="18"/>
                <w:szCs w:val="18"/>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1,020,000</w:t>
            </w:r>
          </w:p>
        </w:tc>
        <w:tc>
          <w:tcPr>
            <w:tcW w:w="340" w:type="dxa"/>
            <w:vAlign w:val="bottom"/>
            <w:tcBorders>
              <w:right w:val="single" w:sz="8" w:color="95B3D7"/>
            </w:tcBorders>
            <w:shd w:val="clear" w:color="auto" w:fill="DBE5F1"/>
          </w:tcPr>
          <w:p>
            <w:pPr>
              <w:spacing w:after="0"/>
              <w:rPr>
                <w:sz w:val="18"/>
                <w:szCs w:val="18"/>
                <w:color w:val="auto"/>
              </w:rPr>
            </w:pPr>
          </w:p>
        </w:tc>
        <w:tc>
          <w:tcPr>
            <w:tcW w:w="128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58,142,835</w:t>
            </w:r>
          </w:p>
        </w:tc>
        <w:tc>
          <w:tcPr>
            <w:tcW w:w="340" w:type="dxa"/>
            <w:vAlign w:val="bottom"/>
            <w:tcBorders>
              <w:right w:val="single" w:sz="8" w:color="95B3D7"/>
            </w:tcBorders>
            <w:shd w:val="clear" w:color="auto" w:fill="DBE5F1"/>
          </w:tcPr>
          <w:p>
            <w:pPr>
              <w:spacing w:after="0"/>
              <w:rPr>
                <w:sz w:val="18"/>
                <w:szCs w:val="18"/>
                <w:color w:val="auto"/>
              </w:rPr>
            </w:pPr>
          </w:p>
        </w:tc>
        <w:tc>
          <w:tcPr>
            <w:tcW w:w="1500" w:type="dxa"/>
            <w:vAlign w:val="bottom"/>
            <w:tcBorders>
              <w:right w:val="single" w:sz="8" w:color="95B3D7"/>
            </w:tcBorders>
            <w:shd w:val="clear" w:color="auto" w:fill="DBE5F1"/>
          </w:tcPr>
          <w:p>
            <w:pPr>
              <w:jc w:val="right"/>
              <w:ind w:right="349"/>
              <w:spacing w:after="0"/>
              <w:rPr>
                <w:sz w:val="20"/>
                <w:szCs w:val="20"/>
                <w:color w:val="auto"/>
              </w:rPr>
            </w:pPr>
            <w:r>
              <w:rPr>
                <w:rFonts w:ascii="Arial" w:cs="Arial" w:eastAsia="Arial" w:hAnsi="Arial"/>
                <w:sz w:val="14"/>
                <w:szCs w:val="14"/>
                <w:color w:val="auto"/>
              </w:rPr>
              <w:t>32,128</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62,934,963</w:t>
            </w:r>
          </w:p>
        </w:tc>
        <w:tc>
          <w:tcPr>
            <w:tcW w:w="0" w:type="dxa"/>
            <w:vAlign w:val="bottom"/>
          </w:tcPr>
          <w:p>
            <w:pPr>
              <w:spacing w:after="0"/>
              <w:rPr>
                <w:sz w:val="1"/>
                <w:szCs w:val="1"/>
                <w:color w:val="auto"/>
              </w:rPr>
            </w:pPr>
          </w:p>
        </w:tc>
      </w:tr>
      <w:tr>
        <w:trPr>
          <w:trHeight w:val="190"/>
        </w:trPr>
        <w:tc>
          <w:tcPr>
            <w:tcW w:w="306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Termination</w:t>
            </w:r>
          </w:p>
        </w:tc>
        <w:tc>
          <w:tcPr>
            <w:tcW w:w="1260" w:type="dxa"/>
            <w:vAlign w:val="bottom"/>
            <w:shd w:val="clear" w:color="auto" w:fill="DBE5F1"/>
          </w:tcPr>
          <w:p>
            <w:pPr>
              <w:spacing w:after="0"/>
              <w:rPr>
                <w:sz w:val="16"/>
                <w:szCs w:val="16"/>
                <w:color w:val="auto"/>
              </w:rPr>
            </w:pP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28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spacing w:after="0"/>
              <w:rPr>
                <w:sz w:val="16"/>
                <w:szCs w:val="16"/>
                <w:color w:val="auto"/>
              </w:rPr>
            </w:pPr>
          </w:p>
        </w:tc>
        <w:tc>
          <w:tcPr>
            <w:tcW w:w="184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06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Death, Disability or Non-Renewal by the</w:t>
            </w: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shd w:val="clear" w:color="auto" w:fill="DBE5F1"/>
          </w:tcPr>
          <w:p>
            <w:pPr>
              <w:spacing w:after="0"/>
              <w:rPr>
                <w:sz w:val="18"/>
                <w:szCs w:val="18"/>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8"/>
                <w:szCs w:val="18"/>
                <w:color w:val="auto"/>
              </w:rPr>
            </w:pPr>
          </w:p>
        </w:tc>
        <w:tc>
          <w:tcPr>
            <w:tcW w:w="128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8"/>
                <w:szCs w:val="18"/>
                <w:color w:val="auto"/>
              </w:rPr>
            </w:pPr>
          </w:p>
        </w:tc>
        <w:tc>
          <w:tcPr>
            <w:tcW w:w="1500" w:type="dxa"/>
            <w:vAlign w:val="bottom"/>
            <w:tcBorders>
              <w:right w:val="single" w:sz="8" w:color="95B3D7"/>
            </w:tcBorders>
            <w:shd w:val="clear" w:color="auto" w:fill="DBE5F1"/>
          </w:tcPr>
          <w:p>
            <w:pPr>
              <w:jc w:val="right"/>
              <w:ind w:right="349"/>
              <w:spacing w:after="0"/>
              <w:rPr>
                <w:sz w:val="20"/>
                <w:szCs w:val="20"/>
                <w:color w:val="auto"/>
              </w:rPr>
            </w:pPr>
            <w:r>
              <w:rPr>
                <w:rFonts w:ascii="Arial" w:cs="Arial" w:eastAsia="Arial" w:hAnsi="Arial"/>
                <w:sz w:val="14"/>
                <w:szCs w:val="14"/>
                <w:color w:val="auto"/>
              </w:rPr>
              <w:t>—</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06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NEO</w:t>
            </w:r>
          </w:p>
        </w:tc>
        <w:tc>
          <w:tcPr>
            <w:tcW w:w="1260" w:type="dxa"/>
            <w:vAlign w:val="bottom"/>
            <w:shd w:val="clear" w:color="auto" w:fill="DBE5F1"/>
          </w:tcPr>
          <w:p>
            <w:pPr>
              <w:spacing w:after="0"/>
              <w:rPr>
                <w:sz w:val="16"/>
                <w:szCs w:val="16"/>
                <w:color w:val="auto"/>
              </w:rPr>
            </w:pP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28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spacing w:after="0"/>
              <w:rPr>
                <w:sz w:val="16"/>
                <w:szCs w:val="16"/>
                <w:color w:val="auto"/>
              </w:rPr>
            </w:pPr>
          </w:p>
        </w:tc>
        <w:tc>
          <w:tcPr>
            <w:tcW w:w="184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3060" w:type="dxa"/>
            <w:vAlign w:val="bottom"/>
            <w:tcBorders>
              <w:bottom w:val="single" w:sz="8" w:color="95B3D7"/>
              <w:right w:val="single" w:sz="8" w:color="95B3D7"/>
            </w:tcBorders>
            <w:shd w:val="clear" w:color="auto" w:fill="DBE5F1"/>
          </w:tcPr>
          <w:p>
            <w:pPr>
              <w:spacing w:after="0"/>
              <w:rPr>
                <w:sz w:val="10"/>
                <w:szCs w:val="10"/>
                <w:color w:val="auto"/>
              </w:rPr>
            </w:pPr>
          </w:p>
        </w:tc>
        <w:tc>
          <w:tcPr>
            <w:tcW w:w="1260" w:type="dxa"/>
            <w:vAlign w:val="bottom"/>
            <w:tcBorders>
              <w:bottom w:val="single" w:sz="8" w:color="95B3D7"/>
            </w:tcBorders>
            <w:shd w:val="clear" w:color="auto" w:fill="DBE5F1"/>
          </w:tcPr>
          <w:p>
            <w:pPr>
              <w:spacing w:after="0"/>
              <w:rPr>
                <w:sz w:val="10"/>
                <w:szCs w:val="10"/>
                <w:color w:val="auto"/>
              </w:rPr>
            </w:pPr>
          </w:p>
        </w:tc>
        <w:tc>
          <w:tcPr>
            <w:tcW w:w="360" w:type="dxa"/>
            <w:vAlign w:val="bottom"/>
            <w:tcBorders>
              <w:bottom w:val="single" w:sz="8" w:color="95B3D7"/>
              <w:right w:val="single" w:sz="8" w:color="95B3D7"/>
            </w:tcBorders>
            <w:shd w:val="clear" w:color="auto" w:fill="DBE5F1"/>
          </w:tcPr>
          <w:p>
            <w:pPr>
              <w:spacing w:after="0"/>
              <w:rPr>
                <w:sz w:val="10"/>
                <w:szCs w:val="10"/>
                <w:color w:val="auto"/>
              </w:rPr>
            </w:pPr>
          </w:p>
        </w:tc>
        <w:tc>
          <w:tcPr>
            <w:tcW w:w="1260" w:type="dxa"/>
            <w:vAlign w:val="bottom"/>
            <w:tcBorders>
              <w:bottom w:val="single" w:sz="8" w:color="95B3D7"/>
            </w:tcBorders>
            <w:shd w:val="clear" w:color="auto" w:fill="DBE5F1"/>
          </w:tcPr>
          <w:p>
            <w:pPr>
              <w:spacing w:after="0"/>
              <w:rPr>
                <w:sz w:val="10"/>
                <w:szCs w:val="10"/>
                <w:color w:val="auto"/>
              </w:rPr>
            </w:pPr>
          </w:p>
        </w:tc>
        <w:tc>
          <w:tcPr>
            <w:tcW w:w="340" w:type="dxa"/>
            <w:vAlign w:val="bottom"/>
            <w:tcBorders>
              <w:bottom w:val="single" w:sz="8" w:color="95B3D7"/>
              <w:right w:val="single" w:sz="8" w:color="95B3D7"/>
            </w:tcBorders>
            <w:shd w:val="clear" w:color="auto" w:fill="DBE5F1"/>
          </w:tcPr>
          <w:p>
            <w:pPr>
              <w:spacing w:after="0"/>
              <w:rPr>
                <w:sz w:val="10"/>
                <w:szCs w:val="10"/>
                <w:color w:val="auto"/>
              </w:rPr>
            </w:pPr>
          </w:p>
        </w:tc>
        <w:tc>
          <w:tcPr>
            <w:tcW w:w="1280" w:type="dxa"/>
            <w:vAlign w:val="bottom"/>
            <w:tcBorders>
              <w:bottom w:val="single" w:sz="8" w:color="95B3D7"/>
            </w:tcBorders>
            <w:shd w:val="clear" w:color="auto" w:fill="DBE5F1"/>
          </w:tcPr>
          <w:p>
            <w:pPr>
              <w:spacing w:after="0"/>
              <w:rPr>
                <w:sz w:val="10"/>
                <w:szCs w:val="10"/>
                <w:color w:val="auto"/>
              </w:rPr>
            </w:pPr>
          </w:p>
        </w:tc>
        <w:tc>
          <w:tcPr>
            <w:tcW w:w="340" w:type="dxa"/>
            <w:vAlign w:val="bottom"/>
            <w:tcBorders>
              <w:bottom w:val="single" w:sz="8" w:color="95B3D7"/>
              <w:right w:val="single" w:sz="8" w:color="95B3D7"/>
            </w:tcBorders>
            <w:shd w:val="clear" w:color="auto" w:fill="DBE5F1"/>
          </w:tcPr>
          <w:p>
            <w:pPr>
              <w:spacing w:after="0"/>
              <w:rPr>
                <w:sz w:val="10"/>
                <w:szCs w:val="10"/>
                <w:color w:val="auto"/>
              </w:rPr>
            </w:pPr>
          </w:p>
        </w:tc>
        <w:tc>
          <w:tcPr>
            <w:tcW w:w="1500" w:type="dxa"/>
            <w:vAlign w:val="bottom"/>
            <w:tcBorders>
              <w:bottom w:val="single" w:sz="8" w:color="95B3D7"/>
              <w:right w:val="single" w:sz="8" w:color="95B3D7"/>
            </w:tcBorders>
            <w:shd w:val="clear" w:color="auto" w:fill="DBE5F1"/>
          </w:tcPr>
          <w:p>
            <w:pPr>
              <w:spacing w:after="0"/>
              <w:rPr>
                <w:sz w:val="10"/>
                <w:szCs w:val="10"/>
                <w:color w:val="auto"/>
              </w:rPr>
            </w:pPr>
          </w:p>
        </w:tc>
        <w:tc>
          <w:tcPr>
            <w:tcW w:w="1840" w:type="dxa"/>
            <w:vAlign w:val="bottom"/>
            <w:tcBorders>
              <w:bottom w:val="single" w:sz="8" w:color="95B3D7"/>
            </w:tcBorders>
            <w:shd w:val="clear" w:color="auto" w:fill="DBE5F1"/>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Annual Bonus</w:t>
            </w:r>
            <w:r>
              <w:rPr>
                <w:rFonts w:ascii="Arial" w:cs="Arial" w:eastAsia="Arial" w:hAnsi="Arial"/>
                <w:sz w:val="18"/>
                <w:szCs w:val="18"/>
                <w:b w:val="1"/>
                <w:bCs w:val="1"/>
                <w:color w:val="auto"/>
                <w:vertAlign w:val="superscript"/>
              </w:rPr>
              <w:t>(1)</w:t>
            </w:r>
          </w:p>
        </w:tc>
        <w:tc>
          <w:tcPr>
            <w:tcW w:w="340" w:type="dxa"/>
            <w:vAlign w:val="bottom"/>
          </w:tcPr>
          <w:p>
            <w:pPr>
              <w:spacing w:after="0"/>
              <w:rPr>
                <w:sz w:val="14"/>
                <w:szCs w:val="14"/>
                <w:color w:val="auto"/>
              </w:rPr>
            </w:pP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Stock Award</w:t>
            </w:r>
            <w:r>
              <w:rPr>
                <w:rFonts w:ascii="Arial" w:cs="Arial" w:eastAsia="Arial" w:hAnsi="Arial"/>
                <w:sz w:val="18"/>
                <w:szCs w:val="18"/>
                <w:b w:val="1"/>
                <w:bCs w:val="1"/>
                <w:color w:val="auto"/>
                <w:vertAlign w:val="superscript"/>
              </w:rPr>
              <w:t>(2)</w:t>
            </w:r>
          </w:p>
        </w:tc>
        <w:tc>
          <w:tcPr>
            <w:tcW w:w="340" w:type="dxa"/>
            <w:vAlign w:val="bottom"/>
          </w:tcPr>
          <w:p>
            <w:pPr>
              <w:spacing w:after="0"/>
              <w:rPr>
                <w:sz w:val="14"/>
                <w:szCs w:val="14"/>
                <w:color w:val="auto"/>
              </w:rPr>
            </w:pPr>
          </w:p>
        </w:tc>
        <w:tc>
          <w:tcPr>
            <w:tcW w:w="1500" w:type="dxa"/>
            <w:vAlign w:val="bottom"/>
          </w:tcPr>
          <w:p>
            <w:pPr>
              <w:jc w:val="center"/>
              <w:ind w:right="286"/>
              <w:spacing w:after="0"/>
              <w:rPr>
                <w:sz w:val="20"/>
                <w:szCs w:val="20"/>
                <w:color w:val="auto"/>
              </w:rPr>
            </w:pPr>
            <w:r>
              <w:rPr>
                <w:rFonts w:ascii="Arial" w:cs="Arial" w:eastAsia="Arial" w:hAnsi="Arial"/>
                <w:sz w:val="13"/>
                <w:szCs w:val="13"/>
                <w:b w:val="1"/>
                <w:bCs w:val="1"/>
                <w:color w:val="auto"/>
              </w:rPr>
              <w:t>COBRA</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60" w:type="dxa"/>
            <w:vAlign w:val="bottom"/>
          </w:tcPr>
          <w:p>
            <w:pPr>
              <w:spacing w:after="0"/>
              <w:rPr>
                <w:sz w:val="14"/>
                <w:szCs w:val="14"/>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Cash Severance</w:t>
            </w:r>
          </w:p>
        </w:tc>
        <w:tc>
          <w:tcPr>
            <w:tcW w:w="3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jc w:val="center"/>
              <w:ind w:right="286"/>
              <w:spacing w:after="0"/>
              <w:rPr>
                <w:sz w:val="20"/>
                <w:szCs w:val="20"/>
                <w:color w:val="auto"/>
              </w:rPr>
            </w:pPr>
            <w:r>
              <w:rPr>
                <w:rFonts w:ascii="Arial" w:cs="Arial" w:eastAsia="Arial" w:hAnsi="Arial"/>
                <w:sz w:val="13"/>
                <w:szCs w:val="13"/>
                <w:b w:val="1"/>
                <w:bCs w:val="1"/>
                <w:color w:val="auto"/>
              </w:rPr>
              <w:t>Premiums</w:t>
            </w:r>
          </w:p>
        </w:tc>
        <w:tc>
          <w:tcPr>
            <w:tcW w:w="184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30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Name</w:t>
            </w:r>
          </w:p>
        </w:tc>
        <w:tc>
          <w:tcPr>
            <w:tcW w:w="1260" w:type="dxa"/>
            <w:vAlign w:val="bottom"/>
            <w:vMerge w:val="continue"/>
          </w:tcPr>
          <w:p>
            <w:pPr>
              <w:spacing w:after="0"/>
              <w:rPr>
                <w:sz w:val="2"/>
                <w:szCs w:val="2"/>
                <w:color w:val="auto"/>
              </w:rPr>
            </w:pPr>
          </w:p>
        </w:tc>
        <w:tc>
          <w:tcPr>
            <w:tcW w:w="1620" w:type="dxa"/>
            <w:vAlign w:val="bottom"/>
            <w:gridSpan w:val="2"/>
            <w:vMerge w:val="restart"/>
          </w:tcPr>
          <w:p>
            <w:pPr>
              <w:jc w:val="right"/>
              <w:ind w:right="488"/>
              <w:spacing w:after="0"/>
              <w:rPr>
                <w:sz w:val="20"/>
                <w:szCs w:val="20"/>
                <w:color w:val="auto"/>
              </w:rPr>
            </w:pPr>
            <w:r>
              <w:rPr>
                <w:rFonts w:ascii="Arial" w:cs="Arial" w:eastAsia="Arial" w:hAnsi="Arial"/>
                <w:sz w:val="14"/>
                <w:szCs w:val="14"/>
                <w:b w:val="1"/>
                <w:bCs w:val="1"/>
                <w:color w:val="auto"/>
              </w:rPr>
              <w:t>($)</w:t>
            </w:r>
          </w:p>
        </w:tc>
        <w:tc>
          <w:tcPr>
            <w:tcW w:w="1620" w:type="dxa"/>
            <w:vAlign w:val="bottom"/>
            <w:gridSpan w:val="2"/>
            <w:vMerge w:val="restart"/>
          </w:tcPr>
          <w:p>
            <w:pPr>
              <w:jc w:val="right"/>
              <w:ind w:right="488"/>
              <w:spacing w:after="0"/>
              <w:rPr>
                <w:sz w:val="20"/>
                <w:szCs w:val="20"/>
                <w:color w:val="auto"/>
              </w:rPr>
            </w:pPr>
            <w:r>
              <w:rPr>
                <w:rFonts w:ascii="Arial" w:cs="Arial" w:eastAsia="Arial" w:hAnsi="Arial"/>
                <w:sz w:val="14"/>
                <w:szCs w:val="14"/>
                <w:b w:val="1"/>
                <w:bCs w:val="1"/>
                <w:color w:val="auto"/>
              </w:rPr>
              <w:t>($)</w:t>
            </w:r>
          </w:p>
        </w:tc>
        <w:tc>
          <w:tcPr>
            <w:tcW w:w="1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8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060" w:type="dxa"/>
            <w:vAlign w:val="bottom"/>
            <w:vMerge w:val="continue"/>
          </w:tcPr>
          <w:p>
            <w:pPr>
              <w:spacing w:after="0"/>
              <w:rPr>
                <w:sz w:val="17"/>
                <w:szCs w:val="17"/>
                <w:color w:val="auto"/>
              </w:rPr>
            </w:pPr>
          </w:p>
        </w:tc>
        <w:tc>
          <w:tcPr>
            <w:tcW w:w="1260" w:type="dxa"/>
            <w:vAlign w:val="bottom"/>
          </w:tcPr>
          <w:p>
            <w:pPr>
              <w:jc w:val="right"/>
              <w:ind w:right="468"/>
              <w:spacing w:after="0"/>
              <w:rPr>
                <w:sz w:val="20"/>
                <w:szCs w:val="20"/>
                <w:color w:val="auto"/>
              </w:rPr>
            </w:pPr>
            <w:r>
              <w:rPr>
                <w:rFonts w:ascii="Arial" w:cs="Arial" w:eastAsia="Arial" w:hAnsi="Arial"/>
                <w:sz w:val="14"/>
                <w:szCs w:val="14"/>
                <w:b w:val="1"/>
                <w:bCs w:val="1"/>
                <w:color w:val="auto"/>
              </w:rPr>
              <w:t>($)</w:t>
            </w:r>
          </w:p>
        </w:tc>
        <w:tc>
          <w:tcPr>
            <w:tcW w:w="1620" w:type="dxa"/>
            <w:vAlign w:val="bottom"/>
            <w:gridSpan w:val="2"/>
            <w:vMerge w:val="continue"/>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1840" w:type="dxa"/>
            <w:vAlign w:val="bottom"/>
          </w:tcPr>
          <w:p>
            <w:pPr>
              <w:jc w:val="right"/>
              <w:ind w:right="6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83"/>
        </w:trPr>
        <w:tc>
          <w:tcPr>
            <w:tcW w:w="30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3060" w:type="dxa"/>
            <w:vAlign w:val="bottom"/>
            <w:tcBorders>
              <w:right w:val="single" w:sz="8" w:color="95B3D7"/>
            </w:tcBorders>
          </w:tcPr>
          <w:p>
            <w:pPr>
              <w:ind w:left="80"/>
              <w:spacing w:after="0"/>
              <w:rPr>
                <w:sz w:val="20"/>
                <w:szCs w:val="20"/>
                <w:color w:val="auto"/>
              </w:rPr>
            </w:pPr>
            <w:r>
              <w:rPr>
                <w:rFonts w:ascii="Arial" w:cs="Arial" w:eastAsia="Arial" w:hAnsi="Arial"/>
                <w:sz w:val="14"/>
                <w:szCs w:val="14"/>
                <w:b w:val="1"/>
                <w:bCs w:val="1"/>
                <w:color w:val="auto"/>
              </w:rPr>
              <w:t>Thomas Freeman</w:t>
            </w:r>
          </w:p>
        </w:tc>
        <w:tc>
          <w:tcPr>
            <w:tcW w:w="1260" w:type="dxa"/>
            <w:vAlign w:val="bottom"/>
          </w:tcPr>
          <w:p>
            <w:pPr>
              <w:spacing w:after="0"/>
              <w:rPr>
                <w:sz w:val="23"/>
                <w:szCs w:val="23"/>
                <w:color w:val="auto"/>
              </w:rPr>
            </w:pPr>
          </w:p>
        </w:tc>
        <w:tc>
          <w:tcPr>
            <w:tcW w:w="360" w:type="dxa"/>
            <w:vAlign w:val="bottom"/>
            <w:tcBorders>
              <w:right w:val="single" w:sz="8" w:color="95B3D7"/>
            </w:tcBorders>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Borders>
              <w:right w:val="single" w:sz="8" w:color="95B3D7"/>
            </w:tcBorders>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Borders>
              <w:right w:val="single" w:sz="8" w:color="95B3D7"/>
            </w:tcBorders>
          </w:tcPr>
          <w:p>
            <w:pPr>
              <w:spacing w:after="0"/>
              <w:rPr>
                <w:sz w:val="23"/>
                <w:szCs w:val="23"/>
                <w:color w:val="auto"/>
              </w:rPr>
            </w:pPr>
          </w:p>
        </w:tc>
        <w:tc>
          <w:tcPr>
            <w:tcW w:w="1500" w:type="dxa"/>
            <w:vAlign w:val="bottom"/>
            <w:tcBorders>
              <w:right w:val="single" w:sz="8" w:color="95B3D7"/>
            </w:tcBorders>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060" w:type="dxa"/>
            <w:vAlign w:val="bottom"/>
            <w:tcBorders>
              <w:right w:val="single" w:sz="8" w:color="95B3D7"/>
            </w:tcBorders>
          </w:tcPr>
          <w:p>
            <w:pPr>
              <w:ind w:left="240"/>
              <w:spacing w:after="0"/>
              <w:rPr>
                <w:sz w:val="20"/>
                <w:szCs w:val="20"/>
                <w:color w:val="auto"/>
              </w:rPr>
            </w:pPr>
            <w:r>
              <w:rPr>
                <w:rFonts w:ascii="Arial" w:cs="Arial" w:eastAsia="Arial" w:hAnsi="Arial"/>
                <w:sz w:val="14"/>
                <w:szCs w:val="14"/>
                <w:color w:val="auto"/>
              </w:rPr>
              <w:t>Termination without Cause / Resignation</w:t>
            </w:r>
          </w:p>
        </w:tc>
        <w:tc>
          <w:tcPr>
            <w:tcW w:w="1260" w:type="dxa"/>
            <w:vAlign w:val="bottom"/>
          </w:tcPr>
          <w:p>
            <w:pPr>
              <w:jc w:val="right"/>
              <w:spacing w:after="0"/>
              <w:rPr>
                <w:sz w:val="20"/>
                <w:szCs w:val="20"/>
                <w:color w:val="auto"/>
              </w:rPr>
            </w:pPr>
            <w:r>
              <w:rPr>
                <w:rFonts w:ascii="Arial" w:cs="Arial" w:eastAsia="Arial" w:hAnsi="Arial"/>
                <w:sz w:val="14"/>
                <w:szCs w:val="14"/>
                <w:color w:val="auto"/>
              </w:rPr>
              <w:t>1,073,000</w:t>
            </w:r>
          </w:p>
        </w:tc>
        <w:tc>
          <w:tcPr>
            <w:tcW w:w="360" w:type="dxa"/>
            <w:vAlign w:val="bottom"/>
            <w:tcBorders>
              <w:right w:val="single" w:sz="8" w:color="95B3D7"/>
            </w:tcBorders>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493,000</w:t>
            </w:r>
          </w:p>
        </w:tc>
        <w:tc>
          <w:tcPr>
            <w:tcW w:w="340" w:type="dxa"/>
            <w:vAlign w:val="bottom"/>
            <w:tcBorders>
              <w:right w:val="single" w:sz="8" w:color="95B3D7"/>
            </w:tcBorders>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tcPr>
          <w:p>
            <w:pPr>
              <w:spacing w:after="0"/>
              <w:rPr>
                <w:sz w:val="16"/>
                <w:szCs w:val="16"/>
                <w:color w:val="auto"/>
              </w:rPr>
            </w:pPr>
          </w:p>
        </w:tc>
        <w:tc>
          <w:tcPr>
            <w:tcW w:w="1500" w:type="dxa"/>
            <w:vAlign w:val="bottom"/>
            <w:tcBorders>
              <w:right w:val="single" w:sz="8" w:color="95B3D7"/>
            </w:tcBorders>
          </w:tcPr>
          <w:p>
            <w:pPr>
              <w:jc w:val="right"/>
              <w:ind w:right="346"/>
              <w:spacing w:after="0"/>
              <w:rPr>
                <w:sz w:val="20"/>
                <w:szCs w:val="20"/>
                <w:color w:val="auto"/>
              </w:rPr>
            </w:pPr>
            <w:r>
              <w:rPr>
                <w:rFonts w:ascii="Arial" w:cs="Arial" w:eastAsia="Arial" w:hAnsi="Arial"/>
                <w:sz w:val="14"/>
                <w:szCs w:val="14"/>
                <w:color w:val="auto"/>
              </w:rPr>
              <w:t>31,411</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1,597,411</w:t>
            </w:r>
          </w:p>
        </w:tc>
        <w:tc>
          <w:tcPr>
            <w:tcW w:w="0" w:type="dxa"/>
            <w:vAlign w:val="bottom"/>
          </w:tcPr>
          <w:p>
            <w:pPr>
              <w:spacing w:after="0"/>
              <w:rPr>
                <w:sz w:val="1"/>
                <w:szCs w:val="1"/>
                <w:color w:val="auto"/>
              </w:rPr>
            </w:pPr>
          </w:p>
        </w:tc>
      </w:tr>
      <w:tr>
        <w:trPr>
          <w:trHeight w:val="175"/>
        </w:trPr>
        <w:tc>
          <w:tcPr>
            <w:tcW w:w="3060" w:type="dxa"/>
            <w:vAlign w:val="bottom"/>
            <w:tcBorders>
              <w:right w:val="single" w:sz="8" w:color="95B3D7"/>
            </w:tcBorders>
          </w:tcPr>
          <w:p>
            <w:pPr>
              <w:ind w:left="460"/>
              <w:spacing w:after="0"/>
              <w:rPr>
                <w:sz w:val="20"/>
                <w:szCs w:val="20"/>
                <w:color w:val="auto"/>
              </w:rPr>
            </w:pPr>
            <w:r>
              <w:rPr>
                <w:rFonts w:ascii="Arial" w:cs="Arial" w:eastAsia="Arial" w:hAnsi="Arial"/>
                <w:sz w:val="14"/>
                <w:szCs w:val="14"/>
                <w:color w:val="auto"/>
              </w:rPr>
              <w:t>for Good Reason / Non-Renewal by</w:t>
            </w:r>
          </w:p>
        </w:tc>
        <w:tc>
          <w:tcPr>
            <w:tcW w:w="1260" w:type="dxa"/>
            <w:vAlign w:val="bottom"/>
          </w:tcPr>
          <w:p>
            <w:pPr>
              <w:spacing w:after="0"/>
              <w:rPr>
                <w:sz w:val="15"/>
                <w:szCs w:val="15"/>
                <w:color w:val="auto"/>
              </w:rPr>
            </w:pPr>
          </w:p>
        </w:tc>
        <w:tc>
          <w:tcPr>
            <w:tcW w:w="360" w:type="dxa"/>
            <w:vAlign w:val="bottom"/>
            <w:tcBorders>
              <w:right w:val="single" w:sz="8" w:color="95B3D7"/>
            </w:tcBorders>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Borders>
              <w:right w:val="single" w:sz="8" w:color="95B3D7"/>
            </w:tcBorders>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Borders>
              <w:right w:val="single" w:sz="8" w:color="95B3D7"/>
            </w:tcBorders>
          </w:tcPr>
          <w:p>
            <w:pPr>
              <w:spacing w:after="0"/>
              <w:rPr>
                <w:sz w:val="15"/>
                <w:szCs w:val="15"/>
                <w:color w:val="auto"/>
              </w:rPr>
            </w:pPr>
          </w:p>
        </w:tc>
        <w:tc>
          <w:tcPr>
            <w:tcW w:w="1500" w:type="dxa"/>
            <w:vAlign w:val="bottom"/>
            <w:tcBorders>
              <w:right w:val="single" w:sz="8" w:color="95B3D7"/>
            </w:tcBorders>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60" w:type="dxa"/>
            <w:vAlign w:val="bottom"/>
            <w:tcBorders>
              <w:right w:val="single" w:sz="8" w:color="95B3D7"/>
            </w:tcBorders>
          </w:tcPr>
          <w:p>
            <w:pPr>
              <w:ind w:left="460"/>
              <w:spacing w:after="0"/>
              <w:rPr>
                <w:sz w:val="20"/>
                <w:szCs w:val="20"/>
                <w:color w:val="auto"/>
              </w:rPr>
            </w:pPr>
            <w:r>
              <w:rPr>
                <w:rFonts w:ascii="Arial" w:cs="Arial" w:eastAsia="Arial" w:hAnsi="Arial"/>
                <w:sz w:val="14"/>
                <w:szCs w:val="14"/>
                <w:color w:val="auto"/>
              </w:rPr>
              <w:t>the Company</w:t>
            </w:r>
          </w:p>
        </w:tc>
        <w:tc>
          <w:tcPr>
            <w:tcW w:w="1260" w:type="dxa"/>
            <w:vAlign w:val="bottom"/>
          </w:tcPr>
          <w:p>
            <w:pPr>
              <w:spacing w:after="0"/>
              <w:rPr>
                <w:sz w:val="16"/>
                <w:szCs w:val="16"/>
                <w:color w:val="auto"/>
              </w:rPr>
            </w:pPr>
          </w:p>
        </w:tc>
        <w:tc>
          <w:tcPr>
            <w:tcW w:w="360" w:type="dxa"/>
            <w:vAlign w:val="bottom"/>
            <w:tcBorders>
              <w:right w:val="single" w:sz="8" w:color="95B3D7"/>
            </w:tcBorders>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500" w:type="dxa"/>
            <w:vAlign w:val="bottom"/>
            <w:tcBorders>
              <w:right w:val="single" w:sz="8" w:color="95B3D7"/>
            </w:tcBorders>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60" w:type="dxa"/>
            <w:vAlign w:val="bottom"/>
            <w:tcBorders>
              <w:right w:val="single" w:sz="8" w:color="95B3D7"/>
            </w:tcBorders>
          </w:tcPr>
          <w:p>
            <w:pPr>
              <w:ind w:left="240"/>
              <w:spacing w:after="0"/>
              <w:rPr>
                <w:sz w:val="20"/>
                <w:szCs w:val="20"/>
                <w:color w:val="auto"/>
              </w:rPr>
            </w:pPr>
            <w:r>
              <w:rPr>
                <w:rFonts w:ascii="Arial" w:cs="Arial" w:eastAsia="Arial" w:hAnsi="Arial"/>
                <w:sz w:val="14"/>
                <w:szCs w:val="14"/>
                <w:color w:val="auto"/>
              </w:rPr>
              <w:t>Termination with Cause / Resignation</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tcPr>
          <w:p>
            <w:pPr>
              <w:spacing w:after="0"/>
              <w:rPr>
                <w:sz w:val="17"/>
                <w:szCs w:val="17"/>
                <w:color w:val="auto"/>
              </w:rPr>
            </w:pPr>
          </w:p>
        </w:tc>
        <w:tc>
          <w:tcPr>
            <w:tcW w:w="1500" w:type="dxa"/>
            <w:vAlign w:val="bottom"/>
            <w:tcBorders>
              <w:right w:val="single" w:sz="8" w:color="95B3D7"/>
            </w:tcBorders>
          </w:tcPr>
          <w:p>
            <w:pPr>
              <w:jc w:val="right"/>
              <w:ind w:right="346"/>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060" w:type="dxa"/>
            <w:vAlign w:val="bottom"/>
            <w:tcBorders>
              <w:right w:val="single" w:sz="8" w:color="95B3D7"/>
            </w:tcBorders>
          </w:tcPr>
          <w:p>
            <w:pPr>
              <w:ind w:left="460"/>
              <w:spacing w:after="0"/>
              <w:rPr>
                <w:sz w:val="20"/>
                <w:szCs w:val="20"/>
                <w:color w:val="auto"/>
              </w:rPr>
            </w:pPr>
            <w:r>
              <w:rPr>
                <w:rFonts w:ascii="Arial" w:cs="Arial" w:eastAsia="Arial" w:hAnsi="Arial"/>
                <w:sz w:val="14"/>
                <w:szCs w:val="14"/>
                <w:color w:val="auto"/>
              </w:rPr>
              <w:t>without Good Reason</w:t>
            </w:r>
          </w:p>
        </w:tc>
        <w:tc>
          <w:tcPr>
            <w:tcW w:w="1260" w:type="dxa"/>
            <w:vAlign w:val="bottom"/>
          </w:tcPr>
          <w:p>
            <w:pPr>
              <w:spacing w:after="0"/>
              <w:rPr>
                <w:sz w:val="16"/>
                <w:szCs w:val="16"/>
                <w:color w:val="auto"/>
              </w:rPr>
            </w:pPr>
          </w:p>
        </w:tc>
        <w:tc>
          <w:tcPr>
            <w:tcW w:w="360" w:type="dxa"/>
            <w:vAlign w:val="bottom"/>
            <w:tcBorders>
              <w:right w:val="single" w:sz="8" w:color="95B3D7"/>
            </w:tcBorders>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500" w:type="dxa"/>
            <w:vAlign w:val="bottom"/>
            <w:tcBorders>
              <w:right w:val="single" w:sz="8" w:color="95B3D7"/>
            </w:tcBorders>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060" w:type="dxa"/>
            <w:vAlign w:val="bottom"/>
            <w:tcBorders>
              <w:right w:val="single" w:sz="8" w:color="95B3D7"/>
            </w:tcBorders>
          </w:tcPr>
          <w:p>
            <w:pPr>
              <w:ind w:left="240"/>
              <w:spacing w:after="0"/>
              <w:rPr>
                <w:sz w:val="20"/>
                <w:szCs w:val="20"/>
                <w:color w:val="auto"/>
              </w:rPr>
            </w:pPr>
            <w:r>
              <w:rPr>
                <w:rFonts w:ascii="Arial" w:cs="Arial" w:eastAsia="Arial" w:hAnsi="Arial"/>
                <w:sz w:val="14"/>
                <w:szCs w:val="14"/>
                <w:color w:val="auto"/>
              </w:rPr>
              <w:t>Change in Control without Termination</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tcPr>
          <w:p>
            <w:pPr>
              <w:spacing w:after="0"/>
              <w:rPr>
                <w:sz w:val="19"/>
                <w:szCs w:val="19"/>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tcPr>
          <w:p>
            <w:pPr>
              <w:spacing w:after="0"/>
              <w:rPr>
                <w:sz w:val="19"/>
                <w:szCs w:val="19"/>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tcPr>
          <w:p>
            <w:pPr>
              <w:spacing w:after="0"/>
              <w:rPr>
                <w:sz w:val="19"/>
                <w:szCs w:val="19"/>
                <w:color w:val="auto"/>
              </w:rPr>
            </w:pPr>
          </w:p>
        </w:tc>
        <w:tc>
          <w:tcPr>
            <w:tcW w:w="1500" w:type="dxa"/>
            <w:vAlign w:val="bottom"/>
            <w:tcBorders>
              <w:right w:val="single" w:sz="8" w:color="95B3D7"/>
            </w:tcBorders>
          </w:tcPr>
          <w:p>
            <w:pPr>
              <w:jc w:val="right"/>
              <w:ind w:right="346"/>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3060" w:type="dxa"/>
            <w:vAlign w:val="bottom"/>
            <w:tcBorders>
              <w:right w:val="single" w:sz="8" w:color="95B3D7"/>
            </w:tcBorders>
          </w:tcPr>
          <w:p>
            <w:pPr>
              <w:ind w:left="240"/>
              <w:spacing w:after="0"/>
              <w:rPr>
                <w:sz w:val="20"/>
                <w:szCs w:val="20"/>
                <w:color w:val="auto"/>
              </w:rPr>
            </w:pPr>
            <w:r>
              <w:rPr>
                <w:rFonts w:ascii="Arial" w:cs="Arial" w:eastAsia="Arial" w:hAnsi="Arial"/>
                <w:sz w:val="14"/>
                <w:szCs w:val="14"/>
                <w:color w:val="auto"/>
              </w:rPr>
              <w:t>Change in Control with Qualifying</w:t>
            </w:r>
          </w:p>
        </w:tc>
        <w:tc>
          <w:tcPr>
            <w:tcW w:w="1260" w:type="dxa"/>
            <w:vAlign w:val="bottom"/>
          </w:tcPr>
          <w:p>
            <w:pPr>
              <w:jc w:val="right"/>
              <w:spacing w:after="0"/>
              <w:rPr>
                <w:sz w:val="20"/>
                <w:szCs w:val="20"/>
                <w:color w:val="auto"/>
              </w:rPr>
            </w:pPr>
            <w:r>
              <w:rPr>
                <w:rFonts w:ascii="Arial" w:cs="Arial" w:eastAsia="Arial" w:hAnsi="Arial"/>
                <w:sz w:val="14"/>
                <w:szCs w:val="14"/>
                <w:color w:val="auto"/>
              </w:rPr>
              <w:t>1,073,000</w:t>
            </w:r>
          </w:p>
        </w:tc>
        <w:tc>
          <w:tcPr>
            <w:tcW w:w="360" w:type="dxa"/>
            <w:vAlign w:val="bottom"/>
            <w:tcBorders>
              <w:right w:val="single" w:sz="8" w:color="95B3D7"/>
            </w:tcBorders>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493,000</w:t>
            </w:r>
          </w:p>
        </w:tc>
        <w:tc>
          <w:tcPr>
            <w:tcW w:w="340" w:type="dxa"/>
            <w:vAlign w:val="bottom"/>
            <w:tcBorders>
              <w:right w:val="single" w:sz="8" w:color="95B3D7"/>
            </w:tcBorders>
          </w:tcPr>
          <w:p>
            <w:pPr>
              <w:spacing w:after="0"/>
              <w:rPr>
                <w:sz w:val="18"/>
                <w:szCs w:val="18"/>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18,484,380</w:t>
            </w:r>
          </w:p>
        </w:tc>
        <w:tc>
          <w:tcPr>
            <w:tcW w:w="340" w:type="dxa"/>
            <w:vAlign w:val="bottom"/>
            <w:tcBorders>
              <w:right w:val="single" w:sz="8" w:color="95B3D7"/>
            </w:tcBorders>
          </w:tcPr>
          <w:p>
            <w:pPr>
              <w:spacing w:after="0"/>
              <w:rPr>
                <w:sz w:val="18"/>
                <w:szCs w:val="18"/>
                <w:color w:val="auto"/>
              </w:rPr>
            </w:pPr>
          </w:p>
        </w:tc>
        <w:tc>
          <w:tcPr>
            <w:tcW w:w="1500" w:type="dxa"/>
            <w:vAlign w:val="bottom"/>
            <w:tcBorders>
              <w:right w:val="single" w:sz="8" w:color="95B3D7"/>
            </w:tcBorders>
          </w:tcPr>
          <w:p>
            <w:pPr>
              <w:jc w:val="right"/>
              <w:ind w:right="346"/>
              <w:spacing w:after="0"/>
              <w:rPr>
                <w:sz w:val="20"/>
                <w:szCs w:val="20"/>
                <w:color w:val="auto"/>
              </w:rPr>
            </w:pPr>
            <w:r>
              <w:rPr>
                <w:rFonts w:ascii="Arial" w:cs="Arial" w:eastAsia="Arial" w:hAnsi="Arial"/>
                <w:sz w:val="14"/>
                <w:szCs w:val="14"/>
                <w:color w:val="auto"/>
              </w:rPr>
              <w:t>31,411</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20,081,791</w:t>
            </w:r>
          </w:p>
        </w:tc>
        <w:tc>
          <w:tcPr>
            <w:tcW w:w="0" w:type="dxa"/>
            <w:vAlign w:val="bottom"/>
          </w:tcPr>
          <w:p>
            <w:pPr>
              <w:spacing w:after="0"/>
              <w:rPr>
                <w:sz w:val="1"/>
                <w:szCs w:val="1"/>
                <w:color w:val="auto"/>
              </w:rPr>
            </w:pPr>
          </w:p>
        </w:tc>
      </w:tr>
      <w:tr>
        <w:trPr>
          <w:trHeight w:val="190"/>
        </w:trPr>
        <w:tc>
          <w:tcPr>
            <w:tcW w:w="3060" w:type="dxa"/>
            <w:vAlign w:val="bottom"/>
            <w:tcBorders>
              <w:right w:val="single" w:sz="8" w:color="95B3D7"/>
            </w:tcBorders>
          </w:tcPr>
          <w:p>
            <w:pPr>
              <w:ind w:left="460"/>
              <w:spacing w:after="0"/>
              <w:rPr>
                <w:sz w:val="20"/>
                <w:szCs w:val="20"/>
                <w:color w:val="auto"/>
              </w:rPr>
            </w:pPr>
            <w:r>
              <w:rPr>
                <w:rFonts w:ascii="Arial" w:cs="Arial" w:eastAsia="Arial" w:hAnsi="Arial"/>
                <w:sz w:val="14"/>
                <w:szCs w:val="14"/>
                <w:color w:val="auto"/>
              </w:rPr>
              <w:t>Termination</w:t>
            </w:r>
          </w:p>
        </w:tc>
        <w:tc>
          <w:tcPr>
            <w:tcW w:w="1260" w:type="dxa"/>
            <w:vAlign w:val="bottom"/>
          </w:tcPr>
          <w:p>
            <w:pPr>
              <w:spacing w:after="0"/>
              <w:rPr>
                <w:sz w:val="16"/>
                <w:szCs w:val="16"/>
                <w:color w:val="auto"/>
              </w:rPr>
            </w:pPr>
          </w:p>
        </w:tc>
        <w:tc>
          <w:tcPr>
            <w:tcW w:w="360" w:type="dxa"/>
            <w:vAlign w:val="bottom"/>
            <w:tcBorders>
              <w:right w:val="single" w:sz="8" w:color="95B3D7"/>
            </w:tcBorders>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500" w:type="dxa"/>
            <w:vAlign w:val="bottom"/>
            <w:tcBorders>
              <w:right w:val="single" w:sz="8" w:color="95B3D7"/>
            </w:tcBorders>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060" w:type="dxa"/>
            <w:vAlign w:val="bottom"/>
            <w:tcBorders>
              <w:right w:val="single" w:sz="8" w:color="95B3D7"/>
            </w:tcBorders>
          </w:tcPr>
          <w:p>
            <w:pPr>
              <w:ind w:left="240"/>
              <w:spacing w:after="0"/>
              <w:rPr>
                <w:sz w:val="20"/>
                <w:szCs w:val="20"/>
                <w:color w:val="auto"/>
              </w:rPr>
            </w:pPr>
            <w:r>
              <w:rPr>
                <w:rFonts w:ascii="Arial" w:cs="Arial" w:eastAsia="Arial" w:hAnsi="Arial"/>
                <w:sz w:val="14"/>
                <w:szCs w:val="14"/>
                <w:color w:val="auto"/>
              </w:rPr>
              <w:t>Death, Disability or Non-Renewal by the</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tcPr>
          <w:p>
            <w:pPr>
              <w:spacing w:after="0"/>
              <w:rPr>
                <w:sz w:val="18"/>
                <w:szCs w:val="18"/>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tcPr>
          <w:p>
            <w:pPr>
              <w:spacing w:after="0"/>
              <w:rPr>
                <w:sz w:val="18"/>
                <w:szCs w:val="18"/>
                <w:color w:val="auto"/>
              </w:rPr>
            </w:pPr>
          </w:p>
        </w:tc>
        <w:tc>
          <w:tcPr>
            <w:tcW w:w="1500" w:type="dxa"/>
            <w:vAlign w:val="bottom"/>
            <w:tcBorders>
              <w:right w:val="single" w:sz="8" w:color="95B3D7"/>
            </w:tcBorders>
          </w:tcPr>
          <w:p>
            <w:pPr>
              <w:jc w:val="right"/>
              <w:ind w:right="346"/>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060" w:type="dxa"/>
            <w:vAlign w:val="bottom"/>
            <w:tcBorders>
              <w:right w:val="single" w:sz="8" w:color="95B3D7"/>
            </w:tcBorders>
          </w:tcPr>
          <w:p>
            <w:pPr>
              <w:ind w:left="460"/>
              <w:spacing w:after="0"/>
              <w:rPr>
                <w:sz w:val="20"/>
                <w:szCs w:val="20"/>
                <w:color w:val="auto"/>
              </w:rPr>
            </w:pPr>
            <w:r>
              <w:rPr>
                <w:rFonts w:ascii="Arial" w:cs="Arial" w:eastAsia="Arial" w:hAnsi="Arial"/>
                <w:sz w:val="14"/>
                <w:szCs w:val="14"/>
                <w:color w:val="auto"/>
              </w:rPr>
              <w:t>NEO</w:t>
            </w:r>
          </w:p>
        </w:tc>
        <w:tc>
          <w:tcPr>
            <w:tcW w:w="1260" w:type="dxa"/>
            <w:vAlign w:val="bottom"/>
          </w:tcPr>
          <w:p>
            <w:pPr>
              <w:spacing w:after="0"/>
              <w:rPr>
                <w:sz w:val="16"/>
                <w:szCs w:val="16"/>
                <w:color w:val="auto"/>
              </w:rPr>
            </w:pPr>
          </w:p>
        </w:tc>
        <w:tc>
          <w:tcPr>
            <w:tcW w:w="360" w:type="dxa"/>
            <w:vAlign w:val="bottom"/>
            <w:tcBorders>
              <w:right w:val="single" w:sz="8" w:color="95B3D7"/>
            </w:tcBorders>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500" w:type="dxa"/>
            <w:vAlign w:val="bottom"/>
            <w:tcBorders>
              <w:right w:val="single" w:sz="8" w:color="95B3D7"/>
            </w:tcBorders>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3060" w:type="dxa"/>
            <w:vAlign w:val="bottom"/>
            <w:tcBorders>
              <w:bottom w:val="single" w:sz="8" w:color="95B3D7"/>
              <w:right w:val="single" w:sz="8" w:color="95B3D7"/>
            </w:tcBorders>
          </w:tcPr>
          <w:p>
            <w:pPr>
              <w:spacing w:after="0"/>
              <w:rPr>
                <w:sz w:val="10"/>
                <w:szCs w:val="10"/>
                <w:color w:val="auto"/>
              </w:rPr>
            </w:pPr>
          </w:p>
        </w:tc>
        <w:tc>
          <w:tcPr>
            <w:tcW w:w="1260" w:type="dxa"/>
            <w:vAlign w:val="bottom"/>
            <w:tcBorders>
              <w:bottom w:val="single" w:sz="8" w:color="95B3D7"/>
            </w:tcBorders>
          </w:tcPr>
          <w:p>
            <w:pPr>
              <w:spacing w:after="0"/>
              <w:rPr>
                <w:sz w:val="10"/>
                <w:szCs w:val="10"/>
                <w:color w:val="auto"/>
              </w:rPr>
            </w:pPr>
          </w:p>
        </w:tc>
        <w:tc>
          <w:tcPr>
            <w:tcW w:w="360" w:type="dxa"/>
            <w:vAlign w:val="bottom"/>
            <w:tcBorders>
              <w:bottom w:val="single" w:sz="8" w:color="95B3D7"/>
              <w:right w:val="single" w:sz="8" w:color="95B3D7"/>
            </w:tcBorders>
          </w:tcPr>
          <w:p>
            <w:pPr>
              <w:spacing w:after="0"/>
              <w:rPr>
                <w:sz w:val="10"/>
                <w:szCs w:val="10"/>
                <w:color w:val="auto"/>
              </w:rPr>
            </w:pPr>
          </w:p>
        </w:tc>
        <w:tc>
          <w:tcPr>
            <w:tcW w:w="1260" w:type="dxa"/>
            <w:vAlign w:val="bottom"/>
            <w:tcBorders>
              <w:bottom w:val="single" w:sz="8" w:color="95B3D7"/>
            </w:tcBorders>
          </w:tcPr>
          <w:p>
            <w:pPr>
              <w:spacing w:after="0"/>
              <w:rPr>
                <w:sz w:val="10"/>
                <w:szCs w:val="10"/>
                <w:color w:val="auto"/>
              </w:rPr>
            </w:pPr>
          </w:p>
        </w:tc>
        <w:tc>
          <w:tcPr>
            <w:tcW w:w="340" w:type="dxa"/>
            <w:vAlign w:val="bottom"/>
            <w:tcBorders>
              <w:bottom w:val="single" w:sz="8" w:color="95B3D7"/>
              <w:right w:val="single" w:sz="8" w:color="95B3D7"/>
            </w:tcBorders>
          </w:tcPr>
          <w:p>
            <w:pPr>
              <w:spacing w:after="0"/>
              <w:rPr>
                <w:sz w:val="10"/>
                <w:szCs w:val="10"/>
                <w:color w:val="auto"/>
              </w:rPr>
            </w:pPr>
          </w:p>
        </w:tc>
        <w:tc>
          <w:tcPr>
            <w:tcW w:w="1280" w:type="dxa"/>
            <w:vAlign w:val="bottom"/>
            <w:tcBorders>
              <w:bottom w:val="single" w:sz="8" w:color="95B3D7"/>
            </w:tcBorders>
          </w:tcPr>
          <w:p>
            <w:pPr>
              <w:spacing w:after="0"/>
              <w:rPr>
                <w:sz w:val="10"/>
                <w:szCs w:val="10"/>
                <w:color w:val="auto"/>
              </w:rPr>
            </w:pPr>
          </w:p>
        </w:tc>
        <w:tc>
          <w:tcPr>
            <w:tcW w:w="340" w:type="dxa"/>
            <w:vAlign w:val="bottom"/>
            <w:tcBorders>
              <w:bottom w:val="single" w:sz="8" w:color="95B3D7"/>
              <w:right w:val="single" w:sz="8" w:color="95B3D7"/>
            </w:tcBorders>
          </w:tcPr>
          <w:p>
            <w:pPr>
              <w:spacing w:after="0"/>
              <w:rPr>
                <w:sz w:val="10"/>
                <w:szCs w:val="10"/>
                <w:color w:val="auto"/>
              </w:rPr>
            </w:pPr>
          </w:p>
        </w:tc>
        <w:tc>
          <w:tcPr>
            <w:tcW w:w="1500" w:type="dxa"/>
            <w:vAlign w:val="bottom"/>
            <w:tcBorders>
              <w:bottom w:val="single" w:sz="8" w:color="95B3D7"/>
              <w:right w:val="single" w:sz="8" w:color="95B3D7"/>
            </w:tcBorders>
          </w:tcPr>
          <w:p>
            <w:pPr>
              <w:spacing w:after="0"/>
              <w:rPr>
                <w:sz w:val="10"/>
                <w:szCs w:val="10"/>
                <w:color w:val="auto"/>
              </w:rPr>
            </w:pPr>
          </w:p>
        </w:tc>
        <w:tc>
          <w:tcPr>
            <w:tcW w:w="1840" w:type="dxa"/>
            <w:vAlign w:val="bottom"/>
            <w:tcBorders>
              <w:bottom w:val="single" w:sz="8" w:color="95B3D7"/>
            </w:tcBorders>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306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4"/>
                <w:szCs w:val="14"/>
                <w:b w:val="1"/>
                <w:bCs w:val="1"/>
                <w:color w:val="auto"/>
              </w:rPr>
              <w:t>Dawn Maroney</w:t>
            </w:r>
          </w:p>
        </w:tc>
        <w:tc>
          <w:tcPr>
            <w:tcW w:w="1260" w:type="dxa"/>
            <w:vAlign w:val="bottom"/>
            <w:shd w:val="clear" w:color="auto" w:fill="DBE5F1"/>
          </w:tcPr>
          <w:p>
            <w:pPr>
              <w:spacing w:after="0"/>
              <w:rPr>
                <w:sz w:val="23"/>
                <w:szCs w:val="23"/>
                <w:color w:val="auto"/>
              </w:rPr>
            </w:pPr>
          </w:p>
        </w:tc>
        <w:tc>
          <w:tcPr>
            <w:tcW w:w="360" w:type="dxa"/>
            <w:vAlign w:val="bottom"/>
            <w:tcBorders>
              <w:right w:val="single" w:sz="8" w:color="95B3D7"/>
            </w:tcBorders>
            <w:shd w:val="clear" w:color="auto" w:fill="DBE5F1"/>
          </w:tcPr>
          <w:p>
            <w:pPr>
              <w:spacing w:after="0"/>
              <w:rPr>
                <w:sz w:val="23"/>
                <w:szCs w:val="23"/>
                <w:color w:val="auto"/>
              </w:rPr>
            </w:pPr>
          </w:p>
        </w:tc>
        <w:tc>
          <w:tcPr>
            <w:tcW w:w="1260" w:type="dxa"/>
            <w:vAlign w:val="bottom"/>
            <w:shd w:val="clear" w:color="auto" w:fill="DBE5F1"/>
          </w:tcPr>
          <w:p>
            <w:pPr>
              <w:spacing w:after="0"/>
              <w:rPr>
                <w:sz w:val="23"/>
                <w:szCs w:val="23"/>
                <w:color w:val="auto"/>
              </w:rPr>
            </w:pPr>
          </w:p>
        </w:tc>
        <w:tc>
          <w:tcPr>
            <w:tcW w:w="340" w:type="dxa"/>
            <w:vAlign w:val="bottom"/>
            <w:tcBorders>
              <w:right w:val="single" w:sz="8" w:color="95B3D7"/>
            </w:tcBorders>
            <w:shd w:val="clear" w:color="auto" w:fill="DBE5F1"/>
          </w:tcPr>
          <w:p>
            <w:pPr>
              <w:spacing w:after="0"/>
              <w:rPr>
                <w:sz w:val="23"/>
                <w:szCs w:val="23"/>
                <w:color w:val="auto"/>
              </w:rPr>
            </w:pPr>
          </w:p>
        </w:tc>
        <w:tc>
          <w:tcPr>
            <w:tcW w:w="1280" w:type="dxa"/>
            <w:vAlign w:val="bottom"/>
            <w:shd w:val="clear" w:color="auto" w:fill="DBE5F1"/>
          </w:tcPr>
          <w:p>
            <w:pPr>
              <w:spacing w:after="0"/>
              <w:rPr>
                <w:sz w:val="23"/>
                <w:szCs w:val="23"/>
                <w:color w:val="auto"/>
              </w:rPr>
            </w:pPr>
          </w:p>
        </w:tc>
        <w:tc>
          <w:tcPr>
            <w:tcW w:w="340" w:type="dxa"/>
            <w:vAlign w:val="bottom"/>
            <w:tcBorders>
              <w:right w:val="single" w:sz="8" w:color="95B3D7"/>
            </w:tcBorders>
            <w:shd w:val="clear" w:color="auto" w:fill="DBE5F1"/>
          </w:tcPr>
          <w:p>
            <w:pPr>
              <w:spacing w:after="0"/>
              <w:rPr>
                <w:sz w:val="23"/>
                <w:szCs w:val="23"/>
                <w:color w:val="auto"/>
              </w:rPr>
            </w:pPr>
          </w:p>
        </w:tc>
        <w:tc>
          <w:tcPr>
            <w:tcW w:w="1500" w:type="dxa"/>
            <w:vAlign w:val="bottom"/>
            <w:tcBorders>
              <w:right w:val="single" w:sz="8" w:color="95B3D7"/>
            </w:tcBorders>
            <w:shd w:val="clear" w:color="auto" w:fill="DBE5F1"/>
          </w:tcPr>
          <w:p>
            <w:pPr>
              <w:spacing w:after="0"/>
              <w:rPr>
                <w:sz w:val="23"/>
                <w:szCs w:val="23"/>
                <w:color w:val="auto"/>
              </w:rPr>
            </w:pPr>
          </w:p>
        </w:tc>
        <w:tc>
          <w:tcPr>
            <w:tcW w:w="1840" w:type="dxa"/>
            <w:vAlign w:val="bottom"/>
            <w:shd w:val="clear" w:color="auto" w:fill="DBE5F1"/>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06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Termination without Cause / Resignation</w:t>
            </w: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1,110,000</w:t>
            </w: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510,000</w:t>
            </w:r>
          </w:p>
        </w:tc>
        <w:tc>
          <w:tcPr>
            <w:tcW w:w="340" w:type="dxa"/>
            <w:vAlign w:val="bottom"/>
            <w:tcBorders>
              <w:right w:val="single" w:sz="8" w:color="95B3D7"/>
            </w:tcBorders>
            <w:shd w:val="clear" w:color="auto" w:fill="DBE5F1"/>
          </w:tcPr>
          <w:p>
            <w:pPr>
              <w:spacing w:after="0"/>
              <w:rPr>
                <w:sz w:val="16"/>
                <w:szCs w:val="16"/>
                <w:color w:val="auto"/>
              </w:rPr>
            </w:pPr>
          </w:p>
        </w:tc>
        <w:tc>
          <w:tcPr>
            <w:tcW w:w="128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jc w:val="right"/>
              <w:ind w:right="346"/>
              <w:spacing w:after="0"/>
              <w:rPr>
                <w:sz w:val="20"/>
                <w:szCs w:val="20"/>
                <w:color w:val="auto"/>
              </w:rPr>
            </w:pPr>
            <w:r>
              <w:rPr>
                <w:rFonts w:ascii="Arial" w:cs="Arial" w:eastAsia="Arial" w:hAnsi="Arial"/>
                <w:sz w:val="14"/>
                <w:szCs w:val="14"/>
                <w:color w:val="auto"/>
              </w:rPr>
              <w:t>23,577</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1,643,577</w:t>
            </w:r>
          </w:p>
        </w:tc>
        <w:tc>
          <w:tcPr>
            <w:tcW w:w="0" w:type="dxa"/>
            <w:vAlign w:val="bottom"/>
          </w:tcPr>
          <w:p>
            <w:pPr>
              <w:spacing w:after="0"/>
              <w:rPr>
                <w:sz w:val="1"/>
                <w:szCs w:val="1"/>
                <w:color w:val="auto"/>
              </w:rPr>
            </w:pPr>
          </w:p>
        </w:tc>
      </w:tr>
      <w:tr>
        <w:trPr>
          <w:trHeight w:val="176"/>
        </w:trPr>
        <w:tc>
          <w:tcPr>
            <w:tcW w:w="306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for Good Reason / Non-Renewal by</w:t>
            </w:r>
          </w:p>
        </w:tc>
        <w:tc>
          <w:tcPr>
            <w:tcW w:w="1260" w:type="dxa"/>
            <w:vAlign w:val="bottom"/>
            <w:shd w:val="clear" w:color="auto" w:fill="DBE5F1"/>
          </w:tcPr>
          <w:p>
            <w:pPr>
              <w:spacing w:after="0"/>
              <w:rPr>
                <w:sz w:val="15"/>
                <w:szCs w:val="15"/>
                <w:color w:val="auto"/>
              </w:rPr>
            </w:pPr>
          </w:p>
        </w:tc>
        <w:tc>
          <w:tcPr>
            <w:tcW w:w="360" w:type="dxa"/>
            <w:vAlign w:val="bottom"/>
            <w:tcBorders>
              <w:right w:val="single" w:sz="8" w:color="95B3D7"/>
            </w:tcBorders>
            <w:shd w:val="clear" w:color="auto" w:fill="DBE5F1"/>
          </w:tcPr>
          <w:p>
            <w:pPr>
              <w:spacing w:after="0"/>
              <w:rPr>
                <w:sz w:val="15"/>
                <w:szCs w:val="15"/>
                <w:color w:val="auto"/>
              </w:rPr>
            </w:pPr>
          </w:p>
        </w:tc>
        <w:tc>
          <w:tcPr>
            <w:tcW w:w="1260" w:type="dxa"/>
            <w:vAlign w:val="bottom"/>
            <w:shd w:val="clear" w:color="auto" w:fill="DBE5F1"/>
          </w:tcPr>
          <w:p>
            <w:pPr>
              <w:spacing w:after="0"/>
              <w:rPr>
                <w:sz w:val="15"/>
                <w:szCs w:val="15"/>
                <w:color w:val="auto"/>
              </w:rPr>
            </w:pPr>
          </w:p>
        </w:tc>
        <w:tc>
          <w:tcPr>
            <w:tcW w:w="340" w:type="dxa"/>
            <w:vAlign w:val="bottom"/>
            <w:tcBorders>
              <w:right w:val="single" w:sz="8" w:color="95B3D7"/>
            </w:tcBorders>
            <w:shd w:val="clear" w:color="auto" w:fill="DBE5F1"/>
          </w:tcPr>
          <w:p>
            <w:pPr>
              <w:spacing w:after="0"/>
              <w:rPr>
                <w:sz w:val="15"/>
                <w:szCs w:val="15"/>
                <w:color w:val="auto"/>
              </w:rPr>
            </w:pPr>
          </w:p>
        </w:tc>
        <w:tc>
          <w:tcPr>
            <w:tcW w:w="1280" w:type="dxa"/>
            <w:vAlign w:val="bottom"/>
            <w:shd w:val="clear" w:color="auto" w:fill="DBE5F1"/>
          </w:tcPr>
          <w:p>
            <w:pPr>
              <w:spacing w:after="0"/>
              <w:rPr>
                <w:sz w:val="15"/>
                <w:szCs w:val="15"/>
                <w:color w:val="auto"/>
              </w:rPr>
            </w:pPr>
          </w:p>
        </w:tc>
        <w:tc>
          <w:tcPr>
            <w:tcW w:w="340" w:type="dxa"/>
            <w:vAlign w:val="bottom"/>
            <w:tcBorders>
              <w:right w:val="single" w:sz="8" w:color="95B3D7"/>
            </w:tcBorders>
            <w:shd w:val="clear" w:color="auto" w:fill="DBE5F1"/>
          </w:tcPr>
          <w:p>
            <w:pPr>
              <w:spacing w:after="0"/>
              <w:rPr>
                <w:sz w:val="15"/>
                <w:szCs w:val="15"/>
                <w:color w:val="auto"/>
              </w:rPr>
            </w:pPr>
          </w:p>
        </w:tc>
        <w:tc>
          <w:tcPr>
            <w:tcW w:w="1500" w:type="dxa"/>
            <w:vAlign w:val="bottom"/>
            <w:tcBorders>
              <w:right w:val="single" w:sz="8" w:color="95B3D7"/>
            </w:tcBorders>
            <w:shd w:val="clear" w:color="auto" w:fill="DBE5F1"/>
          </w:tcPr>
          <w:p>
            <w:pPr>
              <w:spacing w:after="0"/>
              <w:rPr>
                <w:sz w:val="15"/>
                <w:szCs w:val="15"/>
                <w:color w:val="auto"/>
              </w:rPr>
            </w:pPr>
          </w:p>
        </w:tc>
        <w:tc>
          <w:tcPr>
            <w:tcW w:w="1840" w:type="dxa"/>
            <w:vAlign w:val="bottom"/>
            <w:shd w:val="clear" w:color="auto" w:fill="DBE5F1"/>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6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the Company</w:t>
            </w:r>
          </w:p>
        </w:tc>
        <w:tc>
          <w:tcPr>
            <w:tcW w:w="1260" w:type="dxa"/>
            <w:vAlign w:val="bottom"/>
            <w:shd w:val="clear" w:color="auto" w:fill="DBE5F1"/>
          </w:tcPr>
          <w:p>
            <w:pPr>
              <w:spacing w:after="0"/>
              <w:rPr>
                <w:sz w:val="16"/>
                <w:szCs w:val="16"/>
                <w:color w:val="auto"/>
              </w:rPr>
            </w:pP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28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spacing w:after="0"/>
              <w:rPr>
                <w:sz w:val="16"/>
                <w:szCs w:val="16"/>
                <w:color w:val="auto"/>
              </w:rPr>
            </w:pPr>
          </w:p>
        </w:tc>
        <w:tc>
          <w:tcPr>
            <w:tcW w:w="184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6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Termination with Cause / Resignation</w:t>
            </w: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shd w:val="clear" w:color="auto" w:fill="DBE5F1"/>
          </w:tcPr>
          <w:p>
            <w:pPr>
              <w:spacing w:after="0"/>
              <w:rPr>
                <w:sz w:val="17"/>
                <w:szCs w:val="17"/>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7"/>
                <w:szCs w:val="17"/>
                <w:color w:val="auto"/>
              </w:rPr>
            </w:pPr>
          </w:p>
        </w:tc>
        <w:tc>
          <w:tcPr>
            <w:tcW w:w="128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7"/>
                <w:szCs w:val="17"/>
                <w:color w:val="auto"/>
              </w:rPr>
            </w:pPr>
          </w:p>
        </w:tc>
        <w:tc>
          <w:tcPr>
            <w:tcW w:w="1500" w:type="dxa"/>
            <w:vAlign w:val="bottom"/>
            <w:tcBorders>
              <w:right w:val="single" w:sz="8" w:color="95B3D7"/>
            </w:tcBorders>
            <w:shd w:val="clear" w:color="auto" w:fill="DBE5F1"/>
          </w:tcPr>
          <w:p>
            <w:pPr>
              <w:jc w:val="right"/>
              <w:ind w:right="346"/>
              <w:spacing w:after="0"/>
              <w:rPr>
                <w:sz w:val="20"/>
                <w:szCs w:val="20"/>
                <w:color w:val="auto"/>
              </w:rPr>
            </w:pPr>
            <w:r>
              <w:rPr>
                <w:rFonts w:ascii="Arial" w:cs="Arial" w:eastAsia="Arial" w:hAnsi="Arial"/>
                <w:sz w:val="14"/>
                <w:szCs w:val="14"/>
                <w:color w:val="auto"/>
              </w:rPr>
              <w:t>—</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06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without Good Reason</w:t>
            </w:r>
          </w:p>
        </w:tc>
        <w:tc>
          <w:tcPr>
            <w:tcW w:w="1260" w:type="dxa"/>
            <w:vAlign w:val="bottom"/>
            <w:shd w:val="clear" w:color="auto" w:fill="DBE5F1"/>
          </w:tcPr>
          <w:p>
            <w:pPr>
              <w:spacing w:after="0"/>
              <w:rPr>
                <w:sz w:val="16"/>
                <w:szCs w:val="16"/>
                <w:color w:val="auto"/>
              </w:rPr>
            </w:pP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28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spacing w:after="0"/>
              <w:rPr>
                <w:sz w:val="16"/>
                <w:szCs w:val="16"/>
                <w:color w:val="auto"/>
              </w:rPr>
            </w:pPr>
          </w:p>
        </w:tc>
        <w:tc>
          <w:tcPr>
            <w:tcW w:w="184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06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Change in Control without Termination</w:t>
            </w: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shd w:val="clear" w:color="auto" w:fill="DBE5F1"/>
          </w:tcPr>
          <w:p>
            <w:pPr>
              <w:spacing w:after="0"/>
              <w:rPr>
                <w:sz w:val="19"/>
                <w:szCs w:val="19"/>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9"/>
                <w:szCs w:val="19"/>
                <w:color w:val="auto"/>
              </w:rPr>
            </w:pPr>
          </w:p>
        </w:tc>
        <w:tc>
          <w:tcPr>
            <w:tcW w:w="128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9"/>
                <w:szCs w:val="19"/>
                <w:color w:val="auto"/>
              </w:rPr>
            </w:pPr>
          </w:p>
        </w:tc>
        <w:tc>
          <w:tcPr>
            <w:tcW w:w="1500" w:type="dxa"/>
            <w:vAlign w:val="bottom"/>
            <w:tcBorders>
              <w:right w:val="single" w:sz="8" w:color="95B3D7"/>
            </w:tcBorders>
            <w:shd w:val="clear" w:color="auto" w:fill="DBE5F1"/>
          </w:tcPr>
          <w:p>
            <w:pPr>
              <w:jc w:val="right"/>
              <w:ind w:right="346"/>
              <w:spacing w:after="0"/>
              <w:rPr>
                <w:sz w:val="20"/>
                <w:szCs w:val="20"/>
                <w:color w:val="auto"/>
              </w:rPr>
            </w:pPr>
            <w:r>
              <w:rPr>
                <w:rFonts w:ascii="Arial" w:cs="Arial" w:eastAsia="Arial" w:hAnsi="Arial"/>
                <w:sz w:val="14"/>
                <w:szCs w:val="14"/>
                <w:color w:val="auto"/>
              </w:rPr>
              <w:t>—</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306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Change in Control with Qualifying</w:t>
            </w: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1,110,000</w:t>
            </w:r>
          </w:p>
        </w:tc>
        <w:tc>
          <w:tcPr>
            <w:tcW w:w="360" w:type="dxa"/>
            <w:vAlign w:val="bottom"/>
            <w:tcBorders>
              <w:right w:val="single" w:sz="8" w:color="95B3D7"/>
            </w:tcBorders>
            <w:shd w:val="clear" w:color="auto" w:fill="DBE5F1"/>
          </w:tcPr>
          <w:p>
            <w:pPr>
              <w:spacing w:after="0"/>
              <w:rPr>
                <w:sz w:val="18"/>
                <w:szCs w:val="18"/>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510,000</w:t>
            </w:r>
          </w:p>
        </w:tc>
        <w:tc>
          <w:tcPr>
            <w:tcW w:w="340" w:type="dxa"/>
            <w:vAlign w:val="bottom"/>
            <w:tcBorders>
              <w:right w:val="single" w:sz="8" w:color="95B3D7"/>
            </w:tcBorders>
            <w:shd w:val="clear" w:color="auto" w:fill="DBE5F1"/>
          </w:tcPr>
          <w:p>
            <w:pPr>
              <w:spacing w:after="0"/>
              <w:rPr>
                <w:sz w:val="18"/>
                <w:szCs w:val="18"/>
                <w:color w:val="auto"/>
              </w:rPr>
            </w:pPr>
          </w:p>
        </w:tc>
        <w:tc>
          <w:tcPr>
            <w:tcW w:w="128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20,651,659</w:t>
            </w:r>
          </w:p>
        </w:tc>
        <w:tc>
          <w:tcPr>
            <w:tcW w:w="340" w:type="dxa"/>
            <w:vAlign w:val="bottom"/>
            <w:tcBorders>
              <w:right w:val="single" w:sz="8" w:color="95B3D7"/>
            </w:tcBorders>
            <w:shd w:val="clear" w:color="auto" w:fill="DBE5F1"/>
          </w:tcPr>
          <w:p>
            <w:pPr>
              <w:spacing w:after="0"/>
              <w:rPr>
                <w:sz w:val="18"/>
                <w:szCs w:val="18"/>
                <w:color w:val="auto"/>
              </w:rPr>
            </w:pPr>
          </w:p>
        </w:tc>
        <w:tc>
          <w:tcPr>
            <w:tcW w:w="1500" w:type="dxa"/>
            <w:vAlign w:val="bottom"/>
            <w:tcBorders>
              <w:right w:val="single" w:sz="8" w:color="95B3D7"/>
            </w:tcBorders>
            <w:shd w:val="clear" w:color="auto" w:fill="DBE5F1"/>
          </w:tcPr>
          <w:p>
            <w:pPr>
              <w:jc w:val="right"/>
              <w:ind w:right="346"/>
              <w:spacing w:after="0"/>
              <w:rPr>
                <w:sz w:val="20"/>
                <w:szCs w:val="20"/>
                <w:color w:val="auto"/>
              </w:rPr>
            </w:pPr>
            <w:r>
              <w:rPr>
                <w:rFonts w:ascii="Arial" w:cs="Arial" w:eastAsia="Arial" w:hAnsi="Arial"/>
                <w:sz w:val="14"/>
                <w:szCs w:val="14"/>
                <w:color w:val="auto"/>
              </w:rPr>
              <w:t>23,577</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22,295,236</w:t>
            </w:r>
          </w:p>
        </w:tc>
        <w:tc>
          <w:tcPr>
            <w:tcW w:w="0" w:type="dxa"/>
            <w:vAlign w:val="bottom"/>
          </w:tcPr>
          <w:p>
            <w:pPr>
              <w:spacing w:after="0"/>
              <w:rPr>
                <w:sz w:val="1"/>
                <w:szCs w:val="1"/>
                <w:color w:val="auto"/>
              </w:rPr>
            </w:pPr>
          </w:p>
        </w:tc>
      </w:tr>
      <w:tr>
        <w:trPr>
          <w:trHeight w:val="190"/>
        </w:trPr>
        <w:tc>
          <w:tcPr>
            <w:tcW w:w="306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Termination</w:t>
            </w:r>
          </w:p>
        </w:tc>
        <w:tc>
          <w:tcPr>
            <w:tcW w:w="1260" w:type="dxa"/>
            <w:vAlign w:val="bottom"/>
            <w:shd w:val="clear" w:color="auto" w:fill="DBE5F1"/>
          </w:tcPr>
          <w:p>
            <w:pPr>
              <w:spacing w:after="0"/>
              <w:rPr>
                <w:sz w:val="16"/>
                <w:szCs w:val="16"/>
                <w:color w:val="auto"/>
              </w:rPr>
            </w:pP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28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spacing w:after="0"/>
              <w:rPr>
                <w:sz w:val="16"/>
                <w:szCs w:val="16"/>
                <w:color w:val="auto"/>
              </w:rPr>
            </w:pPr>
          </w:p>
        </w:tc>
        <w:tc>
          <w:tcPr>
            <w:tcW w:w="184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06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Death, Disability or Non-Renewal by the</w:t>
            </w: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shd w:val="clear" w:color="auto" w:fill="DBE5F1"/>
          </w:tcPr>
          <w:p>
            <w:pPr>
              <w:spacing w:after="0"/>
              <w:rPr>
                <w:sz w:val="18"/>
                <w:szCs w:val="18"/>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8"/>
                <w:szCs w:val="18"/>
                <w:color w:val="auto"/>
              </w:rPr>
            </w:pPr>
          </w:p>
        </w:tc>
        <w:tc>
          <w:tcPr>
            <w:tcW w:w="128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8"/>
                <w:szCs w:val="18"/>
                <w:color w:val="auto"/>
              </w:rPr>
            </w:pPr>
          </w:p>
        </w:tc>
        <w:tc>
          <w:tcPr>
            <w:tcW w:w="1500" w:type="dxa"/>
            <w:vAlign w:val="bottom"/>
            <w:tcBorders>
              <w:right w:val="single" w:sz="8" w:color="95B3D7"/>
            </w:tcBorders>
            <w:shd w:val="clear" w:color="auto" w:fill="DBE5F1"/>
          </w:tcPr>
          <w:p>
            <w:pPr>
              <w:jc w:val="right"/>
              <w:ind w:right="346"/>
              <w:spacing w:after="0"/>
              <w:rPr>
                <w:sz w:val="20"/>
                <w:szCs w:val="20"/>
                <w:color w:val="auto"/>
              </w:rPr>
            </w:pPr>
            <w:r>
              <w:rPr>
                <w:rFonts w:ascii="Arial" w:cs="Arial" w:eastAsia="Arial" w:hAnsi="Arial"/>
                <w:sz w:val="14"/>
                <w:szCs w:val="14"/>
                <w:color w:val="auto"/>
              </w:rPr>
              <w:t>—</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06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NEO</w:t>
            </w:r>
          </w:p>
        </w:tc>
        <w:tc>
          <w:tcPr>
            <w:tcW w:w="1260" w:type="dxa"/>
            <w:vAlign w:val="bottom"/>
            <w:shd w:val="clear" w:color="auto" w:fill="DBE5F1"/>
          </w:tcPr>
          <w:p>
            <w:pPr>
              <w:spacing w:after="0"/>
              <w:rPr>
                <w:sz w:val="16"/>
                <w:szCs w:val="16"/>
                <w:color w:val="auto"/>
              </w:rPr>
            </w:pP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28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spacing w:after="0"/>
              <w:rPr>
                <w:sz w:val="16"/>
                <w:szCs w:val="16"/>
                <w:color w:val="auto"/>
              </w:rPr>
            </w:pPr>
          </w:p>
        </w:tc>
        <w:tc>
          <w:tcPr>
            <w:tcW w:w="184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3060" w:type="dxa"/>
            <w:vAlign w:val="bottom"/>
            <w:tcBorders>
              <w:bottom w:val="single" w:sz="8" w:color="95B3D7"/>
              <w:right w:val="single" w:sz="8" w:color="95B3D7"/>
            </w:tcBorders>
            <w:shd w:val="clear" w:color="auto" w:fill="DBE5F1"/>
          </w:tcPr>
          <w:p>
            <w:pPr>
              <w:spacing w:after="0"/>
              <w:rPr>
                <w:sz w:val="24"/>
                <w:szCs w:val="24"/>
                <w:color w:val="auto"/>
              </w:rPr>
            </w:pPr>
          </w:p>
        </w:tc>
        <w:tc>
          <w:tcPr>
            <w:tcW w:w="1260" w:type="dxa"/>
            <w:vAlign w:val="bottom"/>
            <w:tcBorders>
              <w:bottom w:val="single" w:sz="8" w:color="95B3D7"/>
            </w:tcBorders>
            <w:shd w:val="clear" w:color="auto" w:fill="DBE5F1"/>
          </w:tcPr>
          <w:p>
            <w:pPr>
              <w:spacing w:after="0"/>
              <w:rPr>
                <w:sz w:val="24"/>
                <w:szCs w:val="24"/>
                <w:color w:val="auto"/>
              </w:rPr>
            </w:pPr>
          </w:p>
        </w:tc>
        <w:tc>
          <w:tcPr>
            <w:tcW w:w="360" w:type="dxa"/>
            <w:vAlign w:val="bottom"/>
            <w:tcBorders>
              <w:bottom w:val="single" w:sz="8" w:color="95B3D7"/>
              <w:right w:val="single" w:sz="8" w:color="95B3D7"/>
            </w:tcBorders>
            <w:shd w:val="clear" w:color="auto" w:fill="DBE5F1"/>
          </w:tcPr>
          <w:p>
            <w:pPr>
              <w:spacing w:after="0"/>
              <w:rPr>
                <w:sz w:val="24"/>
                <w:szCs w:val="24"/>
                <w:color w:val="auto"/>
              </w:rPr>
            </w:pPr>
          </w:p>
        </w:tc>
        <w:tc>
          <w:tcPr>
            <w:tcW w:w="1260" w:type="dxa"/>
            <w:vAlign w:val="bottom"/>
            <w:tcBorders>
              <w:bottom w:val="single" w:sz="8" w:color="95B3D7"/>
            </w:tcBorders>
            <w:shd w:val="clear" w:color="auto" w:fill="DBE5F1"/>
          </w:tcPr>
          <w:p>
            <w:pPr>
              <w:spacing w:after="0"/>
              <w:rPr>
                <w:sz w:val="24"/>
                <w:szCs w:val="24"/>
                <w:color w:val="auto"/>
              </w:rPr>
            </w:pPr>
          </w:p>
        </w:tc>
        <w:tc>
          <w:tcPr>
            <w:tcW w:w="340" w:type="dxa"/>
            <w:vAlign w:val="bottom"/>
            <w:tcBorders>
              <w:bottom w:val="single" w:sz="8" w:color="95B3D7"/>
              <w:right w:val="single" w:sz="8" w:color="95B3D7"/>
            </w:tcBorders>
            <w:shd w:val="clear" w:color="auto" w:fill="DBE5F1"/>
          </w:tcPr>
          <w:p>
            <w:pPr>
              <w:spacing w:after="0"/>
              <w:rPr>
                <w:sz w:val="24"/>
                <w:szCs w:val="24"/>
                <w:color w:val="auto"/>
              </w:rPr>
            </w:pPr>
          </w:p>
        </w:tc>
        <w:tc>
          <w:tcPr>
            <w:tcW w:w="1280" w:type="dxa"/>
            <w:vAlign w:val="bottom"/>
            <w:tcBorders>
              <w:bottom w:val="single" w:sz="8" w:color="95B3D7"/>
            </w:tcBorders>
            <w:shd w:val="clear" w:color="auto" w:fill="DBE5F1"/>
          </w:tcPr>
          <w:p>
            <w:pPr>
              <w:spacing w:after="0"/>
              <w:rPr>
                <w:sz w:val="24"/>
                <w:szCs w:val="24"/>
                <w:color w:val="auto"/>
              </w:rPr>
            </w:pPr>
          </w:p>
        </w:tc>
        <w:tc>
          <w:tcPr>
            <w:tcW w:w="340" w:type="dxa"/>
            <w:vAlign w:val="bottom"/>
            <w:tcBorders>
              <w:bottom w:val="single" w:sz="8" w:color="95B3D7"/>
              <w:right w:val="single" w:sz="8" w:color="95B3D7"/>
            </w:tcBorders>
            <w:shd w:val="clear" w:color="auto" w:fill="DBE5F1"/>
          </w:tcPr>
          <w:p>
            <w:pPr>
              <w:spacing w:after="0"/>
              <w:rPr>
                <w:sz w:val="24"/>
                <w:szCs w:val="24"/>
                <w:color w:val="auto"/>
              </w:rPr>
            </w:pPr>
          </w:p>
        </w:tc>
        <w:tc>
          <w:tcPr>
            <w:tcW w:w="1500" w:type="dxa"/>
            <w:vAlign w:val="bottom"/>
            <w:tcBorders>
              <w:bottom w:val="single" w:sz="8" w:color="95B3D7"/>
              <w:right w:val="single" w:sz="8" w:color="95B3D7"/>
            </w:tcBorders>
            <w:shd w:val="clear" w:color="auto" w:fill="DBE5F1"/>
          </w:tcPr>
          <w:p>
            <w:pPr>
              <w:spacing w:after="0"/>
              <w:rPr>
                <w:sz w:val="24"/>
                <w:szCs w:val="24"/>
                <w:color w:val="auto"/>
              </w:rPr>
            </w:pPr>
          </w:p>
        </w:tc>
        <w:tc>
          <w:tcPr>
            <w:tcW w:w="1840" w:type="dxa"/>
            <w:vAlign w:val="bottom"/>
            <w:tcBorders>
              <w:bottom w:val="single" w:sz="8" w:color="95B3D7"/>
            </w:tcBorders>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060" w:type="dxa"/>
            <w:vAlign w:val="bottom"/>
            <w:tcBorders>
              <w:right w:val="single" w:sz="8" w:color="95B3D7"/>
            </w:tcBorders>
          </w:tcPr>
          <w:p>
            <w:pPr>
              <w:ind w:left="80"/>
              <w:spacing w:after="0"/>
              <w:rPr>
                <w:sz w:val="20"/>
                <w:szCs w:val="20"/>
                <w:color w:val="auto"/>
              </w:rPr>
            </w:pPr>
            <w:r>
              <w:rPr>
                <w:rFonts w:ascii="Arial" w:cs="Arial" w:eastAsia="Arial" w:hAnsi="Arial"/>
                <w:sz w:val="14"/>
                <w:szCs w:val="14"/>
                <w:b w:val="1"/>
                <w:bCs w:val="1"/>
                <w:color w:val="auto"/>
              </w:rPr>
              <w:t>Hyong (Ken) Kim, M.D.</w:t>
            </w:r>
          </w:p>
        </w:tc>
        <w:tc>
          <w:tcPr>
            <w:tcW w:w="1260" w:type="dxa"/>
            <w:vAlign w:val="bottom"/>
          </w:tcPr>
          <w:p>
            <w:pPr>
              <w:spacing w:after="0"/>
              <w:rPr>
                <w:sz w:val="23"/>
                <w:szCs w:val="23"/>
                <w:color w:val="auto"/>
              </w:rPr>
            </w:pPr>
          </w:p>
        </w:tc>
        <w:tc>
          <w:tcPr>
            <w:tcW w:w="360" w:type="dxa"/>
            <w:vAlign w:val="bottom"/>
            <w:tcBorders>
              <w:right w:val="single" w:sz="8" w:color="95B3D7"/>
            </w:tcBorders>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Borders>
              <w:right w:val="single" w:sz="8" w:color="95B3D7"/>
            </w:tcBorders>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Borders>
              <w:right w:val="single" w:sz="8" w:color="95B3D7"/>
            </w:tcBorders>
          </w:tcPr>
          <w:p>
            <w:pPr>
              <w:spacing w:after="0"/>
              <w:rPr>
                <w:sz w:val="23"/>
                <w:szCs w:val="23"/>
                <w:color w:val="auto"/>
              </w:rPr>
            </w:pPr>
          </w:p>
        </w:tc>
        <w:tc>
          <w:tcPr>
            <w:tcW w:w="1500" w:type="dxa"/>
            <w:vAlign w:val="bottom"/>
            <w:tcBorders>
              <w:right w:val="single" w:sz="8" w:color="95B3D7"/>
            </w:tcBorders>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060" w:type="dxa"/>
            <w:vAlign w:val="bottom"/>
            <w:tcBorders>
              <w:right w:val="single" w:sz="8" w:color="95B3D7"/>
            </w:tcBorders>
          </w:tcPr>
          <w:p>
            <w:pPr>
              <w:ind w:left="240"/>
              <w:spacing w:after="0"/>
              <w:rPr>
                <w:sz w:val="20"/>
                <w:szCs w:val="20"/>
                <w:color w:val="auto"/>
              </w:rPr>
            </w:pPr>
            <w:r>
              <w:rPr>
                <w:rFonts w:ascii="Arial" w:cs="Arial" w:eastAsia="Arial" w:hAnsi="Arial"/>
                <w:sz w:val="14"/>
                <w:szCs w:val="14"/>
                <w:color w:val="auto"/>
              </w:rPr>
              <w:t>Termination without Cause / Resignation</w:t>
            </w:r>
          </w:p>
        </w:tc>
        <w:tc>
          <w:tcPr>
            <w:tcW w:w="1260" w:type="dxa"/>
            <w:vAlign w:val="bottom"/>
          </w:tcPr>
          <w:p>
            <w:pPr>
              <w:jc w:val="right"/>
              <w:spacing w:after="0"/>
              <w:rPr>
                <w:sz w:val="20"/>
                <w:szCs w:val="20"/>
                <w:color w:val="auto"/>
              </w:rPr>
            </w:pPr>
            <w:r>
              <w:rPr>
                <w:rFonts w:ascii="Arial" w:cs="Arial" w:eastAsia="Arial" w:hAnsi="Arial"/>
                <w:sz w:val="14"/>
                <w:szCs w:val="14"/>
                <w:color w:val="auto"/>
              </w:rPr>
              <w:t>1,036,000</w:t>
            </w:r>
          </w:p>
        </w:tc>
        <w:tc>
          <w:tcPr>
            <w:tcW w:w="360" w:type="dxa"/>
            <w:vAlign w:val="bottom"/>
            <w:tcBorders>
              <w:right w:val="single" w:sz="8" w:color="95B3D7"/>
            </w:tcBorders>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476,000</w:t>
            </w:r>
          </w:p>
        </w:tc>
        <w:tc>
          <w:tcPr>
            <w:tcW w:w="340" w:type="dxa"/>
            <w:vAlign w:val="bottom"/>
            <w:tcBorders>
              <w:right w:val="single" w:sz="8" w:color="95B3D7"/>
            </w:tcBorders>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tcPr>
          <w:p>
            <w:pPr>
              <w:spacing w:after="0"/>
              <w:rPr>
                <w:sz w:val="16"/>
                <w:szCs w:val="16"/>
                <w:color w:val="auto"/>
              </w:rPr>
            </w:pPr>
          </w:p>
        </w:tc>
        <w:tc>
          <w:tcPr>
            <w:tcW w:w="1500" w:type="dxa"/>
            <w:vAlign w:val="bottom"/>
            <w:tcBorders>
              <w:right w:val="single" w:sz="8" w:color="95B3D7"/>
            </w:tcBorders>
          </w:tcPr>
          <w:p>
            <w:pPr>
              <w:jc w:val="right"/>
              <w:ind w:right="346"/>
              <w:spacing w:after="0"/>
              <w:rPr>
                <w:sz w:val="20"/>
                <w:szCs w:val="20"/>
                <w:color w:val="auto"/>
              </w:rPr>
            </w:pPr>
            <w:r>
              <w:rPr>
                <w:rFonts w:ascii="Arial" w:cs="Arial" w:eastAsia="Arial" w:hAnsi="Arial"/>
                <w:sz w:val="14"/>
                <w:szCs w:val="14"/>
                <w:color w:val="auto"/>
              </w:rPr>
              <w:t>23,440</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1,535,440</w:t>
            </w:r>
          </w:p>
        </w:tc>
        <w:tc>
          <w:tcPr>
            <w:tcW w:w="0" w:type="dxa"/>
            <w:vAlign w:val="bottom"/>
          </w:tcPr>
          <w:p>
            <w:pPr>
              <w:spacing w:after="0"/>
              <w:rPr>
                <w:sz w:val="1"/>
                <w:szCs w:val="1"/>
                <w:color w:val="auto"/>
              </w:rPr>
            </w:pPr>
          </w:p>
        </w:tc>
      </w:tr>
      <w:tr>
        <w:trPr>
          <w:trHeight w:val="175"/>
        </w:trPr>
        <w:tc>
          <w:tcPr>
            <w:tcW w:w="3060" w:type="dxa"/>
            <w:vAlign w:val="bottom"/>
            <w:tcBorders>
              <w:right w:val="single" w:sz="8" w:color="95B3D7"/>
            </w:tcBorders>
          </w:tcPr>
          <w:p>
            <w:pPr>
              <w:ind w:left="460"/>
              <w:spacing w:after="0"/>
              <w:rPr>
                <w:sz w:val="20"/>
                <w:szCs w:val="20"/>
                <w:color w:val="auto"/>
              </w:rPr>
            </w:pPr>
            <w:r>
              <w:rPr>
                <w:rFonts w:ascii="Arial" w:cs="Arial" w:eastAsia="Arial" w:hAnsi="Arial"/>
                <w:sz w:val="14"/>
                <w:szCs w:val="14"/>
                <w:color w:val="auto"/>
              </w:rPr>
              <w:t>for Good Reason / Non-Renewal by</w:t>
            </w:r>
          </w:p>
        </w:tc>
        <w:tc>
          <w:tcPr>
            <w:tcW w:w="1260" w:type="dxa"/>
            <w:vAlign w:val="bottom"/>
          </w:tcPr>
          <w:p>
            <w:pPr>
              <w:spacing w:after="0"/>
              <w:rPr>
                <w:sz w:val="15"/>
                <w:szCs w:val="15"/>
                <w:color w:val="auto"/>
              </w:rPr>
            </w:pPr>
          </w:p>
        </w:tc>
        <w:tc>
          <w:tcPr>
            <w:tcW w:w="360" w:type="dxa"/>
            <w:vAlign w:val="bottom"/>
            <w:tcBorders>
              <w:right w:val="single" w:sz="8" w:color="95B3D7"/>
            </w:tcBorders>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Borders>
              <w:right w:val="single" w:sz="8" w:color="95B3D7"/>
            </w:tcBorders>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Borders>
              <w:right w:val="single" w:sz="8" w:color="95B3D7"/>
            </w:tcBorders>
          </w:tcPr>
          <w:p>
            <w:pPr>
              <w:spacing w:after="0"/>
              <w:rPr>
                <w:sz w:val="15"/>
                <w:szCs w:val="15"/>
                <w:color w:val="auto"/>
              </w:rPr>
            </w:pPr>
          </w:p>
        </w:tc>
        <w:tc>
          <w:tcPr>
            <w:tcW w:w="1500" w:type="dxa"/>
            <w:vAlign w:val="bottom"/>
            <w:tcBorders>
              <w:right w:val="single" w:sz="8" w:color="95B3D7"/>
            </w:tcBorders>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60" w:type="dxa"/>
            <w:vAlign w:val="bottom"/>
            <w:tcBorders>
              <w:right w:val="single" w:sz="8" w:color="95B3D7"/>
            </w:tcBorders>
          </w:tcPr>
          <w:p>
            <w:pPr>
              <w:ind w:left="460"/>
              <w:spacing w:after="0"/>
              <w:rPr>
                <w:sz w:val="20"/>
                <w:szCs w:val="20"/>
                <w:color w:val="auto"/>
              </w:rPr>
            </w:pPr>
            <w:r>
              <w:rPr>
                <w:rFonts w:ascii="Arial" w:cs="Arial" w:eastAsia="Arial" w:hAnsi="Arial"/>
                <w:sz w:val="14"/>
                <w:szCs w:val="14"/>
                <w:color w:val="auto"/>
              </w:rPr>
              <w:t>the Company</w:t>
            </w:r>
          </w:p>
        </w:tc>
        <w:tc>
          <w:tcPr>
            <w:tcW w:w="1260" w:type="dxa"/>
            <w:vAlign w:val="bottom"/>
          </w:tcPr>
          <w:p>
            <w:pPr>
              <w:spacing w:after="0"/>
              <w:rPr>
                <w:sz w:val="16"/>
                <w:szCs w:val="16"/>
                <w:color w:val="auto"/>
              </w:rPr>
            </w:pPr>
          </w:p>
        </w:tc>
        <w:tc>
          <w:tcPr>
            <w:tcW w:w="360" w:type="dxa"/>
            <w:vAlign w:val="bottom"/>
            <w:tcBorders>
              <w:right w:val="single" w:sz="8" w:color="95B3D7"/>
            </w:tcBorders>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500" w:type="dxa"/>
            <w:vAlign w:val="bottom"/>
            <w:tcBorders>
              <w:right w:val="single" w:sz="8" w:color="95B3D7"/>
            </w:tcBorders>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60" w:type="dxa"/>
            <w:vAlign w:val="bottom"/>
            <w:tcBorders>
              <w:right w:val="single" w:sz="8" w:color="95B3D7"/>
            </w:tcBorders>
          </w:tcPr>
          <w:p>
            <w:pPr>
              <w:ind w:left="240"/>
              <w:spacing w:after="0"/>
              <w:rPr>
                <w:sz w:val="20"/>
                <w:szCs w:val="20"/>
                <w:color w:val="auto"/>
              </w:rPr>
            </w:pPr>
            <w:r>
              <w:rPr>
                <w:rFonts w:ascii="Arial" w:cs="Arial" w:eastAsia="Arial" w:hAnsi="Arial"/>
                <w:sz w:val="14"/>
                <w:szCs w:val="14"/>
                <w:color w:val="auto"/>
              </w:rPr>
              <w:t>Termination with Cause / Resignation</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tcPr>
          <w:p>
            <w:pPr>
              <w:spacing w:after="0"/>
              <w:rPr>
                <w:sz w:val="17"/>
                <w:szCs w:val="17"/>
                <w:color w:val="auto"/>
              </w:rPr>
            </w:pPr>
          </w:p>
        </w:tc>
        <w:tc>
          <w:tcPr>
            <w:tcW w:w="1500" w:type="dxa"/>
            <w:vAlign w:val="bottom"/>
            <w:tcBorders>
              <w:right w:val="single" w:sz="8" w:color="95B3D7"/>
            </w:tcBorders>
          </w:tcPr>
          <w:p>
            <w:pPr>
              <w:jc w:val="right"/>
              <w:ind w:right="346"/>
              <w:spacing w:after="0" w:line="201"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060" w:type="dxa"/>
            <w:vAlign w:val="bottom"/>
            <w:tcBorders>
              <w:right w:val="single" w:sz="8" w:color="95B3D7"/>
            </w:tcBorders>
          </w:tcPr>
          <w:p>
            <w:pPr>
              <w:ind w:left="460"/>
              <w:spacing w:after="0"/>
              <w:rPr>
                <w:sz w:val="20"/>
                <w:szCs w:val="20"/>
                <w:color w:val="auto"/>
              </w:rPr>
            </w:pPr>
            <w:r>
              <w:rPr>
                <w:rFonts w:ascii="Arial" w:cs="Arial" w:eastAsia="Arial" w:hAnsi="Arial"/>
                <w:sz w:val="14"/>
                <w:szCs w:val="14"/>
                <w:color w:val="auto"/>
              </w:rPr>
              <w:t>without Good Reason</w:t>
            </w:r>
          </w:p>
        </w:tc>
        <w:tc>
          <w:tcPr>
            <w:tcW w:w="1260" w:type="dxa"/>
            <w:vAlign w:val="bottom"/>
          </w:tcPr>
          <w:p>
            <w:pPr>
              <w:spacing w:after="0"/>
              <w:rPr>
                <w:sz w:val="16"/>
                <w:szCs w:val="16"/>
                <w:color w:val="auto"/>
              </w:rPr>
            </w:pPr>
          </w:p>
        </w:tc>
        <w:tc>
          <w:tcPr>
            <w:tcW w:w="360" w:type="dxa"/>
            <w:vAlign w:val="bottom"/>
            <w:tcBorders>
              <w:right w:val="single" w:sz="8" w:color="95B3D7"/>
            </w:tcBorders>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500" w:type="dxa"/>
            <w:vAlign w:val="bottom"/>
            <w:tcBorders>
              <w:right w:val="single" w:sz="8" w:color="95B3D7"/>
            </w:tcBorders>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060" w:type="dxa"/>
            <w:vAlign w:val="bottom"/>
            <w:tcBorders>
              <w:right w:val="single" w:sz="8" w:color="95B3D7"/>
            </w:tcBorders>
          </w:tcPr>
          <w:p>
            <w:pPr>
              <w:ind w:left="240"/>
              <w:spacing w:after="0"/>
              <w:rPr>
                <w:sz w:val="20"/>
                <w:szCs w:val="20"/>
                <w:color w:val="auto"/>
              </w:rPr>
            </w:pPr>
            <w:r>
              <w:rPr>
                <w:rFonts w:ascii="Arial" w:cs="Arial" w:eastAsia="Arial" w:hAnsi="Arial"/>
                <w:sz w:val="14"/>
                <w:szCs w:val="14"/>
                <w:color w:val="auto"/>
              </w:rPr>
              <w:t>Change in Control without Termination</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tcPr>
          <w:p>
            <w:pPr>
              <w:spacing w:after="0"/>
              <w:rPr>
                <w:sz w:val="21"/>
                <w:szCs w:val="21"/>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tcPr>
          <w:p>
            <w:pPr>
              <w:spacing w:after="0"/>
              <w:rPr>
                <w:sz w:val="21"/>
                <w:szCs w:val="21"/>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tcPr>
          <w:p>
            <w:pPr>
              <w:spacing w:after="0"/>
              <w:rPr>
                <w:sz w:val="21"/>
                <w:szCs w:val="21"/>
                <w:color w:val="auto"/>
              </w:rPr>
            </w:pPr>
          </w:p>
        </w:tc>
        <w:tc>
          <w:tcPr>
            <w:tcW w:w="1500" w:type="dxa"/>
            <w:vAlign w:val="bottom"/>
            <w:tcBorders>
              <w:right w:val="single" w:sz="8" w:color="95B3D7"/>
            </w:tcBorders>
          </w:tcPr>
          <w:p>
            <w:pPr>
              <w:jc w:val="right"/>
              <w:ind w:right="346"/>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060" w:type="dxa"/>
            <w:vAlign w:val="bottom"/>
            <w:tcBorders>
              <w:right w:val="single" w:sz="8" w:color="95B3D7"/>
            </w:tcBorders>
          </w:tcPr>
          <w:p>
            <w:pPr>
              <w:ind w:left="240"/>
              <w:spacing w:after="0"/>
              <w:rPr>
                <w:sz w:val="20"/>
                <w:szCs w:val="20"/>
                <w:color w:val="auto"/>
              </w:rPr>
            </w:pPr>
            <w:r>
              <w:rPr>
                <w:rFonts w:ascii="Arial" w:cs="Arial" w:eastAsia="Arial" w:hAnsi="Arial"/>
                <w:sz w:val="14"/>
                <w:szCs w:val="14"/>
                <w:color w:val="auto"/>
              </w:rPr>
              <w:t>Change in Control with Qualifying</w:t>
            </w:r>
          </w:p>
        </w:tc>
        <w:tc>
          <w:tcPr>
            <w:tcW w:w="1260" w:type="dxa"/>
            <w:vAlign w:val="bottom"/>
          </w:tcPr>
          <w:p>
            <w:pPr>
              <w:jc w:val="right"/>
              <w:spacing w:after="0"/>
              <w:rPr>
                <w:sz w:val="20"/>
                <w:szCs w:val="20"/>
                <w:color w:val="auto"/>
              </w:rPr>
            </w:pPr>
            <w:r>
              <w:rPr>
                <w:rFonts w:ascii="Arial" w:cs="Arial" w:eastAsia="Arial" w:hAnsi="Arial"/>
                <w:sz w:val="14"/>
                <w:szCs w:val="14"/>
                <w:color w:val="auto"/>
              </w:rPr>
              <w:t>1,036,000</w:t>
            </w:r>
          </w:p>
        </w:tc>
        <w:tc>
          <w:tcPr>
            <w:tcW w:w="360" w:type="dxa"/>
            <w:vAlign w:val="bottom"/>
            <w:tcBorders>
              <w:right w:val="single" w:sz="8" w:color="95B3D7"/>
            </w:tcBorders>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476,000</w:t>
            </w:r>
          </w:p>
        </w:tc>
        <w:tc>
          <w:tcPr>
            <w:tcW w:w="340" w:type="dxa"/>
            <w:vAlign w:val="bottom"/>
            <w:tcBorders>
              <w:right w:val="single" w:sz="8" w:color="95B3D7"/>
            </w:tcBorders>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6,676,898</w:t>
            </w:r>
          </w:p>
        </w:tc>
        <w:tc>
          <w:tcPr>
            <w:tcW w:w="340" w:type="dxa"/>
            <w:vAlign w:val="bottom"/>
            <w:tcBorders>
              <w:right w:val="single" w:sz="8" w:color="95B3D7"/>
            </w:tcBorders>
          </w:tcPr>
          <w:p>
            <w:pPr>
              <w:spacing w:after="0"/>
              <w:rPr>
                <w:sz w:val="16"/>
                <w:szCs w:val="16"/>
                <w:color w:val="auto"/>
              </w:rPr>
            </w:pPr>
          </w:p>
        </w:tc>
        <w:tc>
          <w:tcPr>
            <w:tcW w:w="1500" w:type="dxa"/>
            <w:vAlign w:val="bottom"/>
            <w:tcBorders>
              <w:right w:val="single" w:sz="8" w:color="95B3D7"/>
            </w:tcBorders>
          </w:tcPr>
          <w:p>
            <w:pPr>
              <w:jc w:val="right"/>
              <w:ind w:right="346"/>
              <w:spacing w:after="0"/>
              <w:rPr>
                <w:sz w:val="20"/>
                <w:szCs w:val="20"/>
                <w:color w:val="auto"/>
              </w:rPr>
            </w:pPr>
            <w:r>
              <w:rPr>
                <w:rFonts w:ascii="Arial" w:cs="Arial" w:eastAsia="Arial" w:hAnsi="Arial"/>
                <w:sz w:val="14"/>
                <w:szCs w:val="14"/>
                <w:color w:val="auto"/>
              </w:rPr>
              <w:t>23,440</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8,212,337</w:t>
            </w:r>
          </w:p>
        </w:tc>
        <w:tc>
          <w:tcPr>
            <w:tcW w:w="0" w:type="dxa"/>
            <w:vAlign w:val="bottom"/>
          </w:tcPr>
          <w:p>
            <w:pPr>
              <w:spacing w:after="0"/>
              <w:rPr>
                <w:sz w:val="1"/>
                <w:szCs w:val="1"/>
                <w:color w:val="auto"/>
              </w:rPr>
            </w:pPr>
          </w:p>
        </w:tc>
      </w:tr>
      <w:tr>
        <w:trPr>
          <w:trHeight w:val="190"/>
        </w:trPr>
        <w:tc>
          <w:tcPr>
            <w:tcW w:w="3060" w:type="dxa"/>
            <w:vAlign w:val="bottom"/>
            <w:tcBorders>
              <w:right w:val="single" w:sz="8" w:color="95B3D7"/>
            </w:tcBorders>
          </w:tcPr>
          <w:p>
            <w:pPr>
              <w:ind w:left="460"/>
              <w:spacing w:after="0"/>
              <w:rPr>
                <w:sz w:val="20"/>
                <w:szCs w:val="20"/>
                <w:color w:val="auto"/>
              </w:rPr>
            </w:pPr>
            <w:r>
              <w:rPr>
                <w:rFonts w:ascii="Arial" w:cs="Arial" w:eastAsia="Arial" w:hAnsi="Arial"/>
                <w:sz w:val="14"/>
                <w:szCs w:val="14"/>
                <w:color w:val="auto"/>
              </w:rPr>
              <w:t>Termination</w:t>
            </w:r>
          </w:p>
        </w:tc>
        <w:tc>
          <w:tcPr>
            <w:tcW w:w="1260" w:type="dxa"/>
            <w:vAlign w:val="bottom"/>
          </w:tcPr>
          <w:p>
            <w:pPr>
              <w:spacing w:after="0"/>
              <w:rPr>
                <w:sz w:val="16"/>
                <w:szCs w:val="16"/>
                <w:color w:val="auto"/>
              </w:rPr>
            </w:pPr>
          </w:p>
        </w:tc>
        <w:tc>
          <w:tcPr>
            <w:tcW w:w="360" w:type="dxa"/>
            <w:vAlign w:val="bottom"/>
            <w:tcBorders>
              <w:right w:val="single" w:sz="8" w:color="95B3D7"/>
            </w:tcBorders>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500" w:type="dxa"/>
            <w:vAlign w:val="bottom"/>
            <w:tcBorders>
              <w:right w:val="single" w:sz="8" w:color="95B3D7"/>
            </w:tcBorders>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060" w:type="dxa"/>
            <w:vAlign w:val="bottom"/>
            <w:tcBorders>
              <w:right w:val="single" w:sz="8" w:color="95B3D7"/>
            </w:tcBorders>
          </w:tcPr>
          <w:p>
            <w:pPr>
              <w:ind w:left="240"/>
              <w:spacing w:after="0"/>
              <w:rPr>
                <w:sz w:val="20"/>
                <w:szCs w:val="20"/>
                <w:color w:val="auto"/>
              </w:rPr>
            </w:pPr>
            <w:r>
              <w:rPr>
                <w:rFonts w:ascii="Arial" w:cs="Arial" w:eastAsia="Arial" w:hAnsi="Arial"/>
                <w:sz w:val="14"/>
                <w:szCs w:val="14"/>
                <w:color w:val="auto"/>
              </w:rPr>
              <w:t>Death, Disability or Non-Renewal by the</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tcPr>
          <w:p>
            <w:pPr>
              <w:spacing w:after="0"/>
              <w:rPr>
                <w:sz w:val="18"/>
                <w:szCs w:val="18"/>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tcPr>
          <w:p>
            <w:pPr>
              <w:spacing w:after="0"/>
              <w:rPr>
                <w:sz w:val="18"/>
                <w:szCs w:val="18"/>
                <w:color w:val="auto"/>
              </w:rPr>
            </w:pPr>
          </w:p>
        </w:tc>
        <w:tc>
          <w:tcPr>
            <w:tcW w:w="1500" w:type="dxa"/>
            <w:vAlign w:val="bottom"/>
            <w:tcBorders>
              <w:right w:val="single" w:sz="8" w:color="95B3D7"/>
            </w:tcBorders>
          </w:tcPr>
          <w:p>
            <w:pPr>
              <w:jc w:val="right"/>
              <w:ind w:right="346"/>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060" w:type="dxa"/>
            <w:vAlign w:val="bottom"/>
            <w:tcBorders>
              <w:right w:val="single" w:sz="8" w:color="95B3D7"/>
            </w:tcBorders>
          </w:tcPr>
          <w:p>
            <w:pPr>
              <w:ind w:left="460"/>
              <w:spacing w:after="0"/>
              <w:rPr>
                <w:sz w:val="20"/>
                <w:szCs w:val="20"/>
                <w:color w:val="auto"/>
              </w:rPr>
            </w:pPr>
            <w:r>
              <w:rPr>
                <w:rFonts w:ascii="Arial" w:cs="Arial" w:eastAsia="Arial" w:hAnsi="Arial"/>
                <w:sz w:val="14"/>
                <w:szCs w:val="14"/>
                <w:color w:val="auto"/>
              </w:rPr>
              <w:t>NEO</w:t>
            </w:r>
          </w:p>
        </w:tc>
        <w:tc>
          <w:tcPr>
            <w:tcW w:w="1260" w:type="dxa"/>
            <w:vAlign w:val="bottom"/>
          </w:tcPr>
          <w:p>
            <w:pPr>
              <w:spacing w:after="0"/>
              <w:rPr>
                <w:sz w:val="16"/>
                <w:szCs w:val="16"/>
                <w:color w:val="auto"/>
              </w:rPr>
            </w:pPr>
          </w:p>
        </w:tc>
        <w:tc>
          <w:tcPr>
            <w:tcW w:w="360" w:type="dxa"/>
            <w:vAlign w:val="bottom"/>
            <w:tcBorders>
              <w:right w:val="single" w:sz="8" w:color="95B3D7"/>
            </w:tcBorders>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500" w:type="dxa"/>
            <w:vAlign w:val="bottom"/>
            <w:tcBorders>
              <w:right w:val="single" w:sz="8" w:color="95B3D7"/>
            </w:tcBorders>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060" w:type="dxa"/>
            <w:vAlign w:val="bottom"/>
            <w:tcBorders>
              <w:bottom w:val="single" w:sz="8" w:color="95B3D7"/>
              <w:right w:val="single" w:sz="8" w:color="95B3D7"/>
            </w:tcBorders>
          </w:tcPr>
          <w:p>
            <w:pPr>
              <w:spacing w:after="0"/>
              <w:rPr>
                <w:sz w:val="12"/>
                <w:szCs w:val="12"/>
                <w:color w:val="auto"/>
              </w:rPr>
            </w:pPr>
          </w:p>
        </w:tc>
        <w:tc>
          <w:tcPr>
            <w:tcW w:w="1260" w:type="dxa"/>
            <w:vAlign w:val="bottom"/>
            <w:tcBorders>
              <w:bottom w:val="single" w:sz="8" w:color="95B3D7"/>
            </w:tcBorders>
          </w:tcPr>
          <w:p>
            <w:pPr>
              <w:spacing w:after="0"/>
              <w:rPr>
                <w:sz w:val="12"/>
                <w:szCs w:val="12"/>
                <w:color w:val="auto"/>
              </w:rPr>
            </w:pPr>
          </w:p>
        </w:tc>
        <w:tc>
          <w:tcPr>
            <w:tcW w:w="360" w:type="dxa"/>
            <w:vAlign w:val="bottom"/>
            <w:tcBorders>
              <w:bottom w:val="single" w:sz="8" w:color="95B3D7"/>
              <w:right w:val="single" w:sz="8" w:color="95B3D7"/>
            </w:tcBorders>
          </w:tcPr>
          <w:p>
            <w:pPr>
              <w:spacing w:after="0"/>
              <w:rPr>
                <w:sz w:val="12"/>
                <w:szCs w:val="12"/>
                <w:color w:val="auto"/>
              </w:rPr>
            </w:pPr>
          </w:p>
        </w:tc>
        <w:tc>
          <w:tcPr>
            <w:tcW w:w="1260" w:type="dxa"/>
            <w:vAlign w:val="bottom"/>
            <w:tcBorders>
              <w:bottom w:val="single" w:sz="8" w:color="95B3D7"/>
            </w:tcBorders>
          </w:tcPr>
          <w:p>
            <w:pPr>
              <w:spacing w:after="0"/>
              <w:rPr>
                <w:sz w:val="12"/>
                <w:szCs w:val="12"/>
                <w:color w:val="auto"/>
              </w:rPr>
            </w:pPr>
          </w:p>
        </w:tc>
        <w:tc>
          <w:tcPr>
            <w:tcW w:w="340" w:type="dxa"/>
            <w:vAlign w:val="bottom"/>
            <w:tcBorders>
              <w:bottom w:val="single" w:sz="8" w:color="95B3D7"/>
              <w:right w:val="single" w:sz="8" w:color="95B3D7"/>
            </w:tcBorders>
          </w:tcPr>
          <w:p>
            <w:pPr>
              <w:spacing w:after="0"/>
              <w:rPr>
                <w:sz w:val="12"/>
                <w:szCs w:val="12"/>
                <w:color w:val="auto"/>
              </w:rPr>
            </w:pPr>
          </w:p>
        </w:tc>
        <w:tc>
          <w:tcPr>
            <w:tcW w:w="1280" w:type="dxa"/>
            <w:vAlign w:val="bottom"/>
            <w:tcBorders>
              <w:bottom w:val="single" w:sz="8" w:color="95B3D7"/>
            </w:tcBorders>
          </w:tcPr>
          <w:p>
            <w:pPr>
              <w:spacing w:after="0"/>
              <w:rPr>
                <w:sz w:val="12"/>
                <w:szCs w:val="12"/>
                <w:color w:val="auto"/>
              </w:rPr>
            </w:pPr>
          </w:p>
        </w:tc>
        <w:tc>
          <w:tcPr>
            <w:tcW w:w="340" w:type="dxa"/>
            <w:vAlign w:val="bottom"/>
            <w:tcBorders>
              <w:bottom w:val="single" w:sz="8" w:color="95B3D7"/>
              <w:right w:val="single" w:sz="8" w:color="95B3D7"/>
            </w:tcBorders>
          </w:tcPr>
          <w:p>
            <w:pPr>
              <w:spacing w:after="0"/>
              <w:rPr>
                <w:sz w:val="12"/>
                <w:szCs w:val="12"/>
                <w:color w:val="auto"/>
              </w:rPr>
            </w:pPr>
          </w:p>
        </w:tc>
        <w:tc>
          <w:tcPr>
            <w:tcW w:w="1500" w:type="dxa"/>
            <w:vAlign w:val="bottom"/>
            <w:tcBorders>
              <w:bottom w:val="single" w:sz="8" w:color="95B3D7"/>
              <w:right w:val="single" w:sz="8" w:color="95B3D7"/>
            </w:tcBorders>
          </w:tcPr>
          <w:p>
            <w:pPr>
              <w:spacing w:after="0"/>
              <w:rPr>
                <w:sz w:val="12"/>
                <w:szCs w:val="12"/>
                <w:color w:val="auto"/>
              </w:rPr>
            </w:pPr>
          </w:p>
        </w:tc>
        <w:tc>
          <w:tcPr>
            <w:tcW w:w="1840" w:type="dxa"/>
            <w:vAlign w:val="bottom"/>
            <w:tcBorders>
              <w:bottom w:val="single" w:sz="8" w:color="95B3D7"/>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Annual Bonus</w:t>
            </w:r>
            <w:r>
              <w:rPr>
                <w:rFonts w:ascii="Arial" w:cs="Arial" w:eastAsia="Arial" w:hAnsi="Arial"/>
                <w:sz w:val="18"/>
                <w:szCs w:val="18"/>
                <w:b w:val="1"/>
                <w:bCs w:val="1"/>
                <w:color w:val="auto"/>
                <w:vertAlign w:val="superscript"/>
              </w:rPr>
              <w:t>(1)</w:t>
            </w:r>
          </w:p>
        </w:tc>
        <w:tc>
          <w:tcPr>
            <w:tcW w:w="360" w:type="dxa"/>
            <w:vAlign w:val="bottom"/>
          </w:tcPr>
          <w:p>
            <w:pPr>
              <w:spacing w:after="0"/>
              <w:rPr>
                <w:sz w:val="14"/>
                <w:szCs w:val="14"/>
                <w:color w:val="auto"/>
              </w:rPr>
            </w:pPr>
          </w:p>
        </w:tc>
        <w:tc>
          <w:tcPr>
            <w:tcW w:w="1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Stock Award</w:t>
            </w:r>
            <w:r>
              <w:rPr>
                <w:rFonts w:ascii="Arial" w:cs="Arial" w:eastAsia="Arial" w:hAnsi="Arial"/>
                <w:sz w:val="18"/>
                <w:szCs w:val="18"/>
                <w:b w:val="1"/>
                <w:bCs w:val="1"/>
                <w:color w:val="auto"/>
                <w:vertAlign w:val="superscript"/>
              </w:rPr>
              <w:t>(2)</w:t>
            </w:r>
          </w:p>
        </w:tc>
        <w:tc>
          <w:tcPr>
            <w:tcW w:w="340" w:type="dxa"/>
            <w:vAlign w:val="bottom"/>
          </w:tcPr>
          <w:p>
            <w:pPr>
              <w:spacing w:after="0"/>
              <w:rPr>
                <w:sz w:val="14"/>
                <w:szCs w:val="14"/>
                <w:color w:val="auto"/>
              </w:rPr>
            </w:pPr>
          </w:p>
        </w:tc>
        <w:tc>
          <w:tcPr>
            <w:tcW w:w="1500" w:type="dxa"/>
            <w:vAlign w:val="bottom"/>
          </w:tcPr>
          <w:p>
            <w:pPr>
              <w:jc w:val="center"/>
              <w:ind w:right="284"/>
              <w:spacing w:after="0"/>
              <w:rPr>
                <w:sz w:val="20"/>
                <w:szCs w:val="20"/>
                <w:color w:val="auto"/>
              </w:rPr>
            </w:pPr>
            <w:r>
              <w:rPr>
                <w:rFonts w:ascii="Arial" w:cs="Arial" w:eastAsia="Arial" w:hAnsi="Arial"/>
                <w:sz w:val="13"/>
                <w:szCs w:val="13"/>
                <w:b w:val="1"/>
                <w:bCs w:val="1"/>
                <w:color w:val="auto"/>
              </w:rPr>
              <w:t>COBRA</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80" w:type="dxa"/>
            <w:vAlign w:val="bottom"/>
          </w:tcPr>
          <w:p>
            <w:pPr>
              <w:spacing w:after="0"/>
              <w:rPr>
                <w:sz w:val="14"/>
                <w:szCs w:val="14"/>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Cash Severance</w:t>
            </w:r>
          </w:p>
        </w:tc>
        <w:tc>
          <w:tcPr>
            <w:tcW w:w="3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jc w:val="center"/>
              <w:ind w:right="284"/>
              <w:spacing w:after="0"/>
              <w:rPr>
                <w:sz w:val="20"/>
                <w:szCs w:val="20"/>
                <w:color w:val="auto"/>
              </w:rPr>
            </w:pPr>
            <w:r>
              <w:rPr>
                <w:rFonts w:ascii="Arial" w:cs="Arial" w:eastAsia="Arial" w:hAnsi="Arial"/>
                <w:sz w:val="13"/>
                <w:szCs w:val="13"/>
                <w:b w:val="1"/>
                <w:bCs w:val="1"/>
                <w:color w:val="auto"/>
              </w:rPr>
              <w:t>Premiums</w:t>
            </w:r>
          </w:p>
        </w:tc>
        <w:tc>
          <w:tcPr>
            <w:tcW w:w="184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30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Name</w:t>
            </w:r>
          </w:p>
        </w:tc>
        <w:tc>
          <w:tcPr>
            <w:tcW w:w="1260" w:type="dxa"/>
            <w:vAlign w:val="bottom"/>
            <w:vMerge w:val="continue"/>
          </w:tcPr>
          <w:p>
            <w:pPr>
              <w:spacing w:after="0"/>
              <w:rPr>
                <w:sz w:val="2"/>
                <w:szCs w:val="2"/>
                <w:color w:val="auto"/>
              </w:rPr>
            </w:pPr>
          </w:p>
        </w:tc>
        <w:tc>
          <w:tcPr>
            <w:tcW w:w="1600" w:type="dxa"/>
            <w:vAlign w:val="bottom"/>
            <w:gridSpan w:val="2"/>
            <w:vMerge w:val="restart"/>
          </w:tcPr>
          <w:p>
            <w:pPr>
              <w:jc w:val="right"/>
              <w:ind w:right="468"/>
              <w:spacing w:after="0"/>
              <w:rPr>
                <w:sz w:val="20"/>
                <w:szCs w:val="20"/>
                <w:color w:val="auto"/>
              </w:rPr>
            </w:pPr>
            <w:r>
              <w:rPr>
                <w:rFonts w:ascii="Arial" w:cs="Arial" w:eastAsia="Arial" w:hAnsi="Arial"/>
                <w:sz w:val="14"/>
                <w:szCs w:val="14"/>
                <w:b w:val="1"/>
                <w:bCs w:val="1"/>
                <w:color w:val="auto"/>
              </w:rPr>
              <w:t>($)</w:t>
            </w:r>
          </w:p>
        </w:tc>
        <w:tc>
          <w:tcPr>
            <w:tcW w:w="1620" w:type="dxa"/>
            <w:vAlign w:val="bottom"/>
            <w:gridSpan w:val="2"/>
            <w:vMerge w:val="restart"/>
          </w:tcPr>
          <w:p>
            <w:pPr>
              <w:jc w:val="right"/>
              <w:ind w:right="488"/>
              <w:spacing w:after="0"/>
              <w:rPr>
                <w:sz w:val="20"/>
                <w:szCs w:val="20"/>
                <w:color w:val="auto"/>
              </w:rPr>
            </w:pPr>
            <w:r>
              <w:rPr>
                <w:rFonts w:ascii="Arial" w:cs="Arial" w:eastAsia="Arial" w:hAnsi="Arial"/>
                <w:sz w:val="14"/>
                <w:szCs w:val="14"/>
                <w:b w:val="1"/>
                <w:bCs w:val="1"/>
                <w:color w:val="auto"/>
              </w:rPr>
              <w:t>($)</w:t>
            </w:r>
          </w:p>
        </w:tc>
        <w:tc>
          <w:tcPr>
            <w:tcW w:w="1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8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vMerge w:val="continue"/>
          </w:tcPr>
          <w:p>
            <w:pPr>
              <w:spacing w:after="0"/>
              <w:rPr>
                <w:sz w:val="17"/>
                <w:szCs w:val="17"/>
                <w:color w:val="auto"/>
              </w:rPr>
            </w:pPr>
          </w:p>
        </w:tc>
        <w:tc>
          <w:tcPr>
            <w:tcW w:w="1260" w:type="dxa"/>
            <w:vAlign w:val="bottom"/>
          </w:tcPr>
          <w:p>
            <w:pPr>
              <w:jc w:val="right"/>
              <w:ind w:right="488"/>
              <w:spacing w:after="0"/>
              <w:rPr>
                <w:sz w:val="20"/>
                <w:szCs w:val="20"/>
                <w:color w:val="auto"/>
              </w:rPr>
            </w:pPr>
            <w:r>
              <w:rPr>
                <w:rFonts w:ascii="Arial" w:cs="Arial" w:eastAsia="Arial" w:hAnsi="Arial"/>
                <w:sz w:val="14"/>
                <w:szCs w:val="14"/>
                <w:b w:val="1"/>
                <w:bCs w:val="1"/>
                <w:color w:val="auto"/>
              </w:rPr>
              <w:t>($)</w:t>
            </w:r>
          </w:p>
        </w:tc>
        <w:tc>
          <w:tcPr>
            <w:tcW w:w="1600" w:type="dxa"/>
            <w:vAlign w:val="bottom"/>
            <w:gridSpan w:val="2"/>
            <w:vMerge w:val="continue"/>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1840" w:type="dxa"/>
            <w:vAlign w:val="bottom"/>
          </w:tcPr>
          <w:p>
            <w:pPr>
              <w:jc w:val="right"/>
              <w:ind w:right="6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83"/>
        </w:trPr>
        <w:tc>
          <w:tcPr>
            <w:tcW w:w="30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2"/>
        </w:trPr>
        <w:tc>
          <w:tcPr>
            <w:tcW w:w="308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4"/>
                <w:szCs w:val="14"/>
                <w:b w:val="1"/>
                <w:bCs w:val="1"/>
                <w:color w:val="auto"/>
              </w:rPr>
              <w:t>Andreas Wagner</w:t>
            </w:r>
          </w:p>
        </w:tc>
        <w:tc>
          <w:tcPr>
            <w:tcW w:w="1260" w:type="dxa"/>
            <w:vAlign w:val="bottom"/>
            <w:shd w:val="clear" w:color="auto" w:fill="DBE5F1"/>
          </w:tcPr>
          <w:p>
            <w:pPr>
              <w:spacing w:after="0"/>
              <w:rPr>
                <w:sz w:val="24"/>
                <w:szCs w:val="24"/>
                <w:color w:val="auto"/>
              </w:rPr>
            </w:pPr>
          </w:p>
        </w:tc>
        <w:tc>
          <w:tcPr>
            <w:tcW w:w="340" w:type="dxa"/>
            <w:vAlign w:val="bottom"/>
            <w:tcBorders>
              <w:right w:val="single" w:sz="8" w:color="95B3D7"/>
            </w:tcBorders>
            <w:shd w:val="clear" w:color="auto" w:fill="DBE5F1"/>
          </w:tcPr>
          <w:p>
            <w:pPr>
              <w:spacing w:after="0"/>
              <w:rPr>
                <w:sz w:val="24"/>
                <w:szCs w:val="24"/>
                <w:color w:val="auto"/>
              </w:rPr>
            </w:pPr>
          </w:p>
        </w:tc>
        <w:tc>
          <w:tcPr>
            <w:tcW w:w="1260" w:type="dxa"/>
            <w:vAlign w:val="bottom"/>
            <w:shd w:val="clear" w:color="auto" w:fill="DBE5F1"/>
          </w:tcPr>
          <w:p>
            <w:pPr>
              <w:spacing w:after="0"/>
              <w:rPr>
                <w:sz w:val="24"/>
                <w:szCs w:val="24"/>
                <w:color w:val="auto"/>
              </w:rPr>
            </w:pPr>
          </w:p>
        </w:tc>
        <w:tc>
          <w:tcPr>
            <w:tcW w:w="360" w:type="dxa"/>
            <w:vAlign w:val="bottom"/>
            <w:tcBorders>
              <w:right w:val="single" w:sz="8" w:color="95B3D7"/>
            </w:tcBorders>
            <w:shd w:val="clear" w:color="auto" w:fill="DBE5F1"/>
          </w:tcPr>
          <w:p>
            <w:pPr>
              <w:spacing w:after="0"/>
              <w:rPr>
                <w:sz w:val="24"/>
                <w:szCs w:val="24"/>
                <w:color w:val="auto"/>
              </w:rPr>
            </w:pPr>
          </w:p>
        </w:tc>
        <w:tc>
          <w:tcPr>
            <w:tcW w:w="1260" w:type="dxa"/>
            <w:vAlign w:val="bottom"/>
            <w:shd w:val="clear" w:color="auto" w:fill="DBE5F1"/>
          </w:tcPr>
          <w:p>
            <w:pPr>
              <w:spacing w:after="0"/>
              <w:rPr>
                <w:sz w:val="24"/>
                <w:szCs w:val="24"/>
                <w:color w:val="auto"/>
              </w:rPr>
            </w:pPr>
          </w:p>
        </w:tc>
        <w:tc>
          <w:tcPr>
            <w:tcW w:w="340" w:type="dxa"/>
            <w:vAlign w:val="bottom"/>
            <w:tcBorders>
              <w:right w:val="single" w:sz="8" w:color="95B3D7"/>
            </w:tcBorders>
            <w:shd w:val="clear" w:color="auto" w:fill="DBE5F1"/>
          </w:tcPr>
          <w:p>
            <w:pPr>
              <w:spacing w:after="0"/>
              <w:rPr>
                <w:sz w:val="24"/>
                <w:szCs w:val="24"/>
                <w:color w:val="auto"/>
              </w:rPr>
            </w:pPr>
          </w:p>
        </w:tc>
        <w:tc>
          <w:tcPr>
            <w:tcW w:w="1500" w:type="dxa"/>
            <w:vAlign w:val="bottom"/>
            <w:tcBorders>
              <w:right w:val="single" w:sz="8" w:color="95B3D7"/>
            </w:tcBorders>
            <w:shd w:val="clear" w:color="auto" w:fill="DBE5F1"/>
          </w:tcPr>
          <w:p>
            <w:pPr>
              <w:spacing w:after="0"/>
              <w:rPr>
                <w:sz w:val="24"/>
                <w:szCs w:val="24"/>
                <w:color w:val="auto"/>
              </w:rPr>
            </w:pPr>
          </w:p>
        </w:tc>
        <w:tc>
          <w:tcPr>
            <w:tcW w:w="1840" w:type="dxa"/>
            <w:vAlign w:val="bottom"/>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08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Termination without Cause / Resignation</w:t>
            </w: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888,000</w:t>
            </w:r>
          </w:p>
        </w:tc>
        <w:tc>
          <w:tcPr>
            <w:tcW w:w="34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408,000</w:t>
            </w: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jc w:val="right"/>
              <w:ind w:right="344"/>
              <w:spacing w:after="0"/>
              <w:rPr>
                <w:sz w:val="20"/>
                <w:szCs w:val="20"/>
                <w:color w:val="auto"/>
              </w:rPr>
            </w:pPr>
            <w:r>
              <w:rPr>
                <w:rFonts w:ascii="Arial" w:cs="Arial" w:eastAsia="Arial" w:hAnsi="Arial"/>
                <w:sz w:val="14"/>
                <w:szCs w:val="14"/>
                <w:color w:val="auto"/>
              </w:rPr>
              <w:t>23,577</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1,319,577</w:t>
            </w:r>
          </w:p>
        </w:tc>
        <w:tc>
          <w:tcPr>
            <w:tcW w:w="0" w:type="dxa"/>
            <w:vAlign w:val="bottom"/>
          </w:tcPr>
          <w:p>
            <w:pPr>
              <w:spacing w:after="0"/>
              <w:rPr>
                <w:sz w:val="1"/>
                <w:szCs w:val="1"/>
                <w:color w:val="auto"/>
              </w:rPr>
            </w:pPr>
          </w:p>
        </w:tc>
      </w:tr>
      <w:tr>
        <w:trPr>
          <w:trHeight w:val="175"/>
        </w:trPr>
        <w:tc>
          <w:tcPr>
            <w:tcW w:w="308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for Good Reason / Non-Renewal by the</w:t>
            </w:r>
          </w:p>
        </w:tc>
        <w:tc>
          <w:tcPr>
            <w:tcW w:w="1260" w:type="dxa"/>
            <w:vAlign w:val="bottom"/>
            <w:shd w:val="clear" w:color="auto" w:fill="DBE5F1"/>
          </w:tcPr>
          <w:p>
            <w:pPr>
              <w:spacing w:after="0"/>
              <w:rPr>
                <w:sz w:val="15"/>
                <w:szCs w:val="15"/>
                <w:color w:val="auto"/>
              </w:rPr>
            </w:pPr>
          </w:p>
        </w:tc>
        <w:tc>
          <w:tcPr>
            <w:tcW w:w="340" w:type="dxa"/>
            <w:vAlign w:val="bottom"/>
            <w:tcBorders>
              <w:right w:val="single" w:sz="8" w:color="95B3D7"/>
            </w:tcBorders>
            <w:shd w:val="clear" w:color="auto" w:fill="DBE5F1"/>
          </w:tcPr>
          <w:p>
            <w:pPr>
              <w:spacing w:after="0"/>
              <w:rPr>
                <w:sz w:val="15"/>
                <w:szCs w:val="15"/>
                <w:color w:val="auto"/>
              </w:rPr>
            </w:pPr>
          </w:p>
        </w:tc>
        <w:tc>
          <w:tcPr>
            <w:tcW w:w="1260" w:type="dxa"/>
            <w:vAlign w:val="bottom"/>
            <w:shd w:val="clear" w:color="auto" w:fill="DBE5F1"/>
          </w:tcPr>
          <w:p>
            <w:pPr>
              <w:spacing w:after="0"/>
              <w:rPr>
                <w:sz w:val="15"/>
                <w:szCs w:val="15"/>
                <w:color w:val="auto"/>
              </w:rPr>
            </w:pPr>
          </w:p>
        </w:tc>
        <w:tc>
          <w:tcPr>
            <w:tcW w:w="360" w:type="dxa"/>
            <w:vAlign w:val="bottom"/>
            <w:tcBorders>
              <w:right w:val="single" w:sz="8" w:color="95B3D7"/>
            </w:tcBorders>
            <w:shd w:val="clear" w:color="auto" w:fill="DBE5F1"/>
          </w:tcPr>
          <w:p>
            <w:pPr>
              <w:spacing w:after="0"/>
              <w:rPr>
                <w:sz w:val="15"/>
                <w:szCs w:val="15"/>
                <w:color w:val="auto"/>
              </w:rPr>
            </w:pPr>
          </w:p>
        </w:tc>
        <w:tc>
          <w:tcPr>
            <w:tcW w:w="1260" w:type="dxa"/>
            <w:vAlign w:val="bottom"/>
            <w:shd w:val="clear" w:color="auto" w:fill="DBE5F1"/>
          </w:tcPr>
          <w:p>
            <w:pPr>
              <w:spacing w:after="0"/>
              <w:rPr>
                <w:sz w:val="15"/>
                <w:szCs w:val="15"/>
                <w:color w:val="auto"/>
              </w:rPr>
            </w:pPr>
          </w:p>
        </w:tc>
        <w:tc>
          <w:tcPr>
            <w:tcW w:w="340" w:type="dxa"/>
            <w:vAlign w:val="bottom"/>
            <w:tcBorders>
              <w:right w:val="single" w:sz="8" w:color="95B3D7"/>
            </w:tcBorders>
            <w:shd w:val="clear" w:color="auto" w:fill="DBE5F1"/>
          </w:tcPr>
          <w:p>
            <w:pPr>
              <w:spacing w:after="0"/>
              <w:rPr>
                <w:sz w:val="15"/>
                <w:szCs w:val="15"/>
                <w:color w:val="auto"/>
              </w:rPr>
            </w:pPr>
          </w:p>
        </w:tc>
        <w:tc>
          <w:tcPr>
            <w:tcW w:w="1500" w:type="dxa"/>
            <w:vAlign w:val="bottom"/>
            <w:tcBorders>
              <w:right w:val="single" w:sz="8" w:color="95B3D7"/>
            </w:tcBorders>
            <w:shd w:val="clear" w:color="auto" w:fill="DBE5F1"/>
          </w:tcPr>
          <w:p>
            <w:pPr>
              <w:spacing w:after="0"/>
              <w:rPr>
                <w:sz w:val="15"/>
                <w:szCs w:val="15"/>
                <w:color w:val="auto"/>
              </w:rPr>
            </w:pPr>
          </w:p>
        </w:tc>
        <w:tc>
          <w:tcPr>
            <w:tcW w:w="1840" w:type="dxa"/>
            <w:vAlign w:val="bottom"/>
            <w:shd w:val="clear" w:color="auto" w:fill="DBE5F1"/>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8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Company</w:t>
            </w: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spacing w:after="0"/>
              <w:rPr>
                <w:sz w:val="16"/>
                <w:szCs w:val="16"/>
                <w:color w:val="auto"/>
              </w:rPr>
            </w:pPr>
          </w:p>
        </w:tc>
        <w:tc>
          <w:tcPr>
            <w:tcW w:w="184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8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Termination with Cause / Resignation</w:t>
            </w: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7"/>
                <w:szCs w:val="17"/>
                <w:color w:val="auto"/>
              </w:rPr>
            </w:pP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shd w:val="clear" w:color="auto" w:fill="DBE5F1"/>
          </w:tcPr>
          <w:p>
            <w:pPr>
              <w:spacing w:after="0"/>
              <w:rPr>
                <w:sz w:val="17"/>
                <w:szCs w:val="17"/>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7"/>
                <w:szCs w:val="17"/>
                <w:color w:val="auto"/>
              </w:rPr>
            </w:pPr>
          </w:p>
        </w:tc>
        <w:tc>
          <w:tcPr>
            <w:tcW w:w="1500" w:type="dxa"/>
            <w:vAlign w:val="bottom"/>
            <w:tcBorders>
              <w:right w:val="single" w:sz="8" w:color="95B3D7"/>
            </w:tcBorders>
            <w:shd w:val="clear" w:color="auto" w:fill="DBE5F1"/>
          </w:tcPr>
          <w:p>
            <w:pPr>
              <w:jc w:val="right"/>
              <w:ind w:right="344"/>
              <w:spacing w:after="0" w:line="201"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08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without Good Reason</w:t>
            </w: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spacing w:after="0"/>
              <w:rPr>
                <w:sz w:val="16"/>
                <w:szCs w:val="16"/>
                <w:color w:val="auto"/>
              </w:rPr>
            </w:pPr>
          </w:p>
        </w:tc>
        <w:tc>
          <w:tcPr>
            <w:tcW w:w="184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08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Change in Control without Termination</w:t>
            </w: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21"/>
                <w:szCs w:val="21"/>
                <w:color w:val="auto"/>
              </w:rPr>
            </w:pP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shd w:val="clear" w:color="auto" w:fill="DBE5F1"/>
          </w:tcPr>
          <w:p>
            <w:pPr>
              <w:spacing w:after="0"/>
              <w:rPr>
                <w:sz w:val="21"/>
                <w:szCs w:val="21"/>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21"/>
                <w:szCs w:val="21"/>
                <w:color w:val="auto"/>
              </w:rPr>
            </w:pPr>
          </w:p>
        </w:tc>
        <w:tc>
          <w:tcPr>
            <w:tcW w:w="1500" w:type="dxa"/>
            <w:vAlign w:val="bottom"/>
            <w:tcBorders>
              <w:right w:val="single" w:sz="8" w:color="95B3D7"/>
            </w:tcBorders>
            <w:shd w:val="clear" w:color="auto" w:fill="DBE5F1"/>
          </w:tcPr>
          <w:p>
            <w:pPr>
              <w:jc w:val="right"/>
              <w:ind w:right="344"/>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08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Change in Control with Qualifying</w:t>
            </w: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888,000</w:t>
            </w:r>
          </w:p>
        </w:tc>
        <w:tc>
          <w:tcPr>
            <w:tcW w:w="34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408,000</w:t>
            </w: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3,102,334</w:t>
            </w: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jc w:val="right"/>
              <w:ind w:right="344"/>
              <w:spacing w:after="0"/>
              <w:rPr>
                <w:sz w:val="20"/>
                <w:szCs w:val="20"/>
                <w:color w:val="auto"/>
              </w:rPr>
            </w:pPr>
            <w:r>
              <w:rPr>
                <w:rFonts w:ascii="Arial" w:cs="Arial" w:eastAsia="Arial" w:hAnsi="Arial"/>
                <w:sz w:val="14"/>
                <w:szCs w:val="14"/>
                <w:color w:val="auto"/>
              </w:rPr>
              <w:t>23,577</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4,421,911</w:t>
            </w:r>
          </w:p>
        </w:tc>
        <w:tc>
          <w:tcPr>
            <w:tcW w:w="0" w:type="dxa"/>
            <w:vAlign w:val="bottom"/>
          </w:tcPr>
          <w:p>
            <w:pPr>
              <w:spacing w:after="0"/>
              <w:rPr>
                <w:sz w:val="1"/>
                <w:szCs w:val="1"/>
                <w:color w:val="auto"/>
              </w:rPr>
            </w:pPr>
          </w:p>
        </w:tc>
      </w:tr>
      <w:tr>
        <w:trPr>
          <w:trHeight w:val="190"/>
        </w:trPr>
        <w:tc>
          <w:tcPr>
            <w:tcW w:w="308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Termination</w:t>
            </w: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spacing w:after="0"/>
              <w:rPr>
                <w:sz w:val="16"/>
                <w:szCs w:val="16"/>
                <w:color w:val="auto"/>
              </w:rPr>
            </w:pPr>
          </w:p>
        </w:tc>
        <w:tc>
          <w:tcPr>
            <w:tcW w:w="184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08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Death, Disability or Non-Renewal by the</w:t>
            </w: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8"/>
                <w:szCs w:val="18"/>
                <w:color w:val="auto"/>
              </w:rPr>
            </w:pP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shd w:val="clear" w:color="auto" w:fill="DBE5F1"/>
          </w:tcPr>
          <w:p>
            <w:pPr>
              <w:spacing w:after="0"/>
              <w:rPr>
                <w:sz w:val="18"/>
                <w:szCs w:val="18"/>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8"/>
                <w:szCs w:val="18"/>
                <w:color w:val="auto"/>
              </w:rPr>
            </w:pPr>
          </w:p>
        </w:tc>
        <w:tc>
          <w:tcPr>
            <w:tcW w:w="1500" w:type="dxa"/>
            <w:vAlign w:val="bottom"/>
            <w:tcBorders>
              <w:right w:val="single" w:sz="8" w:color="95B3D7"/>
            </w:tcBorders>
            <w:shd w:val="clear" w:color="auto" w:fill="DBE5F1"/>
          </w:tcPr>
          <w:p>
            <w:pPr>
              <w:jc w:val="right"/>
              <w:ind w:right="344"/>
              <w:spacing w:after="0"/>
              <w:rPr>
                <w:sz w:val="20"/>
                <w:szCs w:val="20"/>
                <w:color w:val="auto"/>
              </w:rPr>
            </w:pPr>
            <w:r>
              <w:rPr>
                <w:rFonts w:ascii="Arial" w:cs="Arial" w:eastAsia="Arial" w:hAnsi="Arial"/>
                <w:sz w:val="14"/>
                <w:szCs w:val="14"/>
                <w:color w:val="auto"/>
              </w:rPr>
              <w:t>—</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08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NEO</w:t>
            </w: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spacing w:after="0"/>
              <w:rPr>
                <w:sz w:val="16"/>
                <w:szCs w:val="16"/>
                <w:color w:val="auto"/>
              </w:rPr>
            </w:pPr>
          </w:p>
        </w:tc>
        <w:tc>
          <w:tcPr>
            <w:tcW w:w="184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80" w:type="dxa"/>
            <w:vAlign w:val="bottom"/>
            <w:tcBorders>
              <w:bottom w:val="single" w:sz="8" w:color="95B3D7"/>
              <w:right w:val="single" w:sz="8" w:color="95B3D7"/>
            </w:tcBorders>
            <w:shd w:val="clear" w:color="auto" w:fill="DBE5F1"/>
          </w:tcPr>
          <w:p>
            <w:pPr>
              <w:spacing w:after="0"/>
              <w:rPr>
                <w:sz w:val="17"/>
                <w:szCs w:val="17"/>
                <w:color w:val="auto"/>
              </w:rPr>
            </w:pPr>
          </w:p>
        </w:tc>
        <w:tc>
          <w:tcPr>
            <w:tcW w:w="1260" w:type="dxa"/>
            <w:vAlign w:val="bottom"/>
            <w:tcBorders>
              <w:bottom w:val="single" w:sz="8" w:color="95B3D7"/>
            </w:tcBorders>
            <w:shd w:val="clear" w:color="auto" w:fill="DBE5F1"/>
          </w:tcPr>
          <w:p>
            <w:pPr>
              <w:spacing w:after="0"/>
              <w:rPr>
                <w:sz w:val="17"/>
                <w:szCs w:val="17"/>
                <w:color w:val="auto"/>
              </w:rPr>
            </w:pPr>
          </w:p>
        </w:tc>
        <w:tc>
          <w:tcPr>
            <w:tcW w:w="340" w:type="dxa"/>
            <w:vAlign w:val="bottom"/>
            <w:tcBorders>
              <w:bottom w:val="single" w:sz="8" w:color="95B3D7"/>
              <w:right w:val="single" w:sz="8" w:color="95B3D7"/>
            </w:tcBorders>
            <w:shd w:val="clear" w:color="auto" w:fill="DBE5F1"/>
          </w:tcPr>
          <w:p>
            <w:pPr>
              <w:spacing w:after="0"/>
              <w:rPr>
                <w:sz w:val="17"/>
                <w:szCs w:val="17"/>
                <w:color w:val="auto"/>
              </w:rPr>
            </w:pPr>
          </w:p>
        </w:tc>
        <w:tc>
          <w:tcPr>
            <w:tcW w:w="1260" w:type="dxa"/>
            <w:vAlign w:val="bottom"/>
            <w:tcBorders>
              <w:bottom w:val="single" w:sz="8" w:color="95B3D7"/>
            </w:tcBorders>
            <w:shd w:val="clear" w:color="auto" w:fill="DBE5F1"/>
          </w:tcPr>
          <w:p>
            <w:pPr>
              <w:spacing w:after="0"/>
              <w:rPr>
                <w:sz w:val="17"/>
                <w:szCs w:val="17"/>
                <w:color w:val="auto"/>
              </w:rPr>
            </w:pPr>
          </w:p>
        </w:tc>
        <w:tc>
          <w:tcPr>
            <w:tcW w:w="360" w:type="dxa"/>
            <w:vAlign w:val="bottom"/>
            <w:tcBorders>
              <w:bottom w:val="single" w:sz="8" w:color="95B3D7"/>
              <w:right w:val="single" w:sz="8" w:color="95B3D7"/>
            </w:tcBorders>
            <w:shd w:val="clear" w:color="auto" w:fill="DBE5F1"/>
          </w:tcPr>
          <w:p>
            <w:pPr>
              <w:spacing w:after="0"/>
              <w:rPr>
                <w:sz w:val="17"/>
                <w:szCs w:val="17"/>
                <w:color w:val="auto"/>
              </w:rPr>
            </w:pPr>
          </w:p>
        </w:tc>
        <w:tc>
          <w:tcPr>
            <w:tcW w:w="1260" w:type="dxa"/>
            <w:vAlign w:val="bottom"/>
            <w:tcBorders>
              <w:bottom w:val="single" w:sz="8" w:color="95B3D7"/>
            </w:tcBorders>
            <w:shd w:val="clear" w:color="auto" w:fill="DBE5F1"/>
          </w:tcPr>
          <w:p>
            <w:pPr>
              <w:spacing w:after="0"/>
              <w:rPr>
                <w:sz w:val="17"/>
                <w:szCs w:val="17"/>
                <w:color w:val="auto"/>
              </w:rPr>
            </w:pPr>
          </w:p>
        </w:tc>
        <w:tc>
          <w:tcPr>
            <w:tcW w:w="340" w:type="dxa"/>
            <w:vAlign w:val="bottom"/>
            <w:tcBorders>
              <w:bottom w:val="single" w:sz="8" w:color="95B3D7"/>
              <w:right w:val="single" w:sz="8" w:color="95B3D7"/>
            </w:tcBorders>
            <w:shd w:val="clear" w:color="auto" w:fill="DBE5F1"/>
          </w:tcPr>
          <w:p>
            <w:pPr>
              <w:spacing w:after="0"/>
              <w:rPr>
                <w:sz w:val="17"/>
                <w:szCs w:val="17"/>
                <w:color w:val="auto"/>
              </w:rPr>
            </w:pPr>
          </w:p>
        </w:tc>
        <w:tc>
          <w:tcPr>
            <w:tcW w:w="1500" w:type="dxa"/>
            <w:vAlign w:val="bottom"/>
            <w:tcBorders>
              <w:bottom w:val="single" w:sz="8" w:color="95B3D7"/>
              <w:right w:val="single" w:sz="8" w:color="95B3D7"/>
            </w:tcBorders>
            <w:shd w:val="clear" w:color="auto" w:fill="DBE5F1"/>
          </w:tcPr>
          <w:p>
            <w:pPr>
              <w:spacing w:after="0"/>
              <w:rPr>
                <w:sz w:val="17"/>
                <w:szCs w:val="17"/>
                <w:color w:val="auto"/>
              </w:rPr>
            </w:pPr>
          </w:p>
        </w:tc>
        <w:tc>
          <w:tcPr>
            <w:tcW w:w="1840" w:type="dxa"/>
            <w:vAlign w:val="bottom"/>
            <w:tcBorders>
              <w:bottom w:val="single" w:sz="8" w:color="95B3D7"/>
            </w:tcBorders>
            <w:shd w:val="clear" w:color="auto" w:fill="DBE5F1"/>
          </w:tcPr>
          <w:p>
            <w:pPr>
              <w:spacing w:after="0"/>
              <w:rPr>
                <w:sz w:val="17"/>
                <w:szCs w:val="17"/>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14"/>
          <w:szCs w:val="14"/>
          <w:color w:val="auto"/>
        </w:rPr>
      </w:pPr>
      <w:r>
        <w:rPr>
          <w:rFonts w:ascii="Arial" w:cs="Arial" w:eastAsia="Arial" w:hAnsi="Arial"/>
          <w:sz w:val="14"/>
          <w:szCs w:val="14"/>
          <w:color w:val="auto"/>
        </w:rPr>
        <w:t>Amounts assume an annual bonus that is earned at 100% achievement, based on target bonus percentages in effect as of December 31, 2024.</w:t>
      </w:r>
    </w:p>
    <w:p>
      <w:pPr>
        <w:spacing w:after="0" w:line="202"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55"/>
        </w:numPr>
        <w:rPr>
          <w:rFonts w:ascii="Times New Roman" w:cs="Times New Roman" w:eastAsia="Times New Roman" w:hAnsi="Times New Roman"/>
          <w:sz w:val="14"/>
          <w:szCs w:val="14"/>
          <w:color w:val="auto"/>
        </w:rPr>
      </w:pPr>
      <w:r>
        <w:rPr>
          <w:rFonts w:ascii="Arial" w:cs="Arial" w:eastAsia="Arial" w:hAnsi="Arial"/>
          <w:sz w:val="14"/>
          <w:szCs w:val="14"/>
          <w:color w:val="auto"/>
        </w:rPr>
        <w:t>Amounts assume PSUs are deemed earned at target.</w:t>
      </w:r>
    </w:p>
    <w:p>
      <w:pPr>
        <w:spacing w:after="0" w:line="234"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color w:val="auto"/>
        </w:rPr>
        <w:t>The severance payments and benefits described above are subject to the executive’s execution and non-revocation of a general release of claims in favor of the Company and continued compliance with customary confidentiality and non-solicitation requirements, then, in addition to any accrued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Non-Employee Director Compensation</w:t>
      </w:r>
    </w:p>
    <w:p>
      <w:pPr>
        <w:spacing w:after="0" w:line="225" w:lineRule="exact"/>
        <w:rPr>
          <w:sz w:val="20"/>
          <w:szCs w:val="20"/>
          <w:color w:val="auto"/>
        </w:rPr>
      </w:pPr>
    </w:p>
    <w:p>
      <w:pPr>
        <w:ind w:right="180" w:firstLine="405"/>
        <w:spacing w:after="0" w:line="262" w:lineRule="auto"/>
        <w:rPr>
          <w:sz w:val="20"/>
          <w:szCs w:val="20"/>
          <w:color w:val="auto"/>
        </w:rPr>
      </w:pPr>
      <w:r>
        <w:rPr>
          <w:rFonts w:ascii="Arial" w:cs="Arial" w:eastAsia="Arial" w:hAnsi="Arial"/>
          <w:sz w:val="18"/>
          <w:szCs w:val="18"/>
          <w:color w:val="auto"/>
        </w:rPr>
        <w:t>Each of our non-employee directors receives an annual director fee and equity awards in connection with their services. In addition, each director is reimbursed for out-of-pocket expenses in connection with his or her services. While Mr. Kao serves as a director on the Board, he does not receive any compensation for his services as a director and information on his compensation as Chief Executive Officer of the Company is reported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7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Board has adopted a non-employee director compensation policy (as amended from time to time, the “Policy”). Under the Policy, newly elected non-employee directors will receive a one-time commencement award of restricted shares or restricted stock units equal to $200,000, vesting annually over three years. For 2024, non-employee directors received annual compensation with an aggregate value of $250,000, consisting of a cash retainer in an amount elected by each director from $0 to $100,000, with the balance of the aggregate compensation value paid as an equity grant of restricted shares or restricted stock units, vesting on the first anniversary of the grant date. For 2025, the aggregate annual value of the retainer was increased to $290,000. Directors are permitted to defer receipt of their RSU awards until the earlier of (i) three years from the grant date (or, if earlier, separation from service or change of control), (ii) five years from the grant date (or, if earlier, separation from service or change of control), or (iii) separation from service (or, if earlier, change of control).</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Under the Policy in effect for 2024, in addition to the base annual compensation payable to each board member:</w:t>
      </w:r>
    </w:p>
    <w:p>
      <w:pPr>
        <w:spacing w:after="0" w:line="185" w:lineRule="exact"/>
        <w:rPr>
          <w:sz w:val="20"/>
          <w:szCs w:val="20"/>
          <w:color w:val="auto"/>
        </w:rPr>
      </w:pPr>
    </w:p>
    <w:p>
      <w:pPr>
        <w:ind w:left="1060" w:right="480" w:hanging="327"/>
        <w:spacing w:after="0" w:line="286" w:lineRule="auto"/>
        <w:tabs>
          <w:tab w:leader="none" w:pos="1055"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our independent chairman of the Board received an annual retainer of $200,000 in restricted stock units or other long-term equity incentives, with vesting occurring on the first anniversary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53" w:lineRule="exact"/>
        <w:rPr>
          <w:sz w:val="20"/>
          <w:szCs w:val="20"/>
          <w:color w:val="auto"/>
        </w:rPr>
      </w:pPr>
    </w:p>
    <w:p>
      <w:pPr>
        <w:ind w:left="1060" w:right="40" w:hanging="327"/>
        <w:spacing w:after="0" w:line="268" w:lineRule="auto"/>
        <w:tabs>
          <w:tab w:leader="none" w:pos="1055"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our Lead Independent Director received an annual retainer of $35,000 (increased to $40,000 for 2025), payable 50% in cash and 50% in restricted stock units or other long-term equity incentives, with vesting occurring on the first anniversary of the grant date;</w:t>
      </w:r>
    </w:p>
    <w:p>
      <w:pPr>
        <w:spacing w:after="0" w:line="142" w:lineRule="exact"/>
        <w:rPr>
          <w:rFonts w:ascii="Times New Roman" w:cs="Times New Roman" w:eastAsia="Times New Roman" w:hAnsi="Times New Roman"/>
          <w:sz w:val="18"/>
          <w:szCs w:val="18"/>
          <w:color w:val="auto"/>
        </w:rPr>
      </w:pPr>
    </w:p>
    <w:p>
      <w:pPr>
        <w:ind w:left="1060" w:hanging="327"/>
        <w:spacing w:after="0"/>
        <w:tabs>
          <w:tab w:leader="none" w:pos="106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the chair of the Audit committee received an annual cash retainer of $25,000 (increased to $30,000 for 2025);</w:t>
      </w:r>
    </w:p>
    <w:p>
      <w:pPr>
        <w:spacing w:after="0" w:line="183" w:lineRule="exact"/>
        <w:rPr>
          <w:rFonts w:ascii="Times New Roman" w:cs="Times New Roman" w:eastAsia="Times New Roman" w:hAnsi="Times New Roman"/>
          <w:sz w:val="18"/>
          <w:szCs w:val="18"/>
          <w:color w:val="auto"/>
        </w:rPr>
      </w:pPr>
    </w:p>
    <w:p>
      <w:pPr>
        <w:ind w:left="1060" w:hanging="327"/>
        <w:spacing w:after="0"/>
        <w:tabs>
          <w:tab w:leader="none" w:pos="106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members of the Audit Committee will receive an annual cash retainer of $10,000 (increased to $15,000 for 2025);</w:t>
      </w:r>
    </w:p>
    <w:p>
      <w:pPr>
        <w:spacing w:after="0" w:line="183" w:lineRule="exact"/>
        <w:rPr>
          <w:rFonts w:ascii="Times New Roman" w:cs="Times New Roman" w:eastAsia="Times New Roman" w:hAnsi="Times New Roman"/>
          <w:sz w:val="18"/>
          <w:szCs w:val="18"/>
          <w:color w:val="auto"/>
        </w:rPr>
      </w:pPr>
    </w:p>
    <w:p>
      <w:pPr>
        <w:ind w:left="1060" w:hanging="327"/>
        <w:spacing w:after="0"/>
        <w:tabs>
          <w:tab w:leader="none" w:pos="106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the chair of the Compensation Committee received an annual cash retainer of $20,000 (increased to $25,000 for 2025);</w:t>
      </w:r>
    </w:p>
    <w:p>
      <w:pPr>
        <w:spacing w:after="0" w:line="197" w:lineRule="exact"/>
        <w:rPr>
          <w:rFonts w:ascii="Times New Roman" w:cs="Times New Roman" w:eastAsia="Times New Roman" w:hAnsi="Times New Roman"/>
          <w:sz w:val="18"/>
          <w:szCs w:val="18"/>
          <w:color w:val="auto"/>
        </w:rPr>
      </w:pPr>
    </w:p>
    <w:p>
      <w:pPr>
        <w:ind w:left="1060" w:hanging="327"/>
        <w:spacing w:after="0"/>
        <w:tabs>
          <w:tab w:leader="none" w:pos="106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each member of the Compensation Committee received an annual cash retainer of $7,500 (increased to $10,000 for 2025);</w:t>
      </w:r>
    </w:p>
    <w:p>
      <w:pPr>
        <w:spacing w:after="0" w:line="102" w:lineRule="exact"/>
        <w:rPr>
          <w:rFonts w:ascii="Times New Roman" w:cs="Times New Roman" w:eastAsia="Times New Roman" w:hAnsi="Times New Roman"/>
          <w:sz w:val="18"/>
          <w:szCs w:val="18"/>
          <w:color w:val="auto"/>
        </w:rPr>
      </w:pPr>
    </w:p>
    <w:p>
      <w:pPr>
        <w:ind w:left="1060" w:hanging="327"/>
        <w:spacing w:after="0"/>
        <w:tabs>
          <w:tab w:leader="none" w:pos="106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the chair of the NCGCC received an annual cash retainer of $20,000; and</w:t>
      </w:r>
    </w:p>
    <w:p>
      <w:pPr>
        <w:spacing w:after="0" w:line="156" w:lineRule="exact"/>
        <w:rPr>
          <w:rFonts w:ascii="Times New Roman" w:cs="Times New Roman" w:eastAsia="Times New Roman" w:hAnsi="Times New Roman"/>
          <w:sz w:val="18"/>
          <w:szCs w:val="18"/>
          <w:color w:val="auto"/>
        </w:rPr>
      </w:pPr>
    </w:p>
    <w:p>
      <w:pPr>
        <w:ind w:left="1060" w:hanging="327"/>
        <w:spacing w:after="0"/>
        <w:tabs>
          <w:tab w:leader="none" w:pos="106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each member of the NCGCC received an annual cash retainer of $7,500.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All cash retainers are paid in quarterly installments in arrears.</w:t>
      </w:r>
    </w:p>
    <w:p>
      <w:pPr>
        <w:spacing w:after="0" w:line="225"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The following table summarizes, for each of our non-employee directors, the compensation received by such director for the year ended December 31, 2024.</w:t>
      </w:r>
    </w:p>
    <w:p>
      <w:pPr>
        <w:spacing w:after="0" w:line="136" w:lineRule="exact"/>
        <w:rPr>
          <w:sz w:val="20"/>
          <w:szCs w:val="20"/>
          <w:color w:val="auto"/>
        </w:rPr>
      </w:pPr>
    </w:p>
    <w:tbl>
      <w:tblPr>
        <w:tblLayout w:type="fixed"/>
        <w:tblInd w:w="2080" w:type="dxa"/>
        <w:tblCellMar>
          <w:top w:w="0" w:type="dxa"/>
          <w:left w:w="0" w:type="dxa"/>
          <w:bottom w:w="0" w:type="dxa"/>
          <w:right w:w="0" w:type="dxa"/>
        </w:tblCellMar>
      </w:tblPr>
      <w:tr>
        <w:trPr>
          <w:trHeight w:val="173"/>
        </w:trPr>
        <w:tc>
          <w:tcPr>
            <w:tcW w:w="17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Fees Earned or</w:t>
            </w:r>
          </w:p>
        </w:tc>
        <w:tc>
          <w:tcPr>
            <w:tcW w:w="12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9"/>
                <w:szCs w:val="9"/>
                <w:b w:val="1"/>
                <w:bCs w:val="1"/>
                <w:color w:val="auto"/>
              </w:rPr>
              <w:t>(2)</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3"/>
        </w:trPr>
        <w:tc>
          <w:tcPr>
            <w:tcW w:w="1780" w:type="dxa"/>
            <w:vAlign w:val="bottom"/>
          </w:tcPr>
          <w:p>
            <w:pPr>
              <w:spacing w:after="0"/>
              <w:rPr>
                <w:sz w:val="3"/>
                <w:szCs w:val="3"/>
                <w:color w:val="auto"/>
              </w:rPr>
            </w:pPr>
          </w:p>
        </w:tc>
        <w:tc>
          <w:tcPr>
            <w:tcW w:w="1420" w:type="dxa"/>
            <w:vAlign w:val="bottom"/>
            <w:vMerge w:val="restart"/>
          </w:tcPr>
          <w:p>
            <w:pPr>
              <w:jc w:val="center"/>
              <w:spacing w:after="0" w:line="188" w:lineRule="exact"/>
              <w:rPr>
                <w:sz w:val="20"/>
                <w:szCs w:val="20"/>
                <w:color w:val="auto"/>
              </w:rPr>
            </w:pPr>
            <w:r>
              <w:rPr>
                <w:rFonts w:ascii="Arial" w:cs="Arial" w:eastAsia="Arial" w:hAnsi="Arial"/>
                <w:sz w:val="14"/>
                <w:szCs w:val="14"/>
                <w:b w:val="1"/>
                <w:bCs w:val="1"/>
                <w:color w:val="auto"/>
                <w:w w:val="99"/>
              </w:rPr>
              <w:t>Paid in Cash</w:t>
            </w:r>
            <w:r>
              <w:rPr>
                <w:rFonts w:ascii="Arial" w:cs="Arial" w:eastAsia="Arial" w:hAnsi="Arial"/>
                <w:sz w:val="18"/>
                <w:szCs w:val="18"/>
                <w:b w:val="1"/>
                <w:bCs w:val="1"/>
                <w:color w:val="auto"/>
                <w:w w:val="99"/>
                <w:vertAlign w:val="superscript"/>
              </w:rPr>
              <w:t>(1)</w:t>
            </w:r>
          </w:p>
        </w:tc>
        <w:tc>
          <w:tcPr>
            <w:tcW w:w="126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17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Compensation</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7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780" w:type="dxa"/>
            <w:vAlign w:val="bottom"/>
            <w:tcBorders>
              <w:bottom w:val="single" w:sz="8" w:color="95B3D7"/>
              <w:right w:val="single" w:sz="8" w:color="95B3D7"/>
            </w:tcBorders>
            <w:shd w:val="clear" w:color="auto" w:fill="DBE5F1"/>
          </w:tcPr>
          <w:p>
            <w:pPr>
              <w:ind w:left="140"/>
              <w:spacing w:after="0"/>
              <w:rPr>
                <w:sz w:val="20"/>
                <w:szCs w:val="20"/>
                <w:color w:val="auto"/>
              </w:rPr>
            </w:pPr>
            <w:r>
              <w:rPr>
                <w:rFonts w:ascii="Arial" w:cs="Arial" w:eastAsia="Arial" w:hAnsi="Arial"/>
                <w:sz w:val="14"/>
                <w:szCs w:val="14"/>
                <w:color w:val="auto"/>
              </w:rPr>
              <w:t>Jody Bilney</w:t>
            </w:r>
          </w:p>
        </w:tc>
        <w:tc>
          <w:tcPr>
            <w:tcW w:w="142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58,125</w:t>
            </w:r>
          </w:p>
        </w:tc>
        <w:tc>
          <w:tcPr>
            <w:tcW w:w="126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200,000</w:t>
            </w:r>
          </w:p>
        </w:tc>
        <w:tc>
          <w:tcPr>
            <w:tcW w:w="142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Borders>
              <w:bottom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258,125</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95B3D7"/>
              <w:right w:val="single" w:sz="8" w:color="95B3D7"/>
            </w:tcBorders>
          </w:tcPr>
          <w:p>
            <w:pPr>
              <w:ind w:left="140"/>
              <w:spacing w:after="0"/>
              <w:rPr>
                <w:sz w:val="20"/>
                <w:szCs w:val="20"/>
                <w:color w:val="auto"/>
              </w:rPr>
            </w:pPr>
            <w:r>
              <w:rPr>
                <w:rFonts w:ascii="Arial" w:cs="Arial" w:eastAsia="Arial" w:hAnsi="Arial"/>
                <w:sz w:val="14"/>
                <w:szCs w:val="14"/>
                <w:color w:val="auto"/>
              </w:rPr>
              <w:t>Thomas Carella</w:t>
            </w:r>
            <w:r>
              <w:rPr>
                <w:rFonts w:ascii="Arial" w:cs="Arial" w:eastAsia="Arial" w:hAnsi="Arial"/>
                <w:sz w:val="9"/>
                <w:szCs w:val="9"/>
                <w:color w:val="auto"/>
              </w:rPr>
              <w:t>(3)</w:t>
            </w:r>
          </w:p>
        </w:tc>
        <w:tc>
          <w:tcPr>
            <w:tcW w:w="142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4"/>
                <w:szCs w:val="14"/>
                <w:color w:val="auto"/>
              </w:rPr>
              <w:t>35,625</w:t>
            </w:r>
          </w:p>
        </w:tc>
        <w:tc>
          <w:tcPr>
            <w:tcW w:w="126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4"/>
                <w:szCs w:val="14"/>
                <w:color w:val="auto"/>
              </w:rPr>
              <w:t>200,000</w:t>
            </w:r>
            <w:r>
              <w:rPr>
                <w:rFonts w:ascii="Arial" w:cs="Arial" w:eastAsia="Arial" w:hAnsi="Arial"/>
                <w:sz w:val="9"/>
                <w:szCs w:val="9"/>
                <w:color w:val="auto"/>
              </w:rPr>
              <w:t>(4)</w:t>
            </w:r>
          </w:p>
        </w:tc>
        <w:tc>
          <w:tcPr>
            <w:tcW w:w="142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Borders>
              <w:bottom w:val="single" w:sz="8" w:color="95B3D7"/>
            </w:tcBorders>
          </w:tcPr>
          <w:p>
            <w:pPr>
              <w:jc w:val="center"/>
              <w:spacing w:after="0"/>
              <w:rPr>
                <w:sz w:val="20"/>
                <w:szCs w:val="20"/>
                <w:color w:val="auto"/>
              </w:rPr>
            </w:pPr>
            <w:r>
              <w:rPr>
                <w:rFonts w:ascii="Arial" w:cs="Arial" w:eastAsia="Arial" w:hAnsi="Arial"/>
                <w:sz w:val="14"/>
                <w:szCs w:val="14"/>
                <w:color w:val="auto"/>
              </w:rPr>
              <w:t>235,625</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95B3D7"/>
              <w:right w:val="single" w:sz="8" w:color="95B3D7"/>
            </w:tcBorders>
            <w:shd w:val="clear" w:color="auto" w:fill="DBE5F1"/>
          </w:tcPr>
          <w:p>
            <w:pPr>
              <w:ind w:left="140"/>
              <w:spacing w:after="0"/>
              <w:rPr>
                <w:sz w:val="20"/>
                <w:szCs w:val="20"/>
                <w:color w:val="auto"/>
              </w:rPr>
            </w:pPr>
            <w:r>
              <w:rPr>
                <w:rFonts w:ascii="Arial" w:cs="Arial" w:eastAsia="Arial" w:hAnsi="Arial"/>
                <w:sz w:val="14"/>
                <w:szCs w:val="14"/>
                <w:color w:val="auto"/>
              </w:rPr>
              <w:t>David Hodgson</w:t>
            </w:r>
          </w:p>
        </w:tc>
        <w:tc>
          <w:tcPr>
            <w:tcW w:w="142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20,000</w:t>
            </w:r>
          </w:p>
        </w:tc>
        <w:tc>
          <w:tcPr>
            <w:tcW w:w="126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250,000</w:t>
            </w:r>
          </w:p>
        </w:tc>
        <w:tc>
          <w:tcPr>
            <w:tcW w:w="142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Borders>
              <w:bottom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270,000</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95B3D7"/>
              <w:right w:val="single" w:sz="8" w:color="95B3D7"/>
            </w:tcBorders>
          </w:tcPr>
          <w:p>
            <w:pPr>
              <w:ind w:left="140"/>
              <w:spacing w:after="0"/>
              <w:rPr>
                <w:sz w:val="20"/>
                <w:szCs w:val="20"/>
                <w:color w:val="auto"/>
              </w:rPr>
            </w:pPr>
            <w:r>
              <w:rPr>
                <w:rFonts w:ascii="Arial" w:cs="Arial" w:eastAsia="Arial" w:hAnsi="Arial"/>
                <w:sz w:val="14"/>
                <w:szCs w:val="14"/>
                <w:color w:val="auto"/>
              </w:rPr>
              <w:t>Yon Jorden</w:t>
            </w:r>
          </w:p>
        </w:tc>
        <w:tc>
          <w:tcPr>
            <w:tcW w:w="142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4"/>
                <w:szCs w:val="14"/>
                <w:color w:val="auto"/>
                <w:w w:val="98"/>
              </w:rPr>
              <w:t>113,750</w:t>
            </w:r>
          </w:p>
        </w:tc>
        <w:tc>
          <w:tcPr>
            <w:tcW w:w="126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4"/>
                <w:szCs w:val="14"/>
                <w:color w:val="auto"/>
              </w:rPr>
              <w:t>150,000</w:t>
            </w:r>
          </w:p>
        </w:tc>
        <w:tc>
          <w:tcPr>
            <w:tcW w:w="142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Borders>
              <w:bottom w:val="single" w:sz="8" w:color="95B3D7"/>
            </w:tcBorders>
          </w:tcPr>
          <w:p>
            <w:pPr>
              <w:jc w:val="center"/>
              <w:spacing w:after="0"/>
              <w:rPr>
                <w:sz w:val="20"/>
                <w:szCs w:val="20"/>
                <w:color w:val="auto"/>
              </w:rPr>
            </w:pPr>
            <w:r>
              <w:rPr>
                <w:rFonts w:ascii="Arial" w:cs="Arial" w:eastAsia="Arial" w:hAnsi="Arial"/>
                <w:sz w:val="14"/>
                <w:szCs w:val="14"/>
                <w:color w:val="auto"/>
              </w:rPr>
              <w:t>263,750</w:t>
            </w:r>
          </w:p>
        </w:tc>
        <w:tc>
          <w:tcPr>
            <w:tcW w:w="0" w:type="dxa"/>
            <w:vAlign w:val="bottom"/>
          </w:tcPr>
          <w:p>
            <w:pPr>
              <w:spacing w:after="0"/>
              <w:rPr>
                <w:sz w:val="1"/>
                <w:szCs w:val="1"/>
                <w:color w:val="auto"/>
              </w:rPr>
            </w:pPr>
          </w:p>
        </w:tc>
      </w:tr>
      <w:tr>
        <w:trPr>
          <w:trHeight w:val="232"/>
        </w:trPr>
        <w:tc>
          <w:tcPr>
            <w:tcW w:w="1780" w:type="dxa"/>
            <w:vAlign w:val="bottom"/>
            <w:tcBorders>
              <w:bottom w:val="single" w:sz="8" w:color="DBE5F1"/>
              <w:right w:val="single" w:sz="8" w:color="95B3D7"/>
            </w:tcBorders>
            <w:shd w:val="clear" w:color="auto" w:fill="DBE5F1"/>
          </w:tcPr>
          <w:p>
            <w:pPr>
              <w:ind w:left="140"/>
              <w:spacing w:after="0"/>
              <w:rPr>
                <w:sz w:val="20"/>
                <w:szCs w:val="20"/>
                <w:color w:val="auto"/>
              </w:rPr>
            </w:pPr>
            <w:r>
              <w:rPr>
                <w:rFonts w:ascii="Arial" w:cs="Arial" w:eastAsia="Arial" w:hAnsi="Arial"/>
                <w:sz w:val="14"/>
                <w:szCs w:val="14"/>
                <w:color w:val="auto"/>
              </w:rPr>
              <w:t>Joseph Konowiecki</w:t>
            </w:r>
          </w:p>
        </w:tc>
        <w:tc>
          <w:tcPr>
            <w:tcW w:w="142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100,000</w:t>
            </w:r>
          </w:p>
        </w:tc>
        <w:tc>
          <w:tcPr>
            <w:tcW w:w="126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350,000</w:t>
            </w:r>
          </w:p>
        </w:tc>
        <w:tc>
          <w:tcPr>
            <w:tcW w:w="142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151,411</w:t>
            </w:r>
            <w:r>
              <w:rPr>
                <w:rFonts w:ascii="Arial" w:cs="Arial" w:eastAsia="Arial" w:hAnsi="Arial"/>
                <w:sz w:val="9"/>
                <w:szCs w:val="9"/>
                <w:color w:val="auto"/>
              </w:rPr>
              <w:t>(5)</w:t>
            </w:r>
          </w:p>
        </w:tc>
        <w:tc>
          <w:tcPr>
            <w:tcW w:w="122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98"/>
              </w:rPr>
              <w:t>601,411</w:t>
            </w:r>
          </w:p>
        </w:tc>
        <w:tc>
          <w:tcPr>
            <w:tcW w:w="0" w:type="dxa"/>
            <w:vAlign w:val="bottom"/>
          </w:tcPr>
          <w:p>
            <w:pPr>
              <w:spacing w:after="0"/>
              <w:rPr>
                <w:sz w:val="1"/>
                <w:szCs w:val="1"/>
                <w:color w:val="auto"/>
              </w:rPr>
            </w:pPr>
          </w:p>
        </w:tc>
      </w:tr>
      <w:tr>
        <w:trPr>
          <w:trHeight w:val="192"/>
        </w:trPr>
        <w:tc>
          <w:tcPr>
            <w:tcW w:w="1780" w:type="dxa"/>
            <w:vAlign w:val="bottom"/>
            <w:tcBorders>
              <w:top w:val="single" w:sz="8" w:color="95B3D7"/>
              <w:bottom w:val="single" w:sz="8" w:color="95B3D7"/>
              <w:right w:val="single" w:sz="8" w:color="95B3D7"/>
            </w:tcBorders>
          </w:tcPr>
          <w:p>
            <w:pPr>
              <w:ind w:left="140"/>
              <w:spacing w:after="0"/>
              <w:rPr>
                <w:sz w:val="20"/>
                <w:szCs w:val="20"/>
                <w:color w:val="auto"/>
              </w:rPr>
            </w:pPr>
            <w:r>
              <w:rPr>
                <w:rFonts w:ascii="Arial" w:cs="Arial" w:eastAsia="Arial" w:hAnsi="Arial"/>
                <w:sz w:val="14"/>
                <w:szCs w:val="14"/>
                <w:color w:val="auto"/>
              </w:rPr>
              <w:t>Jacqueline Kosecoff</w:t>
            </w:r>
          </w:p>
        </w:tc>
        <w:tc>
          <w:tcPr>
            <w:tcW w:w="1420" w:type="dxa"/>
            <w:vAlign w:val="bottom"/>
            <w:tcBorders>
              <w:top w:val="single" w:sz="8" w:color="95B3D7"/>
              <w:bottom w:val="single" w:sz="8" w:color="95B3D7"/>
              <w:right w:val="single" w:sz="8" w:color="95B3D7"/>
            </w:tcBorders>
          </w:tcPr>
          <w:p>
            <w:pPr>
              <w:jc w:val="center"/>
              <w:spacing w:after="0"/>
              <w:rPr>
                <w:sz w:val="20"/>
                <w:szCs w:val="20"/>
                <w:color w:val="auto"/>
              </w:rPr>
            </w:pPr>
            <w:r>
              <w:rPr>
                <w:rFonts w:ascii="Arial" w:cs="Arial" w:eastAsia="Arial" w:hAnsi="Arial"/>
                <w:sz w:val="14"/>
                <w:szCs w:val="14"/>
                <w:color w:val="auto"/>
              </w:rPr>
              <w:t>68,125</w:t>
            </w:r>
          </w:p>
        </w:tc>
        <w:tc>
          <w:tcPr>
            <w:tcW w:w="1260" w:type="dxa"/>
            <w:vAlign w:val="bottom"/>
            <w:tcBorders>
              <w:top w:val="single" w:sz="8" w:color="95B3D7"/>
              <w:bottom w:val="single" w:sz="8" w:color="95B3D7"/>
              <w:right w:val="single" w:sz="8" w:color="95B3D7"/>
            </w:tcBorders>
          </w:tcPr>
          <w:p>
            <w:pPr>
              <w:jc w:val="center"/>
              <w:spacing w:after="0"/>
              <w:rPr>
                <w:sz w:val="20"/>
                <w:szCs w:val="20"/>
                <w:color w:val="auto"/>
              </w:rPr>
            </w:pPr>
            <w:r>
              <w:rPr>
                <w:rFonts w:ascii="Arial" w:cs="Arial" w:eastAsia="Arial" w:hAnsi="Arial"/>
                <w:sz w:val="14"/>
                <w:szCs w:val="14"/>
                <w:color w:val="auto"/>
              </w:rPr>
              <w:t>200,000</w:t>
            </w:r>
          </w:p>
        </w:tc>
        <w:tc>
          <w:tcPr>
            <w:tcW w:w="1420" w:type="dxa"/>
            <w:vAlign w:val="bottom"/>
            <w:tcBorders>
              <w:top w:val="single" w:sz="8" w:color="95B3D7"/>
              <w:bottom w:val="single" w:sz="8" w:color="95B3D7"/>
              <w:right w:val="single" w:sz="8" w:color="95B3D7"/>
            </w:tcBorders>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Borders>
              <w:top w:val="single" w:sz="8" w:color="95B3D7"/>
              <w:bottom w:val="single" w:sz="8" w:color="95B3D7"/>
            </w:tcBorders>
          </w:tcPr>
          <w:p>
            <w:pPr>
              <w:jc w:val="center"/>
              <w:spacing w:after="0"/>
              <w:rPr>
                <w:sz w:val="20"/>
                <w:szCs w:val="20"/>
                <w:color w:val="auto"/>
              </w:rPr>
            </w:pPr>
            <w:r>
              <w:rPr>
                <w:rFonts w:ascii="Arial" w:cs="Arial" w:eastAsia="Arial" w:hAnsi="Arial"/>
                <w:sz w:val="14"/>
                <w:szCs w:val="14"/>
                <w:color w:val="auto"/>
              </w:rPr>
              <w:t>268,125</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95B3D7"/>
              <w:right w:val="single" w:sz="8" w:color="95B3D7"/>
            </w:tcBorders>
            <w:shd w:val="clear" w:color="auto" w:fill="DBE5F1"/>
          </w:tcPr>
          <w:p>
            <w:pPr>
              <w:ind w:left="140"/>
              <w:spacing w:after="0"/>
              <w:rPr>
                <w:sz w:val="20"/>
                <w:szCs w:val="20"/>
                <w:color w:val="auto"/>
              </w:rPr>
            </w:pPr>
            <w:r>
              <w:rPr>
                <w:rFonts w:ascii="Arial" w:cs="Arial" w:eastAsia="Arial" w:hAnsi="Arial"/>
                <w:sz w:val="14"/>
                <w:szCs w:val="14"/>
                <w:color w:val="auto"/>
              </w:rPr>
              <w:t>Jeffrey Margolis</w:t>
            </w:r>
            <w:r>
              <w:rPr>
                <w:rFonts w:ascii="Arial" w:cs="Arial" w:eastAsia="Arial" w:hAnsi="Arial"/>
                <w:sz w:val="9"/>
                <w:szCs w:val="9"/>
                <w:color w:val="auto"/>
              </w:rPr>
              <w:t>(3)</w:t>
            </w:r>
          </w:p>
        </w:tc>
        <w:tc>
          <w:tcPr>
            <w:tcW w:w="142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62,500</w:t>
            </w:r>
          </w:p>
        </w:tc>
        <w:tc>
          <w:tcPr>
            <w:tcW w:w="126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150,000</w:t>
            </w:r>
            <w:r>
              <w:rPr>
                <w:rFonts w:ascii="Arial" w:cs="Arial" w:eastAsia="Arial" w:hAnsi="Arial"/>
                <w:sz w:val="9"/>
                <w:szCs w:val="9"/>
                <w:color w:val="auto"/>
              </w:rPr>
              <w:t>(4)</w:t>
            </w:r>
          </w:p>
        </w:tc>
        <w:tc>
          <w:tcPr>
            <w:tcW w:w="142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Borders>
              <w:bottom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212,500</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95B3D7"/>
              <w:right w:val="single" w:sz="8" w:color="95B3D7"/>
            </w:tcBorders>
          </w:tcPr>
          <w:p>
            <w:pPr>
              <w:ind w:left="140"/>
              <w:spacing w:after="0"/>
              <w:rPr>
                <w:sz w:val="20"/>
                <w:szCs w:val="20"/>
                <w:color w:val="auto"/>
              </w:rPr>
            </w:pPr>
            <w:r>
              <w:rPr>
                <w:rFonts w:ascii="Arial" w:cs="Arial" w:eastAsia="Arial" w:hAnsi="Arial"/>
                <w:sz w:val="14"/>
                <w:szCs w:val="14"/>
                <w:color w:val="auto"/>
              </w:rPr>
              <w:t>Margaret McCarthy</w:t>
            </w:r>
          </w:p>
        </w:tc>
        <w:tc>
          <w:tcPr>
            <w:tcW w:w="142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4"/>
                <w:szCs w:val="14"/>
                <w:color w:val="auto"/>
              </w:rPr>
              <w:t>129,375</w:t>
            </w:r>
          </w:p>
        </w:tc>
        <w:tc>
          <w:tcPr>
            <w:tcW w:w="126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4"/>
                <w:szCs w:val="14"/>
                <w:color w:val="auto"/>
              </w:rPr>
              <w:t>167,500</w:t>
            </w:r>
          </w:p>
        </w:tc>
        <w:tc>
          <w:tcPr>
            <w:tcW w:w="142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Borders>
              <w:bottom w:val="single" w:sz="8" w:color="95B3D7"/>
            </w:tcBorders>
          </w:tcPr>
          <w:p>
            <w:pPr>
              <w:jc w:val="center"/>
              <w:spacing w:after="0"/>
              <w:rPr>
                <w:sz w:val="20"/>
                <w:szCs w:val="20"/>
                <w:color w:val="auto"/>
              </w:rPr>
            </w:pPr>
            <w:r>
              <w:rPr>
                <w:rFonts w:ascii="Arial" w:cs="Arial" w:eastAsia="Arial" w:hAnsi="Arial"/>
                <w:sz w:val="14"/>
                <w:szCs w:val="14"/>
                <w:color w:val="auto"/>
              </w:rPr>
              <w:t>296,875</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95B3D7"/>
              <w:right w:val="single" w:sz="8" w:color="95B3D7"/>
            </w:tcBorders>
            <w:shd w:val="clear" w:color="auto" w:fill="DBE5F1"/>
          </w:tcPr>
          <w:p>
            <w:pPr>
              <w:ind w:left="140"/>
              <w:spacing w:after="0"/>
              <w:rPr>
                <w:sz w:val="20"/>
                <w:szCs w:val="20"/>
                <w:color w:val="auto"/>
              </w:rPr>
            </w:pPr>
            <w:r>
              <w:rPr>
                <w:rFonts w:ascii="Arial" w:cs="Arial" w:eastAsia="Arial" w:hAnsi="Arial"/>
                <w:sz w:val="14"/>
                <w:szCs w:val="14"/>
                <w:color w:val="auto"/>
              </w:rPr>
              <w:t>Mark McClellan</w:t>
            </w:r>
          </w:p>
        </w:tc>
        <w:tc>
          <w:tcPr>
            <w:tcW w:w="142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101,875</w:t>
            </w:r>
          </w:p>
        </w:tc>
        <w:tc>
          <w:tcPr>
            <w:tcW w:w="126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150,000</w:t>
            </w:r>
          </w:p>
        </w:tc>
        <w:tc>
          <w:tcPr>
            <w:tcW w:w="142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Borders>
              <w:bottom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251,875</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95B3D7"/>
              <w:right w:val="single" w:sz="8" w:color="95B3D7"/>
            </w:tcBorders>
          </w:tcPr>
          <w:p>
            <w:pPr>
              <w:ind w:left="140"/>
              <w:spacing w:after="0"/>
              <w:rPr>
                <w:sz w:val="20"/>
                <w:szCs w:val="20"/>
                <w:color w:val="auto"/>
              </w:rPr>
            </w:pPr>
            <w:r>
              <w:rPr>
                <w:rFonts w:ascii="Arial" w:cs="Arial" w:eastAsia="Arial" w:hAnsi="Arial"/>
                <w:sz w:val="14"/>
                <w:szCs w:val="14"/>
                <w:color w:val="auto"/>
              </w:rPr>
              <w:t>Robbert Vorhoff</w:t>
            </w:r>
          </w:p>
        </w:tc>
        <w:tc>
          <w:tcPr>
            <w:tcW w:w="142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4"/>
                <w:szCs w:val="14"/>
                <w:color w:val="auto"/>
              </w:rPr>
              <w:t>16,875</w:t>
            </w:r>
          </w:p>
        </w:tc>
        <w:tc>
          <w:tcPr>
            <w:tcW w:w="126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4"/>
                <w:szCs w:val="14"/>
                <w:color w:val="auto"/>
              </w:rPr>
              <w:t>250,000</w:t>
            </w:r>
          </w:p>
        </w:tc>
        <w:tc>
          <w:tcPr>
            <w:tcW w:w="142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Borders>
              <w:bottom w:val="single" w:sz="8" w:color="95B3D7"/>
            </w:tcBorders>
          </w:tcPr>
          <w:p>
            <w:pPr>
              <w:jc w:val="center"/>
              <w:spacing w:after="0"/>
              <w:rPr>
                <w:sz w:val="20"/>
                <w:szCs w:val="20"/>
                <w:color w:val="auto"/>
              </w:rPr>
            </w:pPr>
            <w:r>
              <w:rPr>
                <w:rFonts w:ascii="Arial" w:cs="Arial" w:eastAsia="Arial" w:hAnsi="Arial"/>
                <w:sz w:val="14"/>
                <w:szCs w:val="14"/>
                <w:color w:val="auto"/>
              </w:rPr>
              <w:t>266,875</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660" w:right="120" w:hanging="328"/>
        <w:spacing w:after="0" w:line="269" w:lineRule="auto"/>
        <w:tabs>
          <w:tab w:leader="none" w:pos="647"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fees earned with respect to Board and committee service during calendar year 2024. For 2024, non-employee directors received annual compensation with an aggregate annual value of $250,000, consisting of a cash retainer in an amount elected by each director from $0 to $100,000, with the balance of the aggregate compensation value paid as an equity grant of restricted shares or restricted stock units. Committee fees ranged from $7,500 to $10,000 annually, with committee chairs receiving $20,000 to $25,000 annually, in each case, payable in cash. Certain amounts are prorated for partial-year service.</w:t>
      </w:r>
    </w:p>
    <w:p>
      <w:pPr>
        <w:spacing w:after="0" w:line="101" w:lineRule="exact"/>
        <w:rPr>
          <w:rFonts w:ascii="Arial" w:cs="Arial" w:eastAsia="Arial" w:hAnsi="Arial"/>
          <w:sz w:val="14"/>
          <w:szCs w:val="14"/>
          <w:color w:val="auto"/>
        </w:rPr>
      </w:pPr>
    </w:p>
    <w:p>
      <w:pPr>
        <w:ind w:left="660" w:right="60" w:hanging="328"/>
        <w:spacing w:after="0" w:line="276" w:lineRule="auto"/>
        <w:tabs>
          <w:tab w:leader="none" w:pos="647"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the grant date fair values associated with the grant of RSUs of Alignment made under the Policy, computed in accordance with FASB ASC Topic 718. For additional information on the assumptions used in computing the amounts reported herein, see Note 10 to the Consolidated Financial Statements included in the Company's Annual Report on Form 10-K for the year ended December 31, 2024. As of December 31, 2024, each of the directors held unvested, outstanding stock awards and stock options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5" w:name="page76"/>
    <w:bookmarkEnd w:id="75"/>
    <w:p>
      <w:pPr>
        <w:spacing w:after="0" w:line="163" w:lineRule="exact"/>
        <w:rPr>
          <w:sz w:val="20"/>
          <w:szCs w:val="20"/>
          <w:color w:val="auto"/>
        </w:rPr>
      </w:pPr>
    </w:p>
    <w:tbl>
      <w:tblPr>
        <w:tblLayout w:type="fixed"/>
        <w:tblInd w:w="300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1320" w:type="dxa"/>
            <w:vAlign w:val="bottom"/>
          </w:tcPr>
          <w:p>
            <w:pPr>
              <w:ind w:left="40"/>
              <w:spacing w:after="0"/>
              <w:rPr>
                <w:sz w:val="20"/>
                <w:szCs w:val="20"/>
                <w:color w:val="auto"/>
              </w:rPr>
            </w:pPr>
            <w:r>
              <w:rPr>
                <w:rFonts w:ascii="Arial" w:cs="Arial" w:eastAsia="Arial" w:hAnsi="Arial"/>
                <w:sz w:val="14"/>
                <w:szCs w:val="14"/>
                <w:b w:val="1"/>
                <w:bCs w:val="1"/>
                <w:color w:val="auto"/>
              </w:rPr>
              <w:t>Restricted Shares</w:t>
            </w:r>
          </w:p>
        </w:tc>
        <w:tc>
          <w:tcPr>
            <w:tcW w:w="1160" w:type="dxa"/>
            <w:vAlign w:val="bottom"/>
          </w:tcPr>
          <w:p>
            <w:pPr>
              <w:jc w:val="right"/>
              <w:ind w:right="348"/>
              <w:spacing w:after="0"/>
              <w:rPr>
                <w:sz w:val="20"/>
                <w:szCs w:val="20"/>
                <w:color w:val="auto"/>
              </w:rPr>
            </w:pPr>
            <w:r>
              <w:rPr>
                <w:rFonts w:ascii="Arial" w:cs="Arial" w:eastAsia="Arial" w:hAnsi="Arial"/>
                <w:sz w:val="14"/>
                <w:szCs w:val="14"/>
                <w:b w:val="1"/>
                <w:bCs w:val="1"/>
                <w:color w:val="auto"/>
              </w:rPr>
              <w:t>RSUs</w:t>
            </w:r>
          </w:p>
        </w:tc>
        <w:tc>
          <w:tcPr>
            <w:tcW w:w="1120" w:type="dxa"/>
            <w:vAlign w:val="bottom"/>
          </w:tcPr>
          <w:p>
            <w:pPr>
              <w:jc w:val="right"/>
              <w:ind w:right="228"/>
              <w:spacing w:after="0"/>
              <w:rPr>
                <w:sz w:val="20"/>
                <w:szCs w:val="20"/>
                <w:color w:val="auto"/>
              </w:rPr>
            </w:pPr>
            <w:r>
              <w:rPr>
                <w:rFonts w:ascii="Arial" w:cs="Arial" w:eastAsia="Arial" w:hAnsi="Arial"/>
                <w:sz w:val="14"/>
                <w:szCs w:val="14"/>
                <w:b w:val="1"/>
                <w:bCs w:val="1"/>
                <w:color w:val="auto"/>
              </w:rPr>
              <w:t>Options</w:t>
            </w:r>
          </w:p>
        </w:tc>
      </w:tr>
      <w:tr>
        <w:trPr>
          <w:trHeight w:val="185"/>
        </w:trPr>
        <w:tc>
          <w:tcPr>
            <w:tcW w:w="16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r>
      <w:tr>
        <w:trPr>
          <w:trHeight w:val="192"/>
        </w:trPr>
        <w:tc>
          <w:tcPr>
            <w:tcW w:w="1640" w:type="dxa"/>
            <w:vAlign w:val="bottom"/>
            <w:tcBorders>
              <w:bottom w:val="single" w:sz="8" w:color="95B3D7"/>
              <w:right w:val="single" w:sz="8" w:color="95B3D7"/>
            </w:tcBorders>
            <w:shd w:val="clear" w:color="auto" w:fill="DBE5F1"/>
          </w:tcPr>
          <w:p>
            <w:pPr>
              <w:ind w:left="80"/>
              <w:spacing w:after="0"/>
              <w:rPr>
                <w:sz w:val="20"/>
                <w:szCs w:val="20"/>
                <w:color w:val="auto"/>
              </w:rPr>
            </w:pPr>
            <w:r>
              <w:rPr>
                <w:rFonts w:ascii="Arial" w:cs="Arial" w:eastAsia="Arial" w:hAnsi="Arial"/>
                <w:sz w:val="14"/>
                <w:szCs w:val="14"/>
                <w:color w:val="auto"/>
              </w:rPr>
              <w:t>Jody Bilney</w:t>
            </w:r>
          </w:p>
        </w:tc>
        <w:tc>
          <w:tcPr>
            <w:tcW w:w="1320" w:type="dxa"/>
            <w:vAlign w:val="bottom"/>
            <w:tcBorders>
              <w:bottom w:val="single" w:sz="8" w:color="95B3D7"/>
              <w:right w:val="single" w:sz="8" w:color="95B3D7"/>
            </w:tcBorders>
            <w:shd w:val="clear" w:color="auto" w:fill="DBE5F1"/>
          </w:tcPr>
          <w:p>
            <w:pPr>
              <w:ind w:left="11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B3D7"/>
              <w:right w:val="single" w:sz="8" w:color="95B3D7"/>
            </w:tcBorders>
            <w:shd w:val="clear" w:color="auto" w:fill="DBE5F1"/>
          </w:tcPr>
          <w:p>
            <w:pPr>
              <w:jc w:val="right"/>
              <w:ind w:right="28"/>
              <w:spacing w:after="0"/>
              <w:rPr>
                <w:sz w:val="20"/>
                <w:szCs w:val="20"/>
                <w:color w:val="auto"/>
              </w:rPr>
            </w:pPr>
            <w:r>
              <w:rPr>
                <w:rFonts w:ascii="Arial" w:cs="Arial" w:eastAsia="Arial" w:hAnsi="Arial"/>
                <w:sz w:val="14"/>
                <w:szCs w:val="14"/>
                <w:color w:val="auto"/>
              </w:rPr>
              <w:t>49,462</w:t>
            </w:r>
          </w:p>
        </w:tc>
        <w:tc>
          <w:tcPr>
            <w:tcW w:w="1120" w:type="dxa"/>
            <w:vAlign w:val="bottom"/>
            <w:tcBorders>
              <w:bottom w:val="single" w:sz="8" w:color="95B3D7"/>
            </w:tcBorders>
            <w:shd w:val="clear" w:color="auto" w:fill="DBE5F1"/>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1640" w:type="dxa"/>
            <w:vAlign w:val="bottom"/>
            <w:tcBorders>
              <w:bottom w:val="single" w:sz="8" w:color="95B3D7"/>
              <w:right w:val="single" w:sz="8" w:color="95B3D7"/>
            </w:tcBorders>
          </w:tcPr>
          <w:p>
            <w:pPr>
              <w:ind w:left="80"/>
              <w:spacing w:after="0"/>
              <w:rPr>
                <w:sz w:val="20"/>
                <w:szCs w:val="20"/>
                <w:color w:val="auto"/>
              </w:rPr>
            </w:pPr>
            <w:r>
              <w:rPr>
                <w:rFonts w:ascii="Arial" w:cs="Arial" w:eastAsia="Arial" w:hAnsi="Arial"/>
                <w:sz w:val="14"/>
                <w:szCs w:val="14"/>
                <w:color w:val="auto"/>
              </w:rPr>
              <w:t>Thomas Carella</w:t>
            </w:r>
          </w:p>
        </w:tc>
        <w:tc>
          <w:tcPr>
            <w:tcW w:w="1320" w:type="dxa"/>
            <w:vAlign w:val="bottom"/>
            <w:tcBorders>
              <w:bottom w:val="single" w:sz="8" w:color="95B3D7"/>
              <w:right w:val="single" w:sz="8" w:color="95B3D7"/>
            </w:tcBorders>
          </w:tcPr>
          <w:p>
            <w:pPr>
              <w:ind w:left="11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B3D7"/>
              <w:right w:val="single" w:sz="8" w:color="95B3D7"/>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95B3D7"/>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1640" w:type="dxa"/>
            <w:vAlign w:val="bottom"/>
            <w:tcBorders>
              <w:bottom w:val="single" w:sz="8" w:color="95B3D7"/>
              <w:right w:val="single" w:sz="8" w:color="95B3D7"/>
            </w:tcBorders>
            <w:shd w:val="clear" w:color="auto" w:fill="DBE5F1"/>
          </w:tcPr>
          <w:p>
            <w:pPr>
              <w:ind w:left="80"/>
              <w:spacing w:after="0"/>
              <w:rPr>
                <w:sz w:val="20"/>
                <w:szCs w:val="20"/>
                <w:color w:val="auto"/>
              </w:rPr>
            </w:pPr>
            <w:r>
              <w:rPr>
                <w:rFonts w:ascii="Arial" w:cs="Arial" w:eastAsia="Arial" w:hAnsi="Arial"/>
                <w:sz w:val="14"/>
                <w:szCs w:val="14"/>
                <w:color w:val="auto"/>
              </w:rPr>
              <w:t>David Hodgson</w:t>
            </w:r>
          </w:p>
        </w:tc>
        <w:tc>
          <w:tcPr>
            <w:tcW w:w="1320" w:type="dxa"/>
            <w:vAlign w:val="bottom"/>
            <w:tcBorders>
              <w:bottom w:val="single" w:sz="8" w:color="95B3D7"/>
              <w:right w:val="single" w:sz="8" w:color="95B3D7"/>
            </w:tcBorders>
            <w:shd w:val="clear" w:color="auto" w:fill="DBE5F1"/>
          </w:tcPr>
          <w:p>
            <w:pPr>
              <w:ind w:left="11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B3D7"/>
              <w:right w:val="single" w:sz="8" w:color="95B3D7"/>
            </w:tcBorders>
            <w:shd w:val="clear" w:color="auto" w:fill="DBE5F1"/>
          </w:tcPr>
          <w:p>
            <w:pPr>
              <w:jc w:val="right"/>
              <w:ind w:right="28"/>
              <w:spacing w:after="0"/>
              <w:rPr>
                <w:sz w:val="20"/>
                <w:szCs w:val="20"/>
                <w:color w:val="auto"/>
              </w:rPr>
            </w:pPr>
            <w:r>
              <w:rPr>
                <w:rFonts w:ascii="Arial" w:cs="Arial" w:eastAsia="Arial" w:hAnsi="Arial"/>
                <w:sz w:val="14"/>
                <w:szCs w:val="14"/>
                <w:color w:val="auto"/>
              </w:rPr>
              <w:t>50,000</w:t>
            </w:r>
          </w:p>
        </w:tc>
        <w:tc>
          <w:tcPr>
            <w:tcW w:w="1120" w:type="dxa"/>
            <w:vAlign w:val="bottom"/>
            <w:tcBorders>
              <w:bottom w:val="single" w:sz="8" w:color="95B3D7"/>
            </w:tcBorders>
            <w:shd w:val="clear" w:color="auto" w:fill="DBE5F1"/>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1640" w:type="dxa"/>
            <w:vAlign w:val="bottom"/>
            <w:tcBorders>
              <w:bottom w:val="single" w:sz="8" w:color="95B3D7"/>
              <w:right w:val="single" w:sz="8" w:color="95B3D7"/>
            </w:tcBorders>
          </w:tcPr>
          <w:p>
            <w:pPr>
              <w:ind w:left="80"/>
              <w:spacing w:after="0"/>
              <w:rPr>
                <w:sz w:val="20"/>
                <w:szCs w:val="20"/>
                <w:color w:val="auto"/>
              </w:rPr>
            </w:pPr>
            <w:r>
              <w:rPr>
                <w:rFonts w:ascii="Arial" w:cs="Arial" w:eastAsia="Arial" w:hAnsi="Arial"/>
                <w:sz w:val="14"/>
                <w:szCs w:val="14"/>
                <w:color w:val="auto"/>
              </w:rPr>
              <w:t>Yon Jorden</w:t>
            </w:r>
          </w:p>
        </w:tc>
        <w:tc>
          <w:tcPr>
            <w:tcW w:w="1320" w:type="dxa"/>
            <w:vAlign w:val="bottom"/>
            <w:tcBorders>
              <w:bottom w:val="single" w:sz="8" w:color="95B3D7"/>
              <w:right w:val="single" w:sz="8" w:color="95B3D7"/>
            </w:tcBorders>
          </w:tcPr>
          <w:p>
            <w:pPr>
              <w:ind w:left="11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B3D7"/>
              <w:right w:val="single" w:sz="8" w:color="95B3D7"/>
            </w:tcBorders>
          </w:tcPr>
          <w:p>
            <w:pPr>
              <w:jc w:val="right"/>
              <w:ind w:right="28"/>
              <w:spacing w:after="0"/>
              <w:rPr>
                <w:sz w:val="20"/>
                <w:szCs w:val="20"/>
                <w:color w:val="auto"/>
              </w:rPr>
            </w:pPr>
            <w:r>
              <w:rPr>
                <w:rFonts w:ascii="Arial" w:cs="Arial" w:eastAsia="Arial" w:hAnsi="Arial"/>
                <w:sz w:val="14"/>
                <w:szCs w:val="14"/>
                <w:color w:val="auto"/>
              </w:rPr>
              <w:t>39,462</w:t>
            </w:r>
          </w:p>
        </w:tc>
        <w:tc>
          <w:tcPr>
            <w:tcW w:w="1120" w:type="dxa"/>
            <w:vAlign w:val="bottom"/>
            <w:tcBorders>
              <w:bottom w:val="single" w:sz="8" w:color="95B3D7"/>
            </w:tcBorders>
          </w:tcPr>
          <w:p>
            <w:pPr>
              <w:jc w:val="right"/>
              <w:spacing w:after="0"/>
              <w:rPr>
                <w:sz w:val="20"/>
                <w:szCs w:val="20"/>
                <w:color w:val="auto"/>
              </w:rPr>
            </w:pPr>
            <w:r>
              <w:rPr>
                <w:rFonts w:ascii="Arial" w:cs="Arial" w:eastAsia="Arial" w:hAnsi="Arial"/>
                <w:sz w:val="14"/>
                <w:szCs w:val="14"/>
                <w:color w:val="auto"/>
              </w:rPr>
              <w:t>—</w:t>
            </w:r>
          </w:p>
        </w:tc>
      </w:tr>
      <w:tr>
        <w:trPr>
          <w:trHeight w:val="232"/>
        </w:trPr>
        <w:tc>
          <w:tcPr>
            <w:tcW w:w="1640" w:type="dxa"/>
            <w:vAlign w:val="bottom"/>
            <w:tcBorders>
              <w:bottom w:val="single" w:sz="8" w:color="DBE5F1"/>
              <w:right w:val="single" w:sz="8" w:color="95B3D7"/>
            </w:tcBorders>
            <w:shd w:val="clear" w:color="auto" w:fill="DBE5F1"/>
          </w:tcPr>
          <w:p>
            <w:pPr>
              <w:ind w:left="80"/>
              <w:spacing w:after="0"/>
              <w:rPr>
                <w:sz w:val="20"/>
                <w:szCs w:val="20"/>
                <w:color w:val="auto"/>
              </w:rPr>
            </w:pPr>
            <w:r>
              <w:rPr>
                <w:rFonts w:ascii="Arial" w:cs="Arial" w:eastAsia="Arial" w:hAnsi="Arial"/>
                <w:sz w:val="14"/>
                <w:szCs w:val="14"/>
                <w:color w:val="auto"/>
              </w:rPr>
              <w:t>Joseph Konowiecki</w:t>
            </w:r>
          </w:p>
        </w:tc>
        <w:tc>
          <w:tcPr>
            <w:tcW w:w="1320" w:type="dxa"/>
            <w:vAlign w:val="bottom"/>
            <w:tcBorders>
              <w:bottom w:val="single" w:sz="8" w:color="DBE5F1"/>
              <w:right w:val="single" w:sz="8" w:color="95B3D7"/>
            </w:tcBorders>
            <w:shd w:val="clear" w:color="auto" w:fill="DBE5F1"/>
          </w:tcPr>
          <w:p>
            <w:pPr>
              <w:ind w:left="11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BE5F1"/>
              <w:right w:val="single" w:sz="8" w:color="95B3D7"/>
            </w:tcBorders>
            <w:shd w:val="clear" w:color="auto" w:fill="DBE5F1"/>
          </w:tcPr>
          <w:p>
            <w:pPr>
              <w:jc w:val="right"/>
              <w:ind w:right="28"/>
              <w:spacing w:after="0"/>
              <w:rPr>
                <w:sz w:val="20"/>
                <w:szCs w:val="20"/>
                <w:color w:val="auto"/>
              </w:rPr>
            </w:pPr>
            <w:r>
              <w:rPr>
                <w:rFonts w:ascii="Arial" w:cs="Arial" w:eastAsia="Arial" w:hAnsi="Arial"/>
                <w:sz w:val="14"/>
                <w:szCs w:val="14"/>
                <w:color w:val="auto"/>
              </w:rPr>
              <w:t>227,614</w:t>
            </w:r>
          </w:p>
        </w:tc>
        <w:tc>
          <w:tcPr>
            <w:tcW w:w="11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17,908</w:t>
            </w:r>
          </w:p>
        </w:tc>
      </w:tr>
      <w:tr>
        <w:trPr>
          <w:trHeight w:val="192"/>
        </w:trPr>
        <w:tc>
          <w:tcPr>
            <w:tcW w:w="1640" w:type="dxa"/>
            <w:vAlign w:val="bottom"/>
            <w:tcBorders>
              <w:top w:val="single" w:sz="8" w:color="95B3D7"/>
              <w:bottom w:val="single" w:sz="8" w:color="95B3D7"/>
              <w:right w:val="single" w:sz="8" w:color="95B3D7"/>
            </w:tcBorders>
          </w:tcPr>
          <w:p>
            <w:pPr>
              <w:ind w:left="80"/>
              <w:spacing w:after="0"/>
              <w:rPr>
                <w:sz w:val="20"/>
                <w:szCs w:val="20"/>
                <w:color w:val="auto"/>
              </w:rPr>
            </w:pPr>
            <w:r>
              <w:rPr>
                <w:rFonts w:ascii="Arial" w:cs="Arial" w:eastAsia="Arial" w:hAnsi="Arial"/>
                <w:sz w:val="14"/>
                <w:szCs w:val="14"/>
                <w:color w:val="auto"/>
              </w:rPr>
              <w:t>Jacqueline Kosecoff</w:t>
            </w:r>
          </w:p>
        </w:tc>
        <w:tc>
          <w:tcPr>
            <w:tcW w:w="1320" w:type="dxa"/>
            <w:vAlign w:val="bottom"/>
            <w:tcBorders>
              <w:top w:val="single" w:sz="8" w:color="95B3D7"/>
              <w:bottom w:val="single" w:sz="8" w:color="95B3D7"/>
              <w:right w:val="single" w:sz="8" w:color="95B3D7"/>
            </w:tcBorders>
          </w:tcPr>
          <w:p>
            <w:pPr>
              <w:ind w:left="110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95B3D7"/>
              <w:bottom w:val="single" w:sz="8" w:color="95B3D7"/>
              <w:right w:val="single" w:sz="8" w:color="95B3D7"/>
            </w:tcBorders>
          </w:tcPr>
          <w:p>
            <w:pPr>
              <w:jc w:val="right"/>
              <w:ind w:right="28"/>
              <w:spacing w:after="0"/>
              <w:rPr>
                <w:sz w:val="20"/>
                <w:szCs w:val="20"/>
                <w:color w:val="auto"/>
              </w:rPr>
            </w:pPr>
            <w:r>
              <w:rPr>
                <w:rFonts w:ascii="Arial" w:cs="Arial" w:eastAsia="Arial" w:hAnsi="Arial"/>
                <w:sz w:val="14"/>
                <w:szCs w:val="14"/>
                <w:color w:val="auto"/>
              </w:rPr>
              <w:t>40,000</w:t>
            </w:r>
          </w:p>
        </w:tc>
        <w:tc>
          <w:tcPr>
            <w:tcW w:w="1120" w:type="dxa"/>
            <w:vAlign w:val="bottom"/>
            <w:tcBorders>
              <w:top w:val="single" w:sz="8" w:color="95B3D7"/>
              <w:bottom w:val="single" w:sz="8" w:color="95B3D7"/>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1640" w:type="dxa"/>
            <w:vAlign w:val="bottom"/>
            <w:tcBorders>
              <w:bottom w:val="single" w:sz="8" w:color="95B3D7"/>
              <w:right w:val="single" w:sz="8" w:color="95B3D7"/>
            </w:tcBorders>
            <w:shd w:val="clear" w:color="auto" w:fill="DBE5F1"/>
          </w:tcPr>
          <w:p>
            <w:pPr>
              <w:ind w:left="80"/>
              <w:spacing w:after="0"/>
              <w:rPr>
                <w:sz w:val="20"/>
                <w:szCs w:val="20"/>
                <w:color w:val="auto"/>
              </w:rPr>
            </w:pPr>
            <w:r>
              <w:rPr>
                <w:rFonts w:ascii="Arial" w:cs="Arial" w:eastAsia="Arial" w:hAnsi="Arial"/>
                <w:sz w:val="14"/>
                <w:szCs w:val="14"/>
                <w:color w:val="auto"/>
              </w:rPr>
              <w:t>Jeffrey Margolis</w:t>
            </w:r>
          </w:p>
        </w:tc>
        <w:tc>
          <w:tcPr>
            <w:tcW w:w="1320" w:type="dxa"/>
            <w:vAlign w:val="bottom"/>
            <w:tcBorders>
              <w:bottom w:val="single" w:sz="8" w:color="95B3D7"/>
              <w:right w:val="single" w:sz="8" w:color="95B3D7"/>
            </w:tcBorders>
            <w:shd w:val="clear" w:color="auto" w:fill="DBE5F1"/>
          </w:tcPr>
          <w:p>
            <w:pPr>
              <w:ind w:left="11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B3D7"/>
              <w:right w:val="single" w:sz="8" w:color="95B3D7"/>
            </w:tcBorders>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95B3D7"/>
            </w:tcBorders>
            <w:shd w:val="clear" w:color="auto" w:fill="DBE5F1"/>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1640" w:type="dxa"/>
            <w:vAlign w:val="bottom"/>
            <w:tcBorders>
              <w:bottom w:val="single" w:sz="8" w:color="95B3D7"/>
              <w:right w:val="single" w:sz="8" w:color="95B3D7"/>
            </w:tcBorders>
          </w:tcPr>
          <w:p>
            <w:pPr>
              <w:ind w:left="80"/>
              <w:spacing w:after="0"/>
              <w:rPr>
                <w:sz w:val="20"/>
                <w:szCs w:val="20"/>
                <w:color w:val="auto"/>
              </w:rPr>
            </w:pPr>
            <w:r>
              <w:rPr>
                <w:rFonts w:ascii="Arial" w:cs="Arial" w:eastAsia="Arial" w:hAnsi="Arial"/>
                <w:sz w:val="14"/>
                <w:szCs w:val="14"/>
                <w:color w:val="auto"/>
              </w:rPr>
              <w:t>Margaret McCarthy</w:t>
            </w:r>
          </w:p>
        </w:tc>
        <w:tc>
          <w:tcPr>
            <w:tcW w:w="1320" w:type="dxa"/>
            <w:vAlign w:val="bottom"/>
            <w:tcBorders>
              <w:bottom w:val="single" w:sz="8" w:color="95B3D7"/>
              <w:right w:val="single" w:sz="8" w:color="95B3D7"/>
            </w:tcBorders>
          </w:tcPr>
          <w:p>
            <w:pPr>
              <w:ind w:left="11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B3D7"/>
              <w:right w:val="single" w:sz="8" w:color="95B3D7"/>
            </w:tcBorders>
          </w:tcPr>
          <w:p>
            <w:pPr>
              <w:jc w:val="right"/>
              <w:ind w:right="28"/>
              <w:spacing w:after="0"/>
              <w:rPr>
                <w:sz w:val="20"/>
                <w:szCs w:val="20"/>
                <w:color w:val="auto"/>
              </w:rPr>
            </w:pPr>
            <w:r>
              <w:rPr>
                <w:rFonts w:ascii="Arial" w:cs="Arial" w:eastAsia="Arial" w:hAnsi="Arial"/>
                <w:sz w:val="14"/>
                <w:szCs w:val="14"/>
                <w:color w:val="auto"/>
              </w:rPr>
              <w:t>33,500</w:t>
            </w:r>
          </w:p>
        </w:tc>
        <w:tc>
          <w:tcPr>
            <w:tcW w:w="1120" w:type="dxa"/>
            <w:vAlign w:val="bottom"/>
            <w:tcBorders>
              <w:bottom w:val="single" w:sz="8" w:color="95B3D7"/>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1640" w:type="dxa"/>
            <w:vAlign w:val="bottom"/>
            <w:tcBorders>
              <w:bottom w:val="single" w:sz="8" w:color="95B3D7"/>
              <w:right w:val="single" w:sz="8" w:color="95B3D7"/>
            </w:tcBorders>
            <w:shd w:val="clear" w:color="auto" w:fill="DBE5F1"/>
          </w:tcPr>
          <w:p>
            <w:pPr>
              <w:ind w:left="80"/>
              <w:spacing w:after="0"/>
              <w:rPr>
                <w:sz w:val="20"/>
                <w:szCs w:val="20"/>
                <w:color w:val="auto"/>
              </w:rPr>
            </w:pPr>
            <w:r>
              <w:rPr>
                <w:rFonts w:ascii="Arial" w:cs="Arial" w:eastAsia="Arial" w:hAnsi="Arial"/>
                <w:sz w:val="14"/>
                <w:szCs w:val="14"/>
                <w:color w:val="auto"/>
              </w:rPr>
              <w:t>Mark McClellan</w:t>
            </w:r>
          </w:p>
        </w:tc>
        <w:tc>
          <w:tcPr>
            <w:tcW w:w="1320" w:type="dxa"/>
            <w:vAlign w:val="bottom"/>
            <w:tcBorders>
              <w:bottom w:val="single" w:sz="8" w:color="95B3D7"/>
              <w:right w:val="single" w:sz="8" w:color="95B3D7"/>
            </w:tcBorders>
            <w:shd w:val="clear" w:color="auto" w:fill="DBE5F1"/>
          </w:tcPr>
          <w:p>
            <w:pPr>
              <w:ind w:left="11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B3D7"/>
              <w:right w:val="single" w:sz="8" w:color="95B3D7"/>
            </w:tcBorders>
            <w:shd w:val="clear" w:color="auto" w:fill="DBE5F1"/>
          </w:tcPr>
          <w:p>
            <w:pPr>
              <w:jc w:val="right"/>
              <w:ind w:right="28"/>
              <w:spacing w:after="0"/>
              <w:rPr>
                <w:sz w:val="20"/>
                <w:szCs w:val="20"/>
                <w:color w:val="auto"/>
              </w:rPr>
            </w:pPr>
            <w:r>
              <w:rPr>
                <w:rFonts w:ascii="Arial" w:cs="Arial" w:eastAsia="Arial" w:hAnsi="Arial"/>
                <w:sz w:val="14"/>
                <w:szCs w:val="14"/>
                <w:color w:val="auto"/>
              </w:rPr>
              <w:t>30,000</w:t>
            </w:r>
          </w:p>
        </w:tc>
        <w:tc>
          <w:tcPr>
            <w:tcW w:w="1120" w:type="dxa"/>
            <w:vAlign w:val="bottom"/>
            <w:tcBorders>
              <w:bottom w:val="single" w:sz="8" w:color="95B3D7"/>
            </w:tcBorders>
            <w:shd w:val="clear" w:color="auto" w:fill="DBE5F1"/>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1640" w:type="dxa"/>
            <w:vAlign w:val="bottom"/>
            <w:tcBorders>
              <w:bottom w:val="single" w:sz="8" w:color="95B3D7"/>
              <w:right w:val="single" w:sz="8" w:color="95B3D7"/>
            </w:tcBorders>
          </w:tcPr>
          <w:p>
            <w:pPr>
              <w:ind w:left="80"/>
              <w:spacing w:after="0"/>
              <w:rPr>
                <w:sz w:val="20"/>
                <w:szCs w:val="20"/>
                <w:color w:val="auto"/>
              </w:rPr>
            </w:pPr>
            <w:r>
              <w:rPr>
                <w:rFonts w:ascii="Arial" w:cs="Arial" w:eastAsia="Arial" w:hAnsi="Arial"/>
                <w:sz w:val="14"/>
                <w:szCs w:val="14"/>
                <w:color w:val="auto"/>
              </w:rPr>
              <w:t>Robbert Vorhoff</w:t>
            </w:r>
          </w:p>
        </w:tc>
        <w:tc>
          <w:tcPr>
            <w:tcW w:w="1320" w:type="dxa"/>
            <w:vAlign w:val="bottom"/>
            <w:tcBorders>
              <w:bottom w:val="single" w:sz="8" w:color="95B3D7"/>
              <w:right w:val="single" w:sz="8" w:color="95B3D7"/>
            </w:tcBorders>
          </w:tcPr>
          <w:p>
            <w:pPr>
              <w:ind w:left="11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95B3D7"/>
              <w:right w:val="single" w:sz="8" w:color="95B3D7"/>
            </w:tcBorders>
          </w:tcPr>
          <w:p>
            <w:pPr>
              <w:jc w:val="right"/>
              <w:ind w:right="28"/>
              <w:spacing w:after="0"/>
              <w:rPr>
                <w:sz w:val="20"/>
                <w:szCs w:val="20"/>
                <w:color w:val="auto"/>
              </w:rPr>
            </w:pPr>
            <w:r>
              <w:rPr>
                <w:rFonts w:ascii="Arial" w:cs="Arial" w:eastAsia="Arial" w:hAnsi="Arial"/>
                <w:sz w:val="14"/>
                <w:szCs w:val="14"/>
                <w:color w:val="auto"/>
              </w:rPr>
              <w:t>50,000</w:t>
            </w:r>
          </w:p>
        </w:tc>
        <w:tc>
          <w:tcPr>
            <w:tcW w:w="1120" w:type="dxa"/>
            <w:vAlign w:val="bottom"/>
            <w:tcBorders>
              <w:bottom w:val="single" w:sz="8" w:color="95B3D7"/>
            </w:tcBorders>
          </w:tcPr>
          <w:p>
            <w:pPr>
              <w:jc w:val="right"/>
              <w:spacing w:after="0"/>
              <w:rPr>
                <w:sz w:val="20"/>
                <w:szCs w:val="20"/>
                <w:color w:val="auto"/>
              </w:rPr>
            </w:pPr>
            <w:r>
              <w:rPr>
                <w:rFonts w:ascii="Arial" w:cs="Arial" w:eastAsia="Arial" w:hAnsi="Arial"/>
                <w:sz w:val="14"/>
                <w:szCs w:val="14"/>
                <w:color w:val="auto"/>
              </w:rPr>
              <w:t>—</w:t>
            </w:r>
          </w:p>
        </w:tc>
      </w:tr>
    </w:tbl>
    <w:p>
      <w:pPr>
        <w:spacing w:after="0" w:line="220" w:lineRule="exact"/>
        <w:rPr>
          <w:sz w:val="20"/>
          <w:szCs w:val="20"/>
          <w:color w:val="auto"/>
        </w:rPr>
      </w:pPr>
    </w:p>
    <w:p>
      <w:pPr>
        <w:ind w:left="640" w:hanging="308"/>
        <w:spacing w:after="0"/>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Mr. Carella and Mr. Margolis resigned from the Board effective as of August 14, 2024 and August 13, 2024, respectively.</w:t>
      </w:r>
    </w:p>
    <w:p>
      <w:pPr>
        <w:spacing w:after="0" w:line="163" w:lineRule="exact"/>
        <w:rPr>
          <w:rFonts w:ascii="Arial" w:cs="Arial" w:eastAsia="Arial" w:hAnsi="Arial"/>
          <w:sz w:val="14"/>
          <w:szCs w:val="14"/>
          <w:color w:val="auto"/>
        </w:rPr>
      </w:pPr>
    </w:p>
    <w:p>
      <w:pPr>
        <w:ind w:left="640" w:hanging="308"/>
        <w:spacing w:after="0"/>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Awards granted to Mr. Carella and Mr. Margolis lapsed upon the effective dates of their resignations from the Board.</w:t>
      </w:r>
    </w:p>
    <w:p>
      <w:pPr>
        <w:spacing w:after="0" w:line="149" w:lineRule="exact"/>
        <w:rPr>
          <w:rFonts w:ascii="Arial" w:cs="Arial" w:eastAsia="Arial" w:hAnsi="Arial"/>
          <w:sz w:val="14"/>
          <w:szCs w:val="14"/>
          <w:color w:val="auto"/>
        </w:rPr>
      </w:pPr>
    </w:p>
    <w:p>
      <w:pPr>
        <w:ind w:left="660" w:right="60" w:hanging="328"/>
        <w:spacing w:after="0" w:line="265" w:lineRule="auto"/>
        <w:tabs>
          <w:tab w:leader="none" w:pos="647"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a payment under the Company’s cash annual incentive plan in the amount of $151,411. During 2023, Mr. Konowiecki served in an executive role leading strategic network and business development. Effective upon his appointment to an executive role, we began compensating Mr. Konowiecki under the terms of his employment agreement, pursuant to which Mr. Konowiecki (i) was entitled to an annual base salary of $560,000; and (ii) was eligible on an annual basis to receive a cash bonus, with a target amount equal to 85% of his base salary and a maximum payout equal to 170% of his base salary, based on the terms and conditions of the AIP pursuant to which Mr. Konowiecki (i) was entitled to an annual base salary of $560,000; and (ii) was eligible on an annual basis to receive a cash bonus, with a target amount equal to 85% of his base salary and a maximum payout equal to 170% of his base salary, based on the terms and conditions of the AIP. Mr. Konowiecki’s employment terminated as of December 31, 2023. During 2024, he continued to serve as Chairman and was compensated under the Policy.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Pay Versus Performance</w:t>
      </w:r>
    </w:p>
    <w:p>
      <w:pPr>
        <w:spacing w:after="0" w:line="25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following table and supporting graphics below set out information regarding fiscal years ended December 31, 2024, 2023 and 2022 in satisfaction of Item 402(v) of Regulation S-K, which requires disclosure regarding executive “Compensation Actually Paid” or “CAP” (as calculated in accordance with SEC rules) as compared to certain Company performance measures. You should refer to the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w:t>
      </w:r>
      <w:r>
        <w:rPr>
          <w:rFonts w:ascii="Arial" w:cs="Arial" w:eastAsia="Arial" w:hAnsi="Arial"/>
          <w:sz w:val="18"/>
          <w:szCs w:val="18"/>
          <w:color w:val="auto"/>
        </w:rPr>
        <w:t>” in this proxy statement for a complete description of how executive compensation relates to Company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how the Compensation Committee makes its decisions.</w:t>
      </w: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Year-end value of $100 invested on</w:t>
            </w: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tcPr>
          <w:p>
            <w:pPr>
              <w:jc w:val="center"/>
              <w:ind w:right="809"/>
              <w:spacing w:after="0"/>
              <w:rPr>
                <w:sz w:val="20"/>
                <w:szCs w:val="20"/>
                <w:color w:val="auto"/>
              </w:rPr>
            </w:pPr>
            <w:r>
              <w:rPr>
                <w:rFonts w:ascii="Arial" w:cs="Arial" w:eastAsia="Arial" w:hAnsi="Arial"/>
                <w:sz w:val="14"/>
                <w:szCs w:val="14"/>
                <w:b w:val="1"/>
                <w:bCs w:val="1"/>
                <w:color w:val="auto"/>
              </w:rPr>
              <w:t>3/26/2021 in:</w:t>
            </w: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Average Summary</w:t>
            </w:r>
          </w:p>
        </w:tc>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Average Comp.</w:t>
            </w:r>
          </w:p>
        </w:tc>
        <w:tc>
          <w:tcPr>
            <w:tcW w:w="860" w:type="dxa"/>
            <w:vAlign w:val="bottom"/>
          </w:tcPr>
          <w:p>
            <w:pPr>
              <w:spacing w:after="0"/>
              <w:rPr>
                <w:sz w:val="16"/>
                <w:szCs w:val="16"/>
                <w:color w:val="auto"/>
              </w:rPr>
            </w:pPr>
          </w:p>
        </w:tc>
        <w:tc>
          <w:tcPr>
            <w:tcW w:w="1780" w:type="dxa"/>
            <w:vAlign w:val="bottom"/>
          </w:tcPr>
          <w:p>
            <w:pPr>
              <w:jc w:val="center"/>
              <w:ind w:left="209"/>
              <w:spacing w:after="0"/>
              <w:rPr>
                <w:sz w:val="20"/>
                <w:szCs w:val="20"/>
                <w:color w:val="auto"/>
              </w:rPr>
            </w:pPr>
            <w:r>
              <w:rPr>
                <w:rFonts w:ascii="Arial" w:cs="Arial" w:eastAsia="Arial" w:hAnsi="Arial"/>
                <w:sz w:val="14"/>
                <w:szCs w:val="14"/>
                <w:b w:val="1"/>
                <w:bCs w:val="1"/>
                <w:color w:val="auto"/>
              </w:rPr>
              <w:t>NASDAQ Health</w:t>
            </w:r>
          </w:p>
        </w:tc>
        <w:tc>
          <w:tcPr>
            <w:tcW w:w="1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920" w:type="dxa"/>
            <w:vAlign w:val="bottom"/>
          </w:tcPr>
          <w:p>
            <w:pPr>
              <w:spacing w:after="0"/>
              <w:rPr>
                <w:sz w:val="7"/>
                <w:szCs w:val="7"/>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Summary Comp.</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Comp. Actually</w:t>
            </w:r>
          </w:p>
        </w:tc>
        <w:tc>
          <w:tcPr>
            <w:tcW w:w="13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780" w:type="dxa"/>
            <w:vAlign w:val="bottom"/>
            <w:vMerge w:val="restart"/>
          </w:tcPr>
          <w:p>
            <w:pPr>
              <w:jc w:val="center"/>
              <w:ind w:left="209"/>
              <w:spacing w:after="0"/>
              <w:rPr>
                <w:sz w:val="20"/>
                <w:szCs w:val="20"/>
                <w:color w:val="auto"/>
              </w:rPr>
            </w:pPr>
            <w:r>
              <w:rPr>
                <w:rFonts w:ascii="Arial" w:cs="Arial" w:eastAsia="Arial" w:hAnsi="Arial"/>
                <w:sz w:val="14"/>
                <w:szCs w:val="14"/>
                <w:b w:val="1"/>
                <w:bCs w:val="1"/>
                <w:color w:val="auto"/>
              </w:rPr>
              <w:t>Care Index Total</w:t>
            </w:r>
          </w:p>
        </w:tc>
        <w:tc>
          <w:tcPr>
            <w:tcW w:w="1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92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320" w:type="dxa"/>
            <w:vAlign w:val="bottom"/>
            <w:vMerge w:val="restart"/>
          </w:tcPr>
          <w:p>
            <w:pPr>
              <w:jc w:val="center"/>
              <w:spacing w:after="0" w:line="144" w:lineRule="exact"/>
              <w:rPr>
                <w:sz w:val="20"/>
                <w:szCs w:val="20"/>
                <w:color w:val="auto"/>
              </w:rPr>
            </w:pPr>
            <w:r>
              <w:rPr>
                <w:rFonts w:ascii="Arial" w:cs="Arial" w:eastAsia="Arial" w:hAnsi="Arial"/>
                <w:sz w:val="13"/>
                <w:szCs w:val="13"/>
                <w:b w:val="1"/>
                <w:bCs w:val="1"/>
                <w:color w:val="auto"/>
                <w:w w:val="94"/>
              </w:rPr>
              <w:t>Comp. Table Total</w:t>
            </w:r>
          </w:p>
        </w:tc>
        <w:tc>
          <w:tcPr>
            <w:tcW w:w="1140" w:type="dxa"/>
            <w:vAlign w:val="bottom"/>
            <w:vMerge w:val="restart"/>
          </w:tcPr>
          <w:p>
            <w:pPr>
              <w:jc w:val="center"/>
              <w:spacing w:after="0" w:line="144" w:lineRule="exact"/>
              <w:rPr>
                <w:sz w:val="20"/>
                <w:szCs w:val="20"/>
                <w:color w:val="auto"/>
              </w:rPr>
            </w:pPr>
            <w:r>
              <w:rPr>
                <w:rFonts w:ascii="Arial" w:cs="Arial" w:eastAsia="Arial" w:hAnsi="Arial"/>
                <w:sz w:val="13"/>
                <w:szCs w:val="13"/>
                <w:b w:val="1"/>
                <w:bCs w:val="1"/>
                <w:color w:val="auto"/>
                <w:w w:val="98"/>
              </w:rPr>
              <w:t>Actually Paid to</w:t>
            </w:r>
          </w:p>
        </w:tc>
        <w:tc>
          <w:tcPr>
            <w:tcW w:w="860" w:type="dxa"/>
            <w:vAlign w:val="bottom"/>
          </w:tcPr>
          <w:p>
            <w:pPr>
              <w:spacing w:after="0"/>
              <w:rPr>
                <w:sz w:val="6"/>
                <w:szCs w:val="6"/>
                <w:color w:val="auto"/>
              </w:rPr>
            </w:pPr>
          </w:p>
        </w:tc>
        <w:tc>
          <w:tcPr>
            <w:tcW w:w="17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Table Total for</w:t>
            </w:r>
          </w:p>
        </w:tc>
        <w:tc>
          <w:tcPr>
            <w:tcW w:w="140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780" w:type="dxa"/>
            <w:vAlign w:val="bottom"/>
            <w:vMerge w:val="restart"/>
          </w:tcPr>
          <w:p>
            <w:pPr>
              <w:jc w:val="center"/>
              <w:ind w:left="229"/>
              <w:spacing w:after="0"/>
              <w:rPr>
                <w:sz w:val="20"/>
                <w:szCs w:val="20"/>
                <w:color w:val="auto"/>
              </w:rPr>
            </w:pPr>
            <w:r>
              <w:rPr>
                <w:rFonts w:ascii="Arial" w:cs="Arial" w:eastAsia="Arial" w:hAnsi="Arial"/>
                <w:sz w:val="14"/>
                <w:szCs w:val="14"/>
                <w:b w:val="1"/>
                <w:bCs w:val="1"/>
                <w:color w:val="auto"/>
              </w:rPr>
              <w:t>Shareholder</w:t>
            </w:r>
          </w:p>
        </w:tc>
        <w:tc>
          <w:tcPr>
            <w:tcW w:w="11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Net Income</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Adj. EBITDA</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Paid to John Kao</w:t>
            </w:r>
          </w:p>
        </w:tc>
        <w:tc>
          <w:tcPr>
            <w:tcW w:w="13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for Non-PEO NEOs</w:t>
            </w:r>
          </w:p>
        </w:tc>
        <w:tc>
          <w:tcPr>
            <w:tcW w:w="11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Non-PEO NEOs</w:t>
            </w:r>
          </w:p>
        </w:tc>
        <w:tc>
          <w:tcPr>
            <w:tcW w:w="86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3"/>
              </w:rPr>
              <w:t>ALHC</w:t>
            </w:r>
            <w:r>
              <w:rPr>
                <w:rFonts w:ascii="Arial" w:cs="Arial" w:eastAsia="Arial" w:hAnsi="Arial"/>
                <w:sz w:val="18"/>
                <w:szCs w:val="18"/>
                <w:b w:val="1"/>
                <w:bCs w:val="1"/>
                <w:color w:val="auto"/>
                <w:w w:val="93"/>
                <w:vertAlign w:val="superscript"/>
              </w:rPr>
              <w:t>(5)</w:t>
            </w:r>
          </w:p>
        </w:tc>
        <w:tc>
          <w:tcPr>
            <w:tcW w:w="178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13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John Kao</w:t>
            </w:r>
            <w:r>
              <w:rPr>
                <w:rFonts w:ascii="Arial" w:cs="Arial" w:eastAsia="Arial" w:hAnsi="Arial"/>
                <w:sz w:val="9"/>
                <w:szCs w:val="9"/>
                <w:b w:val="1"/>
                <w:bCs w:val="1"/>
                <w:color w:val="auto"/>
              </w:rPr>
              <w:t>(1)</w:t>
            </w:r>
          </w:p>
        </w:tc>
        <w:tc>
          <w:tcPr>
            <w:tcW w:w="1400" w:type="dxa"/>
            <w:vAlign w:val="bottom"/>
          </w:tcPr>
          <w:p>
            <w:pPr>
              <w:jc w:val="center"/>
              <w:spacing w:after="0"/>
              <w:rPr>
                <w:sz w:val="20"/>
                <w:szCs w:val="20"/>
                <w:color w:val="auto"/>
              </w:rPr>
            </w:pPr>
            <w:r>
              <w:rPr>
                <w:rFonts w:ascii="Arial" w:cs="Arial" w:eastAsia="Arial" w:hAnsi="Arial"/>
                <w:sz w:val="9"/>
                <w:szCs w:val="9"/>
                <w:b w:val="1"/>
                <w:bCs w:val="1"/>
                <w:color w:val="auto"/>
                <w:w w:val="90"/>
              </w:rPr>
              <w:t>(2)</w:t>
            </w:r>
          </w:p>
        </w:tc>
        <w:tc>
          <w:tcPr>
            <w:tcW w:w="1320" w:type="dxa"/>
            <w:vAlign w:val="bottom"/>
          </w:tcPr>
          <w:p>
            <w:pPr>
              <w:jc w:val="center"/>
              <w:spacing w:after="0"/>
              <w:rPr>
                <w:sz w:val="20"/>
                <w:szCs w:val="20"/>
                <w:color w:val="auto"/>
              </w:rPr>
            </w:pPr>
            <w:r>
              <w:rPr>
                <w:rFonts w:ascii="Arial" w:cs="Arial" w:eastAsia="Arial" w:hAnsi="Arial"/>
                <w:sz w:val="9"/>
                <w:szCs w:val="9"/>
                <w:b w:val="1"/>
                <w:bCs w:val="1"/>
                <w:color w:val="auto"/>
                <w:w w:val="90"/>
              </w:rPr>
              <w:t>(3)</w:t>
            </w:r>
          </w:p>
        </w:tc>
        <w:tc>
          <w:tcPr>
            <w:tcW w:w="1140" w:type="dxa"/>
            <w:vAlign w:val="bottom"/>
          </w:tcPr>
          <w:p>
            <w:pPr>
              <w:jc w:val="center"/>
              <w:spacing w:after="0"/>
              <w:rPr>
                <w:sz w:val="20"/>
                <w:szCs w:val="20"/>
                <w:color w:val="auto"/>
              </w:rPr>
            </w:pPr>
            <w:r>
              <w:rPr>
                <w:rFonts w:ascii="Arial" w:cs="Arial" w:eastAsia="Arial" w:hAnsi="Arial"/>
                <w:sz w:val="8"/>
                <w:szCs w:val="8"/>
                <w:b w:val="1"/>
                <w:bCs w:val="1"/>
                <w:color w:val="auto"/>
              </w:rPr>
              <w:t>(</w:t>
            </w:r>
            <w:r>
              <w:rPr>
                <w:rFonts w:ascii="Arial" w:cs="Arial" w:eastAsia="Arial" w:hAnsi="Arial"/>
                <w:sz w:val="9"/>
                <w:szCs w:val="9"/>
                <w:b w:val="1"/>
                <w:bCs w:val="1"/>
                <w:color w:val="auto"/>
              </w:rPr>
              <w:t>4)</w:t>
            </w:r>
          </w:p>
        </w:tc>
        <w:tc>
          <w:tcPr>
            <w:tcW w:w="860" w:type="dxa"/>
            <w:vAlign w:val="bottom"/>
            <w:vMerge w:val="continue"/>
          </w:tcPr>
          <w:p>
            <w:pPr>
              <w:spacing w:after="0"/>
              <w:rPr>
                <w:sz w:val="12"/>
                <w:szCs w:val="12"/>
                <w:color w:val="auto"/>
              </w:rPr>
            </w:pPr>
          </w:p>
        </w:tc>
        <w:tc>
          <w:tcPr>
            <w:tcW w:w="1780" w:type="dxa"/>
            <w:vAlign w:val="bottom"/>
          </w:tcPr>
          <w:p>
            <w:pPr>
              <w:jc w:val="center"/>
              <w:ind w:left="209"/>
              <w:spacing w:after="0" w:line="139" w:lineRule="exact"/>
              <w:rPr>
                <w:sz w:val="20"/>
                <w:szCs w:val="20"/>
                <w:color w:val="auto"/>
              </w:rPr>
            </w:pPr>
            <w:r>
              <w:rPr>
                <w:rFonts w:ascii="Arial" w:cs="Arial" w:eastAsia="Arial" w:hAnsi="Arial"/>
                <w:sz w:val="13"/>
                <w:szCs w:val="13"/>
                <w:b w:val="1"/>
                <w:bCs w:val="1"/>
                <w:color w:val="auto"/>
              </w:rPr>
              <w:t>Return</w:t>
            </w:r>
            <w:r>
              <w:rPr>
                <w:rFonts w:ascii="Arial" w:cs="Arial" w:eastAsia="Arial" w:hAnsi="Arial"/>
                <w:sz w:val="16"/>
                <w:szCs w:val="16"/>
                <w:b w:val="1"/>
                <w:bCs w:val="1"/>
                <w:color w:val="auto"/>
                <w:vertAlign w:val="superscript"/>
              </w:rPr>
              <w:t>(6)</w:t>
            </w:r>
          </w:p>
        </w:tc>
        <w:tc>
          <w:tcPr>
            <w:tcW w:w="1100" w:type="dxa"/>
            <w:vAlign w:val="bottom"/>
          </w:tcPr>
          <w:p>
            <w:pPr>
              <w:ind w:left="160"/>
              <w:spacing w:after="0" w:line="139" w:lineRule="exact"/>
              <w:rPr>
                <w:sz w:val="20"/>
                <w:szCs w:val="20"/>
                <w:color w:val="auto"/>
              </w:rPr>
            </w:pPr>
            <w:r>
              <w:rPr>
                <w:rFonts w:ascii="Arial" w:cs="Arial" w:eastAsia="Arial" w:hAnsi="Arial"/>
                <w:sz w:val="10"/>
                <w:szCs w:val="10"/>
                <w:b w:val="1"/>
                <w:bCs w:val="1"/>
                <w:color w:val="auto"/>
              </w:rPr>
              <w:t xml:space="preserve">(in millions) </w:t>
            </w:r>
            <w:r>
              <w:rPr>
                <w:rFonts w:ascii="Arial" w:cs="Arial" w:eastAsia="Arial" w:hAnsi="Arial"/>
                <w:sz w:val="16"/>
                <w:szCs w:val="16"/>
                <w:b w:val="1"/>
                <w:bCs w:val="1"/>
                <w:color w:val="auto"/>
                <w:vertAlign w:val="superscript"/>
              </w:rPr>
              <w:t>(7)</w:t>
            </w:r>
          </w:p>
        </w:tc>
        <w:tc>
          <w:tcPr>
            <w:tcW w:w="1220" w:type="dxa"/>
            <w:vAlign w:val="bottom"/>
          </w:tcPr>
          <w:p>
            <w:pPr>
              <w:jc w:val="center"/>
              <w:spacing w:after="0" w:line="139" w:lineRule="exact"/>
              <w:rPr>
                <w:sz w:val="20"/>
                <w:szCs w:val="20"/>
                <w:color w:val="auto"/>
              </w:rPr>
            </w:pPr>
            <w:r>
              <w:rPr>
                <w:rFonts w:ascii="Arial" w:cs="Arial" w:eastAsia="Arial" w:hAnsi="Arial"/>
                <w:sz w:val="10"/>
                <w:szCs w:val="10"/>
                <w:b w:val="1"/>
                <w:bCs w:val="1"/>
                <w:color w:val="auto"/>
              </w:rPr>
              <w:t xml:space="preserve">(in millions) </w:t>
            </w:r>
            <w:r>
              <w:rPr>
                <w:rFonts w:ascii="Arial" w:cs="Arial" w:eastAsia="Arial" w:hAnsi="Arial"/>
                <w:sz w:val="16"/>
                <w:szCs w:val="16"/>
                <w:b w:val="1"/>
                <w:bCs w:val="1"/>
                <w:color w:val="auto"/>
                <w:vertAlign w:val="superscript"/>
              </w:rPr>
              <w:t>(8)</w:t>
            </w:r>
          </w:p>
        </w:tc>
        <w:tc>
          <w:tcPr>
            <w:tcW w:w="0" w:type="dxa"/>
            <w:vAlign w:val="bottom"/>
          </w:tcPr>
          <w:p>
            <w:pPr>
              <w:spacing w:after="0"/>
              <w:rPr>
                <w:sz w:val="1"/>
                <w:szCs w:val="1"/>
                <w:color w:val="auto"/>
              </w:rPr>
            </w:pPr>
          </w:p>
        </w:tc>
      </w:tr>
      <w:tr>
        <w:trPr>
          <w:trHeight w:val="210"/>
        </w:trPr>
        <w:tc>
          <w:tcPr>
            <w:tcW w:w="920" w:type="dxa"/>
            <w:vAlign w:val="bottom"/>
          </w:tcPr>
          <w:p>
            <w:pPr>
              <w:jc w:val="right"/>
              <w:ind w:right="248"/>
              <w:spacing w:after="0"/>
              <w:rPr>
                <w:sz w:val="20"/>
                <w:szCs w:val="20"/>
                <w:color w:val="auto"/>
              </w:rPr>
            </w:pPr>
            <w:r>
              <w:rPr>
                <w:rFonts w:ascii="Arial" w:cs="Arial" w:eastAsia="Arial" w:hAnsi="Arial"/>
                <w:sz w:val="14"/>
                <w:szCs w:val="14"/>
                <w:b w:val="1"/>
                <w:bCs w:val="1"/>
                <w:color w:val="auto"/>
              </w:rPr>
              <w:t>Year</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center"/>
              <w:ind w:left="248"/>
              <w:spacing w:after="0"/>
              <w:rPr>
                <w:sz w:val="20"/>
                <w:szCs w:val="20"/>
                <w:color w:val="auto"/>
              </w:rPr>
            </w:pPr>
            <w:r>
              <w:rPr>
                <w:rFonts w:ascii="Arial" w:cs="Arial" w:eastAsia="Arial" w:hAnsi="Arial"/>
                <w:sz w:val="14"/>
                <w:szCs w:val="14"/>
                <w:b w:val="1"/>
                <w:bCs w:val="1"/>
                <w:color w:val="auto"/>
              </w:rPr>
              <w:t>($)</w:t>
            </w:r>
          </w:p>
        </w:tc>
        <w:tc>
          <w:tcPr>
            <w:tcW w:w="1780" w:type="dxa"/>
            <w:vAlign w:val="bottom"/>
          </w:tcPr>
          <w:p>
            <w:pPr>
              <w:jc w:val="center"/>
              <w:ind w:left="20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8"/>
        </w:trPr>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(a)</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(b)</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w:t>
            </w:r>
          </w:p>
        </w:tc>
        <w:tc>
          <w:tcPr>
            <w:tcW w:w="86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color w:val="auto"/>
              </w:rPr>
              <w:t>(f)</w:t>
            </w:r>
          </w:p>
        </w:tc>
        <w:tc>
          <w:tcPr>
            <w:tcW w:w="1780" w:type="dxa"/>
            <w:vAlign w:val="bottom"/>
            <w:tcBorders>
              <w:bottom w:val="single" w:sz="8" w:color="auto"/>
            </w:tcBorders>
          </w:tcPr>
          <w:p>
            <w:pPr>
              <w:jc w:val="center"/>
              <w:ind w:left="209"/>
              <w:spacing w:after="0"/>
              <w:rPr>
                <w:sz w:val="20"/>
                <w:szCs w:val="20"/>
                <w:color w:val="auto"/>
              </w:rPr>
            </w:pPr>
            <w:r>
              <w:rPr>
                <w:rFonts w:ascii="Arial" w:cs="Arial" w:eastAsia="Arial" w:hAnsi="Arial"/>
                <w:sz w:val="14"/>
                <w:szCs w:val="14"/>
                <w:color w:val="auto"/>
              </w:rPr>
              <w:t>(g)</w:t>
            </w: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(h)</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w:t>
            </w:r>
          </w:p>
        </w:tc>
        <w:tc>
          <w:tcPr>
            <w:tcW w:w="0" w:type="dxa"/>
            <w:vAlign w:val="bottom"/>
          </w:tcPr>
          <w:p>
            <w:pPr>
              <w:spacing w:after="0"/>
              <w:rPr>
                <w:sz w:val="1"/>
                <w:szCs w:val="1"/>
                <w:color w:val="auto"/>
              </w:rPr>
            </w:pPr>
          </w:p>
        </w:tc>
      </w:tr>
      <w:tr>
        <w:trPr>
          <w:trHeight w:val="200"/>
        </w:trPr>
        <w:tc>
          <w:tcPr>
            <w:tcW w:w="920" w:type="dxa"/>
            <w:vAlign w:val="bottom"/>
            <w:shd w:val="clear" w:color="auto" w:fill="DBE5F1"/>
          </w:tcPr>
          <w:p>
            <w:pPr>
              <w:jc w:val="right"/>
              <w:ind w:right="248"/>
              <w:spacing w:after="0"/>
              <w:rPr>
                <w:sz w:val="20"/>
                <w:szCs w:val="20"/>
                <w:color w:val="auto"/>
              </w:rPr>
            </w:pPr>
            <w:r>
              <w:rPr>
                <w:rFonts w:ascii="Arial" w:cs="Arial" w:eastAsia="Arial" w:hAnsi="Arial"/>
                <w:sz w:val="14"/>
                <w:szCs w:val="14"/>
                <w:color w:val="auto"/>
              </w:rPr>
              <w:t>2024</w:t>
            </w:r>
          </w:p>
        </w:tc>
        <w:tc>
          <w:tcPr>
            <w:tcW w:w="1360" w:type="dxa"/>
            <w:vAlign w:val="bottom"/>
            <w:shd w:val="clear" w:color="auto" w:fill="DBE5F1"/>
          </w:tcPr>
          <w:p>
            <w:pPr>
              <w:jc w:val="center"/>
              <w:spacing w:after="0"/>
              <w:rPr>
                <w:sz w:val="20"/>
                <w:szCs w:val="20"/>
                <w:color w:val="auto"/>
              </w:rPr>
            </w:pPr>
            <w:r>
              <w:rPr>
                <w:rFonts w:ascii="Arial" w:cs="Arial" w:eastAsia="Arial" w:hAnsi="Arial"/>
                <w:sz w:val="14"/>
                <w:szCs w:val="14"/>
                <w:color w:val="auto"/>
              </w:rPr>
              <w:t>6,369,165</w:t>
            </w:r>
          </w:p>
        </w:tc>
        <w:tc>
          <w:tcPr>
            <w:tcW w:w="1400" w:type="dxa"/>
            <w:vAlign w:val="bottom"/>
            <w:shd w:val="clear" w:color="auto" w:fill="DBE5F1"/>
          </w:tcPr>
          <w:p>
            <w:pPr>
              <w:jc w:val="center"/>
              <w:spacing w:after="0"/>
              <w:rPr>
                <w:sz w:val="20"/>
                <w:szCs w:val="20"/>
                <w:color w:val="auto"/>
              </w:rPr>
            </w:pPr>
            <w:r>
              <w:rPr>
                <w:rFonts w:ascii="Arial" w:cs="Arial" w:eastAsia="Arial" w:hAnsi="Arial"/>
                <w:sz w:val="14"/>
                <w:szCs w:val="14"/>
                <w:color w:val="auto"/>
              </w:rPr>
              <w:t>25,237,077</w:t>
            </w:r>
          </w:p>
        </w:tc>
        <w:tc>
          <w:tcPr>
            <w:tcW w:w="1320" w:type="dxa"/>
            <w:vAlign w:val="bottom"/>
            <w:shd w:val="clear" w:color="auto" w:fill="DBE5F1"/>
          </w:tcPr>
          <w:p>
            <w:pPr>
              <w:jc w:val="center"/>
              <w:spacing w:after="0"/>
              <w:rPr>
                <w:sz w:val="20"/>
                <w:szCs w:val="20"/>
                <w:color w:val="auto"/>
              </w:rPr>
            </w:pPr>
            <w:r>
              <w:rPr>
                <w:rFonts w:ascii="Arial" w:cs="Arial" w:eastAsia="Arial" w:hAnsi="Arial"/>
                <w:sz w:val="14"/>
                <w:szCs w:val="14"/>
                <w:color w:val="auto"/>
              </w:rPr>
              <w:t>2,715,002</w:t>
            </w:r>
          </w:p>
        </w:tc>
        <w:tc>
          <w:tcPr>
            <w:tcW w:w="1140" w:type="dxa"/>
            <w:vAlign w:val="bottom"/>
            <w:shd w:val="clear" w:color="auto" w:fill="DBE5F1"/>
          </w:tcPr>
          <w:p>
            <w:pPr>
              <w:jc w:val="center"/>
              <w:spacing w:after="0"/>
              <w:rPr>
                <w:sz w:val="20"/>
                <w:szCs w:val="20"/>
                <w:color w:val="auto"/>
              </w:rPr>
            </w:pPr>
            <w:r>
              <w:rPr>
                <w:rFonts w:ascii="Arial" w:cs="Arial" w:eastAsia="Arial" w:hAnsi="Arial"/>
                <w:sz w:val="14"/>
                <w:szCs w:val="14"/>
                <w:color w:val="auto"/>
              </w:rPr>
              <w:t>7,114,604</w:t>
            </w:r>
          </w:p>
        </w:tc>
        <w:tc>
          <w:tcPr>
            <w:tcW w:w="860" w:type="dxa"/>
            <w:vAlign w:val="bottom"/>
            <w:shd w:val="clear" w:color="auto" w:fill="DBE5F1"/>
          </w:tcPr>
          <w:p>
            <w:pPr>
              <w:jc w:val="center"/>
              <w:ind w:left="268"/>
              <w:spacing w:after="0"/>
              <w:rPr>
                <w:sz w:val="20"/>
                <w:szCs w:val="20"/>
                <w:color w:val="auto"/>
              </w:rPr>
            </w:pPr>
            <w:r>
              <w:rPr>
                <w:rFonts w:ascii="Arial" w:cs="Arial" w:eastAsia="Arial" w:hAnsi="Arial"/>
                <w:sz w:val="14"/>
                <w:szCs w:val="14"/>
                <w:color w:val="auto"/>
              </w:rPr>
              <w:t>64.99</w:t>
            </w:r>
          </w:p>
        </w:tc>
        <w:tc>
          <w:tcPr>
            <w:tcW w:w="1780" w:type="dxa"/>
            <w:vAlign w:val="bottom"/>
            <w:shd w:val="clear" w:color="auto" w:fill="DBE5F1"/>
          </w:tcPr>
          <w:p>
            <w:pPr>
              <w:jc w:val="center"/>
              <w:ind w:left="229"/>
              <w:spacing w:after="0"/>
              <w:rPr>
                <w:sz w:val="20"/>
                <w:szCs w:val="20"/>
                <w:color w:val="auto"/>
              </w:rPr>
            </w:pPr>
            <w:r>
              <w:rPr>
                <w:rFonts w:ascii="Arial" w:cs="Arial" w:eastAsia="Arial" w:hAnsi="Arial"/>
                <w:sz w:val="14"/>
                <w:szCs w:val="14"/>
                <w:color w:val="auto"/>
              </w:rPr>
              <w:t>82.17</w:t>
            </w:r>
          </w:p>
        </w:tc>
        <w:tc>
          <w:tcPr>
            <w:tcW w:w="1100" w:type="dxa"/>
            <w:vAlign w:val="bottom"/>
            <w:shd w:val="clear" w:color="auto" w:fill="DBE5F1"/>
          </w:tcPr>
          <w:p>
            <w:pPr>
              <w:jc w:val="center"/>
              <w:spacing w:after="0"/>
              <w:rPr>
                <w:sz w:val="20"/>
                <w:szCs w:val="20"/>
                <w:color w:val="auto"/>
              </w:rPr>
            </w:pPr>
            <w:r>
              <w:rPr>
                <w:rFonts w:ascii="Arial" w:cs="Arial" w:eastAsia="Arial" w:hAnsi="Arial"/>
                <w:sz w:val="14"/>
                <w:szCs w:val="14"/>
                <w:color w:val="auto"/>
              </w:rPr>
              <w:t>(128.07)</w:t>
            </w:r>
          </w:p>
        </w:tc>
        <w:tc>
          <w:tcPr>
            <w:tcW w:w="1220" w:type="dxa"/>
            <w:vAlign w:val="bottom"/>
            <w:shd w:val="clear" w:color="auto" w:fill="DBE5F1"/>
          </w:tcPr>
          <w:p>
            <w:pPr>
              <w:jc w:val="center"/>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98"/>
        </w:trPr>
        <w:tc>
          <w:tcPr>
            <w:tcW w:w="920" w:type="dxa"/>
            <w:vAlign w:val="bottom"/>
          </w:tcPr>
          <w:p>
            <w:pPr>
              <w:jc w:val="right"/>
              <w:ind w:right="248"/>
              <w:spacing w:after="0"/>
              <w:rPr>
                <w:sz w:val="20"/>
                <w:szCs w:val="20"/>
                <w:color w:val="auto"/>
              </w:rPr>
            </w:pPr>
            <w:r>
              <w:rPr>
                <w:rFonts w:ascii="Arial" w:cs="Arial" w:eastAsia="Arial" w:hAnsi="Arial"/>
                <w:sz w:val="14"/>
                <w:szCs w:val="14"/>
                <w:color w:val="auto"/>
              </w:rPr>
              <w:t>2023</w:t>
            </w:r>
          </w:p>
        </w:tc>
        <w:tc>
          <w:tcPr>
            <w:tcW w:w="1360" w:type="dxa"/>
            <w:vAlign w:val="bottom"/>
          </w:tcPr>
          <w:p>
            <w:pPr>
              <w:jc w:val="center"/>
              <w:spacing w:after="0"/>
              <w:rPr>
                <w:sz w:val="20"/>
                <w:szCs w:val="20"/>
                <w:color w:val="auto"/>
              </w:rPr>
            </w:pPr>
            <w:r>
              <w:rPr>
                <w:rFonts w:ascii="Arial" w:cs="Arial" w:eastAsia="Arial" w:hAnsi="Arial"/>
                <w:sz w:val="14"/>
                <w:szCs w:val="14"/>
                <w:color w:val="auto"/>
              </w:rPr>
              <w:t>14,296,476</w:t>
            </w:r>
          </w:p>
        </w:tc>
        <w:tc>
          <w:tcPr>
            <w:tcW w:w="1400" w:type="dxa"/>
            <w:vAlign w:val="bottom"/>
          </w:tcPr>
          <w:p>
            <w:pPr>
              <w:jc w:val="center"/>
              <w:spacing w:after="0"/>
              <w:rPr>
                <w:sz w:val="20"/>
                <w:szCs w:val="20"/>
                <w:color w:val="auto"/>
              </w:rPr>
            </w:pPr>
            <w:r>
              <w:rPr>
                <w:rFonts w:ascii="Arial" w:cs="Arial" w:eastAsia="Arial" w:hAnsi="Arial"/>
                <w:sz w:val="14"/>
                <w:szCs w:val="14"/>
                <w:color w:val="auto"/>
              </w:rPr>
              <w:t>(2,674,822)</w:t>
            </w:r>
          </w:p>
        </w:tc>
        <w:tc>
          <w:tcPr>
            <w:tcW w:w="1320" w:type="dxa"/>
            <w:vAlign w:val="bottom"/>
          </w:tcPr>
          <w:p>
            <w:pPr>
              <w:jc w:val="center"/>
              <w:spacing w:after="0"/>
              <w:rPr>
                <w:sz w:val="20"/>
                <w:szCs w:val="20"/>
                <w:color w:val="auto"/>
              </w:rPr>
            </w:pPr>
            <w:r>
              <w:rPr>
                <w:rFonts w:ascii="Arial" w:cs="Arial" w:eastAsia="Arial" w:hAnsi="Arial"/>
                <w:sz w:val="14"/>
                <w:szCs w:val="14"/>
                <w:color w:val="auto"/>
              </w:rPr>
              <w:t>4,760,449</w:t>
            </w:r>
          </w:p>
        </w:tc>
        <w:tc>
          <w:tcPr>
            <w:tcW w:w="1140" w:type="dxa"/>
            <w:vAlign w:val="bottom"/>
          </w:tcPr>
          <w:p>
            <w:pPr>
              <w:jc w:val="center"/>
              <w:spacing w:after="0"/>
              <w:rPr>
                <w:sz w:val="20"/>
                <w:szCs w:val="20"/>
                <w:color w:val="auto"/>
              </w:rPr>
            </w:pPr>
            <w:r>
              <w:rPr>
                <w:rFonts w:ascii="Arial" w:cs="Arial" w:eastAsia="Arial" w:hAnsi="Arial"/>
                <w:sz w:val="14"/>
                <w:szCs w:val="14"/>
                <w:color w:val="auto"/>
              </w:rPr>
              <w:t>1,769,823</w:t>
            </w:r>
          </w:p>
        </w:tc>
        <w:tc>
          <w:tcPr>
            <w:tcW w:w="860" w:type="dxa"/>
            <w:vAlign w:val="bottom"/>
          </w:tcPr>
          <w:p>
            <w:pPr>
              <w:jc w:val="center"/>
              <w:ind w:left="268"/>
              <w:spacing w:after="0"/>
              <w:rPr>
                <w:sz w:val="20"/>
                <w:szCs w:val="20"/>
                <w:color w:val="auto"/>
              </w:rPr>
            </w:pPr>
            <w:r>
              <w:rPr>
                <w:rFonts w:ascii="Arial" w:cs="Arial" w:eastAsia="Arial" w:hAnsi="Arial"/>
                <w:sz w:val="14"/>
                <w:szCs w:val="14"/>
                <w:color w:val="auto"/>
              </w:rPr>
              <w:t>49.74</w:t>
            </w:r>
          </w:p>
        </w:tc>
        <w:tc>
          <w:tcPr>
            <w:tcW w:w="1780" w:type="dxa"/>
            <w:vAlign w:val="bottom"/>
          </w:tcPr>
          <w:p>
            <w:pPr>
              <w:jc w:val="center"/>
              <w:ind w:left="229"/>
              <w:spacing w:after="0"/>
              <w:rPr>
                <w:sz w:val="20"/>
                <w:szCs w:val="20"/>
                <w:color w:val="auto"/>
              </w:rPr>
            </w:pPr>
            <w:r>
              <w:rPr>
                <w:rFonts w:ascii="Arial" w:cs="Arial" w:eastAsia="Arial" w:hAnsi="Arial"/>
                <w:sz w:val="14"/>
                <w:szCs w:val="14"/>
                <w:color w:val="auto"/>
              </w:rPr>
              <w:t>82.87</w:t>
            </w:r>
          </w:p>
        </w:tc>
        <w:tc>
          <w:tcPr>
            <w:tcW w:w="1100" w:type="dxa"/>
            <w:vAlign w:val="bottom"/>
          </w:tcPr>
          <w:p>
            <w:pPr>
              <w:jc w:val="center"/>
              <w:spacing w:after="0"/>
              <w:rPr>
                <w:sz w:val="20"/>
                <w:szCs w:val="20"/>
                <w:color w:val="auto"/>
              </w:rPr>
            </w:pPr>
            <w:r>
              <w:rPr>
                <w:rFonts w:ascii="Arial" w:cs="Arial" w:eastAsia="Arial" w:hAnsi="Arial"/>
                <w:sz w:val="14"/>
                <w:szCs w:val="14"/>
                <w:color w:val="auto"/>
              </w:rPr>
              <w:t>(148.17)</w:t>
            </w:r>
          </w:p>
        </w:tc>
        <w:tc>
          <w:tcPr>
            <w:tcW w:w="1220" w:type="dxa"/>
            <w:vAlign w:val="bottom"/>
          </w:tcPr>
          <w:p>
            <w:pPr>
              <w:jc w:val="center"/>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07"/>
        </w:trPr>
        <w:tc>
          <w:tcPr>
            <w:tcW w:w="920" w:type="dxa"/>
            <w:vAlign w:val="bottom"/>
            <w:shd w:val="clear" w:color="auto" w:fill="DBE5F1"/>
          </w:tcPr>
          <w:p>
            <w:pPr>
              <w:jc w:val="right"/>
              <w:ind w:right="248"/>
              <w:spacing w:after="0"/>
              <w:rPr>
                <w:sz w:val="20"/>
                <w:szCs w:val="20"/>
                <w:color w:val="auto"/>
              </w:rPr>
            </w:pPr>
            <w:r>
              <w:rPr>
                <w:rFonts w:ascii="Arial" w:cs="Arial" w:eastAsia="Arial" w:hAnsi="Arial"/>
                <w:sz w:val="14"/>
                <w:szCs w:val="14"/>
                <w:color w:val="auto"/>
              </w:rPr>
              <w:t>2022</w:t>
            </w:r>
          </w:p>
        </w:tc>
        <w:tc>
          <w:tcPr>
            <w:tcW w:w="1360" w:type="dxa"/>
            <w:vAlign w:val="bottom"/>
            <w:shd w:val="clear" w:color="auto" w:fill="DBE5F1"/>
          </w:tcPr>
          <w:p>
            <w:pPr>
              <w:jc w:val="center"/>
              <w:spacing w:after="0"/>
              <w:rPr>
                <w:sz w:val="20"/>
                <w:szCs w:val="20"/>
                <w:color w:val="auto"/>
              </w:rPr>
            </w:pPr>
            <w:r>
              <w:rPr>
                <w:rFonts w:ascii="Arial" w:cs="Arial" w:eastAsia="Arial" w:hAnsi="Arial"/>
                <w:sz w:val="14"/>
                <w:szCs w:val="14"/>
                <w:color w:val="auto"/>
              </w:rPr>
              <w:t>34,070,592</w:t>
            </w:r>
          </w:p>
        </w:tc>
        <w:tc>
          <w:tcPr>
            <w:tcW w:w="1400" w:type="dxa"/>
            <w:vAlign w:val="bottom"/>
            <w:shd w:val="clear" w:color="auto" w:fill="DBE5F1"/>
          </w:tcPr>
          <w:p>
            <w:pPr>
              <w:jc w:val="center"/>
              <w:spacing w:after="0"/>
              <w:rPr>
                <w:sz w:val="20"/>
                <w:szCs w:val="20"/>
                <w:color w:val="auto"/>
              </w:rPr>
            </w:pPr>
            <w:r>
              <w:rPr>
                <w:rFonts w:ascii="Arial" w:cs="Arial" w:eastAsia="Arial" w:hAnsi="Arial"/>
                <w:sz w:val="14"/>
                <w:szCs w:val="14"/>
                <w:color w:val="auto"/>
              </w:rPr>
              <w:t>25,813,278</w:t>
            </w:r>
          </w:p>
        </w:tc>
        <w:tc>
          <w:tcPr>
            <w:tcW w:w="1320" w:type="dxa"/>
            <w:vAlign w:val="bottom"/>
            <w:shd w:val="clear" w:color="auto" w:fill="DBE5F1"/>
          </w:tcPr>
          <w:p>
            <w:pPr>
              <w:jc w:val="center"/>
              <w:spacing w:after="0"/>
              <w:rPr>
                <w:sz w:val="20"/>
                <w:szCs w:val="20"/>
                <w:color w:val="auto"/>
              </w:rPr>
            </w:pPr>
            <w:r>
              <w:rPr>
                <w:rFonts w:ascii="Arial" w:cs="Arial" w:eastAsia="Arial" w:hAnsi="Arial"/>
                <w:sz w:val="14"/>
                <w:szCs w:val="14"/>
                <w:color w:val="auto"/>
              </w:rPr>
              <w:t>7,327,470</w:t>
            </w:r>
          </w:p>
        </w:tc>
        <w:tc>
          <w:tcPr>
            <w:tcW w:w="1140" w:type="dxa"/>
            <w:vAlign w:val="bottom"/>
            <w:shd w:val="clear" w:color="auto" w:fill="DBE5F1"/>
          </w:tcPr>
          <w:p>
            <w:pPr>
              <w:jc w:val="center"/>
              <w:spacing w:after="0"/>
              <w:rPr>
                <w:sz w:val="20"/>
                <w:szCs w:val="20"/>
                <w:color w:val="auto"/>
              </w:rPr>
            </w:pPr>
            <w:r>
              <w:rPr>
                <w:rFonts w:ascii="Arial" w:cs="Arial" w:eastAsia="Arial" w:hAnsi="Arial"/>
                <w:sz w:val="14"/>
                <w:szCs w:val="14"/>
                <w:color w:val="auto"/>
              </w:rPr>
              <w:t>5,661,779</w:t>
            </w:r>
          </w:p>
        </w:tc>
        <w:tc>
          <w:tcPr>
            <w:tcW w:w="860" w:type="dxa"/>
            <w:vAlign w:val="bottom"/>
            <w:shd w:val="clear" w:color="auto" w:fill="DBE5F1"/>
          </w:tcPr>
          <w:p>
            <w:pPr>
              <w:jc w:val="center"/>
              <w:ind w:left="268"/>
              <w:spacing w:after="0"/>
              <w:rPr>
                <w:sz w:val="20"/>
                <w:szCs w:val="20"/>
                <w:color w:val="auto"/>
              </w:rPr>
            </w:pPr>
            <w:r>
              <w:rPr>
                <w:rFonts w:ascii="Arial" w:cs="Arial" w:eastAsia="Arial" w:hAnsi="Arial"/>
                <w:sz w:val="14"/>
                <w:szCs w:val="14"/>
                <w:color w:val="auto"/>
              </w:rPr>
              <w:t>67.94</w:t>
            </w:r>
          </w:p>
        </w:tc>
        <w:tc>
          <w:tcPr>
            <w:tcW w:w="1780" w:type="dxa"/>
            <w:vAlign w:val="bottom"/>
            <w:shd w:val="clear" w:color="auto" w:fill="DBE5F1"/>
          </w:tcPr>
          <w:p>
            <w:pPr>
              <w:jc w:val="center"/>
              <w:ind w:left="229"/>
              <w:spacing w:after="0"/>
              <w:rPr>
                <w:sz w:val="20"/>
                <w:szCs w:val="20"/>
                <w:color w:val="auto"/>
              </w:rPr>
            </w:pPr>
            <w:r>
              <w:rPr>
                <w:rFonts w:ascii="Arial" w:cs="Arial" w:eastAsia="Arial" w:hAnsi="Arial"/>
                <w:sz w:val="14"/>
                <w:szCs w:val="14"/>
                <w:color w:val="auto"/>
              </w:rPr>
              <w:t>77.79</w:t>
            </w:r>
          </w:p>
        </w:tc>
        <w:tc>
          <w:tcPr>
            <w:tcW w:w="1100" w:type="dxa"/>
            <w:vAlign w:val="bottom"/>
            <w:shd w:val="clear" w:color="auto" w:fill="DBE5F1"/>
          </w:tcPr>
          <w:p>
            <w:pPr>
              <w:jc w:val="center"/>
              <w:spacing w:after="0"/>
              <w:rPr>
                <w:sz w:val="20"/>
                <w:szCs w:val="20"/>
                <w:color w:val="auto"/>
              </w:rPr>
            </w:pPr>
            <w:r>
              <w:rPr>
                <w:rFonts w:ascii="Arial" w:cs="Arial" w:eastAsia="Arial" w:hAnsi="Arial"/>
                <w:sz w:val="14"/>
                <w:szCs w:val="14"/>
                <w:color w:val="auto"/>
              </w:rPr>
              <w:t>(149.6)</w:t>
            </w:r>
          </w:p>
        </w:tc>
        <w:tc>
          <w:tcPr>
            <w:tcW w:w="1220" w:type="dxa"/>
            <w:vAlign w:val="bottom"/>
            <w:shd w:val="clear" w:color="auto" w:fill="DBE5F1"/>
          </w:tcPr>
          <w:p>
            <w:pPr>
              <w:jc w:val="center"/>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25"/>
        </w:trPr>
        <w:tc>
          <w:tcPr>
            <w:tcW w:w="920" w:type="dxa"/>
            <w:vAlign w:val="bottom"/>
          </w:tcPr>
          <w:p>
            <w:pPr>
              <w:jc w:val="right"/>
              <w:ind w:right="248"/>
              <w:spacing w:after="0"/>
              <w:rPr>
                <w:sz w:val="20"/>
                <w:szCs w:val="20"/>
                <w:color w:val="auto"/>
              </w:rPr>
            </w:pPr>
            <w:r>
              <w:rPr>
                <w:rFonts w:ascii="Arial" w:cs="Arial" w:eastAsia="Arial" w:hAnsi="Arial"/>
                <w:sz w:val="14"/>
                <w:szCs w:val="14"/>
                <w:color w:val="auto"/>
              </w:rPr>
              <w:t>2021</w:t>
            </w:r>
          </w:p>
        </w:tc>
        <w:tc>
          <w:tcPr>
            <w:tcW w:w="1360" w:type="dxa"/>
            <w:vAlign w:val="bottom"/>
            <w:tcBorders>
              <w:bottom w:val="single" w:sz="8" w:color="95B3D7"/>
            </w:tcBorders>
          </w:tcPr>
          <w:p>
            <w:pPr>
              <w:jc w:val="center"/>
              <w:spacing w:after="0"/>
              <w:rPr>
                <w:sz w:val="20"/>
                <w:szCs w:val="20"/>
                <w:color w:val="auto"/>
              </w:rPr>
            </w:pPr>
            <w:r>
              <w:rPr>
                <w:rFonts w:ascii="Arial" w:cs="Arial" w:eastAsia="Arial" w:hAnsi="Arial"/>
                <w:sz w:val="14"/>
                <w:szCs w:val="14"/>
                <w:color w:val="auto"/>
              </w:rPr>
              <w:t>45,998,851</w:t>
            </w:r>
          </w:p>
        </w:tc>
        <w:tc>
          <w:tcPr>
            <w:tcW w:w="1400" w:type="dxa"/>
            <w:vAlign w:val="bottom"/>
            <w:tcBorders>
              <w:bottom w:val="single" w:sz="8" w:color="95B3D7"/>
            </w:tcBorders>
          </w:tcPr>
          <w:p>
            <w:pPr>
              <w:jc w:val="center"/>
              <w:spacing w:after="0"/>
              <w:rPr>
                <w:sz w:val="20"/>
                <w:szCs w:val="20"/>
                <w:color w:val="auto"/>
              </w:rPr>
            </w:pPr>
            <w:r>
              <w:rPr>
                <w:rFonts w:ascii="Arial" w:cs="Arial" w:eastAsia="Arial" w:hAnsi="Arial"/>
                <w:sz w:val="14"/>
                <w:szCs w:val="14"/>
                <w:color w:val="auto"/>
              </w:rPr>
              <w:t>37,304,187</w:t>
            </w:r>
          </w:p>
        </w:tc>
        <w:tc>
          <w:tcPr>
            <w:tcW w:w="1320" w:type="dxa"/>
            <w:vAlign w:val="bottom"/>
            <w:tcBorders>
              <w:bottom w:val="single" w:sz="8" w:color="95B3D7"/>
            </w:tcBorders>
          </w:tcPr>
          <w:p>
            <w:pPr>
              <w:jc w:val="center"/>
              <w:spacing w:after="0"/>
              <w:rPr>
                <w:sz w:val="20"/>
                <w:szCs w:val="20"/>
                <w:color w:val="auto"/>
              </w:rPr>
            </w:pPr>
            <w:r>
              <w:rPr>
                <w:rFonts w:ascii="Arial" w:cs="Arial" w:eastAsia="Arial" w:hAnsi="Arial"/>
                <w:sz w:val="14"/>
                <w:szCs w:val="14"/>
                <w:color w:val="auto"/>
              </w:rPr>
              <w:t>10,891,546</w:t>
            </w:r>
          </w:p>
        </w:tc>
        <w:tc>
          <w:tcPr>
            <w:tcW w:w="1140" w:type="dxa"/>
            <w:vAlign w:val="bottom"/>
            <w:tcBorders>
              <w:bottom w:val="single" w:sz="8" w:color="95B3D7"/>
            </w:tcBorders>
          </w:tcPr>
          <w:p>
            <w:pPr>
              <w:jc w:val="center"/>
              <w:spacing w:after="0"/>
              <w:rPr>
                <w:sz w:val="20"/>
                <w:szCs w:val="20"/>
                <w:color w:val="auto"/>
              </w:rPr>
            </w:pPr>
            <w:r>
              <w:rPr>
                <w:rFonts w:ascii="Arial" w:cs="Arial" w:eastAsia="Arial" w:hAnsi="Arial"/>
                <w:sz w:val="14"/>
                <w:szCs w:val="14"/>
                <w:color w:val="auto"/>
              </w:rPr>
              <w:t>10,053,244</w:t>
            </w:r>
          </w:p>
        </w:tc>
        <w:tc>
          <w:tcPr>
            <w:tcW w:w="860" w:type="dxa"/>
            <w:vAlign w:val="bottom"/>
            <w:tcBorders>
              <w:bottom w:val="single" w:sz="8" w:color="95B3D7"/>
            </w:tcBorders>
          </w:tcPr>
          <w:p>
            <w:pPr>
              <w:jc w:val="center"/>
              <w:ind w:left="268"/>
              <w:spacing w:after="0"/>
              <w:rPr>
                <w:sz w:val="20"/>
                <w:szCs w:val="20"/>
                <w:color w:val="auto"/>
              </w:rPr>
            </w:pPr>
            <w:r>
              <w:rPr>
                <w:rFonts w:ascii="Arial" w:cs="Arial" w:eastAsia="Arial" w:hAnsi="Arial"/>
                <w:sz w:val="14"/>
                <w:szCs w:val="14"/>
                <w:color w:val="auto"/>
              </w:rPr>
              <w:t>81.22</w:t>
            </w:r>
          </w:p>
        </w:tc>
        <w:tc>
          <w:tcPr>
            <w:tcW w:w="1780" w:type="dxa"/>
            <w:vAlign w:val="bottom"/>
            <w:tcBorders>
              <w:bottom w:val="single" w:sz="8" w:color="95B3D7"/>
            </w:tcBorders>
          </w:tcPr>
          <w:p>
            <w:pPr>
              <w:jc w:val="center"/>
              <w:ind w:left="229"/>
              <w:spacing w:after="0"/>
              <w:rPr>
                <w:sz w:val="20"/>
                <w:szCs w:val="20"/>
                <w:color w:val="auto"/>
              </w:rPr>
            </w:pPr>
            <w:r>
              <w:rPr>
                <w:rFonts w:ascii="Arial" w:cs="Arial" w:eastAsia="Arial" w:hAnsi="Arial"/>
                <w:sz w:val="14"/>
                <w:szCs w:val="14"/>
                <w:color w:val="auto"/>
              </w:rPr>
              <w:t>97.76</w:t>
            </w:r>
          </w:p>
        </w:tc>
        <w:tc>
          <w:tcPr>
            <w:tcW w:w="1100" w:type="dxa"/>
            <w:vAlign w:val="bottom"/>
            <w:tcBorders>
              <w:bottom w:val="single" w:sz="8" w:color="95B3D7"/>
            </w:tcBorders>
          </w:tcPr>
          <w:p>
            <w:pPr>
              <w:jc w:val="center"/>
              <w:spacing w:after="0"/>
              <w:rPr>
                <w:sz w:val="20"/>
                <w:szCs w:val="20"/>
                <w:color w:val="auto"/>
              </w:rPr>
            </w:pPr>
            <w:r>
              <w:rPr>
                <w:rFonts w:ascii="Arial" w:cs="Arial" w:eastAsia="Arial" w:hAnsi="Arial"/>
                <w:sz w:val="14"/>
                <w:szCs w:val="14"/>
                <w:color w:val="auto"/>
              </w:rPr>
              <w:t>(195.3)</w:t>
            </w:r>
          </w:p>
        </w:tc>
        <w:tc>
          <w:tcPr>
            <w:tcW w:w="1220" w:type="dxa"/>
            <w:vAlign w:val="bottom"/>
            <w:tcBorders>
              <w:bottom w:val="single" w:sz="8" w:color="95B3D7"/>
            </w:tcBorders>
          </w:tcPr>
          <w:p>
            <w:pPr>
              <w:jc w:val="center"/>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40" w:right="60" w:hanging="332"/>
        <w:spacing w:after="0" w:line="305" w:lineRule="auto"/>
        <w:tabs>
          <w:tab w:leader="none" w:pos="327"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dollar amounts reported in column (b) are the amounts of total compensation reported for Mr. Kao (the “PEO”) for each corresponding year in the “Total” column of the Summary Compensation Table (“SCT”) in this proxy statement.</w:t>
      </w:r>
    </w:p>
    <w:p>
      <w:pPr>
        <w:spacing w:after="0" w:line="184" w:lineRule="exact"/>
        <w:rPr>
          <w:rFonts w:ascii="Arial" w:cs="Arial" w:eastAsia="Arial" w:hAnsi="Arial"/>
          <w:sz w:val="14"/>
          <w:szCs w:val="14"/>
          <w:color w:val="auto"/>
        </w:rPr>
      </w:pPr>
    </w:p>
    <w:p>
      <w:pPr>
        <w:ind w:left="340" w:right="680" w:hanging="332"/>
        <w:spacing w:after="0" w:line="305" w:lineRule="auto"/>
        <w:tabs>
          <w:tab w:leader="none" w:pos="327"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dollar amounts reported in column (c) represent the amount of “compensation actually paid” (“CAP”) to the PEO computed in accordance with Item 402(v) of Regulation S-K. The dollar amounts do not reflect the actual amount of compensation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6" w:name="page77"/>
    <w:bookmarkEnd w:id="76"/>
    <w:p>
      <w:pPr>
        <w:ind w:left="332" w:right="20"/>
        <w:spacing w:after="0" w:line="305" w:lineRule="auto"/>
        <w:rPr>
          <w:sz w:val="20"/>
          <w:szCs w:val="20"/>
          <w:color w:val="auto"/>
        </w:rPr>
      </w:pPr>
      <w:r>
        <w:rPr>
          <w:rFonts w:ascii="Arial" w:cs="Arial" w:eastAsia="Arial" w:hAnsi="Arial"/>
          <w:sz w:val="14"/>
          <w:szCs w:val="14"/>
          <w:color w:val="auto"/>
        </w:rPr>
        <w:t>by or paid to the PEO during the applicable year. In accordance with the requirements of Item 402(v) of Regulation S-K, the following adjustments were made to the PEO’s total compensation for each year to determine the CAP:</w:t>
      </w:r>
    </w:p>
    <w:p>
      <w:pPr>
        <w:spacing w:after="0" w:line="252" w:lineRule="exact"/>
        <w:rPr>
          <w:sz w:val="20"/>
          <w:szCs w:val="20"/>
          <w:color w:val="auto"/>
        </w:rPr>
      </w:pPr>
    </w:p>
    <w:tbl>
      <w:tblPr>
        <w:tblLayout w:type="fixed"/>
        <w:tblInd w:w="372" w:type="dxa"/>
        <w:tblCellMar>
          <w:top w:w="0" w:type="dxa"/>
          <w:left w:w="0" w:type="dxa"/>
          <w:bottom w:w="0" w:type="dxa"/>
          <w:right w:w="0" w:type="dxa"/>
        </w:tblCellMar>
      </w:tblPr>
      <w:tr>
        <w:trPr>
          <w:trHeight w:val="211"/>
        </w:trPr>
        <w:tc>
          <w:tcPr>
            <w:tcW w:w="28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left="468"/>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left="428"/>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left="46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8"/>
                <w:szCs w:val="18"/>
                <w:color w:val="auto"/>
              </w:rPr>
            </w:pPr>
          </w:p>
        </w:tc>
      </w:tr>
      <w:tr>
        <w:trPr>
          <w:trHeight w:val="197"/>
        </w:trPr>
        <w:tc>
          <w:tcPr>
            <w:tcW w:w="2880" w:type="dxa"/>
            <w:vAlign w:val="bottom"/>
            <w:tcBorders>
              <w:right w:val="single" w:sz="8" w:color="95B3D7"/>
            </w:tcBorders>
            <w:shd w:val="clear" w:color="auto" w:fill="DBE5F1"/>
          </w:tcPr>
          <w:p>
            <w:pPr>
              <w:ind w:left="340"/>
              <w:spacing w:after="0"/>
              <w:rPr>
                <w:sz w:val="20"/>
                <w:szCs w:val="20"/>
                <w:color w:val="auto"/>
              </w:rPr>
            </w:pPr>
            <w:r>
              <w:rPr>
                <w:rFonts w:ascii="Arial" w:cs="Arial" w:eastAsia="Arial" w:hAnsi="Arial"/>
                <w:sz w:val="14"/>
                <w:szCs w:val="14"/>
                <w:color w:val="auto"/>
              </w:rPr>
              <w:t>Total Compensation from SCT</w:t>
            </w:r>
          </w:p>
        </w:tc>
        <w:tc>
          <w:tcPr>
            <w:tcW w:w="1340" w:type="dxa"/>
            <w:vAlign w:val="bottom"/>
            <w:gridSpan w:val="2"/>
            <w:shd w:val="clear" w:color="auto" w:fill="DBE5F1"/>
          </w:tcPr>
          <w:p>
            <w:pPr>
              <w:jc w:val="center"/>
              <w:ind w:left="468"/>
              <w:spacing w:after="0"/>
              <w:rPr>
                <w:sz w:val="20"/>
                <w:szCs w:val="20"/>
                <w:color w:val="auto"/>
              </w:rPr>
            </w:pPr>
            <w:r>
              <w:rPr>
                <w:rFonts w:ascii="Arial" w:cs="Arial" w:eastAsia="Arial" w:hAnsi="Arial"/>
                <w:sz w:val="14"/>
                <w:szCs w:val="14"/>
                <w:color w:val="auto"/>
              </w:rPr>
              <w:t>$6,369,165</w:t>
            </w:r>
          </w:p>
        </w:tc>
        <w:tc>
          <w:tcPr>
            <w:tcW w:w="580" w:type="dxa"/>
            <w:vAlign w:val="bottom"/>
            <w:tcBorders>
              <w:right w:val="single" w:sz="8" w:color="95B3D7"/>
            </w:tcBorders>
            <w:shd w:val="clear" w:color="auto" w:fill="DBE5F1"/>
          </w:tcPr>
          <w:p>
            <w:pPr>
              <w:spacing w:after="0"/>
              <w:rPr>
                <w:sz w:val="17"/>
                <w:szCs w:val="17"/>
                <w:color w:val="auto"/>
              </w:rPr>
            </w:pPr>
          </w:p>
        </w:tc>
        <w:tc>
          <w:tcPr>
            <w:tcW w:w="1340" w:type="dxa"/>
            <w:vAlign w:val="bottom"/>
            <w:gridSpan w:val="2"/>
            <w:shd w:val="clear" w:color="auto" w:fill="DBE5F1"/>
          </w:tcPr>
          <w:p>
            <w:pPr>
              <w:jc w:val="center"/>
              <w:ind w:left="468"/>
              <w:spacing w:after="0"/>
              <w:rPr>
                <w:sz w:val="20"/>
                <w:szCs w:val="20"/>
                <w:color w:val="auto"/>
              </w:rPr>
            </w:pPr>
            <w:r>
              <w:rPr>
                <w:rFonts w:ascii="Arial" w:cs="Arial" w:eastAsia="Arial" w:hAnsi="Arial"/>
                <w:sz w:val="14"/>
                <w:szCs w:val="14"/>
                <w:color w:val="auto"/>
              </w:rPr>
              <w:t>$14,296,476</w:t>
            </w:r>
          </w:p>
        </w:tc>
        <w:tc>
          <w:tcPr>
            <w:tcW w:w="560" w:type="dxa"/>
            <w:vAlign w:val="bottom"/>
            <w:tcBorders>
              <w:right w:val="single" w:sz="8" w:color="95B3D7"/>
            </w:tcBorders>
            <w:shd w:val="clear" w:color="auto" w:fill="DBE5F1"/>
          </w:tcPr>
          <w:p>
            <w:pPr>
              <w:spacing w:after="0"/>
              <w:rPr>
                <w:sz w:val="17"/>
                <w:szCs w:val="17"/>
                <w:color w:val="auto"/>
              </w:rPr>
            </w:pPr>
          </w:p>
        </w:tc>
        <w:tc>
          <w:tcPr>
            <w:tcW w:w="1900" w:type="dxa"/>
            <w:vAlign w:val="bottom"/>
            <w:tcBorders>
              <w:right w:val="single" w:sz="8" w:color="95B3D7"/>
            </w:tcBorders>
            <w:gridSpan w:val="3"/>
            <w:shd w:val="clear" w:color="auto" w:fill="DBE5F1"/>
          </w:tcPr>
          <w:p>
            <w:pPr>
              <w:jc w:val="center"/>
              <w:ind w:right="20"/>
              <w:spacing w:after="0"/>
              <w:rPr>
                <w:sz w:val="20"/>
                <w:szCs w:val="20"/>
                <w:color w:val="auto"/>
              </w:rPr>
            </w:pPr>
            <w:r>
              <w:rPr>
                <w:rFonts w:ascii="Arial" w:cs="Arial" w:eastAsia="Arial" w:hAnsi="Arial"/>
                <w:sz w:val="14"/>
                <w:szCs w:val="14"/>
                <w:color w:val="auto"/>
              </w:rPr>
              <w:t>$34,070,592</w:t>
            </w:r>
          </w:p>
        </w:tc>
        <w:tc>
          <w:tcPr>
            <w:tcW w:w="1880" w:type="dxa"/>
            <w:vAlign w:val="bottom"/>
            <w:gridSpan w:val="3"/>
            <w:shd w:val="clear" w:color="auto" w:fill="DBE5F1"/>
          </w:tcPr>
          <w:p>
            <w:pPr>
              <w:jc w:val="center"/>
              <w:spacing w:after="0"/>
              <w:rPr>
                <w:sz w:val="20"/>
                <w:szCs w:val="20"/>
                <w:color w:val="auto"/>
              </w:rPr>
            </w:pPr>
            <w:r>
              <w:rPr>
                <w:rFonts w:ascii="Arial" w:cs="Arial" w:eastAsia="Arial" w:hAnsi="Arial"/>
                <w:sz w:val="14"/>
                <w:szCs w:val="14"/>
                <w:color w:val="auto"/>
              </w:rPr>
              <w:t>$45,998,851</w:t>
            </w:r>
          </w:p>
        </w:tc>
      </w:tr>
      <w:tr>
        <w:trPr>
          <w:trHeight w:val="149"/>
        </w:trPr>
        <w:tc>
          <w:tcPr>
            <w:tcW w:w="2880" w:type="dxa"/>
            <w:vAlign w:val="bottom"/>
            <w:tcBorders>
              <w:right w:val="single" w:sz="8" w:color="95B3D7"/>
            </w:tcBorders>
          </w:tcPr>
          <w:p>
            <w:pPr>
              <w:ind w:left="520"/>
              <w:spacing w:after="0" w:line="149" w:lineRule="exact"/>
              <w:rPr>
                <w:sz w:val="20"/>
                <w:szCs w:val="20"/>
                <w:color w:val="auto"/>
              </w:rPr>
            </w:pPr>
            <w:r>
              <w:rPr>
                <w:rFonts w:ascii="Arial" w:cs="Arial" w:eastAsia="Arial" w:hAnsi="Arial"/>
                <w:sz w:val="14"/>
                <w:szCs w:val="14"/>
                <w:color w:val="auto"/>
              </w:rPr>
              <w:t>Less Reported Value of Equity</w:t>
            </w:r>
          </w:p>
        </w:tc>
        <w:tc>
          <w:tcPr>
            <w:tcW w:w="1920" w:type="dxa"/>
            <w:vAlign w:val="bottom"/>
            <w:tcBorders>
              <w:right w:val="single" w:sz="8" w:color="95B3D7"/>
            </w:tcBorders>
            <w:gridSpan w:val="3"/>
          </w:tcPr>
          <w:p>
            <w:pPr>
              <w:jc w:val="center"/>
              <w:ind w:right="20"/>
              <w:spacing w:after="0" w:line="149" w:lineRule="exact"/>
              <w:rPr>
                <w:sz w:val="20"/>
                <w:szCs w:val="20"/>
                <w:color w:val="auto"/>
              </w:rPr>
            </w:pPr>
            <w:r>
              <w:rPr>
                <w:rFonts w:ascii="Arial" w:cs="Arial" w:eastAsia="Arial" w:hAnsi="Arial"/>
                <w:sz w:val="14"/>
                <w:szCs w:val="14"/>
                <w:color w:val="auto"/>
              </w:rPr>
              <w:t>$(3,300,000)</w:t>
            </w:r>
          </w:p>
        </w:tc>
        <w:tc>
          <w:tcPr>
            <w:tcW w:w="1900" w:type="dxa"/>
            <w:vAlign w:val="bottom"/>
            <w:tcBorders>
              <w:right w:val="single" w:sz="8" w:color="95B3D7"/>
            </w:tcBorders>
            <w:gridSpan w:val="3"/>
          </w:tcPr>
          <w:p>
            <w:pPr>
              <w:jc w:val="center"/>
              <w:ind w:right="40"/>
              <w:spacing w:after="0" w:line="149" w:lineRule="exact"/>
              <w:rPr>
                <w:sz w:val="20"/>
                <w:szCs w:val="20"/>
                <w:color w:val="auto"/>
              </w:rPr>
            </w:pPr>
            <w:r>
              <w:rPr>
                <w:rFonts w:ascii="Arial" w:cs="Arial" w:eastAsia="Arial" w:hAnsi="Arial"/>
                <w:sz w:val="14"/>
                <w:szCs w:val="14"/>
                <w:color w:val="auto"/>
              </w:rPr>
              <w:t>$(12,497,891)</w:t>
            </w:r>
          </w:p>
        </w:tc>
        <w:tc>
          <w:tcPr>
            <w:tcW w:w="1900" w:type="dxa"/>
            <w:vAlign w:val="bottom"/>
            <w:tcBorders>
              <w:right w:val="single" w:sz="8" w:color="95B3D7"/>
            </w:tcBorders>
            <w:gridSpan w:val="3"/>
          </w:tcPr>
          <w:p>
            <w:pPr>
              <w:jc w:val="center"/>
              <w:ind w:right="40"/>
              <w:spacing w:after="0" w:line="149" w:lineRule="exact"/>
              <w:rPr>
                <w:sz w:val="20"/>
                <w:szCs w:val="20"/>
                <w:color w:val="auto"/>
              </w:rPr>
            </w:pPr>
            <w:r>
              <w:rPr>
                <w:rFonts w:ascii="Arial" w:cs="Arial" w:eastAsia="Arial" w:hAnsi="Arial"/>
                <w:sz w:val="14"/>
                <w:szCs w:val="14"/>
                <w:color w:val="auto"/>
              </w:rPr>
              <w:t>$(32,437,510)</w:t>
            </w:r>
          </w:p>
        </w:tc>
        <w:tc>
          <w:tcPr>
            <w:tcW w:w="18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rPr>
              <w:t>$(44,406,749)</w:t>
            </w:r>
          </w:p>
        </w:tc>
      </w:tr>
      <w:tr>
        <w:trPr>
          <w:trHeight w:val="189"/>
        </w:trPr>
        <w:tc>
          <w:tcPr>
            <w:tcW w:w="2880" w:type="dxa"/>
            <w:vAlign w:val="bottom"/>
            <w:tcBorders>
              <w:right w:val="single" w:sz="8" w:color="95B3D7"/>
            </w:tcBorders>
          </w:tcPr>
          <w:p>
            <w:pPr>
              <w:ind w:left="520"/>
              <w:spacing w:after="0"/>
              <w:rPr>
                <w:sz w:val="20"/>
                <w:szCs w:val="20"/>
                <w:color w:val="auto"/>
              </w:rPr>
            </w:pPr>
            <w:r>
              <w:rPr>
                <w:rFonts w:ascii="Arial" w:cs="Arial" w:eastAsia="Arial" w:hAnsi="Arial"/>
                <w:sz w:val="14"/>
                <w:szCs w:val="14"/>
                <w:color w:val="auto"/>
              </w:rPr>
              <w:t>Awards from SCT</w:t>
            </w: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Borders>
              <w:right w:val="single" w:sz="8" w:color="95B3D7"/>
            </w:tcBorders>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Borders>
              <w:right w:val="single" w:sz="8" w:color="95B3D7"/>
            </w:tcBorders>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Borders>
              <w:right w:val="single" w:sz="8" w:color="95B3D7"/>
            </w:tcBorders>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3"/>
        </w:trPr>
        <w:tc>
          <w:tcPr>
            <w:tcW w:w="2880" w:type="dxa"/>
            <w:vAlign w:val="bottom"/>
            <w:tcBorders>
              <w:right w:val="single" w:sz="8" w:color="95B3D7"/>
            </w:tcBorders>
            <w:shd w:val="clear" w:color="auto" w:fill="DBE5F1"/>
          </w:tcPr>
          <w:p>
            <w:pPr>
              <w:ind w:left="340"/>
              <w:spacing w:after="0"/>
              <w:rPr>
                <w:sz w:val="20"/>
                <w:szCs w:val="20"/>
                <w:color w:val="auto"/>
              </w:rPr>
            </w:pPr>
            <w:r>
              <w:rPr>
                <w:rFonts w:ascii="Arial" w:cs="Arial" w:eastAsia="Arial" w:hAnsi="Arial"/>
                <w:sz w:val="14"/>
                <w:szCs w:val="14"/>
                <w:b w:val="1"/>
                <w:bCs w:val="1"/>
                <w:color w:val="auto"/>
              </w:rPr>
              <w:t>Subtotal</w:t>
            </w:r>
          </w:p>
        </w:tc>
        <w:tc>
          <w:tcPr>
            <w:tcW w:w="1340" w:type="dxa"/>
            <w:vAlign w:val="bottom"/>
            <w:gridSpan w:val="2"/>
            <w:shd w:val="clear" w:color="auto" w:fill="DBE5F1"/>
          </w:tcPr>
          <w:p>
            <w:pPr>
              <w:jc w:val="center"/>
              <w:ind w:left="468"/>
              <w:spacing w:after="0"/>
              <w:rPr>
                <w:sz w:val="20"/>
                <w:szCs w:val="20"/>
                <w:color w:val="auto"/>
              </w:rPr>
            </w:pPr>
            <w:r>
              <w:rPr>
                <w:rFonts w:ascii="Arial" w:cs="Arial" w:eastAsia="Arial" w:hAnsi="Arial"/>
                <w:sz w:val="14"/>
                <w:szCs w:val="14"/>
                <w:b w:val="1"/>
                <w:bCs w:val="1"/>
                <w:color w:val="auto"/>
              </w:rPr>
              <w:t>$3,069,165</w:t>
            </w:r>
          </w:p>
        </w:tc>
        <w:tc>
          <w:tcPr>
            <w:tcW w:w="580" w:type="dxa"/>
            <w:vAlign w:val="bottom"/>
            <w:tcBorders>
              <w:right w:val="single" w:sz="8" w:color="95B3D7"/>
            </w:tcBorders>
            <w:shd w:val="clear" w:color="auto" w:fill="DBE5F1"/>
          </w:tcPr>
          <w:p>
            <w:pPr>
              <w:spacing w:after="0"/>
              <w:rPr>
                <w:sz w:val="17"/>
                <w:szCs w:val="17"/>
                <w:color w:val="auto"/>
              </w:rPr>
            </w:pPr>
          </w:p>
        </w:tc>
        <w:tc>
          <w:tcPr>
            <w:tcW w:w="1340" w:type="dxa"/>
            <w:vAlign w:val="bottom"/>
            <w:gridSpan w:val="2"/>
            <w:shd w:val="clear" w:color="auto" w:fill="DBE5F1"/>
          </w:tcPr>
          <w:p>
            <w:pPr>
              <w:jc w:val="center"/>
              <w:ind w:left="468"/>
              <w:spacing w:after="0"/>
              <w:rPr>
                <w:sz w:val="20"/>
                <w:szCs w:val="20"/>
                <w:color w:val="auto"/>
              </w:rPr>
            </w:pPr>
            <w:r>
              <w:rPr>
                <w:rFonts w:ascii="Arial" w:cs="Arial" w:eastAsia="Arial" w:hAnsi="Arial"/>
                <w:sz w:val="14"/>
                <w:szCs w:val="14"/>
                <w:b w:val="1"/>
                <w:bCs w:val="1"/>
                <w:color w:val="auto"/>
              </w:rPr>
              <w:t>$1,798,585</w:t>
            </w:r>
          </w:p>
        </w:tc>
        <w:tc>
          <w:tcPr>
            <w:tcW w:w="560" w:type="dxa"/>
            <w:vAlign w:val="bottom"/>
            <w:tcBorders>
              <w:right w:val="single" w:sz="8" w:color="95B3D7"/>
            </w:tcBorders>
            <w:shd w:val="clear" w:color="auto" w:fill="DBE5F1"/>
          </w:tcPr>
          <w:p>
            <w:pPr>
              <w:spacing w:after="0"/>
              <w:rPr>
                <w:sz w:val="17"/>
                <w:szCs w:val="17"/>
                <w:color w:val="auto"/>
              </w:rPr>
            </w:pPr>
          </w:p>
        </w:tc>
        <w:tc>
          <w:tcPr>
            <w:tcW w:w="1340" w:type="dxa"/>
            <w:vAlign w:val="bottom"/>
            <w:gridSpan w:val="2"/>
            <w:shd w:val="clear" w:color="auto" w:fill="DBE5F1"/>
          </w:tcPr>
          <w:p>
            <w:pPr>
              <w:jc w:val="center"/>
              <w:ind w:left="468"/>
              <w:spacing w:after="0"/>
              <w:rPr>
                <w:sz w:val="20"/>
                <w:szCs w:val="20"/>
                <w:color w:val="auto"/>
              </w:rPr>
            </w:pPr>
            <w:r>
              <w:rPr>
                <w:rFonts w:ascii="Arial" w:cs="Arial" w:eastAsia="Arial" w:hAnsi="Arial"/>
                <w:sz w:val="14"/>
                <w:szCs w:val="14"/>
                <w:b w:val="1"/>
                <w:bCs w:val="1"/>
                <w:color w:val="auto"/>
              </w:rPr>
              <w:t>$1,633,082</w:t>
            </w:r>
          </w:p>
        </w:tc>
        <w:tc>
          <w:tcPr>
            <w:tcW w:w="560" w:type="dxa"/>
            <w:vAlign w:val="bottom"/>
            <w:tcBorders>
              <w:right w:val="single" w:sz="8" w:color="95B3D7"/>
            </w:tcBorders>
            <w:shd w:val="clear" w:color="auto" w:fill="DBE5F1"/>
          </w:tcPr>
          <w:p>
            <w:pPr>
              <w:spacing w:after="0"/>
              <w:rPr>
                <w:sz w:val="17"/>
                <w:szCs w:val="17"/>
                <w:color w:val="auto"/>
              </w:rPr>
            </w:pPr>
          </w:p>
        </w:tc>
        <w:tc>
          <w:tcPr>
            <w:tcW w:w="1340" w:type="dxa"/>
            <w:vAlign w:val="bottom"/>
            <w:gridSpan w:val="2"/>
            <w:shd w:val="clear" w:color="auto" w:fill="DBE5F1"/>
          </w:tcPr>
          <w:p>
            <w:pPr>
              <w:jc w:val="center"/>
              <w:ind w:left="468"/>
              <w:spacing w:after="0"/>
              <w:rPr>
                <w:sz w:val="20"/>
                <w:szCs w:val="20"/>
                <w:color w:val="auto"/>
              </w:rPr>
            </w:pPr>
            <w:r>
              <w:rPr>
                <w:rFonts w:ascii="Arial" w:cs="Arial" w:eastAsia="Arial" w:hAnsi="Arial"/>
                <w:sz w:val="14"/>
                <w:szCs w:val="14"/>
                <w:b w:val="1"/>
                <w:bCs w:val="1"/>
                <w:color w:val="auto"/>
              </w:rPr>
              <w:t>$1,592,102</w:t>
            </w:r>
          </w:p>
        </w:tc>
        <w:tc>
          <w:tcPr>
            <w:tcW w:w="540" w:type="dxa"/>
            <w:vAlign w:val="bottom"/>
            <w:shd w:val="clear" w:color="auto" w:fill="DBE5F1"/>
          </w:tcPr>
          <w:p>
            <w:pPr>
              <w:spacing w:after="0"/>
              <w:rPr>
                <w:sz w:val="17"/>
                <w:szCs w:val="17"/>
                <w:color w:val="auto"/>
              </w:rPr>
            </w:pPr>
          </w:p>
        </w:tc>
      </w:tr>
      <w:tr>
        <w:trPr>
          <w:trHeight w:val="149"/>
        </w:trPr>
        <w:tc>
          <w:tcPr>
            <w:tcW w:w="2880" w:type="dxa"/>
            <w:vAlign w:val="bottom"/>
            <w:tcBorders>
              <w:right w:val="single" w:sz="8" w:color="95B3D7"/>
            </w:tcBorders>
          </w:tcPr>
          <w:p>
            <w:pPr>
              <w:ind w:left="520"/>
              <w:spacing w:after="0" w:line="149" w:lineRule="exact"/>
              <w:rPr>
                <w:sz w:val="20"/>
                <w:szCs w:val="20"/>
                <w:color w:val="auto"/>
              </w:rPr>
            </w:pPr>
            <w:r>
              <w:rPr>
                <w:rFonts w:ascii="Arial" w:cs="Arial" w:eastAsia="Arial" w:hAnsi="Arial"/>
                <w:sz w:val="14"/>
                <w:szCs w:val="14"/>
                <w:color w:val="auto"/>
              </w:rPr>
              <w:t>Year-end fair value of any equity</w:t>
            </w:r>
          </w:p>
        </w:tc>
        <w:tc>
          <w:tcPr>
            <w:tcW w:w="1340" w:type="dxa"/>
            <w:vAlign w:val="bottom"/>
            <w:gridSpan w:val="2"/>
          </w:tcPr>
          <w:p>
            <w:pPr>
              <w:jc w:val="center"/>
              <w:ind w:left="468"/>
              <w:spacing w:after="0" w:line="149" w:lineRule="exact"/>
              <w:rPr>
                <w:sz w:val="20"/>
                <w:szCs w:val="20"/>
                <w:color w:val="auto"/>
              </w:rPr>
            </w:pPr>
            <w:r>
              <w:rPr>
                <w:rFonts w:ascii="Arial" w:cs="Arial" w:eastAsia="Arial" w:hAnsi="Arial"/>
                <w:sz w:val="14"/>
                <w:szCs w:val="14"/>
                <w:color w:val="auto"/>
              </w:rPr>
              <w:t>$7,425,000</w:t>
            </w:r>
          </w:p>
        </w:tc>
        <w:tc>
          <w:tcPr>
            <w:tcW w:w="580" w:type="dxa"/>
            <w:vAlign w:val="bottom"/>
            <w:tcBorders>
              <w:right w:val="single" w:sz="8" w:color="95B3D7"/>
            </w:tcBorders>
          </w:tcPr>
          <w:p>
            <w:pPr>
              <w:spacing w:after="0"/>
              <w:rPr>
                <w:sz w:val="12"/>
                <w:szCs w:val="12"/>
                <w:color w:val="auto"/>
              </w:rPr>
            </w:pPr>
          </w:p>
        </w:tc>
        <w:tc>
          <w:tcPr>
            <w:tcW w:w="1340" w:type="dxa"/>
            <w:vAlign w:val="bottom"/>
            <w:gridSpan w:val="2"/>
          </w:tcPr>
          <w:p>
            <w:pPr>
              <w:jc w:val="center"/>
              <w:ind w:left="468"/>
              <w:spacing w:after="0" w:line="149" w:lineRule="exact"/>
              <w:rPr>
                <w:sz w:val="20"/>
                <w:szCs w:val="20"/>
                <w:color w:val="auto"/>
              </w:rPr>
            </w:pPr>
            <w:r>
              <w:rPr>
                <w:rFonts w:ascii="Arial" w:cs="Arial" w:eastAsia="Arial" w:hAnsi="Arial"/>
                <w:sz w:val="14"/>
                <w:szCs w:val="14"/>
                <w:color w:val="auto"/>
              </w:rPr>
              <w:t>$16,247,259</w:t>
            </w:r>
          </w:p>
        </w:tc>
        <w:tc>
          <w:tcPr>
            <w:tcW w:w="560" w:type="dxa"/>
            <w:vAlign w:val="bottom"/>
            <w:tcBorders>
              <w:right w:val="single" w:sz="8" w:color="95B3D7"/>
            </w:tcBorders>
          </w:tcPr>
          <w:p>
            <w:pPr>
              <w:spacing w:after="0"/>
              <w:rPr>
                <w:sz w:val="12"/>
                <w:szCs w:val="12"/>
                <w:color w:val="auto"/>
              </w:rPr>
            </w:pPr>
          </w:p>
        </w:tc>
        <w:tc>
          <w:tcPr>
            <w:tcW w:w="1900" w:type="dxa"/>
            <w:vAlign w:val="bottom"/>
            <w:tcBorders>
              <w:right w:val="single" w:sz="8" w:color="95B3D7"/>
            </w:tcBorders>
            <w:gridSpan w:val="3"/>
          </w:tcPr>
          <w:p>
            <w:pPr>
              <w:jc w:val="center"/>
              <w:ind w:right="20"/>
              <w:spacing w:after="0" w:line="149" w:lineRule="exact"/>
              <w:rPr>
                <w:sz w:val="20"/>
                <w:szCs w:val="20"/>
                <w:color w:val="auto"/>
              </w:rPr>
            </w:pPr>
            <w:r>
              <w:rPr>
                <w:rFonts w:ascii="Arial" w:cs="Arial" w:eastAsia="Arial" w:hAnsi="Arial"/>
                <w:sz w:val="14"/>
                <w:szCs w:val="14"/>
                <w:color w:val="auto"/>
              </w:rPr>
              <w:t>$27,710,914</w:t>
            </w:r>
          </w:p>
        </w:tc>
        <w:tc>
          <w:tcPr>
            <w:tcW w:w="1880" w:type="dxa"/>
            <w:vAlign w:val="bottom"/>
            <w:gridSpan w:val="3"/>
          </w:tcPr>
          <w:p>
            <w:pPr>
              <w:jc w:val="center"/>
              <w:spacing w:after="0" w:line="149" w:lineRule="exact"/>
              <w:rPr>
                <w:sz w:val="20"/>
                <w:szCs w:val="20"/>
                <w:color w:val="auto"/>
              </w:rPr>
            </w:pPr>
            <w:r>
              <w:rPr>
                <w:rFonts w:ascii="Arial" w:cs="Arial" w:eastAsia="Arial" w:hAnsi="Arial"/>
                <w:sz w:val="14"/>
                <w:szCs w:val="14"/>
                <w:color w:val="auto"/>
              </w:rPr>
              <w:t>$20,804,877</w:t>
            </w:r>
          </w:p>
        </w:tc>
      </w:tr>
      <w:tr>
        <w:trPr>
          <w:trHeight w:val="139"/>
        </w:trPr>
        <w:tc>
          <w:tcPr>
            <w:tcW w:w="2880" w:type="dxa"/>
            <w:vAlign w:val="bottom"/>
            <w:tcBorders>
              <w:right w:val="single" w:sz="8" w:color="95B3D7"/>
            </w:tcBorders>
          </w:tcPr>
          <w:p>
            <w:pPr>
              <w:ind w:left="520"/>
              <w:spacing w:after="0" w:line="139" w:lineRule="exact"/>
              <w:rPr>
                <w:sz w:val="20"/>
                <w:szCs w:val="20"/>
                <w:color w:val="auto"/>
              </w:rPr>
            </w:pPr>
            <w:r>
              <w:rPr>
                <w:rFonts w:ascii="Arial" w:cs="Arial" w:eastAsia="Arial" w:hAnsi="Arial"/>
                <w:sz w:val="14"/>
                <w:szCs w:val="14"/>
                <w:color w:val="auto"/>
              </w:rPr>
              <w:t>awards granted in applicable year</w:t>
            </w: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Borders>
              <w:right w:val="single" w:sz="8" w:color="95B3D7"/>
            </w:tcBorders>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Borders>
              <w:right w:val="single" w:sz="8" w:color="95B3D7"/>
            </w:tcBorders>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Borders>
              <w:right w:val="single" w:sz="8" w:color="95B3D7"/>
            </w:tcBorders>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8"/>
        </w:trPr>
        <w:tc>
          <w:tcPr>
            <w:tcW w:w="2880" w:type="dxa"/>
            <w:vAlign w:val="bottom"/>
            <w:tcBorders>
              <w:right w:val="single" w:sz="8" w:color="95B3D7"/>
            </w:tcBorders>
          </w:tcPr>
          <w:p>
            <w:pPr>
              <w:ind w:left="520"/>
              <w:spacing w:after="0" w:line="149" w:lineRule="exact"/>
              <w:rPr>
                <w:sz w:val="20"/>
                <w:szCs w:val="20"/>
                <w:color w:val="auto"/>
              </w:rPr>
            </w:pPr>
            <w:r>
              <w:rPr>
                <w:rFonts w:ascii="Arial" w:cs="Arial" w:eastAsia="Arial" w:hAnsi="Arial"/>
                <w:sz w:val="14"/>
                <w:szCs w:val="14"/>
                <w:color w:val="auto"/>
              </w:rPr>
              <w:t>that are outstanding and unvested</w:t>
            </w: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Borders>
              <w:right w:val="single" w:sz="8" w:color="95B3D7"/>
            </w:tcBorders>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Borders>
              <w:right w:val="single" w:sz="8" w:color="95B3D7"/>
            </w:tcBorders>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Borders>
              <w:right w:val="single" w:sz="8" w:color="95B3D7"/>
            </w:tcBorders>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94"/>
        </w:trPr>
        <w:tc>
          <w:tcPr>
            <w:tcW w:w="2880" w:type="dxa"/>
            <w:vAlign w:val="bottom"/>
            <w:tcBorders>
              <w:right w:val="single" w:sz="8" w:color="95B3D7"/>
            </w:tcBorders>
          </w:tcPr>
          <w:p>
            <w:pPr>
              <w:ind w:left="520"/>
              <w:spacing w:after="0"/>
              <w:rPr>
                <w:sz w:val="20"/>
                <w:szCs w:val="20"/>
                <w:color w:val="auto"/>
              </w:rPr>
            </w:pPr>
            <w:r>
              <w:rPr>
                <w:rFonts w:ascii="Arial" w:cs="Arial" w:eastAsia="Arial" w:hAnsi="Arial"/>
                <w:sz w:val="14"/>
                <w:szCs w:val="14"/>
                <w:color w:val="auto"/>
              </w:rPr>
              <w:t>as of the end of the year</w:t>
            </w: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Borders>
              <w:right w:val="single" w:sz="8" w:color="95B3D7"/>
            </w:tcBorders>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Borders>
              <w:right w:val="single" w:sz="8" w:color="95B3D7"/>
            </w:tcBorders>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Borders>
              <w:right w:val="single" w:sz="8" w:color="95B3D7"/>
            </w:tcBorders>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53"/>
        </w:trPr>
        <w:tc>
          <w:tcPr>
            <w:tcW w:w="2880" w:type="dxa"/>
            <w:vAlign w:val="bottom"/>
            <w:tcBorders>
              <w:right w:val="single" w:sz="8" w:color="95B3D7"/>
            </w:tcBorders>
            <w:shd w:val="clear" w:color="auto" w:fill="DBE5F1"/>
          </w:tcPr>
          <w:p>
            <w:pPr>
              <w:ind w:left="520"/>
              <w:spacing w:after="0" w:line="153" w:lineRule="exact"/>
              <w:rPr>
                <w:sz w:val="20"/>
                <w:szCs w:val="20"/>
                <w:color w:val="auto"/>
              </w:rPr>
            </w:pPr>
            <w:r>
              <w:rPr>
                <w:rFonts w:ascii="Arial" w:cs="Arial" w:eastAsia="Arial" w:hAnsi="Arial"/>
                <w:sz w:val="14"/>
                <w:szCs w:val="14"/>
                <w:color w:val="auto"/>
              </w:rPr>
              <w:t>The amount of change as of the end</w:t>
            </w:r>
          </w:p>
        </w:tc>
        <w:tc>
          <w:tcPr>
            <w:tcW w:w="1920" w:type="dxa"/>
            <w:vAlign w:val="bottom"/>
            <w:tcBorders>
              <w:right w:val="single" w:sz="8" w:color="95B3D7"/>
            </w:tcBorders>
            <w:gridSpan w:val="3"/>
            <w:shd w:val="clear" w:color="auto" w:fill="DBE5F1"/>
          </w:tcPr>
          <w:p>
            <w:pPr>
              <w:jc w:val="center"/>
              <w:ind w:right="40"/>
              <w:spacing w:after="0" w:line="153" w:lineRule="exact"/>
              <w:rPr>
                <w:sz w:val="20"/>
                <w:szCs w:val="20"/>
                <w:color w:val="auto"/>
              </w:rPr>
            </w:pPr>
            <w:r>
              <w:rPr>
                <w:rFonts w:ascii="Arial" w:cs="Arial" w:eastAsia="Arial" w:hAnsi="Arial"/>
                <w:sz w:val="14"/>
                <w:szCs w:val="14"/>
                <w:color w:val="auto"/>
              </w:rPr>
              <w:t>$17,121,231</w:t>
            </w:r>
          </w:p>
        </w:tc>
        <w:tc>
          <w:tcPr>
            <w:tcW w:w="1900" w:type="dxa"/>
            <w:vAlign w:val="bottom"/>
            <w:tcBorders>
              <w:right w:val="single" w:sz="8" w:color="95B3D7"/>
            </w:tcBorders>
            <w:gridSpan w:val="3"/>
            <w:shd w:val="clear" w:color="auto" w:fill="DBE5F1"/>
          </w:tcPr>
          <w:p>
            <w:pPr>
              <w:jc w:val="center"/>
              <w:ind w:right="40"/>
              <w:spacing w:after="0" w:line="153" w:lineRule="exact"/>
              <w:rPr>
                <w:sz w:val="20"/>
                <w:szCs w:val="20"/>
                <w:color w:val="auto"/>
              </w:rPr>
            </w:pPr>
            <w:r>
              <w:rPr>
                <w:rFonts w:ascii="Arial" w:cs="Arial" w:eastAsia="Arial" w:hAnsi="Arial"/>
                <w:sz w:val="14"/>
                <w:szCs w:val="14"/>
                <w:color w:val="auto"/>
              </w:rPr>
              <w:t>$(12,858,959)</w:t>
            </w:r>
          </w:p>
        </w:tc>
        <w:tc>
          <w:tcPr>
            <w:tcW w:w="1900" w:type="dxa"/>
            <w:vAlign w:val="bottom"/>
            <w:tcBorders>
              <w:right w:val="single" w:sz="8" w:color="95B3D7"/>
            </w:tcBorders>
            <w:gridSpan w:val="3"/>
            <w:shd w:val="clear" w:color="auto" w:fill="DBE5F1"/>
          </w:tcPr>
          <w:p>
            <w:pPr>
              <w:jc w:val="center"/>
              <w:ind w:right="40"/>
              <w:spacing w:after="0" w:line="153" w:lineRule="exact"/>
              <w:rPr>
                <w:sz w:val="20"/>
                <w:szCs w:val="20"/>
                <w:color w:val="auto"/>
              </w:rPr>
            </w:pPr>
            <w:r>
              <w:rPr>
                <w:rFonts w:ascii="Arial" w:cs="Arial" w:eastAsia="Arial" w:hAnsi="Arial"/>
                <w:sz w:val="14"/>
                <w:szCs w:val="14"/>
                <w:color w:val="auto"/>
              </w:rPr>
              <w:t>$(1,347,517)</w:t>
            </w:r>
          </w:p>
        </w:tc>
        <w:tc>
          <w:tcPr>
            <w:tcW w:w="1340" w:type="dxa"/>
            <w:vAlign w:val="bottom"/>
            <w:gridSpan w:val="2"/>
            <w:shd w:val="clear" w:color="auto" w:fill="DBE5F1"/>
          </w:tcPr>
          <w:p>
            <w:pPr>
              <w:jc w:val="center"/>
              <w:ind w:left="468"/>
              <w:spacing w:after="0" w:line="153" w:lineRule="exact"/>
              <w:rPr>
                <w:sz w:val="20"/>
                <w:szCs w:val="20"/>
                <w:color w:val="auto"/>
              </w:rPr>
            </w:pPr>
            <w:r>
              <w:rPr>
                <w:rFonts w:ascii="Arial" w:cs="Arial" w:eastAsia="Arial" w:hAnsi="Arial"/>
                <w:sz w:val="14"/>
                <w:szCs w:val="14"/>
                <w:color w:val="auto"/>
              </w:rPr>
              <w:t>$8,950,439</w:t>
            </w:r>
          </w:p>
        </w:tc>
        <w:tc>
          <w:tcPr>
            <w:tcW w:w="540" w:type="dxa"/>
            <w:vAlign w:val="bottom"/>
            <w:shd w:val="clear" w:color="auto" w:fill="DBE5F1"/>
          </w:tcPr>
          <w:p>
            <w:pPr>
              <w:spacing w:after="0"/>
              <w:rPr>
                <w:sz w:val="13"/>
                <w:szCs w:val="13"/>
                <w:color w:val="auto"/>
              </w:rPr>
            </w:pPr>
          </w:p>
        </w:tc>
      </w:tr>
      <w:tr>
        <w:trPr>
          <w:trHeight w:val="139"/>
        </w:trPr>
        <w:tc>
          <w:tcPr>
            <w:tcW w:w="2880" w:type="dxa"/>
            <w:vAlign w:val="bottom"/>
            <w:tcBorders>
              <w:right w:val="single" w:sz="8" w:color="95B3D7"/>
            </w:tcBorders>
            <w:shd w:val="clear" w:color="auto" w:fill="DBE5F1"/>
          </w:tcPr>
          <w:p>
            <w:pPr>
              <w:ind w:left="520"/>
              <w:spacing w:after="0" w:line="139" w:lineRule="exact"/>
              <w:rPr>
                <w:sz w:val="20"/>
                <w:szCs w:val="20"/>
                <w:color w:val="auto"/>
              </w:rPr>
            </w:pPr>
            <w:r>
              <w:rPr>
                <w:rFonts w:ascii="Arial" w:cs="Arial" w:eastAsia="Arial" w:hAnsi="Arial"/>
                <w:sz w:val="14"/>
                <w:szCs w:val="14"/>
                <w:color w:val="auto"/>
              </w:rPr>
              <w:t>of the applicable year (from the end</w:t>
            </w:r>
          </w:p>
        </w:tc>
        <w:tc>
          <w:tcPr>
            <w:tcW w:w="54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580" w:type="dxa"/>
            <w:vAlign w:val="bottom"/>
            <w:tcBorders>
              <w:right w:val="single" w:sz="8" w:color="95B3D7"/>
            </w:tcBorders>
            <w:shd w:val="clear" w:color="auto" w:fill="DBE5F1"/>
          </w:tcPr>
          <w:p>
            <w:pPr>
              <w:spacing w:after="0"/>
              <w:rPr>
                <w:sz w:val="12"/>
                <w:szCs w:val="12"/>
                <w:color w:val="auto"/>
              </w:rPr>
            </w:pPr>
          </w:p>
        </w:tc>
        <w:tc>
          <w:tcPr>
            <w:tcW w:w="520" w:type="dxa"/>
            <w:vAlign w:val="bottom"/>
            <w:shd w:val="clear" w:color="auto" w:fill="DBE5F1"/>
          </w:tcPr>
          <w:p>
            <w:pPr>
              <w:spacing w:after="0"/>
              <w:rPr>
                <w:sz w:val="12"/>
                <w:szCs w:val="12"/>
                <w:color w:val="auto"/>
              </w:rPr>
            </w:pPr>
          </w:p>
        </w:tc>
        <w:tc>
          <w:tcPr>
            <w:tcW w:w="820" w:type="dxa"/>
            <w:vAlign w:val="bottom"/>
            <w:shd w:val="clear" w:color="auto" w:fill="DBE5F1"/>
          </w:tcPr>
          <w:p>
            <w:pPr>
              <w:spacing w:after="0"/>
              <w:rPr>
                <w:sz w:val="12"/>
                <w:szCs w:val="12"/>
                <w:color w:val="auto"/>
              </w:rPr>
            </w:pPr>
          </w:p>
        </w:tc>
        <w:tc>
          <w:tcPr>
            <w:tcW w:w="560" w:type="dxa"/>
            <w:vAlign w:val="bottom"/>
            <w:tcBorders>
              <w:right w:val="single" w:sz="8" w:color="95B3D7"/>
            </w:tcBorders>
            <w:shd w:val="clear" w:color="auto" w:fill="DBE5F1"/>
          </w:tcPr>
          <w:p>
            <w:pPr>
              <w:spacing w:after="0"/>
              <w:rPr>
                <w:sz w:val="12"/>
                <w:szCs w:val="12"/>
                <w:color w:val="auto"/>
              </w:rPr>
            </w:pPr>
          </w:p>
        </w:tc>
        <w:tc>
          <w:tcPr>
            <w:tcW w:w="54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560" w:type="dxa"/>
            <w:vAlign w:val="bottom"/>
            <w:tcBorders>
              <w:right w:val="single" w:sz="8" w:color="95B3D7"/>
            </w:tcBorders>
            <w:shd w:val="clear" w:color="auto" w:fill="DBE5F1"/>
          </w:tcPr>
          <w:p>
            <w:pPr>
              <w:spacing w:after="0"/>
              <w:rPr>
                <w:sz w:val="12"/>
                <w:szCs w:val="12"/>
                <w:color w:val="auto"/>
              </w:rPr>
            </w:pPr>
          </w:p>
        </w:tc>
        <w:tc>
          <w:tcPr>
            <w:tcW w:w="54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540" w:type="dxa"/>
            <w:vAlign w:val="bottom"/>
            <w:shd w:val="clear" w:color="auto" w:fill="DBE5F1"/>
          </w:tcPr>
          <w:p>
            <w:pPr>
              <w:spacing w:after="0"/>
              <w:rPr>
                <w:sz w:val="12"/>
                <w:szCs w:val="12"/>
                <w:color w:val="auto"/>
              </w:rPr>
            </w:pPr>
          </w:p>
        </w:tc>
      </w:tr>
      <w:tr>
        <w:trPr>
          <w:trHeight w:val="148"/>
        </w:trPr>
        <w:tc>
          <w:tcPr>
            <w:tcW w:w="2880" w:type="dxa"/>
            <w:vAlign w:val="bottom"/>
            <w:tcBorders>
              <w:right w:val="single" w:sz="8" w:color="95B3D7"/>
            </w:tcBorders>
            <w:shd w:val="clear" w:color="auto" w:fill="DBE5F1"/>
          </w:tcPr>
          <w:p>
            <w:pPr>
              <w:ind w:left="520"/>
              <w:spacing w:after="0" w:line="149" w:lineRule="exact"/>
              <w:rPr>
                <w:sz w:val="20"/>
                <w:szCs w:val="20"/>
                <w:color w:val="auto"/>
              </w:rPr>
            </w:pPr>
            <w:r>
              <w:rPr>
                <w:rFonts w:ascii="Arial" w:cs="Arial" w:eastAsia="Arial" w:hAnsi="Arial"/>
                <w:sz w:val="14"/>
                <w:szCs w:val="14"/>
                <w:color w:val="auto"/>
              </w:rPr>
              <w:t>of the prior fiscal year) in fair value</w:t>
            </w:r>
          </w:p>
        </w:tc>
        <w:tc>
          <w:tcPr>
            <w:tcW w:w="54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580" w:type="dxa"/>
            <w:vAlign w:val="bottom"/>
            <w:tcBorders>
              <w:right w:val="single" w:sz="8" w:color="95B3D7"/>
            </w:tcBorders>
            <w:shd w:val="clear" w:color="auto" w:fill="DBE5F1"/>
          </w:tcPr>
          <w:p>
            <w:pPr>
              <w:spacing w:after="0"/>
              <w:rPr>
                <w:sz w:val="12"/>
                <w:szCs w:val="12"/>
                <w:color w:val="auto"/>
              </w:rPr>
            </w:pPr>
          </w:p>
        </w:tc>
        <w:tc>
          <w:tcPr>
            <w:tcW w:w="520" w:type="dxa"/>
            <w:vAlign w:val="bottom"/>
            <w:shd w:val="clear" w:color="auto" w:fill="DBE5F1"/>
          </w:tcPr>
          <w:p>
            <w:pPr>
              <w:spacing w:after="0"/>
              <w:rPr>
                <w:sz w:val="12"/>
                <w:szCs w:val="12"/>
                <w:color w:val="auto"/>
              </w:rPr>
            </w:pPr>
          </w:p>
        </w:tc>
        <w:tc>
          <w:tcPr>
            <w:tcW w:w="820" w:type="dxa"/>
            <w:vAlign w:val="bottom"/>
            <w:shd w:val="clear" w:color="auto" w:fill="DBE5F1"/>
          </w:tcPr>
          <w:p>
            <w:pPr>
              <w:spacing w:after="0"/>
              <w:rPr>
                <w:sz w:val="12"/>
                <w:szCs w:val="12"/>
                <w:color w:val="auto"/>
              </w:rPr>
            </w:pPr>
          </w:p>
        </w:tc>
        <w:tc>
          <w:tcPr>
            <w:tcW w:w="560" w:type="dxa"/>
            <w:vAlign w:val="bottom"/>
            <w:tcBorders>
              <w:right w:val="single" w:sz="8" w:color="95B3D7"/>
            </w:tcBorders>
            <w:shd w:val="clear" w:color="auto" w:fill="DBE5F1"/>
          </w:tcPr>
          <w:p>
            <w:pPr>
              <w:spacing w:after="0"/>
              <w:rPr>
                <w:sz w:val="12"/>
                <w:szCs w:val="12"/>
                <w:color w:val="auto"/>
              </w:rPr>
            </w:pPr>
          </w:p>
        </w:tc>
        <w:tc>
          <w:tcPr>
            <w:tcW w:w="54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560" w:type="dxa"/>
            <w:vAlign w:val="bottom"/>
            <w:tcBorders>
              <w:right w:val="single" w:sz="8" w:color="95B3D7"/>
            </w:tcBorders>
            <w:shd w:val="clear" w:color="auto" w:fill="DBE5F1"/>
          </w:tcPr>
          <w:p>
            <w:pPr>
              <w:spacing w:after="0"/>
              <w:rPr>
                <w:sz w:val="12"/>
                <w:szCs w:val="12"/>
                <w:color w:val="auto"/>
              </w:rPr>
            </w:pPr>
          </w:p>
        </w:tc>
        <w:tc>
          <w:tcPr>
            <w:tcW w:w="54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540" w:type="dxa"/>
            <w:vAlign w:val="bottom"/>
            <w:shd w:val="clear" w:color="auto" w:fill="DBE5F1"/>
          </w:tcPr>
          <w:p>
            <w:pPr>
              <w:spacing w:after="0"/>
              <w:rPr>
                <w:sz w:val="12"/>
                <w:szCs w:val="12"/>
                <w:color w:val="auto"/>
              </w:rPr>
            </w:pPr>
          </w:p>
        </w:tc>
      </w:tr>
      <w:tr>
        <w:trPr>
          <w:trHeight w:val="144"/>
        </w:trPr>
        <w:tc>
          <w:tcPr>
            <w:tcW w:w="2880" w:type="dxa"/>
            <w:vAlign w:val="bottom"/>
            <w:tcBorders>
              <w:right w:val="single" w:sz="8" w:color="95B3D7"/>
            </w:tcBorders>
            <w:shd w:val="clear" w:color="auto" w:fill="DBE5F1"/>
          </w:tcPr>
          <w:p>
            <w:pPr>
              <w:ind w:left="520"/>
              <w:spacing w:after="0" w:line="145" w:lineRule="exact"/>
              <w:rPr>
                <w:sz w:val="20"/>
                <w:szCs w:val="20"/>
                <w:color w:val="auto"/>
              </w:rPr>
            </w:pPr>
            <w:r>
              <w:rPr>
                <w:rFonts w:ascii="Arial" w:cs="Arial" w:eastAsia="Arial" w:hAnsi="Arial"/>
                <w:sz w:val="14"/>
                <w:szCs w:val="14"/>
                <w:color w:val="auto"/>
              </w:rPr>
              <w:t>of any awards granted in prior years</w:t>
            </w:r>
          </w:p>
        </w:tc>
        <w:tc>
          <w:tcPr>
            <w:tcW w:w="54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580" w:type="dxa"/>
            <w:vAlign w:val="bottom"/>
            <w:tcBorders>
              <w:right w:val="single" w:sz="8" w:color="95B3D7"/>
            </w:tcBorders>
            <w:shd w:val="clear" w:color="auto" w:fill="DBE5F1"/>
          </w:tcPr>
          <w:p>
            <w:pPr>
              <w:spacing w:after="0"/>
              <w:rPr>
                <w:sz w:val="12"/>
                <w:szCs w:val="12"/>
                <w:color w:val="auto"/>
              </w:rPr>
            </w:pPr>
          </w:p>
        </w:tc>
        <w:tc>
          <w:tcPr>
            <w:tcW w:w="520" w:type="dxa"/>
            <w:vAlign w:val="bottom"/>
            <w:shd w:val="clear" w:color="auto" w:fill="DBE5F1"/>
          </w:tcPr>
          <w:p>
            <w:pPr>
              <w:spacing w:after="0"/>
              <w:rPr>
                <w:sz w:val="12"/>
                <w:szCs w:val="12"/>
                <w:color w:val="auto"/>
              </w:rPr>
            </w:pPr>
          </w:p>
        </w:tc>
        <w:tc>
          <w:tcPr>
            <w:tcW w:w="820" w:type="dxa"/>
            <w:vAlign w:val="bottom"/>
            <w:shd w:val="clear" w:color="auto" w:fill="DBE5F1"/>
          </w:tcPr>
          <w:p>
            <w:pPr>
              <w:spacing w:after="0"/>
              <w:rPr>
                <w:sz w:val="12"/>
                <w:szCs w:val="12"/>
                <w:color w:val="auto"/>
              </w:rPr>
            </w:pPr>
          </w:p>
        </w:tc>
        <w:tc>
          <w:tcPr>
            <w:tcW w:w="560" w:type="dxa"/>
            <w:vAlign w:val="bottom"/>
            <w:tcBorders>
              <w:right w:val="single" w:sz="8" w:color="95B3D7"/>
            </w:tcBorders>
            <w:shd w:val="clear" w:color="auto" w:fill="DBE5F1"/>
          </w:tcPr>
          <w:p>
            <w:pPr>
              <w:spacing w:after="0"/>
              <w:rPr>
                <w:sz w:val="12"/>
                <w:szCs w:val="12"/>
                <w:color w:val="auto"/>
              </w:rPr>
            </w:pPr>
          </w:p>
        </w:tc>
        <w:tc>
          <w:tcPr>
            <w:tcW w:w="54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560" w:type="dxa"/>
            <w:vAlign w:val="bottom"/>
            <w:tcBorders>
              <w:right w:val="single" w:sz="8" w:color="95B3D7"/>
            </w:tcBorders>
            <w:shd w:val="clear" w:color="auto" w:fill="DBE5F1"/>
          </w:tcPr>
          <w:p>
            <w:pPr>
              <w:spacing w:after="0"/>
              <w:rPr>
                <w:sz w:val="12"/>
                <w:szCs w:val="12"/>
                <w:color w:val="auto"/>
              </w:rPr>
            </w:pPr>
          </w:p>
        </w:tc>
        <w:tc>
          <w:tcPr>
            <w:tcW w:w="54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540" w:type="dxa"/>
            <w:vAlign w:val="bottom"/>
            <w:shd w:val="clear" w:color="auto" w:fill="DBE5F1"/>
          </w:tcPr>
          <w:p>
            <w:pPr>
              <w:spacing w:after="0"/>
              <w:rPr>
                <w:sz w:val="12"/>
                <w:szCs w:val="12"/>
                <w:color w:val="auto"/>
              </w:rPr>
            </w:pPr>
          </w:p>
        </w:tc>
      </w:tr>
      <w:tr>
        <w:trPr>
          <w:trHeight w:val="139"/>
        </w:trPr>
        <w:tc>
          <w:tcPr>
            <w:tcW w:w="2880" w:type="dxa"/>
            <w:vAlign w:val="bottom"/>
            <w:tcBorders>
              <w:right w:val="single" w:sz="8" w:color="95B3D7"/>
            </w:tcBorders>
            <w:shd w:val="clear" w:color="auto" w:fill="DBE5F1"/>
          </w:tcPr>
          <w:p>
            <w:pPr>
              <w:ind w:left="520"/>
              <w:spacing w:after="0" w:line="139" w:lineRule="exact"/>
              <w:rPr>
                <w:sz w:val="20"/>
                <w:szCs w:val="20"/>
                <w:color w:val="auto"/>
              </w:rPr>
            </w:pPr>
            <w:r>
              <w:rPr>
                <w:rFonts w:ascii="Arial" w:cs="Arial" w:eastAsia="Arial" w:hAnsi="Arial"/>
                <w:sz w:val="14"/>
                <w:szCs w:val="14"/>
                <w:color w:val="auto"/>
              </w:rPr>
              <w:t>that are outstanding and unvested</w:t>
            </w:r>
          </w:p>
        </w:tc>
        <w:tc>
          <w:tcPr>
            <w:tcW w:w="54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580" w:type="dxa"/>
            <w:vAlign w:val="bottom"/>
            <w:tcBorders>
              <w:right w:val="single" w:sz="8" w:color="95B3D7"/>
            </w:tcBorders>
            <w:shd w:val="clear" w:color="auto" w:fill="DBE5F1"/>
          </w:tcPr>
          <w:p>
            <w:pPr>
              <w:spacing w:after="0"/>
              <w:rPr>
                <w:sz w:val="12"/>
                <w:szCs w:val="12"/>
                <w:color w:val="auto"/>
              </w:rPr>
            </w:pPr>
          </w:p>
        </w:tc>
        <w:tc>
          <w:tcPr>
            <w:tcW w:w="520" w:type="dxa"/>
            <w:vAlign w:val="bottom"/>
            <w:shd w:val="clear" w:color="auto" w:fill="DBE5F1"/>
          </w:tcPr>
          <w:p>
            <w:pPr>
              <w:spacing w:after="0"/>
              <w:rPr>
                <w:sz w:val="12"/>
                <w:szCs w:val="12"/>
                <w:color w:val="auto"/>
              </w:rPr>
            </w:pPr>
          </w:p>
        </w:tc>
        <w:tc>
          <w:tcPr>
            <w:tcW w:w="820" w:type="dxa"/>
            <w:vAlign w:val="bottom"/>
            <w:shd w:val="clear" w:color="auto" w:fill="DBE5F1"/>
          </w:tcPr>
          <w:p>
            <w:pPr>
              <w:spacing w:after="0"/>
              <w:rPr>
                <w:sz w:val="12"/>
                <w:szCs w:val="12"/>
                <w:color w:val="auto"/>
              </w:rPr>
            </w:pPr>
          </w:p>
        </w:tc>
        <w:tc>
          <w:tcPr>
            <w:tcW w:w="560" w:type="dxa"/>
            <w:vAlign w:val="bottom"/>
            <w:tcBorders>
              <w:right w:val="single" w:sz="8" w:color="95B3D7"/>
            </w:tcBorders>
            <w:shd w:val="clear" w:color="auto" w:fill="DBE5F1"/>
          </w:tcPr>
          <w:p>
            <w:pPr>
              <w:spacing w:after="0"/>
              <w:rPr>
                <w:sz w:val="12"/>
                <w:szCs w:val="12"/>
                <w:color w:val="auto"/>
              </w:rPr>
            </w:pPr>
          </w:p>
        </w:tc>
        <w:tc>
          <w:tcPr>
            <w:tcW w:w="54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560" w:type="dxa"/>
            <w:vAlign w:val="bottom"/>
            <w:tcBorders>
              <w:right w:val="single" w:sz="8" w:color="95B3D7"/>
            </w:tcBorders>
            <w:shd w:val="clear" w:color="auto" w:fill="DBE5F1"/>
          </w:tcPr>
          <w:p>
            <w:pPr>
              <w:spacing w:after="0"/>
              <w:rPr>
                <w:sz w:val="12"/>
                <w:szCs w:val="12"/>
                <w:color w:val="auto"/>
              </w:rPr>
            </w:pPr>
          </w:p>
        </w:tc>
        <w:tc>
          <w:tcPr>
            <w:tcW w:w="54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540" w:type="dxa"/>
            <w:vAlign w:val="bottom"/>
            <w:shd w:val="clear" w:color="auto" w:fill="DBE5F1"/>
          </w:tcPr>
          <w:p>
            <w:pPr>
              <w:spacing w:after="0"/>
              <w:rPr>
                <w:sz w:val="12"/>
                <w:szCs w:val="12"/>
                <w:color w:val="auto"/>
              </w:rPr>
            </w:pPr>
          </w:p>
        </w:tc>
      </w:tr>
      <w:tr>
        <w:trPr>
          <w:trHeight w:val="198"/>
        </w:trPr>
        <w:tc>
          <w:tcPr>
            <w:tcW w:w="2880" w:type="dxa"/>
            <w:vAlign w:val="bottom"/>
            <w:tcBorders>
              <w:right w:val="single" w:sz="8" w:color="95B3D7"/>
            </w:tcBorders>
            <w:shd w:val="clear" w:color="auto" w:fill="DBE5F1"/>
          </w:tcPr>
          <w:p>
            <w:pPr>
              <w:ind w:left="520"/>
              <w:spacing w:after="0"/>
              <w:rPr>
                <w:sz w:val="20"/>
                <w:szCs w:val="20"/>
                <w:color w:val="auto"/>
              </w:rPr>
            </w:pPr>
            <w:r>
              <w:rPr>
                <w:rFonts w:ascii="Arial" w:cs="Arial" w:eastAsia="Arial" w:hAnsi="Arial"/>
                <w:sz w:val="14"/>
                <w:szCs w:val="14"/>
                <w:color w:val="auto"/>
              </w:rPr>
              <w:t>as of the end of the applicable year</w:t>
            </w:r>
          </w:p>
        </w:tc>
        <w:tc>
          <w:tcPr>
            <w:tcW w:w="540" w:type="dxa"/>
            <w:vAlign w:val="bottom"/>
            <w:shd w:val="clear" w:color="auto" w:fill="DBE5F1"/>
          </w:tcPr>
          <w:p>
            <w:pPr>
              <w:spacing w:after="0"/>
              <w:rPr>
                <w:sz w:val="17"/>
                <w:szCs w:val="17"/>
                <w:color w:val="auto"/>
              </w:rPr>
            </w:pPr>
          </w:p>
        </w:tc>
        <w:tc>
          <w:tcPr>
            <w:tcW w:w="800" w:type="dxa"/>
            <w:vAlign w:val="bottom"/>
            <w:shd w:val="clear" w:color="auto" w:fill="DBE5F1"/>
          </w:tcPr>
          <w:p>
            <w:pPr>
              <w:spacing w:after="0"/>
              <w:rPr>
                <w:sz w:val="17"/>
                <w:szCs w:val="17"/>
                <w:color w:val="auto"/>
              </w:rPr>
            </w:pPr>
          </w:p>
        </w:tc>
        <w:tc>
          <w:tcPr>
            <w:tcW w:w="580" w:type="dxa"/>
            <w:vAlign w:val="bottom"/>
            <w:tcBorders>
              <w:right w:val="single" w:sz="8" w:color="95B3D7"/>
            </w:tcBorders>
            <w:shd w:val="clear" w:color="auto" w:fill="DBE5F1"/>
          </w:tcPr>
          <w:p>
            <w:pPr>
              <w:spacing w:after="0"/>
              <w:rPr>
                <w:sz w:val="17"/>
                <w:szCs w:val="17"/>
                <w:color w:val="auto"/>
              </w:rPr>
            </w:pPr>
          </w:p>
        </w:tc>
        <w:tc>
          <w:tcPr>
            <w:tcW w:w="520" w:type="dxa"/>
            <w:vAlign w:val="bottom"/>
            <w:shd w:val="clear" w:color="auto" w:fill="DBE5F1"/>
          </w:tcPr>
          <w:p>
            <w:pPr>
              <w:spacing w:after="0"/>
              <w:rPr>
                <w:sz w:val="17"/>
                <w:szCs w:val="17"/>
                <w:color w:val="auto"/>
              </w:rPr>
            </w:pPr>
          </w:p>
        </w:tc>
        <w:tc>
          <w:tcPr>
            <w:tcW w:w="820" w:type="dxa"/>
            <w:vAlign w:val="bottom"/>
            <w:shd w:val="clear" w:color="auto" w:fill="DBE5F1"/>
          </w:tcPr>
          <w:p>
            <w:pPr>
              <w:spacing w:after="0"/>
              <w:rPr>
                <w:sz w:val="17"/>
                <w:szCs w:val="17"/>
                <w:color w:val="auto"/>
              </w:rPr>
            </w:pPr>
          </w:p>
        </w:tc>
        <w:tc>
          <w:tcPr>
            <w:tcW w:w="560" w:type="dxa"/>
            <w:vAlign w:val="bottom"/>
            <w:tcBorders>
              <w:right w:val="single" w:sz="8" w:color="95B3D7"/>
            </w:tcBorders>
            <w:shd w:val="clear" w:color="auto" w:fill="DBE5F1"/>
          </w:tcPr>
          <w:p>
            <w:pPr>
              <w:spacing w:after="0"/>
              <w:rPr>
                <w:sz w:val="17"/>
                <w:szCs w:val="17"/>
                <w:color w:val="auto"/>
              </w:rPr>
            </w:pPr>
          </w:p>
        </w:tc>
        <w:tc>
          <w:tcPr>
            <w:tcW w:w="540" w:type="dxa"/>
            <w:vAlign w:val="bottom"/>
            <w:shd w:val="clear" w:color="auto" w:fill="DBE5F1"/>
          </w:tcPr>
          <w:p>
            <w:pPr>
              <w:spacing w:after="0"/>
              <w:rPr>
                <w:sz w:val="17"/>
                <w:szCs w:val="17"/>
                <w:color w:val="auto"/>
              </w:rPr>
            </w:pPr>
          </w:p>
        </w:tc>
        <w:tc>
          <w:tcPr>
            <w:tcW w:w="800" w:type="dxa"/>
            <w:vAlign w:val="bottom"/>
            <w:shd w:val="clear" w:color="auto" w:fill="DBE5F1"/>
          </w:tcPr>
          <w:p>
            <w:pPr>
              <w:spacing w:after="0"/>
              <w:rPr>
                <w:sz w:val="17"/>
                <w:szCs w:val="17"/>
                <w:color w:val="auto"/>
              </w:rPr>
            </w:pPr>
          </w:p>
        </w:tc>
        <w:tc>
          <w:tcPr>
            <w:tcW w:w="560" w:type="dxa"/>
            <w:vAlign w:val="bottom"/>
            <w:tcBorders>
              <w:right w:val="single" w:sz="8" w:color="95B3D7"/>
            </w:tcBorders>
            <w:shd w:val="clear" w:color="auto" w:fill="DBE5F1"/>
          </w:tcPr>
          <w:p>
            <w:pPr>
              <w:spacing w:after="0"/>
              <w:rPr>
                <w:sz w:val="17"/>
                <w:szCs w:val="17"/>
                <w:color w:val="auto"/>
              </w:rPr>
            </w:pPr>
          </w:p>
        </w:tc>
        <w:tc>
          <w:tcPr>
            <w:tcW w:w="540" w:type="dxa"/>
            <w:vAlign w:val="bottom"/>
            <w:shd w:val="clear" w:color="auto" w:fill="DBE5F1"/>
          </w:tcPr>
          <w:p>
            <w:pPr>
              <w:spacing w:after="0"/>
              <w:rPr>
                <w:sz w:val="17"/>
                <w:szCs w:val="17"/>
                <w:color w:val="auto"/>
              </w:rPr>
            </w:pPr>
          </w:p>
        </w:tc>
        <w:tc>
          <w:tcPr>
            <w:tcW w:w="800" w:type="dxa"/>
            <w:vAlign w:val="bottom"/>
            <w:shd w:val="clear" w:color="auto" w:fill="DBE5F1"/>
          </w:tcPr>
          <w:p>
            <w:pPr>
              <w:spacing w:after="0"/>
              <w:rPr>
                <w:sz w:val="17"/>
                <w:szCs w:val="17"/>
                <w:color w:val="auto"/>
              </w:rPr>
            </w:pPr>
          </w:p>
        </w:tc>
        <w:tc>
          <w:tcPr>
            <w:tcW w:w="540" w:type="dxa"/>
            <w:vAlign w:val="bottom"/>
            <w:shd w:val="clear" w:color="auto" w:fill="DBE5F1"/>
          </w:tcPr>
          <w:p>
            <w:pPr>
              <w:spacing w:after="0"/>
              <w:rPr>
                <w:sz w:val="17"/>
                <w:szCs w:val="17"/>
                <w:color w:val="auto"/>
              </w:rPr>
            </w:pPr>
          </w:p>
        </w:tc>
      </w:tr>
      <w:tr>
        <w:trPr>
          <w:trHeight w:val="148"/>
        </w:trPr>
        <w:tc>
          <w:tcPr>
            <w:tcW w:w="2880" w:type="dxa"/>
            <w:vAlign w:val="bottom"/>
            <w:tcBorders>
              <w:right w:val="single" w:sz="8" w:color="95B3D7"/>
            </w:tcBorders>
          </w:tcPr>
          <w:p>
            <w:pPr>
              <w:ind w:left="520"/>
              <w:spacing w:after="0" w:line="149" w:lineRule="exact"/>
              <w:rPr>
                <w:sz w:val="20"/>
                <w:szCs w:val="20"/>
                <w:color w:val="auto"/>
              </w:rPr>
            </w:pPr>
            <w:r>
              <w:rPr>
                <w:rFonts w:ascii="Arial" w:cs="Arial" w:eastAsia="Arial" w:hAnsi="Arial"/>
                <w:sz w:val="14"/>
                <w:szCs w:val="14"/>
                <w:color w:val="auto"/>
              </w:rPr>
              <w:t>For awards granted in prior years</w:t>
            </w:r>
          </w:p>
        </w:tc>
        <w:tc>
          <w:tcPr>
            <w:tcW w:w="1920" w:type="dxa"/>
            <w:vAlign w:val="bottom"/>
            <w:tcBorders>
              <w:right w:val="single" w:sz="8" w:color="95B3D7"/>
            </w:tcBorders>
            <w:gridSpan w:val="3"/>
          </w:tcPr>
          <w:p>
            <w:pPr>
              <w:jc w:val="center"/>
              <w:ind w:right="20"/>
              <w:spacing w:after="0" w:line="149" w:lineRule="exact"/>
              <w:rPr>
                <w:sz w:val="20"/>
                <w:szCs w:val="20"/>
                <w:color w:val="auto"/>
              </w:rPr>
            </w:pPr>
            <w:r>
              <w:rPr>
                <w:rFonts w:ascii="Arial" w:cs="Arial" w:eastAsia="Arial" w:hAnsi="Arial"/>
                <w:sz w:val="14"/>
                <w:szCs w:val="14"/>
                <w:color w:val="auto"/>
              </w:rPr>
              <w:t>$(2,378,320)</w:t>
            </w:r>
          </w:p>
        </w:tc>
        <w:tc>
          <w:tcPr>
            <w:tcW w:w="1900" w:type="dxa"/>
            <w:vAlign w:val="bottom"/>
            <w:tcBorders>
              <w:right w:val="single" w:sz="8" w:color="95B3D7"/>
            </w:tcBorders>
            <w:gridSpan w:val="3"/>
          </w:tcPr>
          <w:p>
            <w:pPr>
              <w:jc w:val="center"/>
              <w:ind w:right="40"/>
              <w:spacing w:after="0" w:line="149" w:lineRule="exact"/>
              <w:rPr>
                <w:sz w:val="20"/>
                <w:szCs w:val="20"/>
                <w:color w:val="auto"/>
              </w:rPr>
            </w:pPr>
            <w:r>
              <w:rPr>
                <w:rFonts w:ascii="Arial" w:cs="Arial" w:eastAsia="Arial" w:hAnsi="Arial"/>
                <w:sz w:val="14"/>
                <w:szCs w:val="14"/>
                <w:color w:val="auto"/>
              </w:rPr>
              <w:t>$(7,861,706)</w:t>
            </w:r>
          </w:p>
        </w:tc>
        <w:tc>
          <w:tcPr>
            <w:tcW w:w="1900" w:type="dxa"/>
            <w:vAlign w:val="bottom"/>
            <w:tcBorders>
              <w:right w:val="single" w:sz="8" w:color="95B3D7"/>
            </w:tcBorders>
            <w:gridSpan w:val="3"/>
          </w:tcPr>
          <w:p>
            <w:pPr>
              <w:jc w:val="center"/>
              <w:ind w:right="40"/>
              <w:spacing w:after="0" w:line="149" w:lineRule="exact"/>
              <w:rPr>
                <w:sz w:val="20"/>
                <w:szCs w:val="20"/>
                <w:color w:val="auto"/>
              </w:rPr>
            </w:pPr>
            <w:r>
              <w:rPr>
                <w:rFonts w:ascii="Arial" w:cs="Arial" w:eastAsia="Arial" w:hAnsi="Arial"/>
                <w:sz w:val="14"/>
                <w:szCs w:val="14"/>
                <w:color w:val="auto"/>
              </w:rPr>
              <w:t>$(2,183,201)</w:t>
            </w:r>
          </w:p>
        </w:tc>
        <w:tc>
          <w:tcPr>
            <w:tcW w:w="1340" w:type="dxa"/>
            <w:vAlign w:val="bottom"/>
            <w:gridSpan w:val="2"/>
          </w:tcPr>
          <w:p>
            <w:pPr>
              <w:jc w:val="center"/>
              <w:ind w:left="468"/>
              <w:spacing w:after="0" w:line="149" w:lineRule="exact"/>
              <w:rPr>
                <w:sz w:val="20"/>
                <w:szCs w:val="20"/>
                <w:color w:val="auto"/>
              </w:rPr>
            </w:pPr>
            <w:r>
              <w:rPr>
                <w:rFonts w:ascii="Arial" w:cs="Arial" w:eastAsia="Arial" w:hAnsi="Arial"/>
                <w:sz w:val="14"/>
                <w:szCs w:val="14"/>
                <w:color w:val="auto"/>
              </w:rPr>
              <w:t>$5,956,769</w:t>
            </w:r>
          </w:p>
        </w:tc>
        <w:tc>
          <w:tcPr>
            <w:tcW w:w="540" w:type="dxa"/>
            <w:vAlign w:val="bottom"/>
          </w:tcPr>
          <w:p>
            <w:pPr>
              <w:spacing w:after="0"/>
              <w:rPr>
                <w:sz w:val="12"/>
                <w:szCs w:val="12"/>
                <w:color w:val="auto"/>
              </w:rPr>
            </w:pPr>
          </w:p>
        </w:tc>
      </w:tr>
      <w:tr>
        <w:trPr>
          <w:trHeight w:val="139"/>
        </w:trPr>
        <w:tc>
          <w:tcPr>
            <w:tcW w:w="2880" w:type="dxa"/>
            <w:vAlign w:val="bottom"/>
            <w:tcBorders>
              <w:right w:val="single" w:sz="8" w:color="95B3D7"/>
            </w:tcBorders>
          </w:tcPr>
          <w:p>
            <w:pPr>
              <w:ind w:left="520"/>
              <w:spacing w:after="0" w:line="139" w:lineRule="exact"/>
              <w:rPr>
                <w:sz w:val="20"/>
                <w:szCs w:val="20"/>
                <w:color w:val="auto"/>
              </w:rPr>
            </w:pPr>
            <w:r>
              <w:rPr>
                <w:rFonts w:ascii="Arial" w:cs="Arial" w:eastAsia="Arial" w:hAnsi="Arial"/>
                <w:sz w:val="14"/>
                <w:szCs w:val="14"/>
                <w:color w:val="auto"/>
              </w:rPr>
              <w:t>that vest in the applicable year, the</w:t>
            </w: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Borders>
              <w:right w:val="single" w:sz="8" w:color="95B3D7"/>
            </w:tcBorders>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Borders>
              <w:right w:val="single" w:sz="8" w:color="95B3D7"/>
            </w:tcBorders>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Borders>
              <w:right w:val="single" w:sz="8" w:color="95B3D7"/>
            </w:tcBorders>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8"/>
        </w:trPr>
        <w:tc>
          <w:tcPr>
            <w:tcW w:w="2880" w:type="dxa"/>
            <w:vAlign w:val="bottom"/>
            <w:tcBorders>
              <w:right w:val="single" w:sz="8" w:color="95B3D7"/>
            </w:tcBorders>
          </w:tcPr>
          <w:p>
            <w:pPr>
              <w:ind w:left="520"/>
              <w:spacing w:after="0" w:line="149" w:lineRule="exact"/>
              <w:rPr>
                <w:sz w:val="20"/>
                <w:szCs w:val="20"/>
                <w:color w:val="auto"/>
              </w:rPr>
            </w:pPr>
            <w:r>
              <w:rPr>
                <w:rFonts w:ascii="Arial" w:cs="Arial" w:eastAsia="Arial" w:hAnsi="Arial"/>
                <w:sz w:val="14"/>
                <w:szCs w:val="14"/>
                <w:color w:val="auto"/>
              </w:rPr>
              <w:t>amount equal to the change as of</w:t>
            </w: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Borders>
              <w:right w:val="single" w:sz="8" w:color="95B3D7"/>
            </w:tcBorders>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Borders>
              <w:right w:val="single" w:sz="8" w:color="95B3D7"/>
            </w:tcBorders>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Borders>
              <w:right w:val="single" w:sz="8" w:color="95B3D7"/>
            </w:tcBorders>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4"/>
        </w:trPr>
        <w:tc>
          <w:tcPr>
            <w:tcW w:w="2880" w:type="dxa"/>
            <w:vAlign w:val="bottom"/>
            <w:tcBorders>
              <w:right w:val="single" w:sz="8" w:color="95B3D7"/>
            </w:tcBorders>
          </w:tcPr>
          <w:p>
            <w:pPr>
              <w:ind w:left="520"/>
              <w:spacing w:after="0" w:line="145" w:lineRule="exact"/>
              <w:rPr>
                <w:sz w:val="20"/>
                <w:szCs w:val="20"/>
                <w:color w:val="auto"/>
              </w:rPr>
            </w:pPr>
            <w:r>
              <w:rPr>
                <w:rFonts w:ascii="Arial" w:cs="Arial" w:eastAsia="Arial" w:hAnsi="Arial"/>
                <w:sz w:val="14"/>
                <w:szCs w:val="14"/>
                <w:color w:val="auto"/>
              </w:rPr>
              <w:t>the vesting date (from the end of the</w:t>
            </w: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Borders>
              <w:right w:val="single" w:sz="8" w:color="95B3D7"/>
            </w:tcBorders>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Borders>
              <w:right w:val="single" w:sz="8" w:color="95B3D7"/>
            </w:tcBorders>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Borders>
              <w:right w:val="single" w:sz="8" w:color="95B3D7"/>
            </w:tcBorders>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89"/>
        </w:trPr>
        <w:tc>
          <w:tcPr>
            <w:tcW w:w="2880" w:type="dxa"/>
            <w:vAlign w:val="bottom"/>
            <w:tcBorders>
              <w:right w:val="single" w:sz="8" w:color="95B3D7"/>
            </w:tcBorders>
          </w:tcPr>
          <w:p>
            <w:pPr>
              <w:ind w:left="520"/>
              <w:spacing w:after="0"/>
              <w:rPr>
                <w:sz w:val="20"/>
                <w:szCs w:val="20"/>
                <w:color w:val="auto"/>
              </w:rPr>
            </w:pPr>
            <w:r>
              <w:rPr>
                <w:rFonts w:ascii="Arial" w:cs="Arial" w:eastAsia="Arial" w:hAnsi="Arial"/>
                <w:sz w:val="14"/>
                <w:szCs w:val="14"/>
                <w:color w:val="auto"/>
              </w:rPr>
              <w:t>prior fiscal year) in fair value</w:t>
            </w: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Borders>
              <w:right w:val="single" w:sz="8" w:color="95B3D7"/>
            </w:tcBorders>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Borders>
              <w:right w:val="single" w:sz="8" w:color="95B3D7"/>
            </w:tcBorders>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Borders>
              <w:right w:val="single" w:sz="8" w:color="95B3D7"/>
            </w:tcBorders>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2"/>
        </w:trPr>
        <w:tc>
          <w:tcPr>
            <w:tcW w:w="2880" w:type="dxa"/>
            <w:vAlign w:val="bottom"/>
            <w:tcBorders>
              <w:right w:val="single" w:sz="8" w:color="95B3D7"/>
            </w:tcBorders>
            <w:shd w:val="clear" w:color="auto" w:fill="DBE5F1"/>
          </w:tcPr>
          <w:p>
            <w:pPr>
              <w:ind w:left="340"/>
              <w:spacing w:after="0"/>
              <w:rPr>
                <w:sz w:val="20"/>
                <w:szCs w:val="20"/>
                <w:color w:val="auto"/>
              </w:rPr>
            </w:pPr>
            <w:r>
              <w:rPr>
                <w:rFonts w:ascii="Arial" w:cs="Arial" w:eastAsia="Arial" w:hAnsi="Arial"/>
                <w:sz w:val="14"/>
                <w:szCs w:val="14"/>
                <w:b w:val="1"/>
                <w:bCs w:val="1"/>
                <w:color w:val="auto"/>
              </w:rPr>
              <w:t>Net Adjustment to Subtotal</w:t>
            </w:r>
          </w:p>
        </w:tc>
        <w:tc>
          <w:tcPr>
            <w:tcW w:w="1920" w:type="dxa"/>
            <w:vAlign w:val="bottom"/>
            <w:tcBorders>
              <w:right w:val="single" w:sz="8" w:color="95B3D7"/>
            </w:tcBorders>
            <w:gridSpan w:val="3"/>
            <w:shd w:val="clear" w:color="auto" w:fill="DBE5F1"/>
          </w:tcPr>
          <w:p>
            <w:pPr>
              <w:jc w:val="center"/>
              <w:ind w:right="40"/>
              <w:spacing w:after="0"/>
              <w:rPr>
                <w:sz w:val="20"/>
                <w:szCs w:val="20"/>
                <w:color w:val="auto"/>
              </w:rPr>
            </w:pPr>
            <w:r>
              <w:rPr>
                <w:rFonts w:ascii="Arial" w:cs="Arial" w:eastAsia="Arial" w:hAnsi="Arial"/>
                <w:sz w:val="14"/>
                <w:szCs w:val="14"/>
                <w:b w:val="1"/>
                <w:bCs w:val="1"/>
                <w:color w:val="auto"/>
              </w:rPr>
              <w:t>$22,167,912</w:t>
            </w:r>
          </w:p>
        </w:tc>
        <w:tc>
          <w:tcPr>
            <w:tcW w:w="1900" w:type="dxa"/>
            <w:vAlign w:val="bottom"/>
            <w:tcBorders>
              <w:right w:val="single" w:sz="8" w:color="95B3D7"/>
            </w:tcBorders>
            <w:gridSpan w:val="3"/>
            <w:shd w:val="clear" w:color="auto" w:fill="DBE5F1"/>
          </w:tcPr>
          <w:p>
            <w:pPr>
              <w:jc w:val="center"/>
              <w:ind w:right="40"/>
              <w:spacing w:after="0"/>
              <w:rPr>
                <w:sz w:val="20"/>
                <w:szCs w:val="20"/>
                <w:color w:val="auto"/>
              </w:rPr>
            </w:pPr>
            <w:r>
              <w:rPr>
                <w:rFonts w:ascii="Arial" w:cs="Arial" w:eastAsia="Arial" w:hAnsi="Arial"/>
                <w:sz w:val="14"/>
                <w:szCs w:val="14"/>
                <w:b w:val="1"/>
                <w:bCs w:val="1"/>
                <w:color w:val="auto"/>
              </w:rPr>
              <w:t>$(4,473,407)</w:t>
            </w:r>
          </w:p>
        </w:tc>
        <w:tc>
          <w:tcPr>
            <w:tcW w:w="1900" w:type="dxa"/>
            <w:vAlign w:val="bottom"/>
            <w:tcBorders>
              <w:right w:val="single" w:sz="8" w:color="95B3D7"/>
            </w:tcBorders>
            <w:gridSpan w:val="3"/>
            <w:shd w:val="clear" w:color="auto" w:fill="DBE5F1"/>
          </w:tcPr>
          <w:p>
            <w:pPr>
              <w:jc w:val="center"/>
              <w:ind w:right="20"/>
              <w:spacing w:after="0"/>
              <w:rPr>
                <w:sz w:val="20"/>
                <w:szCs w:val="20"/>
                <w:color w:val="auto"/>
              </w:rPr>
            </w:pPr>
            <w:r>
              <w:rPr>
                <w:rFonts w:ascii="Arial" w:cs="Arial" w:eastAsia="Arial" w:hAnsi="Arial"/>
                <w:sz w:val="14"/>
                <w:szCs w:val="14"/>
                <w:b w:val="1"/>
                <w:bCs w:val="1"/>
                <w:color w:val="auto"/>
              </w:rPr>
              <w:t>$24,180,196</w:t>
            </w:r>
          </w:p>
        </w:tc>
        <w:tc>
          <w:tcPr>
            <w:tcW w:w="1880" w:type="dxa"/>
            <w:vAlign w:val="bottom"/>
            <w:gridSpan w:val="3"/>
            <w:shd w:val="clear" w:color="auto" w:fill="DBE5F1"/>
          </w:tcPr>
          <w:p>
            <w:pPr>
              <w:jc w:val="center"/>
              <w:spacing w:after="0"/>
              <w:rPr>
                <w:sz w:val="20"/>
                <w:szCs w:val="20"/>
                <w:color w:val="auto"/>
              </w:rPr>
            </w:pPr>
            <w:r>
              <w:rPr>
                <w:rFonts w:ascii="Arial" w:cs="Arial" w:eastAsia="Arial" w:hAnsi="Arial"/>
                <w:sz w:val="14"/>
                <w:szCs w:val="14"/>
                <w:b w:val="1"/>
                <w:bCs w:val="1"/>
                <w:color w:val="auto"/>
              </w:rPr>
              <w:t>$35,712,085</w:t>
            </w:r>
          </w:p>
        </w:tc>
      </w:tr>
      <w:tr>
        <w:trPr>
          <w:trHeight w:val="162"/>
        </w:trPr>
        <w:tc>
          <w:tcPr>
            <w:tcW w:w="2880" w:type="dxa"/>
            <w:vAlign w:val="bottom"/>
            <w:tcBorders>
              <w:right w:val="single" w:sz="8" w:color="95B3D7"/>
            </w:tcBorders>
          </w:tcPr>
          <w:p>
            <w:pPr>
              <w:ind w:left="340"/>
              <w:spacing w:after="0"/>
              <w:rPr>
                <w:sz w:val="20"/>
                <w:szCs w:val="20"/>
                <w:color w:val="auto"/>
              </w:rPr>
            </w:pPr>
            <w:r>
              <w:rPr>
                <w:rFonts w:ascii="Arial" w:cs="Arial" w:eastAsia="Arial" w:hAnsi="Arial"/>
                <w:sz w:val="14"/>
                <w:szCs w:val="14"/>
                <w:b w:val="1"/>
                <w:bCs w:val="1"/>
                <w:color w:val="auto"/>
              </w:rPr>
              <w:t>Compensation Actually Paid</w:t>
            </w:r>
          </w:p>
        </w:tc>
        <w:tc>
          <w:tcPr>
            <w:tcW w:w="1920" w:type="dxa"/>
            <w:vAlign w:val="bottom"/>
            <w:tcBorders>
              <w:right w:val="single" w:sz="8" w:color="95B3D7"/>
            </w:tcBorders>
            <w:gridSpan w:val="3"/>
          </w:tcPr>
          <w:p>
            <w:pPr>
              <w:jc w:val="center"/>
              <w:ind w:righ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25,237,077</w:t>
            </w:r>
          </w:p>
        </w:tc>
        <w:tc>
          <w:tcPr>
            <w:tcW w:w="1900" w:type="dxa"/>
            <w:vAlign w:val="bottom"/>
            <w:tcBorders>
              <w:right w:val="single" w:sz="8" w:color="95B3D7"/>
            </w:tcBorders>
            <w:gridSpan w:val="3"/>
          </w:tcPr>
          <w:p>
            <w:pPr>
              <w:jc w:val="center"/>
              <w:ind w:righ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(2,674,822)</w:t>
            </w:r>
          </w:p>
        </w:tc>
        <w:tc>
          <w:tcPr>
            <w:tcW w:w="1900" w:type="dxa"/>
            <w:vAlign w:val="bottom"/>
            <w:tcBorders>
              <w:right w:val="single" w:sz="8" w:color="95B3D7"/>
            </w:tcBorders>
            <w:gridSpan w:val="3"/>
          </w:tcPr>
          <w:p>
            <w:pPr>
              <w:jc w:val="center"/>
              <w:ind w:righ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25,813,278</w:t>
            </w:r>
          </w:p>
        </w:tc>
        <w:tc>
          <w:tcPr>
            <w:tcW w:w="1880" w:type="dxa"/>
            <w:vAlign w:val="bottom"/>
            <w:gridSpan w:val="3"/>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37,304,187</w:t>
            </w:r>
          </w:p>
        </w:tc>
      </w:tr>
      <w:tr>
        <w:trPr>
          <w:trHeight w:val="20"/>
        </w:trPr>
        <w:tc>
          <w:tcPr>
            <w:tcW w:w="2880" w:type="dxa"/>
            <w:vAlign w:val="bottom"/>
            <w:tcBorders>
              <w:bottom w:val="single" w:sz="8" w:color="95B3D7"/>
              <w:right w:val="single" w:sz="8" w:color="95B3D7"/>
            </w:tcBorders>
          </w:tcPr>
          <w:p>
            <w:pPr>
              <w:spacing w:after="0" w:line="20" w:lineRule="exact"/>
              <w:rPr>
                <w:sz w:val="1"/>
                <w:szCs w:val="1"/>
                <w:color w:val="auto"/>
              </w:rPr>
            </w:pPr>
          </w:p>
        </w:tc>
        <w:tc>
          <w:tcPr>
            <w:tcW w:w="540" w:type="dxa"/>
            <w:vAlign w:val="bottom"/>
            <w:tcBorders>
              <w:bottom w:val="single" w:sz="8" w:color="95B3D7"/>
            </w:tcBorders>
          </w:tcPr>
          <w:p>
            <w:pPr>
              <w:spacing w:after="0" w:line="20" w:lineRule="exact"/>
              <w:rPr>
                <w:sz w:val="1"/>
                <w:szCs w:val="1"/>
                <w:color w:val="auto"/>
              </w:rPr>
            </w:pPr>
          </w:p>
        </w:tc>
        <w:tc>
          <w:tcPr>
            <w:tcW w:w="800" w:type="dxa"/>
            <w:vAlign w:val="bottom"/>
            <w:tcBorders>
              <w:top w:val="single" w:sz="8" w:color="auto"/>
              <w:bottom w:val="single" w:sz="8" w:color="95B3D7"/>
            </w:tcBorders>
          </w:tcPr>
          <w:p>
            <w:pPr>
              <w:spacing w:after="0" w:line="20" w:lineRule="exact"/>
              <w:rPr>
                <w:sz w:val="1"/>
                <w:szCs w:val="1"/>
                <w:color w:val="auto"/>
              </w:rPr>
            </w:pPr>
          </w:p>
        </w:tc>
        <w:tc>
          <w:tcPr>
            <w:tcW w:w="580" w:type="dxa"/>
            <w:vAlign w:val="bottom"/>
            <w:tcBorders>
              <w:bottom w:val="single" w:sz="8" w:color="95B3D7"/>
              <w:right w:val="single" w:sz="8" w:color="95B3D7"/>
            </w:tcBorders>
          </w:tcPr>
          <w:p>
            <w:pPr>
              <w:spacing w:after="0" w:line="20" w:lineRule="exact"/>
              <w:rPr>
                <w:sz w:val="1"/>
                <w:szCs w:val="1"/>
                <w:color w:val="auto"/>
              </w:rPr>
            </w:pPr>
          </w:p>
        </w:tc>
        <w:tc>
          <w:tcPr>
            <w:tcW w:w="520" w:type="dxa"/>
            <w:vAlign w:val="bottom"/>
            <w:tcBorders>
              <w:bottom w:val="single" w:sz="8" w:color="95B3D7"/>
            </w:tcBorders>
          </w:tcPr>
          <w:p>
            <w:pPr>
              <w:spacing w:after="0" w:line="20" w:lineRule="exact"/>
              <w:rPr>
                <w:sz w:val="1"/>
                <w:szCs w:val="1"/>
                <w:color w:val="auto"/>
              </w:rPr>
            </w:pPr>
          </w:p>
        </w:tc>
        <w:tc>
          <w:tcPr>
            <w:tcW w:w="820" w:type="dxa"/>
            <w:vAlign w:val="bottom"/>
            <w:tcBorders>
              <w:top w:val="single" w:sz="8" w:color="auto"/>
              <w:bottom w:val="single" w:sz="8" w:color="95B3D7"/>
            </w:tcBorders>
          </w:tcPr>
          <w:p>
            <w:pPr>
              <w:spacing w:after="0" w:line="20" w:lineRule="exact"/>
              <w:rPr>
                <w:sz w:val="1"/>
                <w:szCs w:val="1"/>
                <w:color w:val="auto"/>
              </w:rPr>
            </w:pPr>
          </w:p>
        </w:tc>
        <w:tc>
          <w:tcPr>
            <w:tcW w:w="560" w:type="dxa"/>
            <w:vAlign w:val="bottom"/>
            <w:tcBorders>
              <w:bottom w:val="single" w:sz="8" w:color="95B3D7"/>
              <w:right w:val="single" w:sz="8" w:color="95B3D7"/>
            </w:tcBorders>
          </w:tcPr>
          <w:p>
            <w:pPr>
              <w:spacing w:after="0" w:line="20" w:lineRule="exact"/>
              <w:rPr>
                <w:sz w:val="1"/>
                <w:szCs w:val="1"/>
                <w:color w:val="auto"/>
              </w:rPr>
            </w:pPr>
          </w:p>
        </w:tc>
        <w:tc>
          <w:tcPr>
            <w:tcW w:w="540" w:type="dxa"/>
            <w:vAlign w:val="bottom"/>
            <w:tcBorders>
              <w:bottom w:val="single" w:sz="8" w:color="95B3D7"/>
            </w:tcBorders>
          </w:tcPr>
          <w:p>
            <w:pPr>
              <w:spacing w:after="0" w:line="20" w:lineRule="exact"/>
              <w:rPr>
                <w:sz w:val="1"/>
                <w:szCs w:val="1"/>
                <w:color w:val="auto"/>
              </w:rPr>
            </w:pPr>
          </w:p>
        </w:tc>
        <w:tc>
          <w:tcPr>
            <w:tcW w:w="800" w:type="dxa"/>
            <w:vAlign w:val="bottom"/>
            <w:tcBorders>
              <w:top w:val="single" w:sz="8" w:color="auto"/>
              <w:bottom w:val="single" w:sz="8" w:color="95B3D7"/>
            </w:tcBorders>
          </w:tcPr>
          <w:p>
            <w:pPr>
              <w:spacing w:after="0" w:line="20" w:lineRule="exact"/>
              <w:rPr>
                <w:sz w:val="1"/>
                <w:szCs w:val="1"/>
                <w:color w:val="auto"/>
              </w:rPr>
            </w:pPr>
          </w:p>
        </w:tc>
        <w:tc>
          <w:tcPr>
            <w:tcW w:w="560" w:type="dxa"/>
            <w:vAlign w:val="bottom"/>
            <w:tcBorders>
              <w:bottom w:val="single" w:sz="8" w:color="95B3D7"/>
              <w:right w:val="single" w:sz="8" w:color="95B3D7"/>
            </w:tcBorders>
          </w:tcPr>
          <w:p>
            <w:pPr>
              <w:spacing w:after="0" w:line="20" w:lineRule="exact"/>
              <w:rPr>
                <w:sz w:val="1"/>
                <w:szCs w:val="1"/>
                <w:color w:val="auto"/>
              </w:rPr>
            </w:pPr>
          </w:p>
        </w:tc>
        <w:tc>
          <w:tcPr>
            <w:tcW w:w="540" w:type="dxa"/>
            <w:vAlign w:val="bottom"/>
            <w:tcBorders>
              <w:bottom w:val="single" w:sz="8" w:color="95B3D7"/>
            </w:tcBorders>
          </w:tcPr>
          <w:p>
            <w:pPr>
              <w:spacing w:after="0" w:line="20" w:lineRule="exact"/>
              <w:rPr>
                <w:sz w:val="1"/>
                <w:szCs w:val="1"/>
                <w:color w:val="auto"/>
              </w:rPr>
            </w:pPr>
          </w:p>
        </w:tc>
        <w:tc>
          <w:tcPr>
            <w:tcW w:w="800" w:type="dxa"/>
            <w:vAlign w:val="bottom"/>
            <w:tcBorders>
              <w:top w:val="single" w:sz="8" w:color="auto"/>
              <w:bottom w:val="single" w:sz="8" w:color="95B3D7"/>
            </w:tcBorders>
          </w:tcPr>
          <w:p>
            <w:pPr>
              <w:spacing w:after="0" w:line="20" w:lineRule="exact"/>
              <w:rPr>
                <w:sz w:val="1"/>
                <w:szCs w:val="1"/>
                <w:color w:val="auto"/>
              </w:rPr>
            </w:pPr>
          </w:p>
        </w:tc>
        <w:tc>
          <w:tcPr>
            <w:tcW w:w="540" w:type="dxa"/>
            <w:vAlign w:val="bottom"/>
            <w:tcBorders>
              <w:bottom w:val="single" w:sz="8" w:color="95B3D7"/>
            </w:tcBorders>
          </w:tcPr>
          <w:p>
            <w:pPr>
              <w:spacing w:after="0" w:line="20" w:lineRule="exact"/>
              <w:rPr>
                <w:sz w:val="1"/>
                <w:szCs w:val="1"/>
                <w:color w:val="auto"/>
              </w:rPr>
            </w:pPr>
          </w:p>
        </w:tc>
      </w:tr>
    </w:tbl>
    <w:p>
      <w:pPr>
        <w:spacing w:after="0" w:line="261" w:lineRule="exact"/>
        <w:rPr>
          <w:sz w:val="20"/>
          <w:szCs w:val="20"/>
          <w:color w:val="auto"/>
        </w:rPr>
      </w:pPr>
    </w:p>
    <w:p>
      <w:pPr>
        <w:ind w:left="332" w:right="20" w:hanging="332"/>
        <w:spacing w:after="0" w:line="269" w:lineRule="auto"/>
        <w:tabs>
          <w:tab w:leader="none" w:pos="319"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dollar amounts reported in column (d) are the average of the amounts of total compensation reported for the non-PEO NEOs for each corresponding year in the “Total” column of the SCT. For 2024, the Non-PEO NEOs were Thomas Freeman, Dawn Maroney, Hyong (Ken) Kim, M.D. and Andreas Wagner. For 2023, the Non-PEO NEOs were Thomas Freeman, Dawn Maroney, Hakan Kardes and Hyong (Ken) Kim, M.D. For 2022, the Non-PEO NEOs were Thomas Freeman, Dawn Maroney, Dinesh Kumar and Richard Cross. For 2021, the Non-PEO NEOs were Thomas Freeman, Dawn Maroney, Dinesh Kumar and Rajesh Shrestha.</w:t>
      </w:r>
    </w:p>
    <w:p>
      <w:pPr>
        <w:spacing w:after="0" w:line="209" w:lineRule="exact"/>
        <w:rPr>
          <w:rFonts w:ascii="Arial" w:cs="Arial" w:eastAsia="Arial" w:hAnsi="Arial"/>
          <w:sz w:val="14"/>
          <w:szCs w:val="14"/>
          <w:color w:val="auto"/>
        </w:rPr>
      </w:pPr>
    </w:p>
    <w:p>
      <w:pPr>
        <w:ind w:left="332" w:hanging="332"/>
        <w:spacing w:after="0" w:line="269" w:lineRule="auto"/>
        <w:tabs>
          <w:tab w:leader="none" w:pos="319"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dollar amounts reported in column (e) represent the average amount of CAP to the non-PEO NEOs as a group computed in accordance with Item 402(v) of Regulation S-K. The dollar amounts do not reflect the actual amount of compensation earned by or paid to the Non-PEO NEOs during the applicable year. In accordance with the requirements of Item 402(v) of Regulation S-K, the following adjustments were made to average total compensation for the Non-PEO NEOs for each year to determine the CAP:</w:t>
      </w:r>
    </w:p>
    <w:p>
      <w:pPr>
        <w:spacing w:after="0" w:line="277" w:lineRule="exact"/>
        <w:rPr>
          <w:sz w:val="20"/>
          <w:szCs w:val="20"/>
          <w:color w:val="auto"/>
        </w:rPr>
      </w:pPr>
    </w:p>
    <w:tbl>
      <w:tblPr>
        <w:tblLayout w:type="fixed"/>
        <w:tblInd w:w="412" w:type="dxa"/>
        <w:tblCellMar>
          <w:top w:w="0" w:type="dxa"/>
          <w:left w:w="0" w:type="dxa"/>
          <w:bottom w:w="0" w:type="dxa"/>
          <w:right w:w="0" w:type="dxa"/>
        </w:tblCellMar>
      </w:tblPr>
      <w:tr>
        <w:trPr>
          <w:trHeight w:val="211"/>
        </w:trPr>
        <w:tc>
          <w:tcPr>
            <w:tcW w:w="28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2024</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8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2021</w:t>
            </w:r>
          </w:p>
        </w:tc>
      </w:tr>
      <w:tr>
        <w:trPr>
          <w:trHeight w:val="197"/>
        </w:trPr>
        <w:tc>
          <w:tcPr>
            <w:tcW w:w="2880" w:type="dxa"/>
            <w:vAlign w:val="bottom"/>
            <w:tcBorders>
              <w:right w:val="single" w:sz="8" w:color="95B3D7"/>
            </w:tcBorders>
            <w:shd w:val="clear" w:color="auto" w:fill="DBE5F1"/>
          </w:tcPr>
          <w:p>
            <w:pPr>
              <w:ind w:left="180"/>
              <w:spacing w:after="0"/>
              <w:rPr>
                <w:sz w:val="20"/>
                <w:szCs w:val="20"/>
                <w:color w:val="auto"/>
              </w:rPr>
            </w:pPr>
            <w:r>
              <w:rPr>
                <w:rFonts w:ascii="Arial" w:cs="Arial" w:eastAsia="Arial" w:hAnsi="Arial"/>
                <w:sz w:val="14"/>
                <w:szCs w:val="14"/>
                <w:color w:val="auto"/>
              </w:rPr>
              <w:t>Average Total Compensation from SCT</w:t>
            </w:r>
          </w:p>
        </w:tc>
        <w:tc>
          <w:tcPr>
            <w:tcW w:w="1840" w:type="dxa"/>
            <w:vAlign w:val="bottom"/>
            <w:tcBorders>
              <w:right w:val="single" w:sz="8" w:color="95B3D7"/>
            </w:tcBorders>
            <w:shd w:val="clear" w:color="auto" w:fill="DBE5F1"/>
          </w:tcPr>
          <w:p>
            <w:pPr>
              <w:jc w:val="right"/>
              <w:ind w:right="508"/>
              <w:spacing w:after="0"/>
              <w:rPr>
                <w:sz w:val="20"/>
                <w:szCs w:val="20"/>
                <w:color w:val="auto"/>
              </w:rPr>
            </w:pPr>
            <w:r>
              <w:rPr>
                <w:rFonts w:ascii="Arial" w:cs="Arial" w:eastAsia="Arial" w:hAnsi="Arial"/>
                <w:sz w:val="14"/>
                <w:szCs w:val="14"/>
                <w:color w:val="auto"/>
              </w:rPr>
              <w:t>$2,715,002</w:t>
            </w:r>
          </w:p>
        </w:tc>
        <w:tc>
          <w:tcPr>
            <w:tcW w:w="190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$4,760,449</w:t>
            </w:r>
          </w:p>
        </w:tc>
        <w:tc>
          <w:tcPr>
            <w:tcW w:w="190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$7,327,470</w:t>
            </w:r>
          </w:p>
        </w:tc>
        <w:tc>
          <w:tcPr>
            <w:tcW w:w="1880" w:type="dxa"/>
            <w:vAlign w:val="bottom"/>
            <w:shd w:val="clear" w:color="auto" w:fill="DBE5F1"/>
          </w:tcPr>
          <w:p>
            <w:pPr>
              <w:jc w:val="center"/>
              <w:spacing w:after="0"/>
              <w:rPr>
                <w:sz w:val="20"/>
                <w:szCs w:val="20"/>
                <w:color w:val="auto"/>
              </w:rPr>
            </w:pPr>
            <w:r>
              <w:rPr>
                <w:rFonts w:ascii="Arial" w:cs="Arial" w:eastAsia="Arial" w:hAnsi="Arial"/>
                <w:sz w:val="14"/>
                <w:szCs w:val="14"/>
                <w:color w:val="auto"/>
              </w:rPr>
              <w:t>$10,891,546</w:t>
            </w:r>
          </w:p>
        </w:tc>
      </w:tr>
      <w:tr>
        <w:trPr>
          <w:trHeight w:val="153"/>
        </w:trPr>
        <w:tc>
          <w:tcPr>
            <w:tcW w:w="2880" w:type="dxa"/>
            <w:vAlign w:val="bottom"/>
            <w:tcBorders>
              <w:right w:val="single" w:sz="8" w:color="95B3D7"/>
            </w:tcBorders>
          </w:tcPr>
          <w:p>
            <w:pPr>
              <w:ind w:left="340"/>
              <w:spacing w:after="0" w:line="153" w:lineRule="exact"/>
              <w:rPr>
                <w:sz w:val="20"/>
                <w:szCs w:val="20"/>
                <w:color w:val="auto"/>
              </w:rPr>
            </w:pPr>
            <w:r>
              <w:rPr>
                <w:rFonts w:ascii="Arial" w:cs="Arial" w:eastAsia="Arial" w:hAnsi="Arial"/>
                <w:sz w:val="14"/>
                <w:szCs w:val="14"/>
                <w:color w:val="auto"/>
              </w:rPr>
              <w:t>Less Average Reported Value of</w:t>
            </w:r>
          </w:p>
        </w:tc>
        <w:tc>
          <w:tcPr>
            <w:tcW w:w="1840" w:type="dxa"/>
            <w:vAlign w:val="bottom"/>
            <w:tcBorders>
              <w:right w:val="single" w:sz="8" w:color="95B3D7"/>
            </w:tcBorders>
          </w:tcPr>
          <w:p>
            <w:pPr>
              <w:jc w:val="right"/>
              <w:ind w:right="448"/>
              <w:spacing w:after="0" w:line="153" w:lineRule="exact"/>
              <w:rPr>
                <w:sz w:val="20"/>
                <w:szCs w:val="20"/>
                <w:color w:val="auto"/>
              </w:rPr>
            </w:pPr>
            <w:r>
              <w:rPr>
                <w:rFonts w:ascii="Arial" w:cs="Arial" w:eastAsia="Arial" w:hAnsi="Arial"/>
                <w:sz w:val="14"/>
                <w:szCs w:val="14"/>
                <w:color w:val="auto"/>
              </w:rPr>
              <w:t>$(1,350,000)</w:t>
            </w:r>
          </w:p>
        </w:tc>
        <w:tc>
          <w:tcPr>
            <w:tcW w:w="1900" w:type="dxa"/>
            <w:vAlign w:val="bottom"/>
            <w:tcBorders>
              <w:right w:val="single" w:sz="8" w:color="95B3D7"/>
            </w:tcBorders>
          </w:tcPr>
          <w:p>
            <w:pPr>
              <w:jc w:val="center"/>
              <w:spacing w:after="0" w:line="153" w:lineRule="exact"/>
              <w:rPr>
                <w:sz w:val="20"/>
                <w:szCs w:val="20"/>
                <w:color w:val="auto"/>
              </w:rPr>
            </w:pPr>
            <w:r>
              <w:rPr>
                <w:rFonts w:ascii="Arial" w:cs="Arial" w:eastAsia="Arial" w:hAnsi="Arial"/>
                <w:sz w:val="14"/>
                <w:szCs w:val="14"/>
                <w:color w:val="auto"/>
              </w:rPr>
              <w:t>$(3,786,785)</w:t>
            </w:r>
          </w:p>
        </w:tc>
        <w:tc>
          <w:tcPr>
            <w:tcW w:w="1900" w:type="dxa"/>
            <w:vAlign w:val="bottom"/>
            <w:tcBorders>
              <w:right w:val="single" w:sz="8" w:color="95B3D7"/>
            </w:tcBorders>
          </w:tcPr>
          <w:p>
            <w:pPr>
              <w:jc w:val="center"/>
              <w:spacing w:after="0" w:line="153" w:lineRule="exact"/>
              <w:rPr>
                <w:sz w:val="20"/>
                <w:szCs w:val="20"/>
                <w:color w:val="auto"/>
              </w:rPr>
            </w:pPr>
            <w:r>
              <w:rPr>
                <w:rFonts w:ascii="Arial" w:cs="Arial" w:eastAsia="Arial" w:hAnsi="Arial"/>
                <w:sz w:val="14"/>
                <w:szCs w:val="14"/>
                <w:color w:val="auto"/>
              </w:rPr>
              <w:t>$(6,383,827)</w:t>
            </w:r>
          </w:p>
        </w:tc>
        <w:tc>
          <w:tcPr>
            <w:tcW w:w="1880" w:type="dxa"/>
            <w:vAlign w:val="bottom"/>
          </w:tcPr>
          <w:p>
            <w:pPr>
              <w:jc w:val="center"/>
              <w:spacing w:after="0" w:line="153" w:lineRule="exact"/>
              <w:rPr>
                <w:sz w:val="20"/>
                <w:szCs w:val="20"/>
                <w:color w:val="auto"/>
              </w:rPr>
            </w:pPr>
            <w:r>
              <w:rPr>
                <w:rFonts w:ascii="Arial" w:cs="Arial" w:eastAsia="Arial" w:hAnsi="Arial"/>
                <w:sz w:val="14"/>
                <w:szCs w:val="14"/>
                <w:color w:val="auto"/>
              </w:rPr>
              <w:t>$(9,913,214)</w:t>
            </w:r>
          </w:p>
        </w:tc>
      </w:tr>
      <w:tr>
        <w:trPr>
          <w:trHeight w:val="185"/>
        </w:trPr>
        <w:tc>
          <w:tcPr>
            <w:tcW w:w="2880" w:type="dxa"/>
            <w:vAlign w:val="bottom"/>
            <w:tcBorders>
              <w:right w:val="single" w:sz="8" w:color="95B3D7"/>
            </w:tcBorders>
          </w:tcPr>
          <w:p>
            <w:pPr>
              <w:ind w:left="340"/>
              <w:spacing w:after="0"/>
              <w:rPr>
                <w:sz w:val="20"/>
                <w:szCs w:val="20"/>
                <w:color w:val="auto"/>
              </w:rPr>
            </w:pPr>
            <w:r>
              <w:rPr>
                <w:rFonts w:ascii="Arial" w:cs="Arial" w:eastAsia="Arial" w:hAnsi="Arial"/>
                <w:sz w:val="14"/>
                <w:szCs w:val="14"/>
                <w:color w:val="auto"/>
              </w:rPr>
              <w:t>Equity Awards from SCT</w:t>
            </w:r>
          </w:p>
        </w:tc>
        <w:tc>
          <w:tcPr>
            <w:tcW w:w="1840" w:type="dxa"/>
            <w:vAlign w:val="bottom"/>
            <w:tcBorders>
              <w:right w:val="single" w:sz="8" w:color="95B3D7"/>
            </w:tcBorders>
          </w:tcPr>
          <w:p>
            <w:pPr>
              <w:spacing w:after="0"/>
              <w:rPr>
                <w:sz w:val="16"/>
                <w:szCs w:val="16"/>
                <w:color w:val="auto"/>
              </w:rPr>
            </w:pPr>
          </w:p>
        </w:tc>
        <w:tc>
          <w:tcPr>
            <w:tcW w:w="1900" w:type="dxa"/>
            <w:vAlign w:val="bottom"/>
            <w:tcBorders>
              <w:right w:val="single" w:sz="8" w:color="95B3D7"/>
            </w:tcBorders>
          </w:tcPr>
          <w:p>
            <w:pPr>
              <w:spacing w:after="0"/>
              <w:rPr>
                <w:sz w:val="16"/>
                <w:szCs w:val="16"/>
                <w:color w:val="auto"/>
              </w:rPr>
            </w:pPr>
          </w:p>
        </w:tc>
        <w:tc>
          <w:tcPr>
            <w:tcW w:w="1900" w:type="dxa"/>
            <w:vAlign w:val="bottom"/>
            <w:tcBorders>
              <w:right w:val="single" w:sz="8" w:color="95B3D7"/>
            </w:tcBorders>
          </w:tcPr>
          <w:p>
            <w:pPr>
              <w:spacing w:after="0"/>
              <w:rPr>
                <w:sz w:val="16"/>
                <w:szCs w:val="16"/>
                <w:color w:val="auto"/>
              </w:rPr>
            </w:pPr>
          </w:p>
        </w:tc>
        <w:tc>
          <w:tcPr>
            <w:tcW w:w="1880" w:type="dxa"/>
            <w:vAlign w:val="bottom"/>
          </w:tcPr>
          <w:p>
            <w:pPr>
              <w:spacing w:after="0"/>
              <w:rPr>
                <w:sz w:val="16"/>
                <w:szCs w:val="16"/>
                <w:color w:val="auto"/>
              </w:rPr>
            </w:pPr>
          </w:p>
        </w:tc>
      </w:tr>
      <w:tr>
        <w:trPr>
          <w:trHeight w:val="203"/>
        </w:trPr>
        <w:tc>
          <w:tcPr>
            <w:tcW w:w="2880" w:type="dxa"/>
            <w:vAlign w:val="bottom"/>
            <w:tcBorders>
              <w:right w:val="single" w:sz="8" w:color="95B3D7"/>
            </w:tcBorders>
            <w:shd w:val="clear" w:color="auto" w:fill="DBE5F1"/>
          </w:tcPr>
          <w:p>
            <w:pPr>
              <w:ind w:left="180"/>
              <w:spacing w:after="0"/>
              <w:rPr>
                <w:sz w:val="20"/>
                <w:szCs w:val="20"/>
                <w:color w:val="auto"/>
              </w:rPr>
            </w:pPr>
            <w:r>
              <w:rPr>
                <w:rFonts w:ascii="Arial" w:cs="Arial" w:eastAsia="Arial" w:hAnsi="Arial"/>
                <w:sz w:val="14"/>
                <w:szCs w:val="14"/>
                <w:b w:val="1"/>
                <w:bCs w:val="1"/>
                <w:color w:val="auto"/>
              </w:rPr>
              <w:t>Subtotal</w:t>
            </w:r>
          </w:p>
        </w:tc>
        <w:tc>
          <w:tcPr>
            <w:tcW w:w="1840" w:type="dxa"/>
            <w:vAlign w:val="bottom"/>
            <w:tcBorders>
              <w:right w:val="single" w:sz="8" w:color="95B3D7"/>
            </w:tcBorders>
            <w:shd w:val="clear" w:color="auto" w:fill="DBE5F1"/>
          </w:tcPr>
          <w:p>
            <w:pPr>
              <w:jc w:val="right"/>
              <w:ind w:right="508"/>
              <w:spacing w:after="0"/>
              <w:rPr>
                <w:sz w:val="20"/>
                <w:szCs w:val="20"/>
                <w:color w:val="auto"/>
              </w:rPr>
            </w:pPr>
            <w:r>
              <w:rPr>
                <w:rFonts w:ascii="Arial" w:cs="Arial" w:eastAsia="Arial" w:hAnsi="Arial"/>
                <w:sz w:val="14"/>
                <w:szCs w:val="14"/>
                <w:b w:val="1"/>
                <w:bCs w:val="1"/>
                <w:color w:val="auto"/>
              </w:rPr>
              <w:t>$1,365,002</w:t>
            </w:r>
          </w:p>
        </w:tc>
        <w:tc>
          <w:tcPr>
            <w:tcW w:w="190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4"/>
                <w:szCs w:val="14"/>
                <w:b w:val="1"/>
                <w:bCs w:val="1"/>
                <w:color w:val="auto"/>
              </w:rPr>
              <w:t>$973,664</w:t>
            </w:r>
          </w:p>
        </w:tc>
        <w:tc>
          <w:tcPr>
            <w:tcW w:w="190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4"/>
                <w:szCs w:val="14"/>
                <w:b w:val="1"/>
                <w:bCs w:val="1"/>
                <w:color w:val="auto"/>
              </w:rPr>
              <w:t>$943,643</w:t>
            </w:r>
          </w:p>
        </w:tc>
        <w:tc>
          <w:tcPr>
            <w:tcW w:w="1880" w:type="dxa"/>
            <w:vAlign w:val="bottom"/>
            <w:shd w:val="clear" w:color="auto" w:fill="DBE5F1"/>
          </w:tcPr>
          <w:p>
            <w:pPr>
              <w:jc w:val="center"/>
              <w:spacing w:after="0"/>
              <w:rPr>
                <w:sz w:val="20"/>
                <w:szCs w:val="20"/>
                <w:color w:val="auto"/>
              </w:rPr>
            </w:pPr>
            <w:r>
              <w:rPr>
                <w:rFonts w:ascii="Arial" w:cs="Arial" w:eastAsia="Arial" w:hAnsi="Arial"/>
                <w:sz w:val="14"/>
                <w:szCs w:val="14"/>
                <w:b w:val="1"/>
                <w:bCs w:val="1"/>
                <w:color w:val="auto"/>
              </w:rPr>
              <w:t>$978,332</w:t>
            </w:r>
          </w:p>
        </w:tc>
      </w:tr>
      <w:tr>
        <w:trPr>
          <w:trHeight w:val="153"/>
        </w:trPr>
        <w:tc>
          <w:tcPr>
            <w:tcW w:w="2880" w:type="dxa"/>
            <w:vAlign w:val="bottom"/>
            <w:tcBorders>
              <w:right w:val="single" w:sz="8" w:color="95B3D7"/>
            </w:tcBorders>
          </w:tcPr>
          <w:p>
            <w:pPr>
              <w:ind w:left="520"/>
              <w:spacing w:after="0" w:line="153" w:lineRule="exact"/>
              <w:rPr>
                <w:sz w:val="20"/>
                <w:szCs w:val="20"/>
                <w:color w:val="auto"/>
              </w:rPr>
            </w:pPr>
            <w:r>
              <w:rPr>
                <w:rFonts w:ascii="Arial" w:cs="Arial" w:eastAsia="Arial" w:hAnsi="Arial"/>
                <w:sz w:val="14"/>
                <w:szCs w:val="14"/>
                <w:color w:val="auto"/>
              </w:rPr>
              <w:t>Year-end fair value of any equity</w:t>
            </w:r>
          </w:p>
        </w:tc>
        <w:tc>
          <w:tcPr>
            <w:tcW w:w="1840" w:type="dxa"/>
            <w:vAlign w:val="bottom"/>
            <w:tcBorders>
              <w:right w:val="single" w:sz="8" w:color="95B3D7"/>
            </w:tcBorders>
          </w:tcPr>
          <w:p>
            <w:pPr>
              <w:jc w:val="right"/>
              <w:ind w:right="508"/>
              <w:spacing w:after="0" w:line="153" w:lineRule="exact"/>
              <w:rPr>
                <w:sz w:val="20"/>
                <w:szCs w:val="20"/>
                <w:color w:val="auto"/>
              </w:rPr>
            </w:pPr>
            <w:r>
              <w:rPr>
                <w:rFonts w:ascii="Arial" w:cs="Arial" w:eastAsia="Arial" w:hAnsi="Arial"/>
                <w:sz w:val="14"/>
                <w:szCs w:val="14"/>
                <w:color w:val="auto"/>
              </w:rPr>
              <w:t>$2,913,083</w:t>
            </w:r>
          </w:p>
        </w:tc>
        <w:tc>
          <w:tcPr>
            <w:tcW w:w="1900" w:type="dxa"/>
            <w:vAlign w:val="bottom"/>
            <w:tcBorders>
              <w:right w:val="single" w:sz="8" w:color="95B3D7"/>
            </w:tcBorders>
          </w:tcPr>
          <w:p>
            <w:pPr>
              <w:jc w:val="center"/>
              <w:spacing w:after="0" w:line="153" w:lineRule="exact"/>
              <w:rPr>
                <w:sz w:val="20"/>
                <w:szCs w:val="20"/>
                <w:color w:val="auto"/>
              </w:rPr>
            </w:pPr>
            <w:r>
              <w:rPr>
                <w:rFonts w:ascii="Arial" w:cs="Arial" w:eastAsia="Arial" w:hAnsi="Arial"/>
                <w:sz w:val="14"/>
                <w:szCs w:val="14"/>
                <w:color w:val="auto"/>
                <w:w w:val="99"/>
              </w:rPr>
              <w:t>$4,110,320</w:t>
            </w:r>
          </w:p>
        </w:tc>
        <w:tc>
          <w:tcPr>
            <w:tcW w:w="1900" w:type="dxa"/>
            <w:vAlign w:val="bottom"/>
            <w:tcBorders>
              <w:right w:val="single" w:sz="8" w:color="95B3D7"/>
            </w:tcBorders>
          </w:tcPr>
          <w:p>
            <w:pPr>
              <w:jc w:val="center"/>
              <w:spacing w:after="0" w:line="153" w:lineRule="exact"/>
              <w:rPr>
                <w:sz w:val="20"/>
                <w:szCs w:val="20"/>
                <w:color w:val="auto"/>
              </w:rPr>
            </w:pPr>
            <w:r>
              <w:rPr>
                <w:rFonts w:ascii="Arial" w:cs="Arial" w:eastAsia="Arial" w:hAnsi="Arial"/>
                <w:sz w:val="14"/>
                <w:szCs w:val="14"/>
                <w:color w:val="auto"/>
              </w:rPr>
              <w:t>$5,881,206</w:t>
            </w:r>
          </w:p>
        </w:tc>
        <w:tc>
          <w:tcPr>
            <w:tcW w:w="1880" w:type="dxa"/>
            <w:vAlign w:val="bottom"/>
          </w:tcPr>
          <w:p>
            <w:pPr>
              <w:jc w:val="center"/>
              <w:spacing w:after="0" w:line="153" w:lineRule="exact"/>
              <w:rPr>
                <w:sz w:val="20"/>
                <w:szCs w:val="20"/>
                <w:color w:val="auto"/>
              </w:rPr>
            </w:pPr>
            <w:r>
              <w:rPr>
                <w:rFonts w:ascii="Arial" w:cs="Arial" w:eastAsia="Arial" w:hAnsi="Arial"/>
                <w:sz w:val="14"/>
                <w:szCs w:val="14"/>
                <w:color w:val="auto"/>
              </w:rPr>
              <w:t>$4,532,610</w:t>
            </w:r>
          </w:p>
        </w:tc>
      </w:tr>
      <w:tr>
        <w:trPr>
          <w:trHeight w:val="144"/>
        </w:trPr>
        <w:tc>
          <w:tcPr>
            <w:tcW w:w="2880" w:type="dxa"/>
            <w:vAlign w:val="bottom"/>
            <w:tcBorders>
              <w:right w:val="single" w:sz="8" w:color="95B3D7"/>
            </w:tcBorders>
          </w:tcPr>
          <w:p>
            <w:pPr>
              <w:ind w:left="520"/>
              <w:spacing w:after="0" w:line="145" w:lineRule="exact"/>
              <w:rPr>
                <w:sz w:val="20"/>
                <w:szCs w:val="20"/>
                <w:color w:val="auto"/>
              </w:rPr>
            </w:pPr>
            <w:r>
              <w:rPr>
                <w:rFonts w:ascii="Arial" w:cs="Arial" w:eastAsia="Arial" w:hAnsi="Arial"/>
                <w:sz w:val="14"/>
                <w:szCs w:val="14"/>
                <w:color w:val="auto"/>
              </w:rPr>
              <w:t>awards granted in applicable year</w:t>
            </w:r>
          </w:p>
        </w:tc>
        <w:tc>
          <w:tcPr>
            <w:tcW w:w="1840" w:type="dxa"/>
            <w:vAlign w:val="bottom"/>
            <w:tcBorders>
              <w:right w:val="single" w:sz="8" w:color="95B3D7"/>
            </w:tcBorders>
          </w:tcPr>
          <w:p>
            <w:pPr>
              <w:spacing w:after="0"/>
              <w:rPr>
                <w:sz w:val="12"/>
                <w:szCs w:val="12"/>
                <w:color w:val="auto"/>
              </w:rPr>
            </w:pPr>
          </w:p>
        </w:tc>
        <w:tc>
          <w:tcPr>
            <w:tcW w:w="1900" w:type="dxa"/>
            <w:vAlign w:val="bottom"/>
            <w:tcBorders>
              <w:right w:val="single" w:sz="8" w:color="95B3D7"/>
            </w:tcBorders>
          </w:tcPr>
          <w:p>
            <w:pPr>
              <w:spacing w:after="0"/>
              <w:rPr>
                <w:sz w:val="12"/>
                <w:szCs w:val="12"/>
                <w:color w:val="auto"/>
              </w:rPr>
            </w:pPr>
          </w:p>
        </w:tc>
        <w:tc>
          <w:tcPr>
            <w:tcW w:w="1900" w:type="dxa"/>
            <w:vAlign w:val="bottom"/>
            <w:tcBorders>
              <w:right w:val="single" w:sz="8" w:color="95B3D7"/>
            </w:tcBorders>
          </w:tcPr>
          <w:p>
            <w:pPr>
              <w:spacing w:after="0"/>
              <w:rPr>
                <w:sz w:val="12"/>
                <w:szCs w:val="12"/>
                <w:color w:val="auto"/>
              </w:rPr>
            </w:pPr>
          </w:p>
        </w:tc>
        <w:tc>
          <w:tcPr>
            <w:tcW w:w="1880" w:type="dxa"/>
            <w:vAlign w:val="bottom"/>
          </w:tcPr>
          <w:p>
            <w:pPr>
              <w:spacing w:after="0"/>
              <w:rPr>
                <w:sz w:val="12"/>
                <w:szCs w:val="12"/>
                <w:color w:val="auto"/>
              </w:rPr>
            </w:pPr>
          </w:p>
        </w:tc>
      </w:tr>
      <w:tr>
        <w:trPr>
          <w:trHeight w:val="139"/>
        </w:trPr>
        <w:tc>
          <w:tcPr>
            <w:tcW w:w="2880" w:type="dxa"/>
            <w:vAlign w:val="bottom"/>
            <w:tcBorders>
              <w:right w:val="single" w:sz="8" w:color="95B3D7"/>
            </w:tcBorders>
          </w:tcPr>
          <w:p>
            <w:pPr>
              <w:ind w:left="520"/>
              <w:spacing w:after="0" w:line="139" w:lineRule="exact"/>
              <w:rPr>
                <w:sz w:val="20"/>
                <w:szCs w:val="20"/>
                <w:color w:val="auto"/>
              </w:rPr>
            </w:pPr>
            <w:r>
              <w:rPr>
                <w:rFonts w:ascii="Arial" w:cs="Arial" w:eastAsia="Arial" w:hAnsi="Arial"/>
                <w:sz w:val="14"/>
                <w:szCs w:val="14"/>
                <w:color w:val="auto"/>
              </w:rPr>
              <w:t>that are outstanding and unvested</w:t>
            </w:r>
          </w:p>
        </w:tc>
        <w:tc>
          <w:tcPr>
            <w:tcW w:w="1840" w:type="dxa"/>
            <w:vAlign w:val="bottom"/>
            <w:tcBorders>
              <w:right w:val="single" w:sz="8" w:color="95B3D7"/>
            </w:tcBorders>
          </w:tcPr>
          <w:p>
            <w:pPr>
              <w:spacing w:after="0"/>
              <w:rPr>
                <w:sz w:val="12"/>
                <w:szCs w:val="12"/>
                <w:color w:val="auto"/>
              </w:rPr>
            </w:pPr>
          </w:p>
        </w:tc>
        <w:tc>
          <w:tcPr>
            <w:tcW w:w="1900" w:type="dxa"/>
            <w:vAlign w:val="bottom"/>
            <w:tcBorders>
              <w:right w:val="single" w:sz="8" w:color="95B3D7"/>
            </w:tcBorders>
          </w:tcPr>
          <w:p>
            <w:pPr>
              <w:spacing w:after="0"/>
              <w:rPr>
                <w:sz w:val="12"/>
                <w:szCs w:val="12"/>
                <w:color w:val="auto"/>
              </w:rPr>
            </w:pPr>
          </w:p>
        </w:tc>
        <w:tc>
          <w:tcPr>
            <w:tcW w:w="1900" w:type="dxa"/>
            <w:vAlign w:val="bottom"/>
            <w:tcBorders>
              <w:right w:val="single" w:sz="8" w:color="95B3D7"/>
            </w:tcBorders>
          </w:tcPr>
          <w:p>
            <w:pPr>
              <w:spacing w:after="0"/>
              <w:rPr>
                <w:sz w:val="12"/>
                <w:szCs w:val="12"/>
                <w:color w:val="auto"/>
              </w:rPr>
            </w:pPr>
          </w:p>
        </w:tc>
        <w:tc>
          <w:tcPr>
            <w:tcW w:w="1880" w:type="dxa"/>
            <w:vAlign w:val="bottom"/>
          </w:tcPr>
          <w:p>
            <w:pPr>
              <w:spacing w:after="0"/>
              <w:rPr>
                <w:sz w:val="12"/>
                <w:szCs w:val="12"/>
                <w:color w:val="auto"/>
              </w:rPr>
            </w:pPr>
          </w:p>
        </w:tc>
      </w:tr>
      <w:tr>
        <w:trPr>
          <w:trHeight w:val="198"/>
        </w:trPr>
        <w:tc>
          <w:tcPr>
            <w:tcW w:w="2880" w:type="dxa"/>
            <w:vAlign w:val="bottom"/>
            <w:tcBorders>
              <w:right w:val="single" w:sz="8" w:color="95B3D7"/>
            </w:tcBorders>
          </w:tcPr>
          <w:p>
            <w:pPr>
              <w:ind w:left="520"/>
              <w:spacing w:after="0"/>
              <w:rPr>
                <w:sz w:val="20"/>
                <w:szCs w:val="20"/>
                <w:color w:val="auto"/>
              </w:rPr>
            </w:pPr>
            <w:r>
              <w:rPr>
                <w:rFonts w:ascii="Arial" w:cs="Arial" w:eastAsia="Arial" w:hAnsi="Arial"/>
                <w:sz w:val="14"/>
                <w:szCs w:val="14"/>
                <w:color w:val="auto"/>
              </w:rPr>
              <w:t>as of the end of the year</w:t>
            </w:r>
          </w:p>
        </w:tc>
        <w:tc>
          <w:tcPr>
            <w:tcW w:w="1840" w:type="dxa"/>
            <w:vAlign w:val="bottom"/>
            <w:tcBorders>
              <w:right w:val="single" w:sz="8" w:color="95B3D7"/>
            </w:tcBorders>
          </w:tcPr>
          <w:p>
            <w:pPr>
              <w:spacing w:after="0"/>
              <w:rPr>
                <w:sz w:val="17"/>
                <w:szCs w:val="17"/>
                <w:color w:val="auto"/>
              </w:rPr>
            </w:pPr>
          </w:p>
        </w:tc>
        <w:tc>
          <w:tcPr>
            <w:tcW w:w="1900" w:type="dxa"/>
            <w:vAlign w:val="bottom"/>
            <w:tcBorders>
              <w:right w:val="single" w:sz="8" w:color="95B3D7"/>
            </w:tcBorders>
          </w:tcPr>
          <w:p>
            <w:pPr>
              <w:spacing w:after="0"/>
              <w:rPr>
                <w:sz w:val="17"/>
                <w:szCs w:val="17"/>
                <w:color w:val="auto"/>
              </w:rPr>
            </w:pPr>
          </w:p>
        </w:tc>
        <w:tc>
          <w:tcPr>
            <w:tcW w:w="1900" w:type="dxa"/>
            <w:vAlign w:val="bottom"/>
            <w:tcBorders>
              <w:right w:val="single" w:sz="8" w:color="95B3D7"/>
            </w:tcBorders>
          </w:tcPr>
          <w:p>
            <w:pPr>
              <w:spacing w:after="0"/>
              <w:rPr>
                <w:sz w:val="17"/>
                <w:szCs w:val="17"/>
                <w:color w:val="auto"/>
              </w:rPr>
            </w:pPr>
          </w:p>
        </w:tc>
        <w:tc>
          <w:tcPr>
            <w:tcW w:w="18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426" w:right="379" w:bottom="1440" w:gutter="0" w:footer="0" w:header="0"/>
        </w:sectPr>
      </w:pPr>
    </w:p>
    <w:bookmarkStart w:id="77" w:name="page78"/>
    <w:bookmarkEnd w:id="77"/>
    <w:p>
      <w:pPr>
        <w:spacing w:after="0" w:line="54"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28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left="468"/>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left="488"/>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left="468"/>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left="42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8"/>
                <w:szCs w:val="18"/>
                <w:color w:val="auto"/>
              </w:rPr>
            </w:pPr>
          </w:p>
        </w:tc>
      </w:tr>
      <w:tr>
        <w:trPr>
          <w:trHeight w:val="147"/>
        </w:trPr>
        <w:tc>
          <w:tcPr>
            <w:tcW w:w="2880" w:type="dxa"/>
            <w:vAlign w:val="bottom"/>
            <w:tcBorders>
              <w:right w:val="single" w:sz="8" w:color="95B3D7"/>
            </w:tcBorders>
            <w:shd w:val="clear" w:color="auto" w:fill="DBE5F1"/>
          </w:tcPr>
          <w:p>
            <w:pPr>
              <w:ind w:left="520"/>
              <w:spacing w:after="0" w:line="147" w:lineRule="exact"/>
              <w:rPr>
                <w:sz w:val="20"/>
                <w:szCs w:val="20"/>
                <w:color w:val="auto"/>
              </w:rPr>
            </w:pPr>
            <w:r>
              <w:rPr>
                <w:rFonts w:ascii="Arial" w:cs="Arial" w:eastAsia="Arial" w:hAnsi="Arial"/>
                <w:sz w:val="14"/>
                <w:szCs w:val="14"/>
                <w:color w:val="auto"/>
              </w:rPr>
              <w:t>The amount of change as of the end</w:t>
            </w:r>
          </w:p>
        </w:tc>
        <w:tc>
          <w:tcPr>
            <w:tcW w:w="1840" w:type="dxa"/>
            <w:vAlign w:val="bottom"/>
            <w:tcBorders>
              <w:right w:val="single" w:sz="8" w:color="95B3D7"/>
            </w:tcBorders>
            <w:gridSpan w:val="3"/>
            <w:shd w:val="clear" w:color="auto" w:fill="DBE5F1"/>
          </w:tcPr>
          <w:p>
            <w:pPr>
              <w:jc w:val="center"/>
              <w:ind w:right="40"/>
              <w:spacing w:after="0" w:line="147" w:lineRule="exact"/>
              <w:rPr>
                <w:sz w:val="20"/>
                <w:szCs w:val="20"/>
                <w:color w:val="auto"/>
              </w:rPr>
            </w:pPr>
            <w:r>
              <w:rPr>
                <w:rFonts w:ascii="Arial" w:cs="Arial" w:eastAsia="Arial" w:hAnsi="Arial"/>
                <w:sz w:val="14"/>
                <w:szCs w:val="14"/>
                <w:color w:val="auto"/>
              </w:rPr>
              <w:t>$3,094,951</w:t>
            </w:r>
          </w:p>
        </w:tc>
        <w:tc>
          <w:tcPr>
            <w:tcW w:w="1900" w:type="dxa"/>
            <w:vAlign w:val="bottom"/>
            <w:tcBorders>
              <w:right w:val="single" w:sz="8" w:color="95B3D7"/>
            </w:tcBorders>
            <w:gridSpan w:val="3"/>
            <w:shd w:val="clear" w:color="auto" w:fill="DBE5F1"/>
          </w:tcPr>
          <w:p>
            <w:pPr>
              <w:jc w:val="center"/>
              <w:ind w:right="40"/>
              <w:spacing w:after="0" w:line="147" w:lineRule="exact"/>
              <w:rPr>
                <w:sz w:val="20"/>
                <w:szCs w:val="20"/>
                <w:color w:val="auto"/>
              </w:rPr>
            </w:pPr>
            <w:r>
              <w:rPr>
                <w:rFonts w:ascii="Arial" w:cs="Arial" w:eastAsia="Arial" w:hAnsi="Arial"/>
                <w:sz w:val="14"/>
                <w:szCs w:val="14"/>
                <w:color w:val="auto"/>
              </w:rPr>
              <w:t>$(1,755,990)</w:t>
            </w:r>
          </w:p>
        </w:tc>
        <w:tc>
          <w:tcPr>
            <w:tcW w:w="1300" w:type="dxa"/>
            <w:vAlign w:val="bottom"/>
            <w:gridSpan w:val="2"/>
            <w:shd w:val="clear" w:color="auto" w:fill="DBE5F1"/>
          </w:tcPr>
          <w:p>
            <w:pPr>
              <w:jc w:val="center"/>
              <w:ind w:left="488"/>
              <w:spacing w:after="0" w:line="147" w:lineRule="exact"/>
              <w:rPr>
                <w:sz w:val="20"/>
                <w:szCs w:val="20"/>
                <w:color w:val="auto"/>
              </w:rPr>
            </w:pPr>
            <w:r>
              <w:rPr>
                <w:rFonts w:ascii="Arial" w:cs="Arial" w:eastAsia="Arial" w:hAnsi="Arial"/>
                <w:sz w:val="14"/>
                <w:szCs w:val="14"/>
                <w:color w:val="auto"/>
              </w:rPr>
              <w:t>$(551,977)</w:t>
            </w:r>
          </w:p>
        </w:tc>
        <w:tc>
          <w:tcPr>
            <w:tcW w:w="600" w:type="dxa"/>
            <w:vAlign w:val="bottom"/>
            <w:tcBorders>
              <w:right w:val="single" w:sz="8" w:color="95B3D7"/>
            </w:tcBorders>
            <w:shd w:val="clear" w:color="auto" w:fill="DBE5F1"/>
          </w:tcPr>
          <w:p>
            <w:pPr>
              <w:spacing w:after="0"/>
              <w:rPr>
                <w:sz w:val="12"/>
                <w:szCs w:val="12"/>
                <w:color w:val="auto"/>
              </w:rPr>
            </w:pPr>
          </w:p>
        </w:tc>
        <w:tc>
          <w:tcPr>
            <w:tcW w:w="1340" w:type="dxa"/>
            <w:vAlign w:val="bottom"/>
            <w:gridSpan w:val="2"/>
            <w:shd w:val="clear" w:color="auto" w:fill="DBE5F1"/>
          </w:tcPr>
          <w:p>
            <w:pPr>
              <w:jc w:val="center"/>
              <w:ind w:left="468"/>
              <w:spacing w:after="0" w:line="147" w:lineRule="exact"/>
              <w:rPr>
                <w:sz w:val="20"/>
                <w:szCs w:val="20"/>
                <w:color w:val="auto"/>
              </w:rPr>
            </w:pPr>
            <w:r>
              <w:rPr>
                <w:rFonts w:ascii="Arial" w:cs="Arial" w:eastAsia="Arial" w:hAnsi="Arial"/>
                <w:sz w:val="14"/>
                <w:szCs w:val="14"/>
                <w:color w:val="auto"/>
              </w:rPr>
              <w:t>$2,876,585</w:t>
            </w:r>
          </w:p>
        </w:tc>
        <w:tc>
          <w:tcPr>
            <w:tcW w:w="540" w:type="dxa"/>
            <w:vAlign w:val="bottom"/>
            <w:shd w:val="clear" w:color="auto" w:fill="DBE5F1"/>
          </w:tcPr>
          <w:p>
            <w:pPr>
              <w:spacing w:after="0"/>
              <w:rPr>
                <w:sz w:val="12"/>
                <w:szCs w:val="12"/>
                <w:color w:val="auto"/>
              </w:rPr>
            </w:pPr>
          </w:p>
        </w:tc>
      </w:tr>
      <w:tr>
        <w:trPr>
          <w:trHeight w:val="144"/>
        </w:trPr>
        <w:tc>
          <w:tcPr>
            <w:tcW w:w="2880" w:type="dxa"/>
            <w:vAlign w:val="bottom"/>
            <w:tcBorders>
              <w:right w:val="single" w:sz="8" w:color="95B3D7"/>
            </w:tcBorders>
            <w:shd w:val="clear" w:color="auto" w:fill="DBE5F1"/>
          </w:tcPr>
          <w:p>
            <w:pPr>
              <w:ind w:left="520"/>
              <w:spacing w:after="0" w:line="145" w:lineRule="exact"/>
              <w:rPr>
                <w:sz w:val="20"/>
                <w:szCs w:val="20"/>
                <w:color w:val="auto"/>
              </w:rPr>
            </w:pPr>
            <w:r>
              <w:rPr>
                <w:rFonts w:ascii="Arial" w:cs="Arial" w:eastAsia="Arial" w:hAnsi="Arial"/>
                <w:sz w:val="14"/>
                <w:szCs w:val="14"/>
                <w:color w:val="auto"/>
              </w:rPr>
              <w:t>of the applicable year (from the end</w:t>
            </w:r>
          </w:p>
        </w:tc>
        <w:tc>
          <w:tcPr>
            <w:tcW w:w="560" w:type="dxa"/>
            <w:vAlign w:val="bottom"/>
            <w:shd w:val="clear" w:color="auto" w:fill="DBE5F1"/>
          </w:tcPr>
          <w:p>
            <w:pPr>
              <w:spacing w:after="0"/>
              <w:rPr>
                <w:sz w:val="12"/>
                <w:szCs w:val="12"/>
                <w:color w:val="auto"/>
              </w:rPr>
            </w:pPr>
          </w:p>
        </w:tc>
        <w:tc>
          <w:tcPr>
            <w:tcW w:w="700" w:type="dxa"/>
            <w:vAlign w:val="bottom"/>
            <w:shd w:val="clear" w:color="auto" w:fill="DBE5F1"/>
          </w:tcPr>
          <w:p>
            <w:pPr>
              <w:spacing w:after="0"/>
              <w:rPr>
                <w:sz w:val="12"/>
                <w:szCs w:val="12"/>
                <w:color w:val="auto"/>
              </w:rPr>
            </w:pPr>
          </w:p>
        </w:tc>
        <w:tc>
          <w:tcPr>
            <w:tcW w:w="580" w:type="dxa"/>
            <w:vAlign w:val="bottom"/>
            <w:tcBorders>
              <w:right w:val="single" w:sz="8" w:color="95B3D7"/>
            </w:tcBorders>
            <w:shd w:val="clear" w:color="auto" w:fill="DBE5F1"/>
          </w:tcPr>
          <w:p>
            <w:pPr>
              <w:spacing w:after="0"/>
              <w:rPr>
                <w:sz w:val="12"/>
                <w:szCs w:val="12"/>
                <w:color w:val="auto"/>
              </w:rPr>
            </w:pPr>
          </w:p>
        </w:tc>
        <w:tc>
          <w:tcPr>
            <w:tcW w:w="560" w:type="dxa"/>
            <w:vAlign w:val="bottom"/>
            <w:shd w:val="clear" w:color="auto" w:fill="DBE5F1"/>
          </w:tcPr>
          <w:p>
            <w:pPr>
              <w:spacing w:after="0"/>
              <w:rPr>
                <w:sz w:val="12"/>
                <w:szCs w:val="12"/>
                <w:color w:val="auto"/>
              </w:rPr>
            </w:pPr>
          </w:p>
        </w:tc>
        <w:tc>
          <w:tcPr>
            <w:tcW w:w="720" w:type="dxa"/>
            <w:vAlign w:val="bottom"/>
            <w:shd w:val="clear" w:color="auto" w:fill="DBE5F1"/>
          </w:tcPr>
          <w:p>
            <w:pPr>
              <w:spacing w:after="0"/>
              <w:rPr>
                <w:sz w:val="12"/>
                <w:szCs w:val="12"/>
                <w:color w:val="auto"/>
              </w:rPr>
            </w:pPr>
          </w:p>
        </w:tc>
        <w:tc>
          <w:tcPr>
            <w:tcW w:w="620" w:type="dxa"/>
            <w:vAlign w:val="bottom"/>
            <w:tcBorders>
              <w:right w:val="single" w:sz="8" w:color="95B3D7"/>
            </w:tcBorders>
            <w:shd w:val="clear" w:color="auto" w:fill="DBE5F1"/>
          </w:tcPr>
          <w:p>
            <w:pPr>
              <w:spacing w:after="0"/>
              <w:rPr>
                <w:sz w:val="12"/>
                <w:szCs w:val="12"/>
                <w:color w:val="auto"/>
              </w:rPr>
            </w:pPr>
          </w:p>
        </w:tc>
        <w:tc>
          <w:tcPr>
            <w:tcW w:w="580" w:type="dxa"/>
            <w:vAlign w:val="bottom"/>
            <w:shd w:val="clear" w:color="auto" w:fill="DBE5F1"/>
          </w:tcPr>
          <w:p>
            <w:pPr>
              <w:spacing w:after="0"/>
              <w:rPr>
                <w:sz w:val="12"/>
                <w:szCs w:val="12"/>
                <w:color w:val="auto"/>
              </w:rPr>
            </w:pPr>
          </w:p>
        </w:tc>
        <w:tc>
          <w:tcPr>
            <w:tcW w:w="720" w:type="dxa"/>
            <w:vAlign w:val="bottom"/>
            <w:shd w:val="clear" w:color="auto" w:fill="DBE5F1"/>
          </w:tcPr>
          <w:p>
            <w:pPr>
              <w:spacing w:after="0"/>
              <w:rPr>
                <w:sz w:val="12"/>
                <w:szCs w:val="12"/>
                <w:color w:val="auto"/>
              </w:rPr>
            </w:pPr>
          </w:p>
        </w:tc>
        <w:tc>
          <w:tcPr>
            <w:tcW w:w="600" w:type="dxa"/>
            <w:vAlign w:val="bottom"/>
            <w:tcBorders>
              <w:right w:val="single" w:sz="8" w:color="95B3D7"/>
            </w:tcBorders>
            <w:shd w:val="clear" w:color="auto" w:fill="DBE5F1"/>
          </w:tcPr>
          <w:p>
            <w:pPr>
              <w:spacing w:after="0"/>
              <w:rPr>
                <w:sz w:val="12"/>
                <w:szCs w:val="12"/>
                <w:color w:val="auto"/>
              </w:rPr>
            </w:pPr>
          </w:p>
        </w:tc>
        <w:tc>
          <w:tcPr>
            <w:tcW w:w="54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540" w:type="dxa"/>
            <w:vAlign w:val="bottom"/>
            <w:shd w:val="clear" w:color="auto" w:fill="DBE5F1"/>
          </w:tcPr>
          <w:p>
            <w:pPr>
              <w:spacing w:after="0"/>
              <w:rPr>
                <w:sz w:val="12"/>
                <w:szCs w:val="12"/>
                <w:color w:val="auto"/>
              </w:rPr>
            </w:pPr>
          </w:p>
        </w:tc>
      </w:tr>
      <w:tr>
        <w:trPr>
          <w:trHeight w:val="139"/>
        </w:trPr>
        <w:tc>
          <w:tcPr>
            <w:tcW w:w="2880" w:type="dxa"/>
            <w:vAlign w:val="bottom"/>
            <w:tcBorders>
              <w:right w:val="single" w:sz="8" w:color="95B3D7"/>
            </w:tcBorders>
            <w:shd w:val="clear" w:color="auto" w:fill="DBE5F1"/>
          </w:tcPr>
          <w:p>
            <w:pPr>
              <w:ind w:left="520"/>
              <w:spacing w:after="0" w:line="139" w:lineRule="exact"/>
              <w:rPr>
                <w:sz w:val="20"/>
                <w:szCs w:val="20"/>
                <w:color w:val="auto"/>
              </w:rPr>
            </w:pPr>
            <w:r>
              <w:rPr>
                <w:rFonts w:ascii="Arial" w:cs="Arial" w:eastAsia="Arial" w:hAnsi="Arial"/>
                <w:sz w:val="14"/>
                <w:szCs w:val="14"/>
                <w:color w:val="auto"/>
              </w:rPr>
              <w:t>of the prior fiscal year) in fair value</w:t>
            </w:r>
          </w:p>
        </w:tc>
        <w:tc>
          <w:tcPr>
            <w:tcW w:w="560" w:type="dxa"/>
            <w:vAlign w:val="bottom"/>
            <w:shd w:val="clear" w:color="auto" w:fill="DBE5F1"/>
          </w:tcPr>
          <w:p>
            <w:pPr>
              <w:spacing w:after="0"/>
              <w:rPr>
                <w:sz w:val="12"/>
                <w:szCs w:val="12"/>
                <w:color w:val="auto"/>
              </w:rPr>
            </w:pPr>
          </w:p>
        </w:tc>
        <w:tc>
          <w:tcPr>
            <w:tcW w:w="700" w:type="dxa"/>
            <w:vAlign w:val="bottom"/>
            <w:shd w:val="clear" w:color="auto" w:fill="DBE5F1"/>
          </w:tcPr>
          <w:p>
            <w:pPr>
              <w:spacing w:after="0"/>
              <w:rPr>
                <w:sz w:val="12"/>
                <w:szCs w:val="12"/>
                <w:color w:val="auto"/>
              </w:rPr>
            </w:pPr>
          </w:p>
        </w:tc>
        <w:tc>
          <w:tcPr>
            <w:tcW w:w="580" w:type="dxa"/>
            <w:vAlign w:val="bottom"/>
            <w:tcBorders>
              <w:right w:val="single" w:sz="8" w:color="95B3D7"/>
            </w:tcBorders>
            <w:shd w:val="clear" w:color="auto" w:fill="DBE5F1"/>
          </w:tcPr>
          <w:p>
            <w:pPr>
              <w:spacing w:after="0"/>
              <w:rPr>
                <w:sz w:val="12"/>
                <w:szCs w:val="12"/>
                <w:color w:val="auto"/>
              </w:rPr>
            </w:pPr>
          </w:p>
        </w:tc>
        <w:tc>
          <w:tcPr>
            <w:tcW w:w="560" w:type="dxa"/>
            <w:vAlign w:val="bottom"/>
            <w:shd w:val="clear" w:color="auto" w:fill="DBE5F1"/>
          </w:tcPr>
          <w:p>
            <w:pPr>
              <w:spacing w:after="0"/>
              <w:rPr>
                <w:sz w:val="12"/>
                <w:szCs w:val="12"/>
                <w:color w:val="auto"/>
              </w:rPr>
            </w:pPr>
          </w:p>
        </w:tc>
        <w:tc>
          <w:tcPr>
            <w:tcW w:w="720" w:type="dxa"/>
            <w:vAlign w:val="bottom"/>
            <w:shd w:val="clear" w:color="auto" w:fill="DBE5F1"/>
          </w:tcPr>
          <w:p>
            <w:pPr>
              <w:spacing w:after="0"/>
              <w:rPr>
                <w:sz w:val="12"/>
                <w:szCs w:val="12"/>
                <w:color w:val="auto"/>
              </w:rPr>
            </w:pPr>
          </w:p>
        </w:tc>
        <w:tc>
          <w:tcPr>
            <w:tcW w:w="620" w:type="dxa"/>
            <w:vAlign w:val="bottom"/>
            <w:tcBorders>
              <w:right w:val="single" w:sz="8" w:color="95B3D7"/>
            </w:tcBorders>
            <w:shd w:val="clear" w:color="auto" w:fill="DBE5F1"/>
          </w:tcPr>
          <w:p>
            <w:pPr>
              <w:spacing w:after="0"/>
              <w:rPr>
                <w:sz w:val="12"/>
                <w:szCs w:val="12"/>
                <w:color w:val="auto"/>
              </w:rPr>
            </w:pPr>
          </w:p>
        </w:tc>
        <w:tc>
          <w:tcPr>
            <w:tcW w:w="580" w:type="dxa"/>
            <w:vAlign w:val="bottom"/>
            <w:shd w:val="clear" w:color="auto" w:fill="DBE5F1"/>
          </w:tcPr>
          <w:p>
            <w:pPr>
              <w:spacing w:after="0"/>
              <w:rPr>
                <w:sz w:val="12"/>
                <w:szCs w:val="12"/>
                <w:color w:val="auto"/>
              </w:rPr>
            </w:pPr>
          </w:p>
        </w:tc>
        <w:tc>
          <w:tcPr>
            <w:tcW w:w="720" w:type="dxa"/>
            <w:vAlign w:val="bottom"/>
            <w:shd w:val="clear" w:color="auto" w:fill="DBE5F1"/>
          </w:tcPr>
          <w:p>
            <w:pPr>
              <w:spacing w:after="0"/>
              <w:rPr>
                <w:sz w:val="12"/>
                <w:szCs w:val="12"/>
                <w:color w:val="auto"/>
              </w:rPr>
            </w:pPr>
          </w:p>
        </w:tc>
        <w:tc>
          <w:tcPr>
            <w:tcW w:w="600" w:type="dxa"/>
            <w:vAlign w:val="bottom"/>
            <w:tcBorders>
              <w:right w:val="single" w:sz="8" w:color="95B3D7"/>
            </w:tcBorders>
            <w:shd w:val="clear" w:color="auto" w:fill="DBE5F1"/>
          </w:tcPr>
          <w:p>
            <w:pPr>
              <w:spacing w:after="0"/>
              <w:rPr>
                <w:sz w:val="12"/>
                <w:szCs w:val="12"/>
                <w:color w:val="auto"/>
              </w:rPr>
            </w:pPr>
          </w:p>
        </w:tc>
        <w:tc>
          <w:tcPr>
            <w:tcW w:w="54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540" w:type="dxa"/>
            <w:vAlign w:val="bottom"/>
            <w:shd w:val="clear" w:color="auto" w:fill="DBE5F1"/>
          </w:tcPr>
          <w:p>
            <w:pPr>
              <w:spacing w:after="0"/>
              <w:rPr>
                <w:sz w:val="12"/>
                <w:szCs w:val="12"/>
                <w:color w:val="auto"/>
              </w:rPr>
            </w:pPr>
          </w:p>
        </w:tc>
      </w:tr>
      <w:tr>
        <w:trPr>
          <w:trHeight w:val="148"/>
        </w:trPr>
        <w:tc>
          <w:tcPr>
            <w:tcW w:w="2880" w:type="dxa"/>
            <w:vAlign w:val="bottom"/>
            <w:tcBorders>
              <w:right w:val="single" w:sz="8" w:color="95B3D7"/>
            </w:tcBorders>
            <w:shd w:val="clear" w:color="auto" w:fill="DBE5F1"/>
          </w:tcPr>
          <w:p>
            <w:pPr>
              <w:ind w:left="520"/>
              <w:spacing w:after="0" w:line="149" w:lineRule="exact"/>
              <w:rPr>
                <w:sz w:val="20"/>
                <w:szCs w:val="20"/>
                <w:color w:val="auto"/>
              </w:rPr>
            </w:pPr>
            <w:r>
              <w:rPr>
                <w:rFonts w:ascii="Arial" w:cs="Arial" w:eastAsia="Arial" w:hAnsi="Arial"/>
                <w:sz w:val="14"/>
                <w:szCs w:val="14"/>
                <w:color w:val="auto"/>
              </w:rPr>
              <w:t>of any awards granted in prior years</w:t>
            </w:r>
          </w:p>
        </w:tc>
        <w:tc>
          <w:tcPr>
            <w:tcW w:w="560" w:type="dxa"/>
            <w:vAlign w:val="bottom"/>
            <w:shd w:val="clear" w:color="auto" w:fill="DBE5F1"/>
          </w:tcPr>
          <w:p>
            <w:pPr>
              <w:spacing w:after="0"/>
              <w:rPr>
                <w:sz w:val="12"/>
                <w:szCs w:val="12"/>
                <w:color w:val="auto"/>
              </w:rPr>
            </w:pPr>
          </w:p>
        </w:tc>
        <w:tc>
          <w:tcPr>
            <w:tcW w:w="700" w:type="dxa"/>
            <w:vAlign w:val="bottom"/>
            <w:shd w:val="clear" w:color="auto" w:fill="DBE5F1"/>
          </w:tcPr>
          <w:p>
            <w:pPr>
              <w:spacing w:after="0"/>
              <w:rPr>
                <w:sz w:val="12"/>
                <w:szCs w:val="12"/>
                <w:color w:val="auto"/>
              </w:rPr>
            </w:pPr>
          </w:p>
        </w:tc>
        <w:tc>
          <w:tcPr>
            <w:tcW w:w="580" w:type="dxa"/>
            <w:vAlign w:val="bottom"/>
            <w:tcBorders>
              <w:right w:val="single" w:sz="8" w:color="95B3D7"/>
            </w:tcBorders>
            <w:shd w:val="clear" w:color="auto" w:fill="DBE5F1"/>
          </w:tcPr>
          <w:p>
            <w:pPr>
              <w:spacing w:after="0"/>
              <w:rPr>
                <w:sz w:val="12"/>
                <w:szCs w:val="12"/>
                <w:color w:val="auto"/>
              </w:rPr>
            </w:pPr>
          </w:p>
        </w:tc>
        <w:tc>
          <w:tcPr>
            <w:tcW w:w="560" w:type="dxa"/>
            <w:vAlign w:val="bottom"/>
            <w:shd w:val="clear" w:color="auto" w:fill="DBE5F1"/>
          </w:tcPr>
          <w:p>
            <w:pPr>
              <w:spacing w:after="0"/>
              <w:rPr>
                <w:sz w:val="12"/>
                <w:szCs w:val="12"/>
                <w:color w:val="auto"/>
              </w:rPr>
            </w:pPr>
          </w:p>
        </w:tc>
        <w:tc>
          <w:tcPr>
            <w:tcW w:w="720" w:type="dxa"/>
            <w:vAlign w:val="bottom"/>
            <w:shd w:val="clear" w:color="auto" w:fill="DBE5F1"/>
          </w:tcPr>
          <w:p>
            <w:pPr>
              <w:spacing w:after="0"/>
              <w:rPr>
                <w:sz w:val="12"/>
                <w:szCs w:val="12"/>
                <w:color w:val="auto"/>
              </w:rPr>
            </w:pPr>
          </w:p>
        </w:tc>
        <w:tc>
          <w:tcPr>
            <w:tcW w:w="620" w:type="dxa"/>
            <w:vAlign w:val="bottom"/>
            <w:tcBorders>
              <w:right w:val="single" w:sz="8" w:color="95B3D7"/>
            </w:tcBorders>
            <w:shd w:val="clear" w:color="auto" w:fill="DBE5F1"/>
          </w:tcPr>
          <w:p>
            <w:pPr>
              <w:spacing w:after="0"/>
              <w:rPr>
                <w:sz w:val="12"/>
                <w:szCs w:val="12"/>
                <w:color w:val="auto"/>
              </w:rPr>
            </w:pPr>
          </w:p>
        </w:tc>
        <w:tc>
          <w:tcPr>
            <w:tcW w:w="580" w:type="dxa"/>
            <w:vAlign w:val="bottom"/>
            <w:shd w:val="clear" w:color="auto" w:fill="DBE5F1"/>
          </w:tcPr>
          <w:p>
            <w:pPr>
              <w:spacing w:after="0"/>
              <w:rPr>
                <w:sz w:val="12"/>
                <w:szCs w:val="12"/>
                <w:color w:val="auto"/>
              </w:rPr>
            </w:pPr>
          </w:p>
        </w:tc>
        <w:tc>
          <w:tcPr>
            <w:tcW w:w="720" w:type="dxa"/>
            <w:vAlign w:val="bottom"/>
            <w:shd w:val="clear" w:color="auto" w:fill="DBE5F1"/>
          </w:tcPr>
          <w:p>
            <w:pPr>
              <w:spacing w:after="0"/>
              <w:rPr>
                <w:sz w:val="12"/>
                <w:szCs w:val="12"/>
                <w:color w:val="auto"/>
              </w:rPr>
            </w:pPr>
          </w:p>
        </w:tc>
        <w:tc>
          <w:tcPr>
            <w:tcW w:w="600" w:type="dxa"/>
            <w:vAlign w:val="bottom"/>
            <w:tcBorders>
              <w:right w:val="single" w:sz="8" w:color="95B3D7"/>
            </w:tcBorders>
            <w:shd w:val="clear" w:color="auto" w:fill="DBE5F1"/>
          </w:tcPr>
          <w:p>
            <w:pPr>
              <w:spacing w:after="0"/>
              <w:rPr>
                <w:sz w:val="12"/>
                <w:szCs w:val="12"/>
                <w:color w:val="auto"/>
              </w:rPr>
            </w:pPr>
          </w:p>
        </w:tc>
        <w:tc>
          <w:tcPr>
            <w:tcW w:w="54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540" w:type="dxa"/>
            <w:vAlign w:val="bottom"/>
            <w:shd w:val="clear" w:color="auto" w:fill="DBE5F1"/>
          </w:tcPr>
          <w:p>
            <w:pPr>
              <w:spacing w:after="0"/>
              <w:rPr>
                <w:sz w:val="12"/>
                <w:szCs w:val="12"/>
                <w:color w:val="auto"/>
              </w:rPr>
            </w:pPr>
          </w:p>
        </w:tc>
      </w:tr>
      <w:tr>
        <w:trPr>
          <w:trHeight w:val="144"/>
        </w:trPr>
        <w:tc>
          <w:tcPr>
            <w:tcW w:w="2880" w:type="dxa"/>
            <w:vAlign w:val="bottom"/>
            <w:tcBorders>
              <w:right w:val="single" w:sz="8" w:color="95B3D7"/>
            </w:tcBorders>
            <w:shd w:val="clear" w:color="auto" w:fill="DBE5F1"/>
          </w:tcPr>
          <w:p>
            <w:pPr>
              <w:ind w:left="520"/>
              <w:spacing w:after="0" w:line="145" w:lineRule="exact"/>
              <w:rPr>
                <w:sz w:val="20"/>
                <w:szCs w:val="20"/>
                <w:color w:val="auto"/>
              </w:rPr>
            </w:pPr>
            <w:r>
              <w:rPr>
                <w:rFonts w:ascii="Arial" w:cs="Arial" w:eastAsia="Arial" w:hAnsi="Arial"/>
                <w:sz w:val="14"/>
                <w:szCs w:val="14"/>
                <w:color w:val="auto"/>
              </w:rPr>
              <w:t>that are outstanding and unvested</w:t>
            </w:r>
          </w:p>
        </w:tc>
        <w:tc>
          <w:tcPr>
            <w:tcW w:w="560" w:type="dxa"/>
            <w:vAlign w:val="bottom"/>
            <w:shd w:val="clear" w:color="auto" w:fill="DBE5F1"/>
          </w:tcPr>
          <w:p>
            <w:pPr>
              <w:spacing w:after="0"/>
              <w:rPr>
                <w:sz w:val="12"/>
                <w:szCs w:val="12"/>
                <w:color w:val="auto"/>
              </w:rPr>
            </w:pPr>
          </w:p>
        </w:tc>
        <w:tc>
          <w:tcPr>
            <w:tcW w:w="700" w:type="dxa"/>
            <w:vAlign w:val="bottom"/>
            <w:shd w:val="clear" w:color="auto" w:fill="DBE5F1"/>
          </w:tcPr>
          <w:p>
            <w:pPr>
              <w:spacing w:after="0"/>
              <w:rPr>
                <w:sz w:val="12"/>
                <w:szCs w:val="12"/>
                <w:color w:val="auto"/>
              </w:rPr>
            </w:pPr>
          </w:p>
        </w:tc>
        <w:tc>
          <w:tcPr>
            <w:tcW w:w="580" w:type="dxa"/>
            <w:vAlign w:val="bottom"/>
            <w:tcBorders>
              <w:right w:val="single" w:sz="8" w:color="95B3D7"/>
            </w:tcBorders>
            <w:shd w:val="clear" w:color="auto" w:fill="DBE5F1"/>
          </w:tcPr>
          <w:p>
            <w:pPr>
              <w:spacing w:after="0"/>
              <w:rPr>
                <w:sz w:val="12"/>
                <w:szCs w:val="12"/>
                <w:color w:val="auto"/>
              </w:rPr>
            </w:pPr>
          </w:p>
        </w:tc>
        <w:tc>
          <w:tcPr>
            <w:tcW w:w="560" w:type="dxa"/>
            <w:vAlign w:val="bottom"/>
            <w:shd w:val="clear" w:color="auto" w:fill="DBE5F1"/>
          </w:tcPr>
          <w:p>
            <w:pPr>
              <w:spacing w:after="0"/>
              <w:rPr>
                <w:sz w:val="12"/>
                <w:szCs w:val="12"/>
                <w:color w:val="auto"/>
              </w:rPr>
            </w:pPr>
          </w:p>
        </w:tc>
        <w:tc>
          <w:tcPr>
            <w:tcW w:w="720" w:type="dxa"/>
            <w:vAlign w:val="bottom"/>
            <w:shd w:val="clear" w:color="auto" w:fill="DBE5F1"/>
          </w:tcPr>
          <w:p>
            <w:pPr>
              <w:spacing w:after="0"/>
              <w:rPr>
                <w:sz w:val="12"/>
                <w:szCs w:val="12"/>
                <w:color w:val="auto"/>
              </w:rPr>
            </w:pPr>
          </w:p>
        </w:tc>
        <w:tc>
          <w:tcPr>
            <w:tcW w:w="620" w:type="dxa"/>
            <w:vAlign w:val="bottom"/>
            <w:tcBorders>
              <w:right w:val="single" w:sz="8" w:color="95B3D7"/>
            </w:tcBorders>
            <w:shd w:val="clear" w:color="auto" w:fill="DBE5F1"/>
          </w:tcPr>
          <w:p>
            <w:pPr>
              <w:spacing w:after="0"/>
              <w:rPr>
                <w:sz w:val="12"/>
                <w:szCs w:val="12"/>
                <w:color w:val="auto"/>
              </w:rPr>
            </w:pPr>
          </w:p>
        </w:tc>
        <w:tc>
          <w:tcPr>
            <w:tcW w:w="580" w:type="dxa"/>
            <w:vAlign w:val="bottom"/>
            <w:shd w:val="clear" w:color="auto" w:fill="DBE5F1"/>
          </w:tcPr>
          <w:p>
            <w:pPr>
              <w:spacing w:after="0"/>
              <w:rPr>
                <w:sz w:val="12"/>
                <w:szCs w:val="12"/>
                <w:color w:val="auto"/>
              </w:rPr>
            </w:pPr>
          </w:p>
        </w:tc>
        <w:tc>
          <w:tcPr>
            <w:tcW w:w="720" w:type="dxa"/>
            <w:vAlign w:val="bottom"/>
            <w:shd w:val="clear" w:color="auto" w:fill="DBE5F1"/>
          </w:tcPr>
          <w:p>
            <w:pPr>
              <w:spacing w:after="0"/>
              <w:rPr>
                <w:sz w:val="12"/>
                <w:szCs w:val="12"/>
                <w:color w:val="auto"/>
              </w:rPr>
            </w:pPr>
          </w:p>
        </w:tc>
        <w:tc>
          <w:tcPr>
            <w:tcW w:w="600" w:type="dxa"/>
            <w:vAlign w:val="bottom"/>
            <w:tcBorders>
              <w:right w:val="single" w:sz="8" w:color="95B3D7"/>
            </w:tcBorders>
            <w:shd w:val="clear" w:color="auto" w:fill="DBE5F1"/>
          </w:tcPr>
          <w:p>
            <w:pPr>
              <w:spacing w:after="0"/>
              <w:rPr>
                <w:sz w:val="12"/>
                <w:szCs w:val="12"/>
                <w:color w:val="auto"/>
              </w:rPr>
            </w:pPr>
          </w:p>
        </w:tc>
        <w:tc>
          <w:tcPr>
            <w:tcW w:w="54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540" w:type="dxa"/>
            <w:vAlign w:val="bottom"/>
            <w:shd w:val="clear" w:color="auto" w:fill="DBE5F1"/>
          </w:tcPr>
          <w:p>
            <w:pPr>
              <w:spacing w:after="0"/>
              <w:rPr>
                <w:sz w:val="12"/>
                <w:szCs w:val="12"/>
                <w:color w:val="auto"/>
              </w:rPr>
            </w:pPr>
          </w:p>
        </w:tc>
      </w:tr>
      <w:tr>
        <w:trPr>
          <w:trHeight w:val="189"/>
        </w:trPr>
        <w:tc>
          <w:tcPr>
            <w:tcW w:w="2880" w:type="dxa"/>
            <w:vAlign w:val="bottom"/>
            <w:tcBorders>
              <w:right w:val="single" w:sz="8" w:color="95B3D7"/>
            </w:tcBorders>
            <w:shd w:val="clear" w:color="auto" w:fill="DBE5F1"/>
          </w:tcPr>
          <w:p>
            <w:pPr>
              <w:ind w:left="520"/>
              <w:spacing w:after="0"/>
              <w:rPr>
                <w:sz w:val="20"/>
                <w:szCs w:val="20"/>
                <w:color w:val="auto"/>
              </w:rPr>
            </w:pPr>
            <w:r>
              <w:rPr>
                <w:rFonts w:ascii="Arial" w:cs="Arial" w:eastAsia="Arial" w:hAnsi="Arial"/>
                <w:sz w:val="14"/>
                <w:szCs w:val="14"/>
                <w:color w:val="auto"/>
              </w:rPr>
              <w:t>as of the end of the applicable year</w:t>
            </w:r>
          </w:p>
        </w:tc>
        <w:tc>
          <w:tcPr>
            <w:tcW w:w="560" w:type="dxa"/>
            <w:vAlign w:val="bottom"/>
            <w:shd w:val="clear" w:color="auto" w:fill="DBE5F1"/>
          </w:tcPr>
          <w:p>
            <w:pPr>
              <w:spacing w:after="0"/>
              <w:rPr>
                <w:sz w:val="16"/>
                <w:szCs w:val="16"/>
                <w:color w:val="auto"/>
              </w:rPr>
            </w:pPr>
          </w:p>
        </w:tc>
        <w:tc>
          <w:tcPr>
            <w:tcW w:w="700" w:type="dxa"/>
            <w:vAlign w:val="bottom"/>
            <w:shd w:val="clear" w:color="auto" w:fill="DBE5F1"/>
          </w:tcPr>
          <w:p>
            <w:pPr>
              <w:spacing w:after="0"/>
              <w:rPr>
                <w:sz w:val="16"/>
                <w:szCs w:val="16"/>
                <w:color w:val="auto"/>
              </w:rPr>
            </w:pPr>
          </w:p>
        </w:tc>
        <w:tc>
          <w:tcPr>
            <w:tcW w:w="580" w:type="dxa"/>
            <w:vAlign w:val="bottom"/>
            <w:tcBorders>
              <w:right w:val="single" w:sz="8" w:color="95B3D7"/>
            </w:tcBorders>
            <w:shd w:val="clear" w:color="auto" w:fill="DBE5F1"/>
          </w:tcPr>
          <w:p>
            <w:pPr>
              <w:spacing w:after="0"/>
              <w:rPr>
                <w:sz w:val="16"/>
                <w:szCs w:val="16"/>
                <w:color w:val="auto"/>
              </w:rPr>
            </w:pPr>
          </w:p>
        </w:tc>
        <w:tc>
          <w:tcPr>
            <w:tcW w:w="560" w:type="dxa"/>
            <w:vAlign w:val="bottom"/>
            <w:shd w:val="clear" w:color="auto" w:fill="DBE5F1"/>
          </w:tcPr>
          <w:p>
            <w:pPr>
              <w:spacing w:after="0"/>
              <w:rPr>
                <w:sz w:val="16"/>
                <w:szCs w:val="16"/>
                <w:color w:val="auto"/>
              </w:rPr>
            </w:pPr>
          </w:p>
        </w:tc>
        <w:tc>
          <w:tcPr>
            <w:tcW w:w="720" w:type="dxa"/>
            <w:vAlign w:val="bottom"/>
            <w:shd w:val="clear" w:color="auto" w:fill="DBE5F1"/>
          </w:tcPr>
          <w:p>
            <w:pPr>
              <w:spacing w:after="0"/>
              <w:rPr>
                <w:sz w:val="16"/>
                <w:szCs w:val="16"/>
                <w:color w:val="auto"/>
              </w:rPr>
            </w:pPr>
          </w:p>
        </w:tc>
        <w:tc>
          <w:tcPr>
            <w:tcW w:w="620" w:type="dxa"/>
            <w:vAlign w:val="bottom"/>
            <w:tcBorders>
              <w:right w:val="single" w:sz="8" w:color="95B3D7"/>
            </w:tcBorders>
            <w:shd w:val="clear" w:color="auto" w:fill="DBE5F1"/>
          </w:tcPr>
          <w:p>
            <w:pPr>
              <w:spacing w:after="0"/>
              <w:rPr>
                <w:sz w:val="16"/>
                <w:szCs w:val="16"/>
                <w:color w:val="auto"/>
              </w:rPr>
            </w:pPr>
          </w:p>
        </w:tc>
        <w:tc>
          <w:tcPr>
            <w:tcW w:w="580" w:type="dxa"/>
            <w:vAlign w:val="bottom"/>
            <w:shd w:val="clear" w:color="auto" w:fill="DBE5F1"/>
          </w:tcPr>
          <w:p>
            <w:pPr>
              <w:spacing w:after="0"/>
              <w:rPr>
                <w:sz w:val="16"/>
                <w:szCs w:val="16"/>
                <w:color w:val="auto"/>
              </w:rPr>
            </w:pPr>
          </w:p>
        </w:tc>
        <w:tc>
          <w:tcPr>
            <w:tcW w:w="720" w:type="dxa"/>
            <w:vAlign w:val="bottom"/>
            <w:shd w:val="clear" w:color="auto" w:fill="DBE5F1"/>
          </w:tcPr>
          <w:p>
            <w:pPr>
              <w:spacing w:after="0"/>
              <w:rPr>
                <w:sz w:val="16"/>
                <w:szCs w:val="16"/>
                <w:color w:val="auto"/>
              </w:rPr>
            </w:pPr>
          </w:p>
        </w:tc>
        <w:tc>
          <w:tcPr>
            <w:tcW w:w="600" w:type="dxa"/>
            <w:vAlign w:val="bottom"/>
            <w:tcBorders>
              <w:right w:val="single" w:sz="8" w:color="95B3D7"/>
            </w:tcBorders>
            <w:shd w:val="clear" w:color="auto" w:fill="DBE5F1"/>
          </w:tcPr>
          <w:p>
            <w:pPr>
              <w:spacing w:after="0"/>
              <w:rPr>
                <w:sz w:val="16"/>
                <w:szCs w:val="16"/>
                <w:color w:val="auto"/>
              </w:rPr>
            </w:pPr>
          </w:p>
        </w:tc>
        <w:tc>
          <w:tcPr>
            <w:tcW w:w="540" w:type="dxa"/>
            <w:vAlign w:val="bottom"/>
            <w:shd w:val="clear" w:color="auto" w:fill="DBE5F1"/>
          </w:tcPr>
          <w:p>
            <w:pPr>
              <w:spacing w:after="0"/>
              <w:rPr>
                <w:sz w:val="16"/>
                <w:szCs w:val="16"/>
                <w:color w:val="auto"/>
              </w:rPr>
            </w:pPr>
          </w:p>
        </w:tc>
        <w:tc>
          <w:tcPr>
            <w:tcW w:w="800" w:type="dxa"/>
            <w:vAlign w:val="bottom"/>
            <w:shd w:val="clear" w:color="auto" w:fill="DBE5F1"/>
          </w:tcPr>
          <w:p>
            <w:pPr>
              <w:spacing w:after="0"/>
              <w:rPr>
                <w:sz w:val="16"/>
                <w:szCs w:val="16"/>
                <w:color w:val="auto"/>
              </w:rPr>
            </w:pPr>
          </w:p>
        </w:tc>
        <w:tc>
          <w:tcPr>
            <w:tcW w:w="540" w:type="dxa"/>
            <w:vAlign w:val="bottom"/>
            <w:shd w:val="clear" w:color="auto" w:fill="DBE5F1"/>
          </w:tcPr>
          <w:p>
            <w:pPr>
              <w:spacing w:after="0"/>
              <w:rPr>
                <w:sz w:val="16"/>
                <w:szCs w:val="16"/>
                <w:color w:val="auto"/>
              </w:rPr>
            </w:pPr>
          </w:p>
        </w:tc>
      </w:tr>
      <w:tr>
        <w:trPr>
          <w:trHeight w:val="153"/>
        </w:trPr>
        <w:tc>
          <w:tcPr>
            <w:tcW w:w="2880" w:type="dxa"/>
            <w:vAlign w:val="bottom"/>
            <w:tcBorders>
              <w:right w:val="single" w:sz="8" w:color="95B3D7"/>
            </w:tcBorders>
          </w:tcPr>
          <w:p>
            <w:pPr>
              <w:ind w:left="520"/>
              <w:spacing w:after="0" w:line="153" w:lineRule="exact"/>
              <w:rPr>
                <w:sz w:val="20"/>
                <w:szCs w:val="20"/>
                <w:color w:val="auto"/>
              </w:rPr>
            </w:pPr>
            <w:r>
              <w:rPr>
                <w:rFonts w:ascii="Arial" w:cs="Arial" w:eastAsia="Arial" w:hAnsi="Arial"/>
                <w:sz w:val="14"/>
                <w:szCs w:val="14"/>
                <w:color w:val="auto"/>
              </w:rPr>
              <w:t>For awards granted in prior years</w:t>
            </w:r>
          </w:p>
        </w:tc>
        <w:tc>
          <w:tcPr>
            <w:tcW w:w="1260" w:type="dxa"/>
            <w:vAlign w:val="bottom"/>
            <w:gridSpan w:val="2"/>
          </w:tcPr>
          <w:p>
            <w:pPr>
              <w:jc w:val="center"/>
              <w:ind w:left="488"/>
              <w:spacing w:after="0" w:line="153" w:lineRule="exact"/>
              <w:rPr>
                <w:sz w:val="20"/>
                <w:szCs w:val="20"/>
                <w:color w:val="auto"/>
              </w:rPr>
            </w:pPr>
            <w:r>
              <w:rPr>
                <w:rFonts w:ascii="Arial" w:cs="Arial" w:eastAsia="Arial" w:hAnsi="Arial"/>
                <w:sz w:val="14"/>
                <w:szCs w:val="14"/>
                <w:color w:val="auto"/>
              </w:rPr>
              <w:t>$(258,432)</w:t>
            </w:r>
          </w:p>
        </w:tc>
        <w:tc>
          <w:tcPr>
            <w:tcW w:w="580" w:type="dxa"/>
            <w:vAlign w:val="bottom"/>
            <w:tcBorders>
              <w:right w:val="single" w:sz="8" w:color="95B3D7"/>
            </w:tcBorders>
          </w:tcPr>
          <w:p>
            <w:pPr>
              <w:spacing w:after="0"/>
              <w:rPr>
                <w:sz w:val="13"/>
                <w:szCs w:val="13"/>
                <w:color w:val="auto"/>
              </w:rPr>
            </w:pPr>
          </w:p>
        </w:tc>
        <w:tc>
          <w:tcPr>
            <w:tcW w:w="1900" w:type="dxa"/>
            <w:vAlign w:val="bottom"/>
            <w:tcBorders>
              <w:right w:val="single" w:sz="8" w:color="95B3D7"/>
            </w:tcBorders>
            <w:gridSpan w:val="3"/>
          </w:tcPr>
          <w:p>
            <w:pPr>
              <w:jc w:val="center"/>
              <w:ind w:right="40"/>
              <w:spacing w:after="0" w:line="153" w:lineRule="exact"/>
              <w:rPr>
                <w:sz w:val="20"/>
                <w:szCs w:val="20"/>
                <w:color w:val="auto"/>
              </w:rPr>
            </w:pPr>
            <w:r>
              <w:rPr>
                <w:rFonts w:ascii="Arial" w:cs="Arial" w:eastAsia="Arial" w:hAnsi="Arial"/>
                <w:sz w:val="14"/>
                <w:szCs w:val="14"/>
                <w:color w:val="auto"/>
              </w:rPr>
              <w:t>$(1,558,171)</w:t>
            </w:r>
          </w:p>
        </w:tc>
        <w:tc>
          <w:tcPr>
            <w:tcW w:w="1300" w:type="dxa"/>
            <w:vAlign w:val="bottom"/>
            <w:gridSpan w:val="2"/>
          </w:tcPr>
          <w:p>
            <w:pPr>
              <w:jc w:val="center"/>
              <w:ind w:left="508"/>
              <w:spacing w:after="0" w:line="153" w:lineRule="exact"/>
              <w:rPr>
                <w:sz w:val="20"/>
                <w:szCs w:val="20"/>
                <w:color w:val="auto"/>
              </w:rPr>
            </w:pPr>
            <w:r>
              <w:rPr>
                <w:rFonts w:ascii="Arial" w:cs="Arial" w:eastAsia="Arial" w:hAnsi="Arial"/>
                <w:sz w:val="14"/>
                <w:szCs w:val="14"/>
                <w:color w:val="auto"/>
              </w:rPr>
              <w:t>$(611,093)</w:t>
            </w:r>
          </w:p>
        </w:tc>
        <w:tc>
          <w:tcPr>
            <w:tcW w:w="600" w:type="dxa"/>
            <w:vAlign w:val="bottom"/>
            <w:tcBorders>
              <w:right w:val="single" w:sz="8" w:color="95B3D7"/>
            </w:tcBorders>
          </w:tcPr>
          <w:p>
            <w:pPr>
              <w:spacing w:after="0"/>
              <w:rPr>
                <w:sz w:val="13"/>
                <w:szCs w:val="13"/>
                <w:color w:val="auto"/>
              </w:rPr>
            </w:pPr>
          </w:p>
        </w:tc>
        <w:tc>
          <w:tcPr>
            <w:tcW w:w="1340" w:type="dxa"/>
            <w:vAlign w:val="bottom"/>
            <w:gridSpan w:val="2"/>
          </w:tcPr>
          <w:p>
            <w:pPr>
              <w:jc w:val="center"/>
              <w:ind w:left="468"/>
              <w:spacing w:after="0" w:line="153" w:lineRule="exact"/>
              <w:rPr>
                <w:sz w:val="20"/>
                <w:szCs w:val="20"/>
                <w:color w:val="auto"/>
              </w:rPr>
            </w:pPr>
            <w:r>
              <w:rPr>
                <w:rFonts w:ascii="Arial" w:cs="Arial" w:eastAsia="Arial" w:hAnsi="Arial"/>
                <w:sz w:val="14"/>
                <w:szCs w:val="14"/>
                <w:color w:val="auto"/>
              </w:rPr>
              <w:t>$1,665,717</w:t>
            </w:r>
          </w:p>
        </w:tc>
        <w:tc>
          <w:tcPr>
            <w:tcW w:w="540" w:type="dxa"/>
            <w:vAlign w:val="bottom"/>
          </w:tcPr>
          <w:p>
            <w:pPr>
              <w:spacing w:after="0"/>
              <w:rPr>
                <w:sz w:val="13"/>
                <w:szCs w:val="13"/>
                <w:color w:val="auto"/>
              </w:rPr>
            </w:pPr>
          </w:p>
        </w:tc>
      </w:tr>
      <w:tr>
        <w:trPr>
          <w:trHeight w:val="144"/>
        </w:trPr>
        <w:tc>
          <w:tcPr>
            <w:tcW w:w="2880" w:type="dxa"/>
            <w:vAlign w:val="bottom"/>
            <w:tcBorders>
              <w:right w:val="single" w:sz="8" w:color="95B3D7"/>
            </w:tcBorders>
          </w:tcPr>
          <w:p>
            <w:pPr>
              <w:ind w:left="520"/>
              <w:spacing w:after="0" w:line="145" w:lineRule="exact"/>
              <w:rPr>
                <w:sz w:val="20"/>
                <w:szCs w:val="20"/>
                <w:color w:val="auto"/>
              </w:rPr>
            </w:pPr>
            <w:r>
              <w:rPr>
                <w:rFonts w:ascii="Arial" w:cs="Arial" w:eastAsia="Arial" w:hAnsi="Arial"/>
                <w:sz w:val="14"/>
                <w:szCs w:val="14"/>
                <w:color w:val="auto"/>
              </w:rPr>
              <w:t>that vest in the applicable year, the</w:t>
            </w: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Borders>
              <w:right w:val="single" w:sz="8" w:color="95B3D7"/>
            </w:tcBorders>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Borders>
              <w:right w:val="single" w:sz="8" w:color="95B3D7"/>
            </w:tcBorders>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Borders>
              <w:right w:val="single" w:sz="8" w:color="95B3D7"/>
            </w:tcBorders>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9"/>
        </w:trPr>
        <w:tc>
          <w:tcPr>
            <w:tcW w:w="2880" w:type="dxa"/>
            <w:vAlign w:val="bottom"/>
            <w:tcBorders>
              <w:right w:val="single" w:sz="8" w:color="95B3D7"/>
            </w:tcBorders>
          </w:tcPr>
          <w:p>
            <w:pPr>
              <w:ind w:left="520"/>
              <w:spacing w:after="0" w:line="139" w:lineRule="exact"/>
              <w:rPr>
                <w:sz w:val="20"/>
                <w:szCs w:val="20"/>
                <w:color w:val="auto"/>
              </w:rPr>
            </w:pPr>
            <w:r>
              <w:rPr>
                <w:rFonts w:ascii="Arial" w:cs="Arial" w:eastAsia="Arial" w:hAnsi="Arial"/>
                <w:sz w:val="14"/>
                <w:szCs w:val="14"/>
                <w:color w:val="auto"/>
              </w:rPr>
              <w:t>amount equal to the change as of</w:t>
            </w: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Borders>
              <w:right w:val="single" w:sz="8" w:color="95B3D7"/>
            </w:tcBorders>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Borders>
              <w:right w:val="single" w:sz="8" w:color="95B3D7"/>
            </w:tcBorders>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Borders>
              <w:right w:val="single" w:sz="8" w:color="95B3D7"/>
            </w:tcBorders>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2880" w:type="dxa"/>
            <w:vAlign w:val="bottom"/>
            <w:tcBorders>
              <w:right w:val="single" w:sz="8" w:color="95B3D7"/>
            </w:tcBorders>
          </w:tcPr>
          <w:p>
            <w:pPr>
              <w:ind w:left="520"/>
              <w:spacing w:after="0" w:line="149" w:lineRule="exact"/>
              <w:rPr>
                <w:sz w:val="20"/>
                <w:szCs w:val="20"/>
                <w:color w:val="auto"/>
              </w:rPr>
            </w:pPr>
            <w:r>
              <w:rPr>
                <w:rFonts w:ascii="Arial" w:cs="Arial" w:eastAsia="Arial" w:hAnsi="Arial"/>
                <w:sz w:val="14"/>
                <w:szCs w:val="14"/>
                <w:color w:val="auto"/>
              </w:rPr>
              <w:t>the vesting date (from the end of the</w:t>
            </w: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Borders>
              <w:right w:val="single" w:sz="8" w:color="95B3D7"/>
            </w:tcBorders>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Borders>
              <w:right w:val="single" w:sz="8" w:color="95B3D7"/>
            </w:tcBorders>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Borders>
              <w:right w:val="single" w:sz="8" w:color="95B3D7"/>
            </w:tcBorders>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85"/>
        </w:trPr>
        <w:tc>
          <w:tcPr>
            <w:tcW w:w="2880" w:type="dxa"/>
            <w:vAlign w:val="bottom"/>
            <w:tcBorders>
              <w:right w:val="single" w:sz="8" w:color="95B3D7"/>
            </w:tcBorders>
          </w:tcPr>
          <w:p>
            <w:pPr>
              <w:ind w:left="520"/>
              <w:spacing w:after="0"/>
              <w:rPr>
                <w:sz w:val="20"/>
                <w:szCs w:val="20"/>
                <w:color w:val="auto"/>
              </w:rPr>
            </w:pPr>
            <w:r>
              <w:rPr>
                <w:rFonts w:ascii="Arial" w:cs="Arial" w:eastAsia="Arial" w:hAnsi="Arial"/>
                <w:sz w:val="14"/>
                <w:szCs w:val="14"/>
                <w:color w:val="auto"/>
              </w:rPr>
              <w:t>prior fiscal year) in fair value</w:t>
            </w: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Borders>
              <w:right w:val="single" w:sz="8" w:color="95B3D7"/>
            </w:tcBorders>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Borders>
              <w:right w:val="single" w:sz="8" w:color="95B3D7"/>
            </w:tcBorders>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Borders>
              <w:right w:val="single" w:sz="8" w:color="95B3D7"/>
            </w:tcBorders>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3"/>
        </w:trPr>
        <w:tc>
          <w:tcPr>
            <w:tcW w:w="2880" w:type="dxa"/>
            <w:vAlign w:val="bottom"/>
            <w:tcBorders>
              <w:right w:val="single" w:sz="8" w:color="95B3D7"/>
            </w:tcBorders>
            <w:shd w:val="clear" w:color="auto" w:fill="DBE5F1"/>
          </w:tcPr>
          <w:p>
            <w:pPr>
              <w:ind w:left="340"/>
              <w:spacing w:after="0"/>
              <w:rPr>
                <w:sz w:val="20"/>
                <w:szCs w:val="20"/>
                <w:color w:val="auto"/>
              </w:rPr>
            </w:pPr>
            <w:r>
              <w:rPr>
                <w:rFonts w:ascii="Arial" w:cs="Arial" w:eastAsia="Arial" w:hAnsi="Arial"/>
                <w:sz w:val="14"/>
                <w:szCs w:val="14"/>
                <w:b w:val="1"/>
                <w:bCs w:val="1"/>
                <w:color w:val="auto"/>
              </w:rPr>
              <w:t>Total Net Adjustment to Subtotal</w:t>
            </w:r>
          </w:p>
        </w:tc>
        <w:tc>
          <w:tcPr>
            <w:tcW w:w="1840" w:type="dxa"/>
            <w:vAlign w:val="bottom"/>
            <w:tcBorders>
              <w:right w:val="single" w:sz="8" w:color="95B3D7"/>
            </w:tcBorders>
            <w:gridSpan w:val="3"/>
            <w:shd w:val="clear" w:color="auto" w:fill="DBE5F1"/>
          </w:tcPr>
          <w:p>
            <w:pPr>
              <w:jc w:val="center"/>
              <w:ind w:right="40"/>
              <w:spacing w:after="0"/>
              <w:rPr>
                <w:sz w:val="20"/>
                <w:szCs w:val="20"/>
                <w:color w:val="auto"/>
              </w:rPr>
            </w:pPr>
            <w:r>
              <w:rPr>
                <w:rFonts w:ascii="Arial" w:cs="Arial" w:eastAsia="Arial" w:hAnsi="Arial"/>
                <w:sz w:val="14"/>
                <w:szCs w:val="14"/>
                <w:b w:val="1"/>
                <w:bCs w:val="1"/>
                <w:color w:val="auto"/>
              </w:rPr>
              <w:t>$5,749,602</w:t>
            </w:r>
          </w:p>
        </w:tc>
        <w:tc>
          <w:tcPr>
            <w:tcW w:w="1280" w:type="dxa"/>
            <w:vAlign w:val="bottom"/>
            <w:gridSpan w:val="2"/>
            <w:shd w:val="clear" w:color="auto" w:fill="DBE5F1"/>
          </w:tcPr>
          <w:p>
            <w:pPr>
              <w:jc w:val="center"/>
              <w:ind w:left="488"/>
              <w:spacing w:after="0"/>
              <w:rPr>
                <w:sz w:val="20"/>
                <w:szCs w:val="20"/>
                <w:color w:val="auto"/>
              </w:rPr>
            </w:pPr>
            <w:r>
              <w:rPr>
                <w:rFonts w:ascii="Arial" w:cs="Arial" w:eastAsia="Arial" w:hAnsi="Arial"/>
                <w:sz w:val="14"/>
                <w:szCs w:val="14"/>
                <w:b w:val="1"/>
                <w:bCs w:val="1"/>
                <w:color w:val="auto"/>
              </w:rPr>
              <w:t>$796,159</w:t>
            </w:r>
          </w:p>
        </w:tc>
        <w:tc>
          <w:tcPr>
            <w:tcW w:w="620" w:type="dxa"/>
            <w:vAlign w:val="bottom"/>
            <w:tcBorders>
              <w:right w:val="single" w:sz="8" w:color="95B3D7"/>
            </w:tcBorders>
            <w:shd w:val="clear" w:color="auto" w:fill="DBE5F1"/>
          </w:tcPr>
          <w:p>
            <w:pPr>
              <w:spacing w:after="0"/>
              <w:rPr>
                <w:sz w:val="17"/>
                <w:szCs w:val="17"/>
                <w:color w:val="auto"/>
              </w:rPr>
            </w:pPr>
          </w:p>
        </w:tc>
        <w:tc>
          <w:tcPr>
            <w:tcW w:w="1900" w:type="dxa"/>
            <w:vAlign w:val="bottom"/>
            <w:tcBorders>
              <w:right w:val="single" w:sz="8" w:color="95B3D7"/>
            </w:tcBorders>
            <w:gridSpan w:val="3"/>
            <w:shd w:val="clear" w:color="auto" w:fill="DBE5F1"/>
          </w:tcPr>
          <w:p>
            <w:pPr>
              <w:jc w:val="center"/>
              <w:ind w:right="20"/>
              <w:spacing w:after="0"/>
              <w:rPr>
                <w:sz w:val="20"/>
                <w:szCs w:val="20"/>
                <w:color w:val="auto"/>
              </w:rPr>
            </w:pPr>
            <w:r>
              <w:rPr>
                <w:rFonts w:ascii="Arial" w:cs="Arial" w:eastAsia="Arial" w:hAnsi="Arial"/>
                <w:sz w:val="14"/>
                <w:szCs w:val="14"/>
                <w:b w:val="1"/>
                <w:bCs w:val="1"/>
                <w:color w:val="auto"/>
              </w:rPr>
              <w:t>$4,718,136</w:t>
            </w:r>
          </w:p>
        </w:tc>
        <w:tc>
          <w:tcPr>
            <w:tcW w:w="1340" w:type="dxa"/>
            <w:vAlign w:val="bottom"/>
            <w:gridSpan w:val="2"/>
            <w:shd w:val="clear" w:color="auto" w:fill="DBE5F1"/>
          </w:tcPr>
          <w:p>
            <w:pPr>
              <w:jc w:val="center"/>
              <w:ind w:left="468"/>
              <w:spacing w:after="0"/>
              <w:rPr>
                <w:sz w:val="20"/>
                <w:szCs w:val="20"/>
                <w:color w:val="auto"/>
              </w:rPr>
            </w:pPr>
            <w:r>
              <w:rPr>
                <w:rFonts w:ascii="Arial" w:cs="Arial" w:eastAsia="Arial" w:hAnsi="Arial"/>
                <w:sz w:val="14"/>
                <w:szCs w:val="14"/>
                <w:b w:val="1"/>
                <w:bCs w:val="1"/>
                <w:color w:val="auto"/>
              </w:rPr>
              <w:t>$9,074,912</w:t>
            </w:r>
          </w:p>
        </w:tc>
        <w:tc>
          <w:tcPr>
            <w:tcW w:w="540" w:type="dxa"/>
            <w:vAlign w:val="bottom"/>
            <w:shd w:val="clear" w:color="auto" w:fill="DBE5F1"/>
          </w:tcPr>
          <w:p>
            <w:pPr>
              <w:spacing w:after="0"/>
              <w:rPr>
                <w:sz w:val="17"/>
                <w:szCs w:val="17"/>
                <w:color w:val="auto"/>
              </w:rPr>
            </w:pPr>
          </w:p>
        </w:tc>
      </w:tr>
      <w:tr>
        <w:trPr>
          <w:trHeight w:val="162"/>
        </w:trPr>
        <w:tc>
          <w:tcPr>
            <w:tcW w:w="2880" w:type="dxa"/>
            <w:vAlign w:val="bottom"/>
            <w:tcBorders>
              <w:right w:val="single" w:sz="8" w:color="95B3D7"/>
            </w:tcBorders>
          </w:tcPr>
          <w:p>
            <w:pPr>
              <w:ind w:left="340"/>
              <w:spacing w:after="0"/>
              <w:rPr>
                <w:sz w:val="20"/>
                <w:szCs w:val="20"/>
                <w:color w:val="auto"/>
              </w:rPr>
            </w:pPr>
            <w:r>
              <w:rPr>
                <w:rFonts w:ascii="Arial" w:cs="Arial" w:eastAsia="Arial" w:hAnsi="Arial"/>
                <w:sz w:val="14"/>
                <w:szCs w:val="14"/>
                <w:b w:val="1"/>
                <w:bCs w:val="1"/>
                <w:color w:val="auto"/>
              </w:rPr>
              <w:t>Compensation Actually Paid</w:t>
            </w:r>
          </w:p>
        </w:tc>
        <w:tc>
          <w:tcPr>
            <w:tcW w:w="1840" w:type="dxa"/>
            <w:vAlign w:val="bottom"/>
            <w:tcBorders>
              <w:right w:val="single" w:sz="8" w:color="95B3D7"/>
            </w:tcBorders>
            <w:gridSpan w:val="3"/>
          </w:tcPr>
          <w:p>
            <w:pPr>
              <w:jc w:val="center"/>
              <w:ind w:right="20"/>
              <w:spacing w:after="0"/>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7,114,604</w:t>
            </w:r>
          </w:p>
        </w:tc>
        <w:tc>
          <w:tcPr>
            <w:tcW w:w="1900" w:type="dxa"/>
            <w:vAlign w:val="bottom"/>
            <w:tcBorders>
              <w:right w:val="single" w:sz="8" w:color="95B3D7"/>
            </w:tcBorders>
            <w:gridSpan w:val="3"/>
          </w:tcPr>
          <w:p>
            <w:pPr>
              <w:jc w:val="center"/>
              <w:ind w:right="6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1,769,823</w:t>
            </w:r>
          </w:p>
        </w:tc>
        <w:tc>
          <w:tcPr>
            <w:tcW w:w="1900" w:type="dxa"/>
            <w:vAlign w:val="bottom"/>
            <w:tcBorders>
              <w:right w:val="single" w:sz="8" w:color="95B3D7"/>
            </w:tcBorders>
            <w:gridSpan w:val="3"/>
          </w:tcPr>
          <w:p>
            <w:pPr>
              <w:jc w:val="center"/>
              <w:ind w:righ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5,661,779</w:t>
            </w:r>
          </w:p>
        </w:tc>
        <w:tc>
          <w:tcPr>
            <w:tcW w:w="1880" w:type="dxa"/>
            <w:vAlign w:val="bottom"/>
            <w:gridSpan w:val="3"/>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10,053,244</w:t>
            </w:r>
          </w:p>
        </w:tc>
      </w:tr>
      <w:tr>
        <w:trPr>
          <w:trHeight w:val="20"/>
        </w:trPr>
        <w:tc>
          <w:tcPr>
            <w:tcW w:w="2880" w:type="dxa"/>
            <w:vAlign w:val="bottom"/>
            <w:tcBorders>
              <w:bottom w:val="single" w:sz="8" w:color="95B3D7"/>
              <w:right w:val="single" w:sz="8" w:color="95B3D7"/>
            </w:tcBorders>
          </w:tcPr>
          <w:p>
            <w:pPr>
              <w:spacing w:after="0" w:line="20" w:lineRule="exact"/>
              <w:rPr>
                <w:sz w:val="1"/>
                <w:szCs w:val="1"/>
                <w:color w:val="auto"/>
              </w:rPr>
            </w:pPr>
          </w:p>
        </w:tc>
        <w:tc>
          <w:tcPr>
            <w:tcW w:w="560" w:type="dxa"/>
            <w:vAlign w:val="bottom"/>
            <w:tcBorders>
              <w:bottom w:val="single" w:sz="8" w:color="95B3D7"/>
            </w:tcBorders>
          </w:tcPr>
          <w:p>
            <w:pPr>
              <w:spacing w:after="0" w:line="20" w:lineRule="exact"/>
              <w:rPr>
                <w:sz w:val="1"/>
                <w:szCs w:val="1"/>
                <w:color w:val="auto"/>
              </w:rPr>
            </w:pPr>
          </w:p>
        </w:tc>
        <w:tc>
          <w:tcPr>
            <w:tcW w:w="700" w:type="dxa"/>
            <w:vAlign w:val="bottom"/>
            <w:tcBorders>
              <w:top w:val="single" w:sz="8" w:color="auto"/>
              <w:bottom w:val="single" w:sz="8" w:color="95B3D7"/>
            </w:tcBorders>
          </w:tcPr>
          <w:p>
            <w:pPr>
              <w:spacing w:after="0" w:line="20" w:lineRule="exact"/>
              <w:rPr>
                <w:sz w:val="1"/>
                <w:szCs w:val="1"/>
                <w:color w:val="auto"/>
              </w:rPr>
            </w:pPr>
          </w:p>
        </w:tc>
        <w:tc>
          <w:tcPr>
            <w:tcW w:w="580" w:type="dxa"/>
            <w:vAlign w:val="bottom"/>
            <w:tcBorders>
              <w:bottom w:val="single" w:sz="8" w:color="95B3D7"/>
              <w:right w:val="single" w:sz="8" w:color="95B3D7"/>
            </w:tcBorders>
          </w:tcPr>
          <w:p>
            <w:pPr>
              <w:spacing w:after="0" w:line="20" w:lineRule="exact"/>
              <w:rPr>
                <w:sz w:val="1"/>
                <w:szCs w:val="1"/>
                <w:color w:val="auto"/>
              </w:rPr>
            </w:pPr>
          </w:p>
        </w:tc>
        <w:tc>
          <w:tcPr>
            <w:tcW w:w="560" w:type="dxa"/>
            <w:vAlign w:val="bottom"/>
            <w:tcBorders>
              <w:bottom w:val="single" w:sz="8" w:color="95B3D7"/>
            </w:tcBorders>
          </w:tcPr>
          <w:p>
            <w:pPr>
              <w:spacing w:after="0" w:line="20" w:lineRule="exact"/>
              <w:rPr>
                <w:sz w:val="1"/>
                <w:szCs w:val="1"/>
                <w:color w:val="auto"/>
              </w:rPr>
            </w:pPr>
          </w:p>
        </w:tc>
        <w:tc>
          <w:tcPr>
            <w:tcW w:w="720" w:type="dxa"/>
            <w:vAlign w:val="bottom"/>
            <w:tcBorders>
              <w:top w:val="single" w:sz="8" w:color="auto"/>
              <w:bottom w:val="single" w:sz="8" w:color="95B3D7"/>
            </w:tcBorders>
          </w:tcPr>
          <w:p>
            <w:pPr>
              <w:spacing w:after="0" w:line="20" w:lineRule="exact"/>
              <w:rPr>
                <w:sz w:val="1"/>
                <w:szCs w:val="1"/>
                <w:color w:val="auto"/>
              </w:rPr>
            </w:pPr>
          </w:p>
        </w:tc>
        <w:tc>
          <w:tcPr>
            <w:tcW w:w="620" w:type="dxa"/>
            <w:vAlign w:val="bottom"/>
            <w:tcBorders>
              <w:bottom w:val="single" w:sz="8" w:color="95B3D7"/>
              <w:right w:val="single" w:sz="8" w:color="95B3D7"/>
            </w:tcBorders>
          </w:tcPr>
          <w:p>
            <w:pPr>
              <w:spacing w:after="0" w:line="20" w:lineRule="exact"/>
              <w:rPr>
                <w:sz w:val="1"/>
                <w:szCs w:val="1"/>
                <w:color w:val="auto"/>
              </w:rPr>
            </w:pPr>
          </w:p>
        </w:tc>
        <w:tc>
          <w:tcPr>
            <w:tcW w:w="580" w:type="dxa"/>
            <w:vAlign w:val="bottom"/>
            <w:tcBorders>
              <w:bottom w:val="single" w:sz="8" w:color="95B3D7"/>
            </w:tcBorders>
          </w:tcPr>
          <w:p>
            <w:pPr>
              <w:spacing w:after="0" w:line="20" w:lineRule="exact"/>
              <w:rPr>
                <w:sz w:val="1"/>
                <w:szCs w:val="1"/>
                <w:color w:val="auto"/>
              </w:rPr>
            </w:pPr>
          </w:p>
        </w:tc>
        <w:tc>
          <w:tcPr>
            <w:tcW w:w="720" w:type="dxa"/>
            <w:vAlign w:val="bottom"/>
            <w:tcBorders>
              <w:top w:val="single" w:sz="8" w:color="auto"/>
              <w:bottom w:val="single" w:sz="8" w:color="95B3D7"/>
            </w:tcBorders>
          </w:tcPr>
          <w:p>
            <w:pPr>
              <w:spacing w:after="0" w:line="20" w:lineRule="exact"/>
              <w:rPr>
                <w:sz w:val="1"/>
                <w:szCs w:val="1"/>
                <w:color w:val="auto"/>
              </w:rPr>
            </w:pPr>
          </w:p>
        </w:tc>
        <w:tc>
          <w:tcPr>
            <w:tcW w:w="600" w:type="dxa"/>
            <w:vAlign w:val="bottom"/>
            <w:tcBorders>
              <w:bottom w:val="single" w:sz="8" w:color="95B3D7"/>
              <w:right w:val="single" w:sz="8" w:color="95B3D7"/>
            </w:tcBorders>
          </w:tcPr>
          <w:p>
            <w:pPr>
              <w:spacing w:after="0" w:line="20" w:lineRule="exact"/>
              <w:rPr>
                <w:sz w:val="1"/>
                <w:szCs w:val="1"/>
                <w:color w:val="auto"/>
              </w:rPr>
            </w:pPr>
          </w:p>
        </w:tc>
        <w:tc>
          <w:tcPr>
            <w:tcW w:w="540" w:type="dxa"/>
            <w:vAlign w:val="bottom"/>
            <w:tcBorders>
              <w:bottom w:val="single" w:sz="8" w:color="95B3D7"/>
            </w:tcBorders>
          </w:tcPr>
          <w:p>
            <w:pPr>
              <w:spacing w:after="0" w:line="20" w:lineRule="exact"/>
              <w:rPr>
                <w:sz w:val="1"/>
                <w:szCs w:val="1"/>
                <w:color w:val="auto"/>
              </w:rPr>
            </w:pPr>
          </w:p>
        </w:tc>
        <w:tc>
          <w:tcPr>
            <w:tcW w:w="800" w:type="dxa"/>
            <w:vAlign w:val="bottom"/>
            <w:tcBorders>
              <w:top w:val="single" w:sz="8" w:color="auto"/>
              <w:bottom w:val="single" w:sz="8" w:color="95B3D7"/>
            </w:tcBorders>
          </w:tcPr>
          <w:p>
            <w:pPr>
              <w:spacing w:after="0" w:line="20" w:lineRule="exact"/>
              <w:rPr>
                <w:sz w:val="1"/>
                <w:szCs w:val="1"/>
                <w:color w:val="auto"/>
              </w:rPr>
            </w:pPr>
          </w:p>
        </w:tc>
        <w:tc>
          <w:tcPr>
            <w:tcW w:w="540" w:type="dxa"/>
            <w:vAlign w:val="bottom"/>
            <w:tcBorders>
              <w:bottom w:val="single" w:sz="8" w:color="95B3D7"/>
            </w:tcBorders>
          </w:tcPr>
          <w:p>
            <w:pPr>
              <w:spacing w:after="0" w:line="20" w:lineRule="exact"/>
              <w:rPr>
                <w:sz w:val="1"/>
                <w:szCs w:val="1"/>
                <w:color w:val="auto"/>
              </w:rPr>
            </w:pPr>
          </w:p>
        </w:tc>
      </w:tr>
    </w:tbl>
    <w:p>
      <w:pPr>
        <w:spacing w:after="0" w:line="328" w:lineRule="exact"/>
        <w:rPr>
          <w:sz w:val="20"/>
          <w:szCs w:val="20"/>
          <w:color w:val="auto"/>
        </w:rPr>
      </w:pPr>
    </w:p>
    <w:p>
      <w:pPr>
        <w:ind w:left="340" w:right="80" w:hanging="332"/>
        <w:spacing w:after="0" w:line="285" w:lineRule="auto"/>
        <w:tabs>
          <w:tab w:leader="none" w:pos="327" w:val="left"/>
        </w:tabs>
        <w:numPr>
          <w:ilvl w:val="0"/>
          <w:numId w:val="62"/>
        </w:numPr>
        <w:rPr>
          <w:rFonts w:ascii="Arial" w:cs="Arial" w:eastAsia="Arial" w:hAnsi="Arial"/>
          <w:sz w:val="14"/>
          <w:szCs w:val="14"/>
          <w:color w:val="auto"/>
        </w:rPr>
      </w:pPr>
      <w:r>
        <w:rPr>
          <w:rFonts w:ascii="Arial" w:cs="Arial" w:eastAsia="Arial" w:hAnsi="Arial"/>
          <w:sz w:val="14"/>
          <w:szCs w:val="14"/>
          <w:color w:val="auto"/>
        </w:rPr>
        <w:t>Cumulative TSR for ALHC is calculated by dividing the sum of the cumulative amount of dividends for each of 2021, 2022 and 2023, assuming dividend reinvestment, and the difference between ALHC’s share price at the end and the beginning of each such year by ALHC’s share price at the beginning of each such year.</w:t>
      </w:r>
    </w:p>
    <w:p>
      <w:pPr>
        <w:spacing w:after="0" w:line="198" w:lineRule="exact"/>
        <w:rPr>
          <w:rFonts w:ascii="Arial" w:cs="Arial" w:eastAsia="Arial" w:hAnsi="Arial"/>
          <w:sz w:val="14"/>
          <w:szCs w:val="14"/>
          <w:color w:val="auto"/>
        </w:rPr>
      </w:pPr>
    </w:p>
    <w:p>
      <w:pPr>
        <w:ind w:left="340" w:right="20" w:hanging="332"/>
        <w:spacing w:after="0" w:line="305" w:lineRule="auto"/>
        <w:tabs>
          <w:tab w:leader="none" w:pos="327"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Represents the weighted peer group TSR, weighted according to the respective companies’ stock market capitalization at the beginning of each period for which a return is indicated. The peer group used for this purpose is the following published industry index: NASDAQ Healthcare Index.</w:t>
      </w:r>
    </w:p>
    <w:p>
      <w:pPr>
        <w:spacing w:after="0" w:line="184" w:lineRule="exact"/>
        <w:rPr>
          <w:rFonts w:ascii="Arial" w:cs="Arial" w:eastAsia="Arial" w:hAnsi="Arial"/>
          <w:sz w:val="14"/>
          <w:szCs w:val="14"/>
          <w:color w:val="auto"/>
        </w:rPr>
      </w:pPr>
    </w:p>
    <w:p>
      <w:pPr>
        <w:ind w:left="320" w:hanging="312"/>
        <w:spacing w:after="0"/>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dollar amounts reported represent the amount of net income reflected in the Company’s audited financial statements for the applicable year.</w:t>
      </w:r>
    </w:p>
    <w:p>
      <w:pPr>
        <w:spacing w:after="0" w:line="257" w:lineRule="exact"/>
        <w:rPr>
          <w:rFonts w:ascii="Arial" w:cs="Arial" w:eastAsia="Arial" w:hAnsi="Arial"/>
          <w:sz w:val="14"/>
          <w:szCs w:val="14"/>
          <w:color w:val="auto"/>
        </w:rPr>
      </w:pPr>
    </w:p>
    <w:p>
      <w:pPr>
        <w:ind w:left="340" w:hanging="332"/>
        <w:spacing w:after="0" w:line="266" w:lineRule="auto"/>
        <w:tabs>
          <w:tab w:leader="none" w:pos="327" w:val="left"/>
        </w:tabs>
        <w:numPr>
          <w:ilvl w:val="0"/>
          <w:numId w:val="62"/>
        </w:numPr>
        <w:rPr>
          <w:rFonts w:ascii="Arial" w:cs="Arial" w:eastAsia="Arial" w:hAnsi="Arial"/>
          <w:sz w:val="14"/>
          <w:szCs w:val="14"/>
          <w:color w:val="auto"/>
        </w:rPr>
      </w:pPr>
      <w:r>
        <w:rPr>
          <w:rFonts w:ascii="Arial" w:cs="Arial" w:eastAsia="Arial" w:hAnsi="Arial"/>
          <w:sz w:val="14"/>
          <w:szCs w:val="14"/>
          <w:color w:val="auto"/>
        </w:rPr>
        <w:t>Adjusted EBITDA is a non-GAAP financial measure that is presented as supplemental disclosure, that we define as net loss before interest expense, income taxes, depreciation and amortization expense, transaction-related expenses, acquisition expenses, certain litigation costs and settlements, gains or losses on ROU assets, equity-based compensation expense, and loss on extinguishment of debt. Adjusted EBITDA should not be considered in isolation of, or as an alternative to, measures prepared in accordance with U.S. generally accepted accounting principles (“GAAP”). There are a number of limitations related to the use of adjusted EBITDA in lieu of net loss, which is the most directly comparable financial measure calculated in accordance with GAAP. An explanation of our non-GAAP measures, how they are calculated and reconciliations to the most directly comparable GAAP financial measures can be found in the Appendix to this proxy statement.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Most Important Performance Measures</w:t>
      </w:r>
    </w:p>
    <w:p>
      <w:pPr>
        <w:spacing w:after="0" w:line="19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performance measures listed below represent an unranked list of the “most important” performance measures that Alignment used to align CAP to the NEOs for 2024 and company performance. The role of each of these performance measures in our executive compensation program is discussed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of this proxy statement. While these financial measures are the most important measures the company used to align CAP to the NEOs for 2024 and company performance, additional financial and other measures were also used to align pay and performance, as further described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of this proxy statement.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most important financial performance measures are:</w:t>
      </w:r>
    </w:p>
    <w:p>
      <w:pPr>
        <w:spacing w:after="0" w:line="185" w:lineRule="exact"/>
        <w:rPr>
          <w:sz w:val="20"/>
          <w:szCs w:val="20"/>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w:t>
      </w:r>
    </w:p>
    <w:p>
      <w:pPr>
        <w:spacing w:after="0" w:line="19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Adjusted Gross Profit</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also employ the following non-financial performance measures:</w:t>
      </w:r>
    </w:p>
    <w:p>
      <w:pPr>
        <w:spacing w:after="0" w:line="144" w:lineRule="exact"/>
        <w:rPr>
          <w:sz w:val="20"/>
          <w:szCs w:val="20"/>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Health Plan Membership</w:t>
      </w:r>
    </w:p>
    <w:p>
      <w:pPr>
        <w:spacing w:after="0" w:line="1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CMS Star Ratings</w:t>
      </w:r>
    </w:p>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noted above, we have deemed adjusted EBITDA as the “most important” financial measure used to link our NEOs' compensation with performance and, as previously disclosed, it is being used as our company-selected measure in the pay-versus-performance table above. For more detail on these measures and why we believe that they are important in structuring our compensation programs and linking pay with performance, please see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Descriptions of the Information Presented in the Pay Versus Performance Table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illustrations below compare CAP and the following measures:</w:t>
      </w:r>
    </w:p>
    <w:p>
      <w:pPr>
        <w:spacing w:after="0" w:line="171"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Company’s cumulative TSR and the NASDAQ Healthcare Index’s cumulative TSR;</w:t>
      </w:r>
    </w:p>
    <w:p>
      <w:pPr>
        <w:spacing w:after="0" w:line="1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Company’s Net Income; and</w:t>
      </w:r>
    </w:p>
    <w:p>
      <w:pPr>
        <w:spacing w:after="0" w:line="14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Company’s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85725</wp:posOffset>
            </wp:positionV>
            <wp:extent cx="3780155" cy="2708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78015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40" w:right="639"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1888490</wp:posOffset>
            </wp:positionH>
            <wp:positionV relativeFrom="page">
              <wp:posOffset>980440</wp:posOffset>
            </wp:positionV>
            <wp:extent cx="3780155" cy="5469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780155" cy="5469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CEO Pay Ratio</w:t>
      </w:r>
    </w:p>
    <w:p>
      <w:pPr>
        <w:spacing w:after="0" w:line="252" w:lineRule="exact"/>
        <w:rPr>
          <w:sz w:val="20"/>
          <w:szCs w:val="20"/>
          <w:color w:val="auto"/>
        </w:rPr>
      </w:pPr>
    </w:p>
    <w:p>
      <w:pPr>
        <w:ind w:right="40" w:firstLine="401"/>
        <w:spacing w:after="0" w:line="268" w:lineRule="auto"/>
        <w:rPr>
          <w:sz w:val="20"/>
          <w:szCs w:val="20"/>
          <w:color w:val="auto"/>
        </w:rPr>
      </w:pPr>
      <w:r>
        <w:rPr>
          <w:rFonts w:ascii="Arial" w:cs="Arial" w:eastAsia="Arial" w:hAnsi="Arial"/>
          <w:sz w:val="18"/>
          <w:szCs w:val="18"/>
          <w:color w:val="auto"/>
        </w:rPr>
        <w:t>As required by Section 953(b) of the Dodd-Frank Wall Street Reform and Consumer Protection Act, we are providing the following information about the relationship between the annual total compensation of our median employee and the annual total compensation of our CEO.</w:t>
      </w:r>
    </w:p>
    <w:p>
      <w:pPr>
        <w:spacing w:after="0" w:line="130" w:lineRule="exact"/>
        <w:rPr>
          <w:sz w:val="20"/>
          <w:szCs w:val="20"/>
          <w:color w:val="auto"/>
        </w:rPr>
      </w:pPr>
    </w:p>
    <w:p>
      <w:pPr>
        <w:ind w:firstLine="401"/>
        <w:spacing w:after="0" w:line="259" w:lineRule="auto"/>
        <w:rPr>
          <w:sz w:val="20"/>
          <w:szCs w:val="20"/>
          <w:color w:val="auto"/>
        </w:rPr>
      </w:pPr>
      <w:r>
        <w:rPr>
          <w:rFonts w:ascii="Arial" w:cs="Arial" w:eastAsia="Arial" w:hAnsi="Arial"/>
          <w:sz w:val="18"/>
          <w:szCs w:val="18"/>
          <w:color w:val="auto"/>
        </w:rPr>
        <w:t>Our compensation philosophy is designed to attract and retain high-quality talent and provide total compensation opportunities that support our pay-for-performance objectives. Compensation varies for employees by position and geographic location based on competitive market factors. Our associates’ total compensation may include base pay, incentive pay, overtime and other supplemental pay. We regularly review associate compensation for both internal pay equity and competitiveness within the health care industry. With respect to our CEO and other Named Executive Officers, the Compensation Committee has</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80" w:name="page81"/>
    <w:bookmarkEnd w:id="80"/>
    <w:p>
      <w:pPr>
        <w:ind w:right="120"/>
        <w:spacing w:after="0" w:line="268" w:lineRule="auto"/>
        <w:rPr>
          <w:sz w:val="20"/>
          <w:szCs w:val="20"/>
          <w:color w:val="auto"/>
        </w:rPr>
      </w:pPr>
      <w:r>
        <w:rPr>
          <w:rFonts w:ascii="Arial" w:cs="Arial" w:eastAsia="Arial" w:hAnsi="Arial"/>
          <w:sz w:val="18"/>
          <w:szCs w:val="18"/>
          <w:color w:val="auto"/>
        </w:rPr>
        <w:t>selected a compensation package composed in large part of variable and at-risk compensation, which the committee believes will appropriately incentivize retention and performance. For more information, please see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of this proxy statement.</w:t>
      </w:r>
    </w:p>
    <w:p>
      <w:pPr>
        <w:spacing w:after="0" w:line="130" w:lineRule="exact"/>
        <w:rPr>
          <w:sz w:val="20"/>
          <w:szCs w:val="20"/>
          <w:color w:val="auto"/>
        </w:rPr>
      </w:pPr>
    </w:p>
    <w:p>
      <w:pPr>
        <w:ind w:firstLine="401"/>
        <w:spacing w:after="0" w:line="318" w:lineRule="auto"/>
        <w:rPr>
          <w:sz w:val="20"/>
          <w:szCs w:val="20"/>
          <w:color w:val="auto"/>
        </w:rPr>
      </w:pPr>
      <w:r>
        <w:rPr>
          <w:rFonts w:ascii="Arial" w:cs="Arial" w:eastAsia="Arial" w:hAnsi="Arial"/>
          <w:sz w:val="17"/>
          <w:szCs w:val="17"/>
          <w:color w:val="auto"/>
        </w:rPr>
        <w:t>For 2024, our CEO pay ratio was 90:1. This ratio was calculated in compliance with the requirements set forth in Item 402(u) of Regulation S-K using the amount of our CEO’s compensation reported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for 2024, which is $6,369,165.</w:t>
      </w:r>
    </w:p>
    <w:p>
      <w:pPr>
        <w:spacing w:after="0" w:line="103" w:lineRule="exact"/>
        <w:rPr>
          <w:sz w:val="20"/>
          <w:szCs w:val="20"/>
          <w:color w:val="auto"/>
        </w:rPr>
      </w:pPr>
    </w:p>
    <w:p>
      <w:pPr>
        <w:ind w:right="240" w:firstLine="401"/>
        <w:spacing w:after="0" w:line="287" w:lineRule="auto"/>
        <w:rPr>
          <w:sz w:val="20"/>
          <w:szCs w:val="20"/>
          <w:color w:val="auto"/>
        </w:rPr>
      </w:pPr>
      <w:r>
        <w:rPr>
          <w:rFonts w:ascii="Arial" w:cs="Arial" w:eastAsia="Arial" w:hAnsi="Arial"/>
          <w:sz w:val="18"/>
          <w:szCs w:val="18"/>
          <w:color w:val="auto"/>
        </w:rPr>
        <w:t>Outlined below is the process that was applied for identifying our median associate for our comparative compensation analysis of the median associate to our CEO:</w:t>
      </w:r>
    </w:p>
    <w:p>
      <w:pPr>
        <w:spacing w:after="0" w:line="112" w:lineRule="exact"/>
        <w:rPr>
          <w:sz w:val="20"/>
          <w:szCs w:val="20"/>
          <w:color w:val="auto"/>
        </w:rPr>
      </w:pPr>
    </w:p>
    <w:p>
      <w:pPr>
        <w:ind w:left="660" w:right="560" w:hanging="328"/>
        <w:spacing w:after="0" w:line="286" w:lineRule="auto"/>
        <w:tabs>
          <w:tab w:leader="none" w:pos="655"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We identified the median associate using 1,689 global full-time, part-time, temporary and seasonal associates employed as of December 31, 2024;</w:t>
      </w:r>
    </w:p>
    <w:p>
      <w:pPr>
        <w:spacing w:after="0" w:line="1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We consistently applied 2024 W-2 earnings as compensation measure for the median associate;</w:t>
      </w:r>
    </w:p>
    <w:p>
      <w:pPr>
        <w:spacing w:after="0" w:line="197" w:lineRule="exact"/>
        <w:rPr>
          <w:rFonts w:ascii="Times New Roman" w:cs="Times New Roman" w:eastAsia="Times New Roman" w:hAnsi="Times New Roman"/>
          <w:sz w:val="18"/>
          <w:szCs w:val="18"/>
          <w:color w:val="auto"/>
        </w:rPr>
      </w:pPr>
    </w:p>
    <w:p>
      <w:pPr>
        <w:ind w:left="660" w:right="360" w:hanging="328"/>
        <w:spacing w:after="0" w:line="286" w:lineRule="auto"/>
        <w:tabs>
          <w:tab w:leader="none" w:pos="655"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We then calculated the median associate’s compensation in the same manner as the Named Executive Officers in the Summary Compensation Table in this proxy statement; and</w:t>
      </w:r>
    </w:p>
    <w:p>
      <w:pPr>
        <w:spacing w:after="0" w:line="1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Applying this methodology, our median associate’s total compensation was $70,853; and</w:t>
      </w:r>
    </w:p>
    <w:p>
      <w:pPr>
        <w:spacing w:after="0" w:line="183" w:lineRule="exact"/>
        <w:rPr>
          <w:rFonts w:ascii="Times New Roman" w:cs="Times New Roman" w:eastAsia="Times New Roman" w:hAnsi="Times New Roman"/>
          <w:sz w:val="18"/>
          <w:szCs w:val="18"/>
          <w:color w:val="auto"/>
        </w:rPr>
      </w:pPr>
    </w:p>
    <w:p>
      <w:pPr>
        <w:ind w:left="660" w:right="460" w:hanging="328"/>
        <w:spacing w:after="0" w:line="286" w:lineRule="auto"/>
        <w:tabs>
          <w:tab w:leader="none" w:pos="655"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With respect to the annual total compensation of our CEO, we used the amount reported in the “Total” column of the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 for 2024 on page 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right="200" w:firstLine="405"/>
        <w:spacing w:after="0" w:line="262" w:lineRule="auto"/>
        <w:rPr>
          <w:sz w:val="20"/>
          <w:szCs w:val="20"/>
          <w:color w:val="auto"/>
        </w:rPr>
      </w:pPr>
      <w:r>
        <w:rPr>
          <w:rFonts w:ascii="Arial" w:cs="Arial" w:eastAsia="Arial" w:hAnsi="Arial"/>
          <w:sz w:val="18"/>
          <w:szCs w:val="18"/>
          <w:color w:val="auto"/>
        </w:rPr>
        <w:t>Under our Related Party Transactions Policy, our Audit Committee is responsible for reviewing and approving related person transactions. In the course of its review and approval of related party transactions, our Audit Committee will consider the relevant facts and circumstances to decide whether to approve such transactions. In particular, our policy requires our Audit Committee to consider, among other factors it deems appropriate:</w:t>
      </w:r>
    </w:p>
    <w:p>
      <w:pPr>
        <w:spacing w:after="0" w:line="176"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the related person’s relationship to us and interest in the transaction;</w:t>
      </w:r>
    </w:p>
    <w:p>
      <w:pPr>
        <w:spacing w:after="0" w:line="22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the material facts of the proposed transaction, including the proposed aggregate value of the transaction;</w:t>
      </w:r>
    </w:p>
    <w:p>
      <w:pPr>
        <w:spacing w:after="0" w:line="224" w:lineRule="exact"/>
        <w:rPr>
          <w:rFonts w:ascii="Times New Roman" w:cs="Times New Roman" w:eastAsia="Times New Roman" w:hAnsi="Times New Roman"/>
          <w:sz w:val="18"/>
          <w:szCs w:val="18"/>
          <w:color w:val="auto"/>
        </w:rPr>
      </w:pPr>
    </w:p>
    <w:p>
      <w:pPr>
        <w:ind w:left="1300" w:right="200" w:hanging="644"/>
        <w:spacing w:after="0" w:line="286" w:lineRule="auto"/>
        <w:tabs>
          <w:tab w:leader="none" w:pos="1295"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on a director’s independence in the event the related person is a director or an immediate family member of the director;</w:t>
      </w:r>
    </w:p>
    <w:p>
      <w:pPr>
        <w:spacing w:after="0" w:line="1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the benefits to us of the proposed transaction;</w:t>
      </w:r>
    </w:p>
    <w:p>
      <w:pPr>
        <w:spacing w:after="0" w:line="22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if applicable, the availability of other sources of comparable products or services; and</w:t>
      </w:r>
    </w:p>
    <w:p>
      <w:pPr>
        <w:spacing w:after="0" w:line="224" w:lineRule="exact"/>
        <w:rPr>
          <w:rFonts w:ascii="Times New Roman" w:cs="Times New Roman" w:eastAsia="Times New Roman" w:hAnsi="Times New Roman"/>
          <w:sz w:val="18"/>
          <w:szCs w:val="18"/>
          <w:color w:val="auto"/>
        </w:rPr>
      </w:pPr>
    </w:p>
    <w:p>
      <w:pPr>
        <w:ind w:left="1300" w:right="200" w:hanging="644"/>
        <w:spacing w:after="0" w:line="286" w:lineRule="auto"/>
        <w:tabs>
          <w:tab w:leader="none" w:pos="1295"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an assessment of whether the proposed transaction is on terms that are comparable to the terms available to an unrelated third party or to employees generally.</w:t>
      </w:r>
    </w:p>
    <w:p>
      <w:pPr>
        <w:spacing w:after="0" w:line="154" w:lineRule="exact"/>
        <w:rPr>
          <w:sz w:val="20"/>
          <w:szCs w:val="20"/>
          <w:color w:val="auto"/>
        </w:rPr>
      </w:pPr>
    </w:p>
    <w:p>
      <w:pPr>
        <w:ind w:right="220" w:firstLine="405"/>
        <w:spacing w:after="0" w:line="287" w:lineRule="auto"/>
        <w:rPr>
          <w:sz w:val="20"/>
          <w:szCs w:val="20"/>
          <w:color w:val="auto"/>
        </w:rPr>
      </w:pPr>
      <w:r>
        <w:rPr>
          <w:rFonts w:ascii="Arial" w:cs="Arial" w:eastAsia="Arial" w:hAnsi="Arial"/>
          <w:sz w:val="18"/>
          <w:szCs w:val="18"/>
          <w:color w:val="auto"/>
        </w:rPr>
        <w:t>The Audit Committee may only approve those transactions that are in, or are not inconsistent with, our best interests and those of our stockholders, as the Audit Committee determines in good faith.</w:t>
      </w:r>
    </w:p>
    <w:p>
      <w:pPr>
        <w:spacing w:after="0" w:line="153" w:lineRule="exact"/>
        <w:rPr>
          <w:sz w:val="20"/>
          <w:szCs w:val="20"/>
          <w:color w:val="auto"/>
        </w:rPr>
      </w:pPr>
    </w:p>
    <w:p>
      <w:pPr>
        <w:ind w:right="300" w:firstLine="405"/>
        <w:spacing w:after="0" w:line="287" w:lineRule="auto"/>
        <w:rPr>
          <w:sz w:val="20"/>
          <w:szCs w:val="20"/>
          <w:color w:val="auto"/>
        </w:rPr>
      </w:pPr>
      <w:r>
        <w:rPr>
          <w:rFonts w:ascii="Arial" w:cs="Arial" w:eastAsia="Arial" w:hAnsi="Arial"/>
          <w:sz w:val="18"/>
          <w:szCs w:val="18"/>
          <w:color w:val="auto"/>
        </w:rPr>
        <w:t>In addition, under our Code of Conduct, our employees and directors have an affirmative responsibility to disclose any transaction or relationship that reasonably could be expected to give rise to a conflict of interest.</w:t>
      </w:r>
    </w:p>
    <w:p>
      <w:pPr>
        <w:spacing w:after="0" w:line="153" w:lineRule="exact"/>
        <w:rPr>
          <w:sz w:val="20"/>
          <w:szCs w:val="20"/>
          <w:color w:val="auto"/>
        </w:rPr>
      </w:pPr>
    </w:p>
    <w:p>
      <w:pPr>
        <w:ind w:right="320" w:firstLine="405"/>
        <w:spacing w:after="0" w:line="287" w:lineRule="auto"/>
        <w:rPr>
          <w:sz w:val="20"/>
          <w:szCs w:val="20"/>
          <w:color w:val="auto"/>
        </w:rPr>
      </w:pPr>
      <w:r>
        <w:rPr>
          <w:rFonts w:ascii="Arial" w:cs="Arial" w:eastAsia="Arial" w:hAnsi="Arial"/>
          <w:sz w:val="18"/>
          <w:szCs w:val="18"/>
          <w:color w:val="auto"/>
        </w:rPr>
        <w:t>With respect to the transactions described below that were entered into prior to the adoption of the Company’s written Related Party Transactions Policy, all were approved by our Board considering similar factors to those described above.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Related-Party Transactions</w:t>
      </w:r>
    </w:p>
    <w:p>
      <w:pPr>
        <w:spacing w:after="0" w:line="22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Other than compensation arrangements for our directors and named executive officers, which are described in the sections of this proxy statement titled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and “</w:t>
      </w:r>
      <w:r>
        <w:rPr>
          <w:rFonts w:ascii="Arial" w:cs="Arial" w:eastAsia="Arial" w:hAnsi="Arial"/>
          <w:sz w:val="18"/>
          <w:szCs w:val="18"/>
          <w:i w:val="1"/>
          <w:iCs w:val="1"/>
          <w:color w:val="auto"/>
        </w:rPr>
        <w:t>Executive and Director Compensation</w:t>
      </w:r>
      <w:r>
        <w:rPr>
          <w:rFonts w:ascii="Arial" w:cs="Arial" w:eastAsia="Arial" w:hAnsi="Arial"/>
          <w:sz w:val="18"/>
          <w:szCs w:val="18"/>
          <w:color w:val="auto"/>
        </w:rPr>
        <w:t>,” below we describe transactions since January 1, 2024 to which we were a participant or will be a participant, in which:</w:t>
      </w:r>
    </w:p>
    <w:p>
      <w:pPr>
        <w:spacing w:after="0" w:line="171"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amounts involved exceeded or will exceed $120,000; and</w:t>
      </w:r>
    </w:p>
    <w:p>
      <w:pPr>
        <w:spacing w:after="0" w:line="224" w:lineRule="exact"/>
        <w:rPr>
          <w:rFonts w:ascii="Times New Roman" w:cs="Times New Roman" w:eastAsia="Times New Roman" w:hAnsi="Times New Roman"/>
          <w:sz w:val="18"/>
          <w:szCs w:val="18"/>
          <w:color w:val="auto"/>
        </w:rPr>
      </w:pPr>
    </w:p>
    <w:p>
      <w:pPr>
        <w:ind w:left="1300" w:right="140" w:hanging="644"/>
        <w:spacing w:after="0" w:line="286" w:lineRule="auto"/>
        <w:tabs>
          <w:tab w:leader="none" w:pos="1295"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or person sharing the household with, the foregoing persons, had or will have a direct or indirect material interest.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Stockholders Agreement</w:t>
      </w:r>
    </w:p>
    <w:p>
      <w:pPr>
        <w:spacing w:after="0" w:line="223" w:lineRule="exact"/>
        <w:rPr>
          <w:sz w:val="20"/>
          <w:szCs w:val="20"/>
          <w:color w:val="auto"/>
        </w:rPr>
      </w:pPr>
    </w:p>
    <w:p>
      <w:pPr>
        <w:ind w:right="140" w:firstLine="405"/>
        <w:spacing w:after="0" w:line="268" w:lineRule="auto"/>
        <w:rPr>
          <w:sz w:val="20"/>
          <w:szCs w:val="20"/>
          <w:color w:val="auto"/>
        </w:rPr>
      </w:pPr>
      <w:r>
        <w:rPr>
          <w:rFonts w:ascii="Arial" w:cs="Arial" w:eastAsia="Arial" w:hAnsi="Arial"/>
          <w:sz w:val="18"/>
          <w:szCs w:val="18"/>
          <w:color w:val="auto"/>
        </w:rPr>
        <w:t>We are party to an Amended and Restated Stockholders Agreement, dated as of April 30, 2024, with the Lead Sponsor that provides the Lead Sponsor the right to designate nominees for election to our Board. The Lead Sponsor may also assign its designation rights under the Stockholders Agreement to an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82" w:name="page83"/>
    <w:bookmarkEnd w:id="82"/>
    <w:p>
      <w:pPr>
        <w:ind w:firstLine="405"/>
        <w:spacing w:after="0" w:line="256" w:lineRule="auto"/>
        <w:rPr>
          <w:sz w:val="20"/>
          <w:szCs w:val="20"/>
          <w:color w:val="auto"/>
        </w:rPr>
      </w:pPr>
      <w:r>
        <w:rPr>
          <w:rFonts w:ascii="Arial" w:cs="Arial" w:eastAsia="Arial" w:hAnsi="Arial"/>
          <w:sz w:val="18"/>
          <w:szCs w:val="18"/>
          <w:color w:val="auto"/>
        </w:rPr>
        <w:t>The Stockholders Agreement provides the Lead Sponsor the right to designate: (i) four of the nominees for election to our Board for so long as the Lead Sponsor beneficially owns over 35% of our common stock then outstanding; (ii) three of the nominees for election to our Board for so long as the Lead Sponsor beneficially owns over 25% but less than or equal to 35% of our common stock then outstanding; (iii) two of the nominees for election to our Board for so long as the Lead Sponsor beneficially owns over 15% but less than or equal to 25% of our common stock then outstanding; and (iv) one of the nominees for election to our Board for so long as the Lead Sponsor beneficially owns at least 5% but less than or equal to 15% of our common stock then outstanding. In each case, the Lead Sponsor's nominees must comply with applicable law and stock exchange rules.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Registration Rights Agreement</w:t>
      </w:r>
    </w:p>
    <w:p>
      <w:pPr>
        <w:spacing w:after="0" w:line="223"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We are party to a registration rights agreement, dated as of March 30, 2021, with the Lead Sponsor and certain other stockholders (the “Applicable Holders”). The Lead Sponsor is entitled to request that we register the Lead Sponsor's shares on a long-form or short-form registration statement on one or more occasions in the future, which registrations may in certain circumstances be “shelf registrations,” and such other stockholders are entitled to participate in such offerings on a pro rata basis. The Applicable Holders are also entitled to participate in certain of our registered offerings, subject to the restrictions in the registration rights agreement. We will pay the expenses in connection with the exercise of these rights. The registration rights described in this paragraph apply to (i) shares of our common stock held by the Applicable Holders and their affiliates and (ii) any of our capital stock (or that of our subsidiaries) issued or issuable with respect to the common stock described in clause (i) with respect to any dividend, distribution, recapitalization, reorganization, or certain other corporate transactions (“Registrable Securities”). These registration rights are also for the benefit of any subsequent holder of Registrable Securities; provided that any particular securities will cease to be Registrable Securities when they have been sold in a registered public offering, sold in compliance with Rule 144 of the Securities Act of 1933, as amended (the Securities Act"), or repurchased by us or our subsidiaries. In addition, any Registrable Securities held by a person other than the Lead Sponsor and its affiliates will cease to be Registrable Securities if they can be sold without limitation under Rule 144 of the Securities Act.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Indemnification of Officers and Directors</w:t>
      </w:r>
    </w:p>
    <w:p>
      <w:pPr>
        <w:spacing w:after="0" w:line="223"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We are party to indemnification agreements with each of our executive officers and directors. The indemnification agreements provide the executive officers and directors with contractual rights to indemnification, expense advancement and reimbursement, to the fullest extent permitted under the DGCL. Additionally, we may enter into indemnification agreements with any new directors or officers that may be broader in scope than the specific indemnification provisions contained in Delaware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Other Relationships</w:t>
      </w:r>
    </w:p>
    <w:p>
      <w:pPr>
        <w:spacing w:after="0" w:line="22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Until August 13, 2024, Jeffrey Margolis served as an independent member of our Board. Mr. Margolis’ daughter has been employed by the Company in operational roles related to member engagement since August 2015. Her compensation has been determined with reference to external market practice of similar positions and internal pay equity when compared to the compensation paid to employees in similar positions. Similarly, she has been granted equity awards on the same general terms and conditions as applicable to employees in similar positions. Mr. Margolis played no personal role in determining his daughter’s compensation or reviewing his daughter’s performance.</w:t>
      </w:r>
    </w:p>
    <w:p>
      <w:pPr>
        <w:spacing w:after="0" w:line="179"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Mr. Konowiecki’s son is a partner in the law firm of McDermott Will &amp; Emery LLP (“MWE”), which provided legal services to the Company and our subsidiaries during the fiscal year ended December 31, 2024 and continues to do so. For providing these services, MWE received fees during the fiscal year ended December 31, 2024 of approximately $272,000 and fees in fiscal 2025 through March 31, 2025 totaling approximately $ 120,000. Mr. Konowiecki’s son does not receive any direct compensation from the fees paid to MWE by us, and the fees paid by us to MWE in fiscal 2024 were less than 1% of MWE’s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83" w:name="page84"/>
    <w:bookmarkEnd w:id="83"/>
    <w:p>
      <w:pPr>
        <w:spacing w:after="0" w:line="287" w:lineRule="auto"/>
        <w:rPr>
          <w:sz w:val="20"/>
          <w:szCs w:val="20"/>
          <w:color w:val="auto"/>
        </w:rPr>
      </w:pPr>
      <w:r>
        <w:rPr>
          <w:rFonts w:ascii="Arial" w:cs="Arial" w:eastAsia="Arial" w:hAnsi="Arial"/>
          <w:sz w:val="18"/>
          <w:szCs w:val="18"/>
          <w:color w:val="auto"/>
        </w:rPr>
        <w:t>annual revenues. The engagement of MWE was reviewed and approved by our Audit Committee in accordance with our Related Party Transactions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417" w:right="87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SECURITY OWNERSHIP OF CERTAIN BENEFICIAL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 AND MANAGEMENT</w:t>
      </w:r>
    </w:p>
    <w:p>
      <w:pPr>
        <w:spacing w:after="0" w:line="207"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The following table sets forth information about the beneficial ownership of our common stock as of April 7, 2025 for (i) each person or group known to us who beneficially owns more than 5% of our common stock; (ii) each of our directors; (iii) each of our Named Executive Officers; and (iv) all of our directors and executive officers as a group.</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Each stockholder’s percentage ownership is based on 197,681,510 shares of common stock outstanding as of April 7, 2025. 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Common stock subject to options that are currently exercisable or exercisable within 60 days of April 7, 2025, and common stock issuable upon vesting of RSUs within 60 days of April 7, 2025, are deemed to be outstanding and beneficially owned by the person holding the options or RSUs, as applicable. These shares, however, are not deemed outstanding for the purposes of computing the percentage ownership of any other person. Except as disclosed in the footnotes to this table and subject to applicable community property laws, we believe that each stockholder identified in the table possesses sole voting and investment power over all common stock shown as beneficially owned by the stockholder.</w:t>
      </w:r>
    </w:p>
    <w:p>
      <w:pPr>
        <w:spacing w:after="0" w:line="17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Unless otherwise noted below, the address of each beneficial owner listed on the table is c/o Alignment Healthcare, Inc., 1100 W. Town and Country Road, Suite 1600, Orange, California 92868. Beneficial ownership representing less than 1% is denoted with an asterisk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Beneficial Owner</w:t>
            </w:r>
          </w:p>
        </w:tc>
        <w:tc>
          <w:tcPr>
            <w:tcW w:w="33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Number of Shares</w:t>
            </w:r>
          </w:p>
        </w:tc>
        <w:tc>
          <w:tcPr>
            <w:tcW w:w="308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Percentage</w:t>
            </w:r>
          </w:p>
        </w:tc>
      </w:tr>
      <w:tr>
        <w:trPr>
          <w:trHeight w:val="237"/>
        </w:trPr>
        <w:tc>
          <w:tcPr>
            <w:tcW w:w="484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8"/>
                <w:szCs w:val="18"/>
                <w:b w:val="1"/>
                <w:bCs w:val="1"/>
                <w:color w:val="auto"/>
              </w:rPr>
              <w:t>5% Stockholders</w:t>
            </w:r>
          </w:p>
        </w:tc>
        <w:tc>
          <w:tcPr>
            <w:tcW w:w="3320" w:type="dxa"/>
            <w:vAlign w:val="bottom"/>
            <w:tcBorders>
              <w:right w:val="single" w:sz="8" w:color="95B3D7"/>
            </w:tcBorders>
            <w:shd w:val="clear" w:color="auto" w:fill="DBE5F1"/>
          </w:tcPr>
          <w:p>
            <w:pPr>
              <w:spacing w:after="0"/>
              <w:rPr>
                <w:sz w:val="20"/>
                <w:szCs w:val="20"/>
                <w:color w:val="auto"/>
              </w:rPr>
            </w:pPr>
          </w:p>
        </w:tc>
        <w:tc>
          <w:tcPr>
            <w:tcW w:w="3080" w:type="dxa"/>
            <w:vAlign w:val="bottom"/>
            <w:shd w:val="clear" w:color="auto" w:fill="DBE5F1"/>
          </w:tcPr>
          <w:p>
            <w:pPr>
              <w:spacing w:after="0"/>
              <w:rPr>
                <w:sz w:val="20"/>
                <w:szCs w:val="20"/>
                <w:color w:val="auto"/>
              </w:rPr>
            </w:pPr>
          </w:p>
        </w:tc>
      </w:tr>
      <w:tr>
        <w:trPr>
          <w:trHeight w:val="270"/>
        </w:trPr>
        <w:tc>
          <w:tcPr>
            <w:tcW w:w="4840" w:type="dxa"/>
            <w:vAlign w:val="bottom"/>
            <w:tcBorders>
              <w:right w:val="single" w:sz="8" w:color="95B3D7"/>
            </w:tcBorders>
          </w:tcPr>
          <w:p>
            <w:pPr>
              <w:ind w:left="80"/>
              <w:spacing w:after="0"/>
              <w:rPr>
                <w:sz w:val="20"/>
                <w:szCs w:val="20"/>
                <w:color w:val="auto"/>
              </w:rPr>
            </w:pPr>
            <w:r>
              <w:rPr>
                <w:rFonts w:ascii="Arial" w:cs="Arial" w:eastAsia="Arial" w:hAnsi="Arial"/>
                <w:sz w:val="18"/>
                <w:szCs w:val="18"/>
                <w:color w:val="auto"/>
              </w:rPr>
              <w:t>General Atlantic</w:t>
            </w:r>
            <w:r>
              <w:rPr>
                <w:rFonts w:ascii="Arial" w:cs="Arial" w:eastAsia="Arial" w:hAnsi="Arial"/>
                <w:sz w:val="23"/>
                <w:szCs w:val="23"/>
                <w:color w:val="auto"/>
                <w:vertAlign w:val="superscript"/>
              </w:rPr>
              <w:t>(1)</w:t>
            </w:r>
          </w:p>
        </w:tc>
        <w:tc>
          <w:tcPr>
            <w:tcW w:w="3320" w:type="dxa"/>
            <w:vAlign w:val="bottom"/>
            <w:tcBorders>
              <w:right w:val="single" w:sz="8" w:color="95B3D7"/>
            </w:tcBorders>
          </w:tcPr>
          <w:p>
            <w:pPr>
              <w:jc w:val="right"/>
              <w:ind w:right="710"/>
              <w:spacing w:after="0"/>
              <w:rPr>
                <w:sz w:val="20"/>
                <w:szCs w:val="20"/>
                <w:color w:val="auto"/>
              </w:rPr>
            </w:pPr>
            <w:r>
              <w:rPr>
                <w:rFonts w:ascii="Arial" w:cs="Arial" w:eastAsia="Arial" w:hAnsi="Arial"/>
                <w:sz w:val="18"/>
                <w:szCs w:val="18"/>
                <w:color w:val="auto"/>
              </w:rPr>
              <w:t>61,302,175</w:t>
            </w:r>
          </w:p>
        </w:tc>
        <w:tc>
          <w:tcPr>
            <w:tcW w:w="3080" w:type="dxa"/>
            <w:vAlign w:val="bottom"/>
          </w:tcPr>
          <w:p>
            <w:pPr>
              <w:jc w:val="center"/>
              <w:spacing w:after="0"/>
              <w:rPr>
                <w:sz w:val="20"/>
                <w:szCs w:val="20"/>
                <w:color w:val="auto"/>
              </w:rPr>
            </w:pPr>
            <w:r>
              <w:rPr>
                <w:rFonts w:ascii="Arial" w:cs="Arial" w:eastAsia="Arial" w:hAnsi="Arial"/>
                <w:sz w:val="18"/>
                <w:szCs w:val="18"/>
                <w:color w:val="auto"/>
              </w:rPr>
              <w:t>31.0%</w:t>
            </w:r>
          </w:p>
        </w:tc>
      </w:tr>
      <w:tr>
        <w:trPr>
          <w:trHeight w:val="270"/>
        </w:trPr>
        <w:tc>
          <w:tcPr>
            <w:tcW w:w="484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8"/>
                <w:szCs w:val="18"/>
                <w:color w:val="auto"/>
              </w:rPr>
              <w:t>Fidelity Investments</w:t>
            </w:r>
            <w:r>
              <w:rPr>
                <w:rFonts w:ascii="Arial" w:cs="Arial" w:eastAsia="Arial" w:hAnsi="Arial"/>
                <w:sz w:val="23"/>
                <w:szCs w:val="23"/>
                <w:color w:val="auto"/>
                <w:vertAlign w:val="superscript"/>
              </w:rPr>
              <w:t>(2)</w:t>
            </w:r>
          </w:p>
        </w:tc>
        <w:tc>
          <w:tcPr>
            <w:tcW w:w="3320" w:type="dxa"/>
            <w:vAlign w:val="bottom"/>
            <w:tcBorders>
              <w:right w:val="single" w:sz="8" w:color="95B3D7"/>
            </w:tcBorders>
            <w:shd w:val="clear" w:color="auto" w:fill="DBE5F1"/>
          </w:tcPr>
          <w:p>
            <w:pPr>
              <w:jc w:val="right"/>
              <w:ind w:right="710"/>
              <w:spacing w:after="0"/>
              <w:rPr>
                <w:sz w:val="20"/>
                <w:szCs w:val="20"/>
                <w:color w:val="auto"/>
              </w:rPr>
            </w:pPr>
            <w:r>
              <w:rPr>
                <w:rFonts w:ascii="Arial" w:cs="Arial" w:eastAsia="Arial" w:hAnsi="Arial"/>
                <w:sz w:val="18"/>
                <w:szCs w:val="18"/>
                <w:color w:val="auto"/>
              </w:rPr>
              <w:t>16,448,230</w:t>
            </w:r>
          </w:p>
        </w:tc>
        <w:tc>
          <w:tcPr>
            <w:tcW w:w="3080" w:type="dxa"/>
            <w:vAlign w:val="bottom"/>
            <w:shd w:val="clear" w:color="auto" w:fill="DBE5F1"/>
          </w:tcPr>
          <w:p>
            <w:pPr>
              <w:jc w:val="center"/>
              <w:spacing w:after="0"/>
              <w:rPr>
                <w:sz w:val="20"/>
                <w:szCs w:val="20"/>
                <w:color w:val="auto"/>
              </w:rPr>
            </w:pPr>
            <w:r>
              <w:rPr>
                <w:rFonts w:ascii="Arial" w:cs="Arial" w:eastAsia="Arial" w:hAnsi="Arial"/>
                <w:sz w:val="18"/>
                <w:szCs w:val="18"/>
                <w:color w:val="auto"/>
                <w:w w:val="97"/>
              </w:rPr>
              <w:t>8.3%</w:t>
            </w:r>
          </w:p>
        </w:tc>
      </w:tr>
      <w:tr>
        <w:trPr>
          <w:trHeight w:val="263"/>
        </w:trPr>
        <w:tc>
          <w:tcPr>
            <w:tcW w:w="4840" w:type="dxa"/>
            <w:vAlign w:val="bottom"/>
            <w:tcBorders>
              <w:right w:val="single" w:sz="8" w:color="95B3D7"/>
            </w:tcBorders>
          </w:tcPr>
          <w:p>
            <w:pPr>
              <w:ind w:left="80"/>
              <w:spacing w:after="0"/>
              <w:rPr>
                <w:sz w:val="20"/>
                <w:szCs w:val="20"/>
                <w:color w:val="auto"/>
              </w:rPr>
            </w:pPr>
            <w:r>
              <w:rPr>
                <w:rFonts w:ascii="Arial" w:cs="Arial" w:eastAsia="Arial" w:hAnsi="Arial"/>
                <w:sz w:val="18"/>
                <w:szCs w:val="18"/>
                <w:b w:val="1"/>
                <w:bCs w:val="1"/>
                <w:color w:val="auto"/>
              </w:rPr>
              <w:t>Named Executive Officers and Directors</w:t>
            </w:r>
          </w:p>
        </w:tc>
        <w:tc>
          <w:tcPr>
            <w:tcW w:w="3320" w:type="dxa"/>
            <w:vAlign w:val="bottom"/>
            <w:tcBorders>
              <w:right w:val="single" w:sz="8" w:color="95B3D7"/>
            </w:tcBorders>
          </w:tcPr>
          <w:p>
            <w:pPr>
              <w:spacing w:after="0"/>
              <w:rPr>
                <w:sz w:val="22"/>
                <w:szCs w:val="22"/>
                <w:color w:val="auto"/>
              </w:rPr>
            </w:pPr>
          </w:p>
        </w:tc>
        <w:tc>
          <w:tcPr>
            <w:tcW w:w="3080" w:type="dxa"/>
            <w:vAlign w:val="bottom"/>
          </w:tcPr>
          <w:p>
            <w:pPr>
              <w:spacing w:after="0"/>
              <w:rPr>
                <w:sz w:val="22"/>
                <w:szCs w:val="22"/>
                <w:color w:val="auto"/>
              </w:rPr>
            </w:pPr>
          </w:p>
        </w:tc>
      </w:tr>
      <w:tr>
        <w:trPr>
          <w:trHeight w:val="318"/>
        </w:trPr>
        <w:tc>
          <w:tcPr>
            <w:tcW w:w="484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8"/>
                <w:szCs w:val="18"/>
                <w:color w:val="auto"/>
              </w:rPr>
              <w:t>John Kao</w:t>
            </w:r>
            <w:r>
              <w:rPr>
                <w:rFonts w:ascii="Arial" w:cs="Arial" w:eastAsia="Arial" w:hAnsi="Arial"/>
                <w:sz w:val="23"/>
                <w:szCs w:val="23"/>
                <w:color w:val="auto"/>
                <w:vertAlign w:val="superscript"/>
              </w:rPr>
              <w:t>(3)</w:t>
            </w:r>
          </w:p>
        </w:tc>
        <w:tc>
          <w:tcPr>
            <w:tcW w:w="3320" w:type="dxa"/>
            <w:vAlign w:val="bottom"/>
            <w:tcBorders>
              <w:right w:val="single" w:sz="8" w:color="95B3D7"/>
            </w:tcBorders>
            <w:shd w:val="clear" w:color="auto" w:fill="DBE5F1"/>
          </w:tcPr>
          <w:p>
            <w:pPr>
              <w:jc w:val="right"/>
              <w:ind w:right="690"/>
              <w:spacing w:after="0"/>
              <w:rPr>
                <w:sz w:val="20"/>
                <w:szCs w:val="20"/>
                <w:color w:val="auto"/>
              </w:rPr>
            </w:pPr>
            <w:r>
              <w:rPr>
                <w:rFonts w:ascii="Arial" w:cs="Arial" w:eastAsia="Arial" w:hAnsi="Arial"/>
                <w:sz w:val="18"/>
                <w:szCs w:val="18"/>
                <w:color w:val="auto"/>
              </w:rPr>
              <w:t>7,650,221</w:t>
            </w:r>
          </w:p>
        </w:tc>
        <w:tc>
          <w:tcPr>
            <w:tcW w:w="3080" w:type="dxa"/>
            <w:vAlign w:val="bottom"/>
            <w:shd w:val="clear" w:color="auto" w:fill="DBE5F1"/>
          </w:tcPr>
          <w:p>
            <w:pPr>
              <w:jc w:val="center"/>
              <w:spacing w:after="0"/>
              <w:rPr>
                <w:sz w:val="20"/>
                <w:szCs w:val="20"/>
                <w:color w:val="auto"/>
              </w:rPr>
            </w:pPr>
            <w:r>
              <w:rPr>
                <w:rFonts w:ascii="Arial" w:cs="Arial" w:eastAsia="Arial" w:hAnsi="Arial"/>
                <w:sz w:val="18"/>
                <w:szCs w:val="18"/>
                <w:color w:val="auto"/>
                <w:w w:val="97"/>
              </w:rPr>
              <w:t>3.8%</w:t>
            </w:r>
          </w:p>
        </w:tc>
      </w:tr>
      <w:tr>
        <w:trPr>
          <w:trHeight w:val="202"/>
        </w:trPr>
        <w:tc>
          <w:tcPr>
            <w:tcW w:w="4840" w:type="dxa"/>
            <w:vAlign w:val="bottom"/>
            <w:tcBorders>
              <w:right w:val="single" w:sz="8" w:color="95B3D7"/>
            </w:tcBorders>
            <w:shd w:val="clear" w:color="auto" w:fill="DBE5F1"/>
          </w:tcPr>
          <w:p>
            <w:pPr>
              <w:spacing w:after="0"/>
              <w:rPr>
                <w:sz w:val="17"/>
                <w:szCs w:val="17"/>
                <w:color w:val="auto"/>
              </w:rPr>
            </w:pPr>
          </w:p>
        </w:tc>
        <w:tc>
          <w:tcPr>
            <w:tcW w:w="3320" w:type="dxa"/>
            <w:vAlign w:val="bottom"/>
            <w:tcBorders>
              <w:right w:val="single" w:sz="8" w:color="95B3D7"/>
            </w:tcBorders>
            <w:shd w:val="clear" w:color="auto" w:fill="DBE5F1"/>
          </w:tcPr>
          <w:p>
            <w:pPr>
              <w:spacing w:after="0"/>
              <w:rPr>
                <w:sz w:val="17"/>
                <w:szCs w:val="17"/>
                <w:color w:val="auto"/>
              </w:rPr>
            </w:pPr>
          </w:p>
        </w:tc>
        <w:tc>
          <w:tcPr>
            <w:tcW w:w="3080" w:type="dxa"/>
            <w:vAlign w:val="bottom"/>
            <w:shd w:val="clear" w:color="auto" w:fill="DBE5F1"/>
          </w:tcPr>
          <w:p>
            <w:pPr>
              <w:spacing w:after="0"/>
              <w:rPr>
                <w:sz w:val="17"/>
                <w:szCs w:val="17"/>
                <w:color w:val="auto"/>
              </w:rPr>
            </w:pPr>
          </w:p>
        </w:tc>
      </w:tr>
      <w:tr>
        <w:trPr>
          <w:trHeight w:val="270"/>
        </w:trPr>
        <w:tc>
          <w:tcPr>
            <w:tcW w:w="4840" w:type="dxa"/>
            <w:vAlign w:val="bottom"/>
            <w:tcBorders>
              <w:right w:val="single" w:sz="8" w:color="95B3D7"/>
            </w:tcBorders>
          </w:tcPr>
          <w:p>
            <w:pPr>
              <w:ind w:left="80"/>
              <w:spacing w:after="0"/>
              <w:rPr>
                <w:sz w:val="20"/>
                <w:szCs w:val="20"/>
                <w:color w:val="auto"/>
              </w:rPr>
            </w:pPr>
            <w:r>
              <w:rPr>
                <w:rFonts w:ascii="Arial" w:cs="Arial" w:eastAsia="Arial" w:hAnsi="Arial"/>
                <w:sz w:val="18"/>
                <w:szCs w:val="18"/>
                <w:color w:val="auto"/>
              </w:rPr>
              <w:t>Dawn Maroney</w:t>
            </w:r>
            <w:r>
              <w:rPr>
                <w:rFonts w:ascii="Arial" w:cs="Arial" w:eastAsia="Arial" w:hAnsi="Arial"/>
                <w:sz w:val="23"/>
                <w:szCs w:val="23"/>
                <w:color w:val="auto"/>
                <w:vertAlign w:val="superscript"/>
              </w:rPr>
              <w:t>(4)</w:t>
            </w:r>
          </w:p>
        </w:tc>
        <w:tc>
          <w:tcPr>
            <w:tcW w:w="3320" w:type="dxa"/>
            <w:vAlign w:val="bottom"/>
            <w:tcBorders>
              <w:right w:val="single" w:sz="8" w:color="95B3D7"/>
            </w:tcBorders>
          </w:tcPr>
          <w:p>
            <w:pPr>
              <w:jc w:val="right"/>
              <w:ind w:right="650"/>
              <w:spacing w:after="0"/>
              <w:rPr>
                <w:sz w:val="20"/>
                <w:szCs w:val="20"/>
                <w:color w:val="auto"/>
              </w:rPr>
            </w:pPr>
            <w:r>
              <w:rPr>
                <w:rFonts w:ascii="Arial" w:cs="Arial" w:eastAsia="Arial" w:hAnsi="Arial"/>
                <w:sz w:val="18"/>
                <w:szCs w:val="18"/>
                <w:color w:val="auto"/>
              </w:rPr>
              <w:t>2,297,514</w:t>
            </w:r>
          </w:p>
        </w:tc>
        <w:tc>
          <w:tcPr>
            <w:tcW w:w="3080" w:type="dxa"/>
            <w:vAlign w:val="bottom"/>
          </w:tcPr>
          <w:p>
            <w:pPr>
              <w:jc w:val="center"/>
              <w:spacing w:after="0"/>
              <w:rPr>
                <w:sz w:val="20"/>
                <w:szCs w:val="20"/>
                <w:color w:val="auto"/>
              </w:rPr>
            </w:pPr>
            <w:r>
              <w:rPr>
                <w:rFonts w:ascii="Arial" w:cs="Arial" w:eastAsia="Arial" w:hAnsi="Arial"/>
                <w:sz w:val="18"/>
                <w:szCs w:val="18"/>
                <w:color w:val="auto"/>
                <w:w w:val="97"/>
              </w:rPr>
              <w:t>1.2%</w:t>
            </w:r>
          </w:p>
        </w:tc>
      </w:tr>
      <w:tr>
        <w:trPr>
          <w:trHeight w:val="270"/>
        </w:trPr>
        <w:tc>
          <w:tcPr>
            <w:tcW w:w="484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8"/>
                <w:szCs w:val="18"/>
                <w:color w:val="auto"/>
              </w:rPr>
              <w:t>Thomas Freeman</w:t>
            </w:r>
            <w:r>
              <w:rPr>
                <w:rFonts w:ascii="Arial" w:cs="Arial" w:eastAsia="Arial" w:hAnsi="Arial"/>
                <w:sz w:val="23"/>
                <w:szCs w:val="23"/>
                <w:color w:val="auto"/>
                <w:vertAlign w:val="superscript"/>
              </w:rPr>
              <w:t>(5)</w:t>
            </w:r>
          </w:p>
        </w:tc>
        <w:tc>
          <w:tcPr>
            <w:tcW w:w="3320" w:type="dxa"/>
            <w:vAlign w:val="bottom"/>
            <w:tcBorders>
              <w:right w:val="single" w:sz="8" w:color="95B3D7"/>
            </w:tcBorders>
            <w:shd w:val="clear" w:color="auto" w:fill="DBE5F1"/>
          </w:tcPr>
          <w:p>
            <w:pPr>
              <w:jc w:val="right"/>
              <w:ind w:right="650"/>
              <w:spacing w:after="0"/>
              <w:rPr>
                <w:sz w:val="20"/>
                <w:szCs w:val="20"/>
                <w:color w:val="auto"/>
              </w:rPr>
            </w:pPr>
            <w:r>
              <w:rPr>
                <w:rFonts w:ascii="Arial" w:cs="Arial" w:eastAsia="Arial" w:hAnsi="Arial"/>
                <w:sz w:val="18"/>
                <w:szCs w:val="18"/>
                <w:color w:val="auto"/>
              </w:rPr>
              <w:t>1,388,004</w:t>
            </w:r>
          </w:p>
        </w:tc>
        <w:tc>
          <w:tcPr>
            <w:tcW w:w="3080" w:type="dxa"/>
            <w:vAlign w:val="bottom"/>
            <w:shd w:val="clear" w:color="auto" w:fill="DBE5F1"/>
          </w:tcPr>
          <w:p>
            <w:pPr>
              <w:jc w:val="center"/>
              <w:spacing w:after="0"/>
              <w:rPr>
                <w:sz w:val="20"/>
                <w:szCs w:val="20"/>
                <w:color w:val="auto"/>
              </w:rPr>
            </w:pPr>
            <w:r>
              <w:rPr>
                <w:rFonts w:ascii="Arial" w:cs="Arial" w:eastAsia="Arial" w:hAnsi="Arial"/>
                <w:sz w:val="18"/>
                <w:szCs w:val="18"/>
                <w:color w:val="auto"/>
              </w:rPr>
              <w:t>*</w:t>
            </w:r>
          </w:p>
        </w:tc>
      </w:tr>
      <w:tr>
        <w:trPr>
          <w:trHeight w:val="247"/>
        </w:trPr>
        <w:tc>
          <w:tcPr>
            <w:tcW w:w="4840" w:type="dxa"/>
            <w:vAlign w:val="bottom"/>
            <w:tcBorders>
              <w:right w:val="single" w:sz="8" w:color="95B3D7"/>
            </w:tcBorders>
          </w:tcPr>
          <w:p>
            <w:pPr>
              <w:ind w:left="80"/>
              <w:spacing w:after="0"/>
              <w:rPr>
                <w:sz w:val="20"/>
                <w:szCs w:val="20"/>
                <w:color w:val="auto"/>
              </w:rPr>
            </w:pPr>
            <w:r>
              <w:rPr>
                <w:rFonts w:ascii="Arial" w:cs="Arial" w:eastAsia="Arial" w:hAnsi="Arial"/>
                <w:sz w:val="18"/>
                <w:szCs w:val="18"/>
                <w:color w:val="auto"/>
              </w:rPr>
              <w:t>Hyong (Ken) Kim, M.D.</w:t>
            </w:r>
          </w:p>
        </w:tc>
        <w:tc>
          <w:tcPr>
            <w:tcW w:w="3320" w:type="dxa"/>
            <w:vAlign w:val="bottom"/>
            <w:tcBorders>
              <w:right w:val="single" w:sz="8" w:color="95B3D7"/>
            </w:tcBorders>
          </w:tcPr>
          <w:p>
            <w:pPr>
              <w:jc w:val="right"/>
              <w:ind w:right="650"/>
              <w:spacing w:after="0"/>
              <w:rPr>
                <w:sz w:val="20"/>
                <w:szCs w:val="20"/>
                <w:color w:val="auto"/>
              </w:rPr>
            </w:pPr>
            <w:r>
              <w:rPr>
                <w:rFonts w:ascii="Arial" w:cs="Arial" w:eastAsia="Arial" w:hAnsi="Arial"/>
                <w:sz w:val="18"/>
                <w:szCs w:val="18"/>
                <w:color w:val="auto"/>
              </w:rPr>
              <w:t>62,000</w:t>
            </w:r>
          </w:p>
        </w:tc>
        <w:tc>
          <w:tcPr>
            <w:tcW w:w="30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
        </w:trPr>
        <w:tc>
          <w:tcPr>
            <w:tcW w:w="4840" w:type="dxa"/>
            <w:vAlign w:val="bottom"/>
            <w:tcBorders>
              <w:right w:val="single" w:sz="8" w:color="95B3D7"/>
            </w:tcBorders>
          </w:tcPr>
          <w:p>
            <w:pPr>
              <w:spacing w:after="0"/>
              <w:rPr>
                <w:sz w:val="2"/>
                <w:szCs w:val="2"/>
                <w:color w:val="auto"/>
              </w:rPr>
            </w:pPr>
          </w:p>
        </w:tc>
        <w:tc>
          <w:tcPr>
            <w:tcW w:w="3320" w:type="dxa"/>
            <w:vAlign w:val="bottom"/>
            <w:tcBorders>
              <w:right w:val="single" w:sz="8" w:color="95B3D7"/>
            </w:tcBorders>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4840" w:type="dxa"/>
            <w:vAlign w:val="bottom"/>
            <w:tcBorders>
              <w:bottom w:val="single" w:sz="8" w:color="DBE5F1"/>
              <w:right w:val="single" w:sz="8" w:color="95B3D7"/>
            </w:tcBorders>
            <w:shd w:val="clear" w:color="auto" w:fill="DBE5F1"/>
          </w:tcPr>
          <w:p>
            <w:pPr>
              <w:ind w:left="80"/>
              <w:spacing w:after="0"/>
              <w:rPr>
                <w:sz w:val="20"/>
                <w:szCs w:val="20"/>
                <w:color w:val="auto"/>
              </w:rPr>
            </w:pPr>
            <w:r>
              <w:rPr>
                <w:rFonts w:ascii="Arial" w:cs="Arial" w:eastAsia="Arial" w:hAnsi="Arial"/>
                <w:sz w:val="18"/>
                <w:szCs w:val="18"/>
                <w:color w:val="auto"/>
              </w:rPr>
              <w:t>Andreas Wagner</w:t>
            </w:r>
          </w:p>
        </w:tc>
        <w:tc>
          <w:tcPr>
            <w:tcW w:w="3320" w:type="dxa"/>
            <w:vAlign w:val="bottom"/>
            <w:tcBorders>
              <w:bottom w:val="single" w:sz="8" w:color="DBE5F1"/>
              <w:right w:val="single" w:sz="8" w:color="95B3D7"/>
            </w:tcBorders>
            <w:shd w:val="clear" w:color="auto" w:fill="DBE5F1"/>
          </w:tcPr>
          <w:p>
            <w:pPr>
              <w:jc w:val="right"/>
              <w:ind w:right="650"/>
              <w:spacing w:after="0"/>
              <w:rPr>
                <w:sz w:val="20"/>
                <w:szCs w:val="20"/>
                <w:color w:val="auto"/>
              </w:rPr>
            </w:pPr>
            <w:r>
              <w:rPr>
                <w:rFonts w:ascii="Arial" w:cs="Arial" w:eastAsia="Arial" w:hAnsi="Arial"/>
                <w:sz w:val="18"/>
                <w:szCs w:val="18"/>
                <w:color w:val="auto"/>
              </w:rPr>
              <w:t>35,846</w:t>
            </w:r>
          </w:p>
        </w:tc>
        <w:tc>
          <w:tcPr>
            <w:tcW w:w="308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4840" w:type="dxa"/>
            <w:vAlign w:val="bottom"/>
            <w:tcBorders>
              <w:right w:val="single" w:sz="8" w:color="95B3D7"/>
            </w:tcBorders>
          </w:tcPr>
          <w:p>
            <w:pPr>
              <w:ind w:left="20"/>
              <w:spacing w:after="0"/>
              <w:rPr>
                <w:sz w:val="20"/>
                <w:szCs w:val="20"/>
                <w:color w:val="auto"/>
              </w:rPr>
            </w:pPr>
            <w:r>
              <w:rPr>
                <w:rFonts w:ascii="Arial" w:cs="Arial" w:eastAsia="Arial" w:hAnsi="Arial"/>
                <w:sz w:val="18"/>
                <w:szCs w:val="18"/>
                <w:color w:val="auto"/>
              </w:rPr>
              <w:t>Jody Bilney</w:t>
            </w:r>
          </w:p>
        </w:tc>
        <w:tc>
          <w:tcPr>
            <w:tcW w:w="3320" w:type="dxa"/>
            <w:vAlign w:val="bottom"/>
            <w:tcBorders>
              <w:right w:val="single" w:sz="8" w:color="95B3D7"/>
            </w:tcBorders>
          </w:tcPr>
          <w:p>
            <w:pPr>
              <w:jc w:val="right"/>
              <w:ind w:right="650"/>
              <w:spacing w:after="0"/>
              <w:rPr>
                <w:sz w:val="20"/>
                <w:szCs w:val="20"/>
                <w:color w:val="auto"/>
              </w:rPr>
            </w:pPr>
            <w:r>
              <w:rPr>
                <w:rFonts w:ascii="Arial" w:cs="Arial" w:eastAsia="Arial" w:hAnsi="Arial"/>
                <w:sz w:val="18"/>
                <w:szCs w:val="18"/>
                <w:color w:val="auto"/>
              </w:rPr>
              <w:t>97,744</w:t>
            </w:r>
          </w:p>
        </w:tc>
        <w:tc>
          <w:tcPr>
            <w:tcW w:w="30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4840" w:type="dxa"/>
            <w:vAlign w:val="bottom"/>
            <w:tcBorders>
              <w:bottom w:val="single" w:sz="8" w:color="DBE5F1"/>
              <w:right w:val="single" w:sz="8" w:color="95B3D7"/>
            </w:tcBorders>
            <w:shd w:val="clear" w:color="auto" w:fill="DBE5F1"/>
          </w:tcPr>
          <w:p>
            <w:pPr>
              <w:ind w:left="80"/>
              <w:spacing w:after="0"/>
              <w:rPr>
                <w:sz w:val="20"/>
                <w:szCs w:val="20"/>
                <w:color w:val="auto"/>
              </w:rPr>
            </w:pPr>
            <w:r>
              <w:rPr>
                <w:rFonts w:ascii="Arial" w:cs="Arial" w:eastAsia="Arial" w:hAnsi="Arial"/>
                <w:sz w:val="18"/>
                <w:szCs w:val="18"/>
                <w:color w:val="auto"/>
              </w:rPr>
              <w:t>David Hodgson</w:t>
            </w:r>
          </w:p>
        </w:tc>
        <w:tc>
          <w:tcPr>
            <w:tcW w:w="3320" w:type="dxa"/>
            <w:vAlign w:val="bottom"/>
            <w:tcBorders>
              <w:bottom w:val="single" w:sz="8" w:color="DBE5F1"/>
              <w:right w:val="single" w:sz="8" w:color="95B3D7"/>
            </w:tcBorders>
            <w:shd w:val="clear" w:color="auto" w:fill="DBE5F1"/>
          </w:tcPr>
          <w:p>
            <w:pPr>
              <w:jc w:val="right"/>
              <w:ind w:right="650"/>
              <w:spacing w:after="0"/>
              <w:rPr>
                <w:sz w:val="20"/>
                <w:szCs w:val="20"/>
                <w:color w:val="auto"/>
              </w:rPr>
            </w:pPr>
            <w:r>
              <w:rPr>
                <w:rFonts w:ascii="Arial" w:cs="Arial" w:eastAsia="Arial" w:hAnsi="Arial"/>
                <w:sz w:val="18"/>
                <w:szCs w:val="18"/>
                <w:color w:val="auto"/>
              </w:rPr>
              <w:t>135,716</w:t>
            </w:r>
          </w:p>
        </w:tc>
        <w:tc>
          <w:tcPr>
            <w:tcW w:w="308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8"/>
                <w:szCs w:val="18"/>
                <w:color w:val="auto"/>
              </w:rPr>
              <w:t>*</w:t>
            </w:r>
          </w:p>
        </w:tc>
      </w:tr>
      <w:tr>
        <w:trPr>
          <w:trHeight w:val="247"/>
        </w:trPr>
        <w:tc>
          <w:tcPr>
            <w:tcW w:w="4840" w:type="dxa"/>
            <w:vAlign w:val="bottom"/>
            <w:tcBorders>
              <w:right w:val="single" w:sz="8" w:color="95B3D7"/>
            </w:tcBorders>
          </w:tcPr>
          <w:p>
            <w:pPr>
              <w:ind w:left="80"/>
              <w:spacing w:after="0"/>
              <w:rPr>
                <w:sz w:val="20"/>
                <w:szCs w:val="20"/>
                <w:color w:val="auto"/>
              </w:rPr>
            </w:pPr>
            <w:r>
              <w:rPr>
                <w:rFonts w:ascii="Arial" w:cs="Arial" w:eastAsia="Arial" w:hAnsi="Arial"/>
                <w:sz w:val="18"/>
                <w:szCs w:val="18"/>
                <w:color w:val="auto"/>
              </w:rPr>
              <w:t>Yon Jorden</w:t>
            </w:r>
          </w:p>
        </w:tc>
        <w:tc>
          <w:tcPr>
            <w:tcW w:w="3320" w:type="dxa"/>
            <w:vAlign w:val="bottom"/>
            <w:tcBorders>
              <w:right w:val="single" w:sz="8" w:color="95B3D7"/>
            </w:tcBorders>
          </w:tcPr>
          <w:p>
            <w:pPr>
              <w:jc w:val="right"/>
              <w:ind w:right="650"/>
              <w:spacing w:after="0"/>
              <w:rPr>
                <w:sz w:val="20"/>
                <w:szCs w:val="20"/>
                <w:color w:val="auto"/>
              </w:rPr>
            </w:pPr>
            <w:r>
              <w:rPr>
                <w:rFonts w:ascii="Arial" w:cs="Arial" w:eastAsia="Arial" w:hAnsi="Arial"/>
                <w:sz w:val="18"/>
                <w:szCs w:val="18"/>
                <w:color w:val="auto"/>
              </w:rPr>
              <w:t>80,476</w:t>
            </w:r>
          </w:p>
        </w:tc>
        <w:tc>
          <w:tcPr>
            <w:tcW w:w="30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
        </w:trPr>
        <w:tc>
          <w:tcPr>
            <w:tcW w:w="4840" w:type="dxa"/>
            <w:vAlign w:val="bottom"/>
            <w:tcBorders>
              <w:right w:val="single" w:sz="8" w:color="95B3D7"/>
            </w:tcBorders>
          </w:tcPr>
          <w:p>
            <w:pPr>
              <w:spacing w:after="0"/>
              <w:rPr>
                <w:sz w:val="2"/>
                <w:szCs w:val="2"/>
                <w:color w:val="auto"/>
              </w:rPr>
            </w:pPr>
          </w:p>
        </w:tc>
        <w:tc>
          <w:tcPr>
            <w:tcW w:w="3320" w:type="dxa"/>
            <w:vAlign w:val="bottom"/>
            <w:tcBorders>
              <w:right w:val="single" w:sz="8" w:color="95B3D7"/>
            </w:tcBorders>
          </w:tcPr>
          <w:p>
            <w:pPr>
              <w:spacing w:after="0"/>
              <w:rPr>
                <w:sz w:val="2"/>
                <w:szCs w:val="2"/>
                <w:color w:val="auto"/>
              </w:rPr>
            </w:pPr>
          </w:p>
        </w:tc>
        <w:tc>
          <w:tcPr>
            <w:tcW w:w="3080" w:type="dxa"/>
            <w:vAlign w:val="bottom"/>
          </w:tcPr>
          <w:p>
            <w:pPr>
              <w:spacing w:after="0"/>
              <w:rPr>
                <w:sz w:val="2"/>
                <w:szCs w:val="2"/>
                <w:color w:val="auto"/>
              </w:rPr>
            </w:pPr>
          </w:p>
        </w:tc>
      </w:tr>
      <w:tr>
        <w:trPr>
          <w:trHeight w:val="270"/>
        </w:trPr>
        <w:tc>
          <w:tcPr>
            <w:tcW w:w="484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8"/>
                <w:szCs w:val="18"/>
                <w:color w:val="auto"/>
              </w:rPr>
              <w:t>Joseph Konowiecki</w:t>
            </w:r>
            <w:r>
              <w:rPr>
                <w:rFonts w:ascii="Arial" w:cs="Arial" w:eastAsia="Arial" w:hAnsi="Arial"/>
                <w:sz w:val="23"/>
                <w:szCs w:val="23"/>
                <w:color w:val="auto"/>
                <w:vertAlign w:val="superscript"/>
              </w:rPr>
              <w:t>(6)</w:t>
            </w:r>
          </w:p>
        </w:tc>
        <w:tc>
          <w:tcPr>
            <w:tcW w:w="3320" w:type="dxa"/>
            <w:vAlign w:val="bottom"/>
            <w:tcBorders>
              <w:right w:val="single" w:sz="8" w:color="95B3D7"/>
            </w:tcBorders>
            <w:shd w:val="clear" w:color="auto" w:fill="DBE5F1"/>
          </w:tcPr>
          <w:p>
            <w:pPr>
              <w:jc w:val="right"/>
              <w:ind w:right="650"/>
              <w:spacing w:after="0"/>
              <w:rPr>
                <w:sz w:val="20"/>
                <w:szCs w:val="20"/>
                <w:color w:val="auto"/>
              </w:rPr>
            </w:pPr>
            <w:r>
              <w:rPr>
                <w:rFonts w:ascii="Arial" w:cs="Arial" w:eastAsia="Arial" w:hAnsi="Arial"/>
                <w:sz w:val="18"/>
                <w:szCs w:val="18"/>
                <w:color w:val="auto"/>
              </w:rPr>
              <w:t>1,012,183</w:t>
            </w:r>
          </w:p>
        </w:tc>
        <w:tc>
          <w:tcPr>
            <w:tcW w:w="3080" w:type="dxa"/>
            <w:vAlign w:val="bottom"/>
            <w:shd w:val="clear" w:color="auto" w:fill="DBE5F1"/>
          </w:tcPr>
          <w:p>
            <w:pPr>
              <w:jc w:val="center"/>
              <w:spacing w:after="0"/>
              <w:rPr>
                <w:sz w:val="20"/>
                <w:szCs w:val="20"/>
                <w:color w:val="auto"/>
              </w:rPr>
            </w:pPr>
            <w:r>
              <w:rPr>
                <w:rFonts w:ascii="Arial" w:cs="Arial" w:eastAsia="Arial" w:hAnsi="Arial"/>
                <w:sz w:val="18"/>
                <w:szCs w:val="18"/>
                <w:color w:val="auto"/>
              </w:rPr>
              <w:t>*</w:t>
            </w:r>
          </w:p>
        </w:tc>
      </w:tr>
      <w:tr>
        <w:trPr>
          <w:trHeight w:val="247"/>
        </w:trPr>
        <w:tc>
          <w:tcPr>
            <w:tcW w:w="4840" w:type="dxa"/>
            <w:vAlign w:val="bottom"/>
            <w:tcBorders>
              <w:right w:val="single" w:sz="8" w:color="95B3D7"/>
            </w:tcBorders>
          </w:tcPr>
          <w:p>
            <w:pPr>
              <w:ind w:left="80"/>
              <w:spacing w:after="0"/>
              <w:rPr>
                <w:sz w:val="20"/>
                <w:szCs w:val="20"/>
                <w:color w:val="auto"/>
              </w:rPr>
            </w:pPr>
            <w:r>
              <w:rPr>
                <w:rFonts w:ascii="Arial" w:cs="Arial" w:eastAsia="Arial" w:hAnsi="Arial"/>
                <w:sz w:val="18"/>
                <w:szCs w:val="18"/>
                <w:color w:val="auto"/>
              </w:rPr>
              <w:t>Jacqueline Kosecoff</w:t>
            </w:r>
          </w:p>
        </w:tc>
        <w:tc>
          <w:tcPr>
            <w:tcW w:w="3320" w:type="dxa"/>
            <w:vAlign w:val="bottom"/>
            <w:tcBorders>
              <w:right w:val="single" w:sz="8" w:color="95B3D7"/>
            </w:tcBorders>
          </w:tcPr>
          <w:p>
            <w:pPr>
              <w:jc w:val="right"/>
              <w:ind w:right="650"/>
              <w:spacing w:after="0"/>
              <w:rPr>
                <w:sz w:val="20"/>
                <w:szCs w:val="20"/>
                <w:color w:val="auto"/>
              </w:rPr>
            </w:pPr>
            <w:r>
              <w:rPr>
                <w:rFonts w:ascii="Arial" w:cs="Arial" w:eastAsia="Arial" w:hAnsi="Arial"/>
                <w:sz w:val="18"/>
                <w:szCs w:val="18"/>
                <w:color w:val="auto"/>
              </w:rPr>
              <w:t>278,609</w:t>
            </w:r>
          </w:p>
        </w:tc>
        <w:tc>
          <w:tcPr>
            <w:tcW w:w="30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
        </w:trPr>
        <w:tc>
          <w:tcPr>
            <w:tcW w:w="4840" w:type="dxa"/>
            <w:vAlign w:val="bottom"/>
            <w:tcBorders>
              <w:right w:val="single" w:sz="8" w:color="95B3D7"/>
            </w:tcBorders>
          </w:tcPr>
          <w:p>
            <w:pPr>
              <w:spacing w:after="0"/>
              <w:rPr>
                <w:sz w:val="2"/>
                <w:szCs w:val="2"/>
                <w:color w:val="auto"/>
              </w:rPr>
            </w:pPr>
          </w:p>
        </w:tc>
        <w:tc>
          <w:tcPr>
            <w:tcW w:w="3320" w:type="dxa"/>
            <w:vAlign w:val="bottom"/>
            <w:tcBorders>
              <w:right w:val="single" w:sz="8" w:color="95B3D7"/>
            </w:tcBorders>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4840" w:type="dxa"/>
            <w:vAlign w:val="bottom"/>
            <w:tcBorders>
              <w:bottom w:val="single" w:sz="8" w:color="DBE5F1"/>
              <w:right w:val="single" w:sz="8" w:color="95B3D7"/>
            </w:tcBorders>
            <w:shd w:val="clear" w:color="auto" w:fill="DBE5F1"/>
          </w:tcPr>
          <w:p>
            <w:pPr>
              <w:ind w:left="80"/>
              <w:spacing w:after="0"/>
              <w:rPr>
                <w:sz w:val="20"/>
                <w:szCs w:val="20"/>
                <w:color w:val="auto"/>
              </w:rPr>
            </w:pPr>
            <w:r>
              <w:rPr>
                <w:rFonts w:ascii="Arial" w:cs="Arial" w:eastAsia="Arial" w:hAnsi="Arial"/>
                <w:sz w:val="18"/>
                <w:szCs w:val="18"/>
                <w:color w:val="auto"/>
              </w:rPr>
              <w:t>Margaret McCarthy</w:t>
            </w:r>
          </w:p>
        </w:tc>
        <w:tc>
          <w:tcPr>
            <w:tcW w:w="3320" w:type="dxa"/>
            <w:vAlign w:val="bottom"/>
            <w:tcBorders>
              <w:bottom w:val="single" w:sz="8" w:color="DBE5F1"/>
              <w:right w:val="single" w:sz="8" w:color="95B3D7"/>
            </w:tcBorders>
            <w:shd w:val="clear" w:color="auto" w:fill="DBE5F1"/>
          </w:tcPr>
          <w:p>
            <w:pPr>
              <w:jc w:val="right"/>
              <w:ind w:right="650"/>
              <w:spacing w:after="0"/>
              <w:rPr>
                <w:sz w:val="20"/>
                <w:szCs w:val="20"/>
                <w:color w:val="auto"/>
              </w:rPr>
            </w:pPr>
            <w:r>
              <w:rPr>
                <w:rFonts w:ascii="Arial" w:cs="Arial" w:eastAsia="Arial" w:hAnsi="Arial"/>
                <w:sz w:val="18"/>
                <w:szCs w:val="18"/>
                <w:color w:val="auto"/>
              </w:rPr>
              <w:t>116,620</w:t>
            </w:r>
          </w:p>
        </w:tc>
        <w:tc>
          <w:tcPr>
            <w:tcW w:w="308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8"/>
                <w:szCs w:val="18"/>
                <w:color w:val="auto"/>
              </w:rPr>
              <w:t>*</w:t>
            </w:r>
          </w:p>
        </w:tc>
      </w:tr>
      <w:tr>
        <w:trPr>
          <w:trHeight w:val="247"/>
        </w:trPr>
        <w:tc>
          <w:tcPr>
            <w:tcW w:w="4840" w:type="dxa"/>
            <w:vAlign w:val="bottom"/>
            <w:tcBorders>
              <w:right w:val="single" w:sz="8" w:color="95B3D7"/>
            </w:tcBorders>
          </w:tcPr>
          <w:p>
            <w:pPr>
              <w:ind w:left="80"/>
              <w:spacing w:after="0"/>
              <w:rPr>
                <w:sz w:val="20"/>
                <w:szCs w:val="20"/>
                <w:color w:val="auto"/>
              </w:rPr>
            </w:pPr>
            <w:r>
              <w:rPr>
                <w:rFonts w:ascii="Arial" w:cs="Arial" w:eastAsia="Arial" w:hAnsi="Arial"/>
                <w:sz w:val="18"/>
                <w:szCs w:val="18"/>
                <w:color w:val="auto"/>
              </w:rPr>
              <w:t>Mark McClellan</w:t>
            </w:r>
          </w:p>
        </w:tc>
        <w:tc>
          <w:tcPr>
            <w:tcW w:w="3320" w:type="dxa"/>
            <w:vAlign w:val="bottom"/>
            <w:tcBorders>
              <w:right w:val="single" w:sz="8" w:color="95B3D7"/>
            </w:tcBorders>
          </w:tcPr>
          <w:p>
            <w:pPr>
              <w:jc w:val="right"/>
              <w:ind w:right="650"/>
              <w:spacing w:after="0"/>
              <w:rPr>
                <w:sz w:val="20"/>
                <w:szCs w:val="20"/>
                <w:color w:val="auto"/>
              </w:rPr>
            </w:pPr>
            <w:r>
              <w:rPr>
                <w:rFonts w:ascii="Arial" w:cs="Arial" w:eastAsia="Arial" w:hAnsi="Arial"/>
                <w:sz w:val="18"/>
                <w:szCs w:val="18"/>
                <w:color w:val="auto"/>
              </w:rPr>
              <w:t>345,177</w:t>
            </w:r>
          </w:p>
        </w:tc>
        <w:tc>
          <w:tcPr>
            <w:tcW w:w="30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
        </w:trPr>
        <w:tc>
          <w:tcPr>
            <w:tcW w:w="4840" w:type="dxa"/>
            <w:vAlign w:val="bottom"/>
            <w:tcBorders>
              <w:right w:val="single" w:sz="8" w:color="95B3D7"/>
            </w:tcBorders>
          </w:tcPr>
          <w:p>
            <w:pPr>
              <w:spacing w:after="0"/>
              <w:rPr>
                <w:sz w:val="2"/>
                <w:szCs w:val="2"/>
                <w:color w:val="auto"/>
              </w:rPr>
            </w:pPr>
          </w:p>
        </w:tc>
        <w:tc>
          <w:tcPr>
            <w:tcW w:w="3320" w:type="dxa"/>
            <w:vAlign w:val="bottom"/>
            <w:tcBorders>
              <w:right w:val="single" w:sz="8" w:color="95B3D7"/>
            </w:tcBorders>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4840" w:type="dxa"/>
            <w:vAlign w:val="bottom"/>
            <w:tcBorders>
              <w:bottom w:val="single" w:sz="8" w:color="DBE5F1"/>
              <w:right w:val="single" w:sz="8" w:color="95B3D7"/>
            </w:tcBorders>
            <w:shd w:val="clear" w:color="auto" w:fill="DBE5F1"/>
          </w:tcPr>
          <w:p>
            <w:pPr>
              <w:ind w:left="80"/>
              <w:spacing w:after="0"/>
              <w:rPr>
                <w:sz w:val="20"/>
                <w:szCs w:val="20"/>
                <w:color w:val="auto"/>
              </w:rPr>
            </w:pPr>
            <w:r>
              <w:rPr>
                <w:rFonts w:ascii="Arial" w:cs="Arial" w:eastAsia="Arial" w:hAnsi="Arial"/>
                <w:sz w:val="18"/>
                <w:szCs w:val="18"/>
                <w:color w:val="auto"/>
              </w:rPr>
              <w:t>Robbert Vorhoff</w:t>
            </w:r>
          </w:p>
        </w:tc>
        <w:tc>
          <w:tcPr>
            <w:tcW w:w="3320" w:type="dxa"/>
            <w:vAlign w:val="bottom"/>
            <w:tcBorders>
              <w:bottom w:val="single" w:sz="8" w:color="DBE5F1"/>
              <w:right w:val="single" w:sz="8" w:color="95B3D7"/>
            </w:tcBorders>
            <w:shd w:val="clear" w:color="auto" w:fill="DBE5F1"/>
          </w:tcPr>
          <w:p>
            <w:pPr>
              <w:jc w:val="right"/>
              <w:ind w:right="650"/>
              <w:spacing w:after="0"/>
              <w:rPr>
                <w:sz w:val="20"/>
                <w:szCs w:val="20"/>
                <w:color w:val="auto"/>
              </w:rPr>
            </w:pPr>
            <w:r>
              <w:rPr>
                <w:rFonts w:ascii="Arial" w:cs="Arial" w:eastAsia="Arial" w:hAnsi="Arial"/>
                <w:sz w:val="18"/>
                <w:szCs w:val="18"/>
                <w:color w:val="auto"/>
              </w:rPr>
              <w:t>135,716</w:t>
            </w:r>
          </w:p>
        </w:tc>
        <w:tc>
          <w:tcPr>
            <w:tcW w:w="308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8"/>
                <w:szCs w:val="18"/>
                <w:color w:val="auto"/>
              </w:rPr>
              <w:t>*</w:t>
            </w:r>
          </w:p>
        </w:tc>
      </w:tr>
      <w:tr>
        <w:trPr>
          <w:trHeight w:val="175"/>
        </w:trPr>
        <w:tc>
          <w:tcPr>
            <w:tcW w:w="4840" w:type="dxa"/>
            <w:vAlign w:val="bottom"/>
            <w:tcBorders>
              <w:right w:val="single" w:sz="8" w:color="95B3D7"/>
            </w:tcBorders>
          </w:tcPr>
          <w:p>
            <w:pPr>
              <w:ind w:left="80"/>
              <w:spacing w:after="0" w:line="176" w:lineRule="exact"/>
              <w:rPr>
                <w:sz w:val="20"/>
                <w:szCs w:val="20"/>
                <w:color w:val="auto"/>
              </w:rPr>
            </w:pPr>
            <w:r>
              <w:rPr>
                <w:rFonts w:ascii="Arial" w:cs="Arial" w:eastAsia="Arial" w:hAnsi="Arial"/>
                <w:sz w:val="18"/>
                <w:szCs w:val="18"/>
                <w:b w:val="1"/>
                <w:bCs w:val="1"/>
                <w:color w:val="auto"/>
              </w:rPr>
              <w:t>Executive Officers and Directors as a Group (16</w:t>
            </w:r>
          </w:p>
        </w:tc>
        <w:tc>
          <w:tcPr>
            <w:tcW w:w="3320" w:type="dxa"/>
            <w:vAlign w:val="bottom"/>
            <w:tcBorders>
              <w:right w:val="single" w:sz="8" w:color="95B3D7"/>
            </w:tcBorders>
          </w:tcPr>
          <w:p>
            <w:pPr>
              <w:jc w:val="right"/>
              <w:ind w:right="650"/>
              <w:spacing w:after="0" w:line="176" w:lineRule="exact"/>
              <w:rPr>
                <w:sz w:val="20"/>
                <w:szCs w:val="20"/>
                <w:color w:val="auto"/>
              </w:rPr>
            </w:pPr>
            <w:r>
              <w:rPr>
                <w:rFonts w:ascii="Arial" w:cs="Arial" w:eastAsia="Arial" w:hAnsi="Arial"/>
                <w:sz w:val="18"/>
                <w:szCs w:val="18"/>
                <w:color w:val="auto"/>
              </w:rPr>
              <w:t>14,377,383</w:t>
            </w:r>
          </w:p>
        </w:tc>
        <w:tc>
          <w:tcPr>
            <w:tcW w:w="3080" w:type="dxa"/>
            <w:vAlign w:val="bottom"/>
          </w:tcPr>
          <w:p>
            <w:pPr>
              <w:jc w:val="center"/>
              <w:spacing w:after="0" w:line="176" w:lineRule="exact"/>
              <w:rPr>
                <w:sz w:val="20"/>
                <w:szCs w:val="20"/>
                <w:color w:val="auto"/>
              </w:rPr>
            </w:pPr>
            <w:r>
              <w:rPr>
                <w:rFonts w:ascii="Arial" w:cs="Arial" w:eastAsia="Arial" w:hAnsi="Arial"/>
                <w:sz w:val="18"/>
                <w:szCs w:val="18"/>
                <w:color w:val="auto"/>
                <w:w w:val="97"/>
              </w:rPr>
              <w:t>7.0%</w:t>
            </w:r>
          </w:p>
        </w:tc>
      </w:tr>
      <w:tr>
        <w:trPr>
          <w:trHeight w:val="243"/>
        </w:trPr>
        <w:tc>
          <w:tcPr>
            <w:tcW w:w="4840" w:type="dxa"/>
            <w:vAlign w:val="bottom"/>
            <w:tcBorders>
              <w:bottom w:val="single" w:sz="8" w:color="95B3D7"/>
              <w:right w:val="single" w:sz="8" w:color="95B3D7"/>
            </w:tcBorders>
          </w:tcPr>
          <w:p>
            <w:pPr>
              <w:ind w:left="80"/>
              <w:spacing w:after="0" w:line="243" w:lineRule="exact"/>
              <w:rPr>
                <w:sz w:val="20"/>
                <w:szCs w:val="20"/>
                <w:color w:val="auto"/>
              </w:rPr>
            </w:pPr>
            <w:r>
              <w:rPr>
                <w:rFonts w:ascii="Arial" w:cs="Arial" w:eastAsia="Arial" w:hAnsi="Arial"/>
                <w:sz w:val="18"/>
                <w:szCs w:val="18"/>
                <w:b w:val="1"/>
                <w:bCs w:val="1"/>
                <w:color w:val="auto"/>
              </w:rPr>
              <w:t>individuals)</w:t>
            </w:r>
            <w:r>
              <w:rPr>
                <w:rFonts w:ascii="Arial" w:cs="Arial" w:eastAsia="Arial" w:hAnsi="Arial"/>
                <w:sz w:val="23"/>
                <w:szCs w:val="23"/>
                <w:b w:val="1"/>
                <w:bCs w:val="1"/>
                <w:color w:val="auto"/>
                <w:vertAlign w:val="superscript"/>
              </w:rPr>
              <w:t>(7)</w:t>
            </w:r>
          </w:p>
        </w:tc>
        <w:tc>
          <w:tcPr>
            <w:tcW w:w="3320" w:type="dxa"/>
            <w:vAlign w:val="bottom"/>
            <w:tcBorders>
              <w:bottom w:val="single" w:sz="8" w:color="95B3D7"/>
              <w:right w:val="single" w:sz="8" w:color="95B3D7"/>
            </w:tcBorders>
          </w:tcPr>
          <w:p>
            <w:pPr>
              <w:spacing w:after="0"/>
              <w:rPr>
                <w:sz w:val="21"/>
                <w:szCs w:val="21"/>
                <w:color w:val="auto"/>
              </w:rPr>
            </w:pPr>
          </w:p>
        </w:tc>
        <w:tc>
          <w:tcPr>
            <w:tcW w:w="3080" w:type="dxa"/>
            <w:vAlign w:val="bottom"/>
            <w:tcBorders>
              <w:bottom w:val="single" w:sz="8" w:color="95B3D7"/>
            </w:tcBorders>
          </w:tcPr>
          <w:p>
            <w:pPr>
              <w:spacing w:after="0"/>
              <w:rPr>
                <w:sz w:val="21"/>
                <w:szCs w:val="21"/>
                <w:color w:val="auto"/>
              </w:rPr>
            </w:pPr>
          </w:p>
        </w:tc>
      </w:tr>
    </w:tbl>
    <w:p>
      <w:pPr>
        <w:spacing w:after="0" w:line="247" w:lineRule="exact"/>
        <w:rPr>
          <w:sz w:val="20"/>
          <w:szCs w:val="20"/>
          <w:color w:val="auto"/>
        </w:rPr>
      </w:pPr>
    </w:p>
    <w:p>
      <w:pPr>
        <w:ind w:left="660" w:right="160" w:hanging="328"/>
        <w:spacing w:after="0" w:line="269" w:lineRule="auto"/>
        <w:tabs>
          <w:tab w:leader="none" w:pos="647"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limited partners that share beneficial ownership of the shares held by General Atlantic (ALN HLTH), L.P. are the following General Atlantic investment funds (the “GA Funds”): General Atlantic Partners 95, L.P. (“GAP 95”), GAP Coinvestments III, LLC (“GAPCO III”), GAP Coinvestments IV, LLC (“GAPCO IV”), GAP Coinvestments V, LLC (“GAPCO V”), GAP Coinvestments CDA, L.P. (“GAPCO CDA”) and GAPCO GmbH &amp; Co. KG (“GAPCO GmbH”). The general partner of General Atlantic (ALN HLTH), L.P. is General Atlantic (SPV) GP, LLC (“GA SPV”). The general partner of GAP</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85" w:name="page86"/>
    <w:bookmarkEnd w:id="85"/>
    <w:p>
      <w:pPr>
        <w:spacing w:after="0" w:line="149" w:lineRule="exact"/>
        <w:rPr>
          <w:sz w:val="20"/>
          <w:szCs w:val="20"/>
          <w:color w:val="auto"/>
        </w:rPr>
      </w:pPr>
    </w:p>
    <w:p>
      <w:pPr>
        <w:ind w:left="660" w:right="20"/>
        <w:spacing w:after="0" w:line="264" w:lineRule="auto"/>
        <w:rPr>
          <w:sz w:val="20"/>
          <w:szCs w:val="20"/>
          <w:color w:val="auto"/>
        </w:rPr>
      </w:pPr>
      <w:r>
        <w:rPr>
          <w:rFonts w:ascii="Arial" w:cs="Arial" w:eastAsia="Arial" w:hAnsi="Arial"/>
          <w:sz w:val="14"/>
          <w:szCs w:val="14"/>
          <w:color w:val="auto"/>
        </w:rPr>
        <w:t>95 is ultimately controlled by General Atlantic, L.P. (“GA LP”). GA LP is the managing member of GAPCO III, GAPCO IV and GAPCO V, the general partner of GAPCO CDA and is the sole member of GA SPV. The general partner of GAPCO KG is GAPCO Management GmbH (“GAPCO Management”). GA LP, GA SPV, GAP 95, GAPCO III, GAPCO IV, GAPCO V, GAPCO CDA and GAPCO GmbH (collectively, the “GA Group”) are a “group” within the meaning of Rule 13d-5 of the Securities Exchange Act of 1934, as amended. GA LP and GAP (Bermuda) L.P. are ultimately controlled by the Partnership Committee, which, except as otherwise delegated to other committees and executive officers, determines strategic and major policy decisions and oversees and controls the Firm’s affairs and business. The Partnership Committee is comprised of senior Managing Directors of General Atlantic. The mailing address of the GA Group except GAPCO GmbH is c/o General Atlantic Service Company, L.P., 55 East 52nd Street, 33rd Floor, New York, NY 10055. The mailing address of GAPCO GmbH and GAPCO Management is c/o General Atlantic GmbH, Luitpoldblock, Amiraplatz 3, 80333 München, Germany.</w:t>
      </w:r>
    </w:p>
    <w:p>
      <w:pPr>
        <w:spacing w:after="0" w:line="122" w:lineRule="exact"/>
        <w:rPr>
          <w:sz w:val="20"/>
          <w:szCs w:val="20"/>
          <w:color w:val="auto"/>
        </w:rPr>
      </w:pPr>
    </w:p>
    <w:p>
      <w:pPr>
        <w:ind w:left="660" w:right="500" w:hanging="328"/>
        <w:spacing w:after="0" w:line="305" w:lineRule="auto"/>
        <w:tabs>
          <w:tab w:leader="none" w:pos="647" w:val="left"/>
        </w:tabs>
        <w:numPr>
          <w:ilvl w:val="0"/>
          <w:numId w:val="70"/>
        </w:numPr>
        <w:rPr>
          <w:rFonts w:ascii="Arial" w:cs="Arial" w:eastAsia="Arial" w:hAnsi="Arial"/>
          <w:sz w:val="14"/>
          <w:szCs w:val="14"/>
          <w:color w:val="auto"/>
        </w:rPr>
      </w:pPr>
      <w:r>
        <w:rPr>
          <w:rFonts w:ascii="Arial" w:cs="Arial" w:eastAsia="Arial" w:hAnsi="Arial"/>
          <w:sz w:val="14"/>
          <w:szCs w:val="14"/>
          <w:color w:val="auto"/>
        </w:rPr>
        <w:t>Based on information reported by FMR LLC on a Form 13F filed with the SEC on February 13, 2025. The address of FMR LLC is listed as 245 Summer Street, Boston, MA 02210.</w:t>
      </w:r>
    </w:p>
    <w:p>
      <w:pPr>
        <w:spacing w:after="0" w:line="90" w:lineRule="exact"/>
        <w:rPr>
          <w:rFonts w:ascii="Arial" w:cs="Arial" w:eastAsia="Arial" w:hAnsi="Arial"/>
          <w:sz w:val="14"/>
          <w:szCs w:val="14"/>
          <w:color w:val="auto"/>
        </w:rPr>
      </w:pPr>
    </w:p>
    <w:p>
      <w:pPr>
        <w:ind w:left="660" w:right="200" w:hanging="328"/>
        <w:spacing w:after="0" w:line="285" w:lineRule="auto"/>
        <w:tabs>
          <w:tab w:leader="none" w:pos="647"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Includes (i) 1,366,730 shares held by Mr. Kao and 2,093,100 shares held by JEK Trust, dated February 8, 2021, of which John Kao is the trustee; and (ii) 4,190,391 shares underlying outstanding stock options held by Mr. Kao that are currently exercisable.</w:t>
      </w:r>
    </w:p>
    <w:p>
      <w:pPr>
        <w:spacing w:after="0" w:line="103" w:lineRule="exact"/>
        <w:rPr>
          <w:rFonts w:ascii="Arial" w:cs="Arial" w:eastAsia="Arial" w:hAnsi="Arial"/>
          <w:sz w:val="14"/>
          <w:szCs w:val="14"/>
          <w:color w:val="auto"/>
        </w:rPr>
      </w:pPr>
    </w:p>
    <w:p>
      <w:pPr>
        <w:ind w:left="640" w:hanging="308"/>
        <w:spacing w:after="0"/>
        <w:tabs>
          <w:tab w:leader="none" w:pos="6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Includes 1,144,753 shares underlying outstanding stock options that are currently exercisable.</w:t>
      </w:r>
    </w:p>
    <w:p>
      <w:pPr>
        <w:spacing w:after="0" w:line="149" w:lineRule="exact"/>
        <w:rPr>
          <w:rFonts w:ascii="Arial" w:cs="Arial" w:eastAsia="Arial" w:hAnsi="Arial"/>
          <w:sz w:val="14"/>
          <w:szCs w:val="14"/>
          <w:color w:val="auto"/>
        </w:rPr>
      </w:pPr>
    </w:p>
    <w:p>
      <w:pPr>
        <w:ind w:left="660" w:right="120" w:hanging="328"/>
        <w:spacing w:after="0" w:line="276" w:lineRule="auto"/>
        <w:tabs>
          <w:tab w:leader="none" w:pos="647"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Includes (i) 457,081 shares of our common stock held by Mr. Freeman and 92,929 shares of our common stock held by FCO Holdings LLC (“FCO LLC”), a limited liability company, of which Mr. Freeman was the sole member and (ii) 837,994 shares underlying outstanding stock options held by Mr. Freeman that are currently exercisable. Mr. Freeman has transferred all of his FCO LLC membership interests to FCO Holdings Trust One, an irrevocable trust. Mr. Freeman may be deemed to have shared voting and/or investment power with respect to all of the shares of our common stock indirectly held by such trust.</w:t>
      </w:r>
    </w:p>
    <w:p>
      <w:pPr>
        <w:spacing w:after="0" w:line="96" w:lineRule="exact"/>
        <w:rPr>
          <w:rFonts w:ascii="Arial" w:cs="Arial" w:eastAsia="Arial" w:hAnsi="Arial"/>
          <w:sz w:val="14"/>
          <w:szCs w:val="14"/>
          <w:color w:val="auto"/>
        </w:rPr>
      </w:pPr>
    </w:p>
    <w:p>
      <w:pPr>
        <w:ind w:left="640" w:hanging="308"/>
        <w:spacing w:after="0"/>
        <w:tabs>
          <w:tab w:leader="none" w:pos="6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Includes 17,909 shares underlying outstanding stock options held by Mr. Konowiecki that are currently exercisable.</w:t>
      </w:r>
    </w:p>
    <w:p>
      <w:pPr>
        <w:spacing w:after="0" w:line="230" w:lineRule="exact"/>
        <w:rPr>
          <w:rFonts w:ascii="Arial" w:cs="Arial" w:eastAsia="Arial" w:hAnsi="Arial"/>
          <w:sz w:val="14"/>
          <w:szCs w:val="14"/>
          <w:color w:val="auto"/>
        </w:rPr>
      </w:pPr>
    </w:p>
    <w:p>
      <w:pPr>
        <w:ind w:left="640" w:hanging="308"/>
        <w:spacing w:after="0"/>
        <w:tabs>
          <w:tab w:leader="none" w:pos="6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Includes directors, nominees and current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Securities Authorized for Issuance under Equity Incentive Compensation Plans</w:t>
      </w:r>
    </w:p>
    <w:p>
      <w:pPr>
        <w:spacing w:after="0" w:line="225" w:lineRule="exact"/>
        <w:rPr>
          <w:sz w:val="20"/>
          <w:szCs w:val="20"/>
          <w:color w:val="auto"/>
        </w:rPr>
      </w:pPr>
    </w:p>
    <w:p>
      <w:pPr>
        <w:ind w:right="40" w:firstLine="401"/>
        <w:spacing w:after="0" w:line="287" w:lineRule="auto"/>
        <w:rPr>
          <w:sz w:val="20"/>
          <w:szCs w:val="20"/>
          <w:color w:val="auto"/>
        </w:rPr>
      </w:pPr>
      <w:r>
        <w:rPr>
          <w:rFonts w:ascii="Arial" w:cs="Arial" w:eastAsia="Arial" w:hAnsi="Arial"/>
          <w:sz w:val="18"/>
          <w:szCs w:val="18"/>
          <w:color w:val="auto"/>
        </w:rPr>
        <w:t>The following table provides information as of December 31, 2024, regarding shares of our common stock that may be issued under our equity compensation plans.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Plan Category</w:t>
      </w:r>
    </w:p>
    <w:p>
      <w:pPr>
        <w:spacing w:after="0" w:line="45" w:lineRule="exact"/>
        <w:rPr>
          <w:sz w:val="20"/>
          <w:szCs w:val="20"/>
          <w:color w:val="auto"/>
        </w:rPr>
      </w:pPr>
    </w:p>
    <w:p>
      <w:pPr>
        <w:ind w:left="200" w:right="300" w:hanging="179"/>
        <w:spacing w:after="0" w:line="256" w:lineRule="auto"/>
        <w:rPr>
          <w:sz w:val="20"/>
          <w:szCs w:val="20"/>
          <w:color w:val="auto"/>
        </w:rPr>
      </w:pPr>
      <w:r>
        <w:rPr>
          <w:rFonts w:ascii="Arial" w:cs="Arial" w:eastAsia="Arial" w:hAnsi="Arial"/>
          <w:sz w:val="18"/>
          <w:szCs w:val="18"/>
          <w:color w:val="auto"/>
        </w:rPr>
        <w:t>Equity compensation plans approved by stockholders</w:t>
      </w:r>
      <w:r>
        <w:rPr>
          <w:rFonts w:ascii="Arial" w:cs="Arial" w:eastAsia="Arial" w:hAnsi="Arial"/>
          <w:sz w:val="23"/>
          <w:szCs w:val="23"/>
          <w:color w:val="auto"/>
          <w:vertAlign w:val="superscript"/>
        </w:rPr>
        <w:t>(1)</w:t>
      </w:r>
    </w:p>
    <w:p>
      <w:pPr>
        <w:spacing w:after="0" w:line="1" w:lineRule="exact"/>
        <w:rPr>
          <w:sz w:val="20"/>
          <w:szCs w:val="20"/>
          <w:color w:val="auto"/>
        </w:rPr>
      </w:pPr>
    </w:p>
    <w:p>
      <w:pPr>
        <w:ind w:left="200" w:hanging="179"/>
        <w:spacing w:after="0" w:line="266" w:lineRule="auto"/>
        <w:rPr>
          <w:sz w:val="20"/>
          <w:szCs w:val="20"/>
          <w:color w:val="auto"/>
        </w:rPr>
      </w:pPr>
      <w:r>
        <w:rPr>
          <w:rFonts w:ascii="Arial" w:cs="Arial" w:eastAsia="Arial" w:hAnsi="Arial"/>
          <w:sz w:val="18"/>
          <w:szCs w:val="18"/>
          <w:color w:val="auto"/>
        </w:rPr>
        <w:t>Equity compensation plans not approved by stockholders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Number of securities to be</w:t>
            </w:r>
          </w:p>
        </w:tc>
        <w:tc>
          <w:tcPr>
            <w:tcW w:w="2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Weighted average exercise</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rPr>
              <w:t>Number of remaining</w:t>
            </w:r>
          </w:p>
        </w:tc>
        <w:tc>
          <w:tcPr>
            <w:tcW w:w="0" w:type="dxa"/>
            <w:vAlign w:val="bottom"/>
          </w:tcPr>
          <w:p>
            <w:pPr>
              <w:spacing w:after="0"/>
              <w:rPr>
                <w:sz w:val="1"/>
                <w:szCs w:val="1"/>
                <w:color w:val="auto"/>
              </w:rPr>
            </w:pPr>
          </w:p>
        </w:tc>
      </w:tr>
      <w:tr>
        <w:trPr>
          <w:trHeight w:val="149"/>
        </w:trPr>
        <w:tc>
          <w:tcPr>
            <w:tcW w:w="2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issued upon exercise of</w:t>
            </w:r>
          </w:p>
        </w:tc>
        <w:tc>
          <w:tcPr>
            <w:tcW w:w="2280" w:type="dxa"/>
            <w:vAlign w:val="bottom"/>
            <w:gridSpan w:val="2"/>
            <w:vMerge w:val="continue"/>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available securities for future</w:t>
            </w:r>
          </w:p>
        </w:tc>
        <w:tc>
          <w:tcPr>
            <w:tcW w:w="0" w:type="dxa"/>
            <w:vAlign w:val="bottom"/>
          </w:tcPr>
          <w:p>
            <w:pPr>
              <w:spacing w:after="0"/>
              <w:rPr>
                <w:sz w:val="1"/>
                <w:szCs w:val="1"/>
                <w:color w:val="auto"/>
              </w:rPr>
            </w:pPr>
          </w:p>
        </w:tc>
      </w:tr>
      <w:tr>
        <w:trPr>
          <w:trHeight w:val="139"/>
        </w:trPr>
        <w:tc>
          <w:tcPr>
            <w:tcW w:w="250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rPr>
              <w:t>outstanding options,</w:t>
            </w:r>
          </w:p>
        </w:tc>
        <w:tc>
          <w:tcPr>
            <w:tcW w:w="228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rPr>
              <w:t>price of outstanding options,</w:t>
            </w:r>
          </w:p>
        </w:tc>
        <w:tc>
          <w:tcPr>
            <w:tcW w:w="22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issuance under equity</w:t>
            </w:r>
          </w:p>
        </w:tc>
        <w:tc>
          <w:tcPr>
            <w:tcW w:w="0" w:type="dxa"/>
            <w:vAlign w:val="bottom"/>
          </w:tcPr>
          <w:p>
            <w:pPr>
              <w:spacing w:after="0"/>
              <w:rPr>
                <w:sz w:val="1"/>
                <w:szCs w:val="1"/>
                <w:color w:val="auto"/>
              </w:rPr>
            </w:pPr>
          </w:p>
        </w:tc>
      </w:tr>
      <w:tr>
        <w:trPr>
          <w:trHeight w:val="197"/>
        </w:trPr>
        <w:tc>
          <w:tcPr>
            <w:tcW w:w="2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warrants and rights</w:t>
            </w:r>
          </w:p>
        </w:tc>
        <w:tc>
          <w:tcPr>
            <w:tcW w:w="2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warrants and rights</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rPr>
              <w:t>compensation plans</w:t>
            </w:r>
          </w:p>
        </w:tc>
        <w:tc>
          <w:tcPr>
            <w:tcW w:w="0" w:type="dxa"/>
            <w:vAlign w:val="bottom"/>
          </w:tcPr>
          <w:p>
            <w:pPr>
              <w:spacing w:after="0"/>
              <w:rPr>
                <w:sz w:val="1"/>
                <w:szCs w:val="1"/>
                <w:color w:val="auto"/>
              </w:rPr>
            </w:pPr>
          </w:p>
        </w:tc>
      </w:tr>
      <w:tr>
        <w:trPr>
          <w:trHeight w:val="405"/>
        </w:trPr>
        <w:tc>
          <w:tcPr>
            <w:tcW w:w="2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7"/>
              </w:rPr>
              <w:t>29,445,087</w:t>
            </w:r>
            <w:r>
              <w:rPr>
                <w:rFonts w:ascii="Arial" w:cs="Arial" w:eastAsia="Arial" w:hAnsi="Arial"/>
                <w:sz w:val="23"/>
                <w:szCs w:val="23"/>
                <w:color w:val="auto"/>
                <w:w w:val="97"/>
                <w:vertAlign w:val="superscript"/>
              </w:rPr>
              <w:t>(2)</w:t>
            </w:r>
          </w:p>
        </w:tc>
        <w:tc>
          <w:tcPr>
            <w:tcW w:w="340" w:type="dxa"/>
            <w:vAlign w:val="bottom"/>
          </w:tcPr>
          <w:p>
            <w:pPr>
              <w:spacing w:after="0"/>
              <w:rPr>
                <w:sz w:val="24"/>
                <w:szCs w:val="24"/>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$16.96</w:t>
            </w:r>
            <w:r>
              <w:rPr>
                <w:rFonts w:ascii="Arial" w:cs="Arial" w:eastAsia="Arial" w:hAnsi="Arial"/>
                <w:sz w:val="21"/>
                <w:szCs w:val="21"/>
                <w:color w:val="auto"/>
                <w:w w:val="93"/>
                <w:vertAlign w:val="superscript"/>
              </w:rPr>
              <w:t>(3)</w:t>
            </w:r>
          </w:p>
        </w:tc>
        <w:tc>
          <w:tcPr>
            <w:tcW w:w="260" w:type="dxa"/>
            <w:vAlign w:val="bottom"/>
          </w:tcPr>
          <w:p>
            <w:pPr>
              <w:spacing w:after="0"/>
              <w:rPr>
                <w:sz w:val="24"/>
                <w:szCs w:val="24"/>
                <w:color w:val="auto"/>
              </w:rPr>
            </w:pPr>
          </w:p>
        </w:tc>
        <w:tc>
          <w:tcPr>
            <w:tcW w:w="22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5,424,308</w:t>
            </w:r>
          </w:p>
        </w:tc>
        <w:tc>
          <w:tcPr>
            <w:tcW w:w="0" w:type="dxa"/>
            <w:vAlign w:val="bottom"/>
          </w:tcPr>
          <w:p>
            <w:pPr>
              <w:spacing w:after="0"/>
              <w:rPr>
                <w:sz w:val="1"/>
                <w:szCs w:val="1"/>
                <w:color w:val="auto"/>
              </w:rPr>
            </w:pPr>
          </w:p>
        </w:tc>
      </w:tr>
      <w:tr>
        <w:trPr>
          <w:trHeight w:val="552"/>
        </w:trPr>
        <w:tc>
          <w:tcPr>
            <w:tcW w:w="25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N/A</w:t>
            </w:r>
          </w:p>
        </w:tc>
        <w:tc>
          <w:tcPr>
            <w:tcW w:w="228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N/A</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-619125</wp:posOffset>
            </wp:positionV>
            <wp:extent cx="7132320" cy="3086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720"/>
            <w:col w:w="7000"/>
          </w:cols>
          <w:pgMar w:left="320" w:top="1440" w:right="339" w:bottom="1440" w:gutter="0" w:footer="0" w:header="0"/>
          <w:type w:val="continuous"/>
        </w:sectPr>
      </w:pPr>
    </w:p>
    <w:p>
      <w:pPr>
        <w:spacing w:after="0" w:line="84" w:lineRule="exact"/>
        <w:rPr>
          <w:sz w:val="20"/>
          <w:szCs w:val="20"/>
          <w:color w:val="auto"/>
        </w:rPr>
      </w:pPr>
    </w:p>
    <w:p>
      <w:pPr>
        <w:ind w:left="660" w:right="20" w:hanging="328"/>
        <w:spacing w:after="0" w:line="266" w:lineRule="auto"/>
        <w:tabs>
          <w:tab w:leader="none" w:pos="647" w:val="left"/>
        </w:tabs>
        <w:numPr>
          <w:ilvl w:val="0"/>
          <w:numId w:val="71"/>
        </w:numPr>
        <w:rPr>
          <w:rFonts w:ascii="Arial" w:cs="Arial" w:eastAsia="Arial" w:hAnsi="Arial"/>
          <w:sz w:val="14"/>
          <w:szCs w:val="14"/>
          <w:color w:val="auto"/>
        </w:rPr>
      </w:pPr>
      <w:r>
        <w:rPr>
          <w:rFonts w:ascii="Arial" w:cs="Arial" w:eastAsia="Arial" w:hAnsi="Arial"/>
          <w:sz w:val="14"/>
          <w:szCs w:val="14"/>
          <w:color w:val="auto"/>
        </w:rPr>
        <w:t>As December 31, 2024, the maximum number of shares available for issuance under the 2021 Plan was not permitted to exceed 37,918,181 shares. The number of shares available for issuance under the 2021 Plan will be increased on January 1 of each calendar year, beginning in 2022 and ending in and including 2031, by an amount equal to the lesser of (a) 4% of the shares of common stock outstanding on the final day of the immediately preceding calendar year and (b) a smaller number of shares determined by our Board. 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the 2021 Plan will be added back to the shares of common stock available for issuance under such plan.</w:t>
      </w:r>
    </w:p>
    <w:p>
      <w:pPr>
        <w:spacing w:after="0" w:line="157" w:lineRule="exact"/>
        <w:rPr>
          <w:rFonts w:ascii="Arial" w:cs="Arial" w:eastAsia="Arial" w:hAnsi="Arial"/>
          <w:sz w:val="14"/>
          <w:szCs w:val="14"/>
          <w:color w:val="auto"/>
        </w:rPr>
      </w:pPr>
    </w:p>
    <w:p>
      <w:pPr>
        <w:ind w:left="660" w:right="80" w:hanging="328"/>
        <w:spacing w:after="0" w:line="285" w:lineRule="auto"/>
        <w:tabs>
          <w:tab w:leader="none" w:pos="647"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8,675,907 shares issuable upon the exercise of outstanding stock options, 13,402,982 shares issuable upon the vesting of outstanding RSUs and 7,366,198 shares issuable upon the vesting of outstanding PSUs.</w:t>
      </w:r>
    </w:p>
    <w:p>
      <w:pPr>
        <w:spacing w:after="0" w:line="130" w:lineRule="exact"/>
        <w:rPr>
          <w:rFonts w:ascii="Arial" w:cs="Arial" w:eastAsia="Arial" w:hAnsi="Arial"/>
          <w:sz w:val="14"/>
          <w:szCs w:val="14"/>
          <w:color w:val="auto"/>
        </w:rPr>
      </w:pPr>
    </w:p>
    <w:p>
      <w:pPr>
        <w:ind w:left="640" w:hanging="308"/>
        <w:spacing w:after="0"/>
        <w:tabs>
          <w:tab w:leader="none" w:pos="6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As RSUs and PSUs do not have any exercise price, such units are not included in the weighted average exercise price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PROPOSAL 2 – RATIFICATION OF APPOINTMENT OF INDEPENDENT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PUBLIC ACCOUNTING FIRM</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Audit Committee has appointed Deloitte &amp; Touche LLP as our independent registered public accounting firm for the year ending December 31, 2025. Services provided to the Company and its subsidiaries by Deloitte &amp; Touche LLP for the year ended December 31, 2024 are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Fees and Services</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following table summarizes the aggregate fees for professional audit services and other services rendered by Deloitte &amp; Touche LLP for the years ended December 31, 2024 and 2023:</w:t>
      </w:r>
    </w:p>
    <w:p>
      <w:pPr>
        <w:spacing w:after="0" w:line="163" w:lineRule="exact"/>
        <w:rPr>
          <w:sz w:val="20"/>
          <w:szCs w:val="20"/>
          <w:color w:val="auto"/>
        </w:rPr>
      </w:pPr>
    </w:p>
    <w:tbl>
      <w:tblPr>
        <w:tblLayout w:type="fixed"/>
        <w:tblInd w:w="2240" w:type="dxa"/>
        <w:tblCellMar>
          <w:top w:w="0" w:type="dxa"/>
          <w:left w:w="0" w:type="dxa"/>
          <w:bottom w:w="0" w:type="dxa"/>
          <w:right w:w="0" w:type="dxa"/>
        </w:tblCellMar>
      </w:tblPr>
      <w:tr>
        <w:trPr>
          <w:trHeight w:val="197"/>
        </w:trPr>
        <w:tc>
          <w:tcPr>
            <w:tcW w:w="3560" w:type="dxa"/>
            <w:vAlign w:val="bottom"/>
            <w:tcBorders>
              <w:bottom w:val="single" w:sz="8" w:color="DBE5F1"/>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DBE5F1"/>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r>
      <w:tr>
        <w:trPr>
          <w:trHeight w:val="224"/>
        </w:trPr>
        <w:tc>
          <w:tcPr>
            <w:tcW w:w="3560" w:type="dxa"/>
            <w:vAlign w:val="bottom"/>
            <w:shd w:val="clear" w:color="auto" w:fill="DBE5F1"/>
          </w:tcPr>
          <w:p>
            <w:pPr>
              <w:spacing w:after="0"/>
              <w:rPr>
                <w:sz w:val="20"/>
                <w:szCs w:val="20"/>
                <w:color w:val="auto"/>
              </w:rPr>
            </w:pPr>
            <w:r>
              <w:rPr>
                <w:rFonts w:ascii="Arial" w:cs="Arial" w:eastAsia="Arial" w:hAnsi="Arial"/>
                <w:sz w:val="16"/>
                <w:szCs w:val="16"/>
                <w:color w:val="auto"/>
              </w:rPr>
              <w:t>Audit Fees</w:t>
            </w:r>
          </w:p>
        </w:tc>
        <w:tc>
          <w:tcPr>
            <w:tcW w:w="320" w:type="dxa"/>
            <w:vAlign w:val="bottom"/>
            <w:shd w:val="clear" w:color="auto" w:fill="DBE5F1"/>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BE5F1"/>
          </w:tcPr>
          <w:p>
            <w:pPr>
              <w:jc w:val="right"/>
              <w:ind w:right="1"/>
              <w:spacing w:after="0"/>
              <w:rPr>
                <w:sz w:val="20"/>
                <w:szCs w:val="20"/>
                <w:color w:val="auto"/>
              </w:rPr>
            </w:pPr>
            <w:r>
              <w:rPr>
                <w:rFonts w:ascii="Arial" w:cs="Arial" w:eastAsia="Arial" w:hAnsi="Arial"/>
                <w:sz w:val="16"/>
                <w:szCs w:val="16"/>
                <w:color w:val="auto"/>
              </w:rPr>
              <w:t>2,203,750</w:t>
            </w:r>
          </w:p>
        </w:tc>
        <w:tc>
          <w:tcPr>
            <w:tcW w:w="360" w:type="dxa"/>
            <w:vAlign w:val="bottom"/>
            <w:shd w:val="clear" w:color="auto" w:fill="DBE5F1"/>
          </w:tcPr>
          <w:p>
            <w:pPr>
              <w:spacing w:after="0"/>
              <w:rPr>
                <w:sz w:val="19"/>
                <w:szCs w:val="19"/>
                <w:color w:val="auto"/>
              </w:rPr>
            </w:pPr>
          </w:p>
        </w:tc>
        <w:tc>
          <w:tcPr>
            <w:tcW w:w="300" w:type="dxa"/>
            <w:vAlign w:val="bottom"/>
            <w:shd w:val="clear" w:color="auto" w:fill="DBE5F1"/>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DBE5F1"/>
          </w:tcPr>
          <w:p>
            <w:pPr>
              <w:jc w:val="right"/>
              <w:ind w:right="1"/>
              <w:spacing w:after="0"/>
              <w:rPr>
                <w:sz w:val="20"/>
                <w:szCs w:val="20"/>
                <w:color w:val="auto"/>
              </w:rPr>
            </w:pPr>
            <w:r>
              <w:rPr>
                <w:rFonts w:ascii="Arial" w:cs="Arial" w:eastAsia="Arial" w:hAnsi="Arial"/>
                <w:sz w:val="16"/>
                <w:szCs w:val="16"/>
                <w:color w:val="auto"/>
              </w:rPr>
              <w:t>1,873,407</w:t>
            </w:r>
          </w:p>
        </w:tc>
      </w:tr>
      <w:tr>
        <w:trPr>
          <w:trHeight w:val="235"/>
        </w:trPr>
        <w:tc>
          <w:tcPr>
            <w:tcW w:w="3560" w:type="dxa"/>
            <w:vAlign w:val="bottom"/>
          </w:tcPr>
          <w:p>
            <w:pPr>
              <w:spacing w:after="0"/>
              <w:rPr>
                <w:sz w:val="20"/>
                <w:szCs w:val="20"/>
                <w:color w:val="auto"/>
              </w:rPr>
            </w:pPr>
            <w:r>
              <w:rPr>
                <w:rFonts w:ascii="Arial" w:cs="Arial" w:eastAsia="Arial" w:hAnsi="Arial"/>
                <w:sz w:val="16"/>
                <w:szCs w:val="16"/>
                <w:color w:val="auto"/>
              </w:rPr>
              <w:t>Audit-Related Fees</w:t>
            </w:r>
          </w:p>
        </w:tc>
        <w:tc>
          <w:tcPr>
            <w:tcW w:w="320" w:type="dxa"/>
            <w:vAlign w:val="bottom"/>
          </w:tcPr>
          <w:p>
            <w:pPr>
              <w:spacing w:after="0"/>
              <w:rPr>
                <w:sz w:val="20"/>
                <w:szCs w:val="20"/>
                <w:color w:val="auto"/>
              </w:rPr>
            </w:pPr>
          </w:p>
        </w:tc>
        <w:tc>
          <w:tcPr>
            <w:tcW w:w="14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23,725</w:t>
            </w:r>
          </w:p>
        </w:tc>
      </w:tr>
      <w:tr>
        <w:trPr>
          <w:trHeight w:val="251"/>
        </w:trPr>
        <w:tc>
          <w:tcPr>
            <w:tcW w:w="3560" w:type="dxa"/>
            <w:vAlign w:val="bottom"/>
            <w:shd w:val="clear" w:color="auto" w:fill="DBE5F1"/>
          </w:tcPr>
          <w:p>
            <w:pPr>
              <w:spacing w:after="0"/>
              <w:rPr>
                <w:sz w:val="20"/>
                <w:szCs w:val="20"/>
                <w:color w:val="auto"/>
              </w:rPr>
            </w:pPr>
            <w:r>
              <w:rPr>
                <w:rFonts w:ascii="Arial" w:cs="Arial" w:eastAsia="Arial" w:hAnsi="Arial"/>
                <w:sz w:val="16"/>
                <w:szCs w:val="16"/>
                <w:color w:val="auto"/>
              </w:rPr>
              <w:t>Tax Fees</w:t>
            </w:r>
          </w:p>
        </w:tc>
        <w:tc>
          <w:tcPr>
            <w:tcW w:w="320" w:type="dxa"/>
            <w:vAlign w:val="bottom"/>
            <w:shd w:val="clear" w:color="auto" w:fill="DBE5F1"/>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BE5F1"/>
          </w:tcPr>
          <w:p>
            <w:pPr>
              <w:jc w:val="right"/>
              <w:ind w:right="1"/>
              <w:spacing w:after="0"/>
              <w:rPr>
                <w:sz w:val="20"/>
                <w:szCs w:val="20"/>
                <w:color w:val="auto"/>
              </w:rPr>
            </w:pPr>
            <w:r>
              <w:rPr>
                <w:rFonts w:ascii="Arial" w:cs="Arial" w:eastAsia="Arial" w:hAnsi="Arial"/>
                <w:sz w:val="16"/>
                <w:szCs w:val="16"/>
                <w:color w:val="auto"/>
              </w:rPr>
              <w:t>126,237</w:t>
            </w:r>
          </w:p>
        </w:tc>
        <w:tc>
          <w:tcPr>
            <w:tcW w:w="360" w:type="dxa"/>
            <w:vAlign w:val="bottom"/>
            <w:shd w:val="clear" w:color="auto" w:fill="DBE5F1"/>
          </w:tcPr>
          <w:p>
            <w:pPr>
              <w:spacing w:after="0"/>
              <w:rPr>
                <w:sz w:val="21"/>
                <w:szCs w:val="21"/>
                <w:color w:val="auto"/>
              </w:rPr>
            </w:pPr>
          </w:p>
        </w:tc>
        <w:tc>
          <w:tcPr>
            <w:tcW w:w="300" w:type="dxa"/>
            <w:vAlign w:val="bottom"/>
            <w:shd w:val="clear" w:color="auto" w:fill="DBE5F1"/>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DBE5F1"/>
          </w:tcPr>
          <w:p>
            <w:pPr>
              <w:jc w:val="right"/>
              <w:ind w:right="1"/>
              <w:spacing w:after="0"/>
              <w:rPr>
                <w:sz w:val="20"/>
                <w:szCs w:val="20"/>
                <w:color w:val="auto"/>
              </w:rPr>
            </w:pPr>
            <w:r>
              <w:rPr>
                <w:rFonts w:ascii="Arial" w:cs="Arial" w:eastAsia="Arial" w:hAnsi="Arial"/>
                <w:sz w:val="16"/>
                <w:szCs w:val="16"/>
                <w:color w:val="auto"/>
              </w:rPr>
              <w:t>99,700</w:t>
            </w:r>
          </w:p>
        </w:tc>
      </w:tr>
      <w:tr>
        <w:trPr>
          <w:trHeight w:val="227"/>
        </w:trPr>
        <w:tc>
          <w:tcPr>
            <w:tcW w:w="3560" w:type="dxa"/>
            <w:vAlign w:val="bottom"/>
          </w:tcPr>
          <w:p>
            <w:pPr>
              <w:spacing w:after="0"/>
              <w:rPr>
                <w:sz w:val="20"/>
                <w:szCs w:val="20"/>
                <w:color w:val="auto"/>
              </w:rPr>
            </w:pPr>
            <w:r>
              <w:rPr>
                <w:rFonts w:ascii="Arial" w:cs="Arial" w:eastAsia="Arial" w:hAnsi="Arial"/>
                <w:sz w:val="16"/>
                <w:szCs w:val="16"/>
                <w:color w:val="auto"/>
              </w:rPr>
              <w:t>All Other Fees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99,400</w:t>
            </w:r>
          </w:p>
        </w:tc>
        <w:tc>
          <w:tcPr>
            <w:tcW w:w="36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50,000</w:t>
            </w:r>
          </w:p>
        </w:tc>
      </w:tr>
    </w:tbl>
    <w:p>
      <w:pPr>
        <w:spacing w:after="0" w:line="30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Audit Fees listed above were billed in connection with the audit of our annual consolidated financial statements in our Annual Report on Form 10-K, the reviews of our interim consolidated financial statements included in our quarterly reports on Forms 10-Q and other professional services related to our statutory audits and registration statements. Audit-Related Fees include services performed in connection with the registration statements, such as due diligence procedures and issuance of comfort letters in relation to our registration statement and internal controls advisory services. Tax Fees include fees for tax compliance, tax advice and tax planning services. All Other Fees include consulting services.</w:t>
      </w:r>
    </w:p>
    <w:p>
      <w:pPr>
        <w:spacing w:after="0" w:line="18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considering the nature of the services provided by the independent auditor, the Audit Committee determined that such services are compatible with the provision of independent audit services. The Audit Committee discussed these services with the independent auditor and Company management to determine that they are permitted under the rules and regulations concerning auditor independence promulgated by the SEC to implement the Sarbanes-Oxley Act of 2002, as well as the American Institute of Certified Public Accountants.</w:t>
      </w:r>
    </w:p>
    <w:p>
      <w:pPr>
        <w:spacing w:after="0" w:line="1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Audit Committee has adopted a policy that requires advance approval of all audit services as well as non-audit services, regardless of cost, to the extent required by the Exchange Act and the Sarbanes-Oxley Act of 2002. Unless the specific service has been previously pre-approved with respect to that year, the Audit Committee must approve the permitted service before the independent auditor is engaged to perform it. The Audit Committee may consider the amount or range of estimated fees as a factor in determining whether a proposed service would impair the registered public accounting firm’s independence. Requests or applications to provide services that require separate approval by the Audit Committee will be submitted to the Audit Committee by both the independent registered public accounting firm and the Company’s Chief Financial Officer or the Chief Accounting Officer and must include a joint statement as to whether, in their view, the request or application is consistent with the SEC’s and the PCAOB’s rules on registered public accounting firm independence.</w:t>
      </w:r>
    </w:p>
    <w:p>
      <w:pPr>
        <w:spacing w:after="0" w:line="18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Audit Committee may delegate pre-approval authority to one or more of its members. The member or members to whom such authority is delegated shall report any pre-approval decisions to the Audit Committee at its next scheduled meeting. The Audit Committee does not delegate to management the Audit Committee’s responsibilities to pre-approve services performed by the independent registered public accounting firm.</w:t>
      </w:r>
    </w:p>
    <w:p>
      <w:pPr>
        <w:spacing w:after="0" w:line="17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Audit Committee approved all services provided by Deloitte &amp; Touche LLP. Representatives of Deloitte &amp; Touche LLP are expected to be present at the Annual Meeting. They will have the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7" w:name="page88"/>
    <w:bookmarkEnd w:id="87"/>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to make a statement if they desire to do so, and we expect that they will be available to respond to questions.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Vote Required and Recommendation of the Board of Directors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Ratification of the appointment of Deloitte &amp; Touche LLP requires affirmative votes from the holders of a majority of the voting power present in person or represented by proxy at the Annual Meeting and entitled to vote on such matter. Shares not present at the meeting have no effect on the approval of this matter, while abstentions will count as votes “against.” Pursuant to current NYSE regulations, brokers and other NYSE member organizations have discretionary voting power over the approval of this matter. Therefore, there will be no “broker non-votes” on this proposal, and if you hold shares through a broker or other NYSE member organization and do not provide voting instructions to your broker or other NYSE member organization, your shares may be voted “FOR” this proposal. If you timely submit a signed proxy card but fail to specify instructions to vote with respect to this proposal, the proxy card will be voted “FOR” this proposal.</w:t>
      </w:r>
    </w:p>
    <w:p>
      <w:pPr>
        <w:spacing w:after="0" w:line="18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If our stockholders do not ratify the appointment of Deloitte &amp; Touche LLP, the Audit Committee will reconsider the appointment and may affirm the appointment or retain another independent accounting firm. Even if the appointment is ratified, the Audit Committee may in the future replace Deloitte &amp; Touche LLP as our independent registered public accounting firm if it is determined that it is in the Company’s best interests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40575" cy="5060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0575" cy="506095"/>
                    </a:xfrm>
                    <a:prstGeom prst="rect">
                      <a:avLst/>
                    </a:prstGeom>
                    <a:noFill/>
                  </pic:spPr>
                </pic:pic>
              </a:graphicData>
            </a:graphic>
          </wp:anchor>
        </w:drawing>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AUDIT COMMITTEE AND BOARD OF DIRECTORS RECOMMEND THAT</w:t>
      </w:r>
    </w:p>
    <w:p>
      <w:pPr>
        <w:jc w:val="center"/>
        <w:ind w:right="-39"/>
        <w:spacing w:after="0" w:line="219" w:lineRule="auto"/>
        <w:rPr>
          <w:sz w:val="20"/>
          <w:szCs w:val="20"/>
          <w:color w:val="auto"/>
        </w:rPr>
      </w:pPr>
      <w:r>
        <w:rPr>
          <w:rFonts w:ascii="Arial" w:cs="Arial" w:eastAsia="Arial" w:hAnsi="Arial"/>
          <w:sz w:val="18"/>
          <w:szCs w:val="18"/>
          <w:b w:val="1"/>
          <w:bCs w:val="1"/>
          <w:color w:val="auto"/>
        </w:rPr>
        <w:t>YOU VOTE “FOR” THE RATIFICATION OF THE APPOINTMENT OF</w:t>
      </w:r>
    </w:p>
    <w:p>
      <w:pPr>
        <w:ind w:left="2480"/>
        <w:spacing w:after="0" w:line="203" w:lineRule="auto"/>
        <w:rPr>
          <w:sz w:val="20"/>
          <w:szCs w:val="20"/>
          <w:color w:val="auto"/>
        </w:rPr>
      </w:pPr>
      <w:r>
        <w:rPr>
          <w:rFonts w:ascii="Arial" w:cs="Arial" w:eastAsia="Arial" w:hAnsi="Arial"/>
          <w:sz w:val="18"/>
          <w:szCs w:val="18"/>
          <w:b w:val="1"/>
          <w:bCs w:val="1"/>
          <w:color w:val="auto"/>
        </w:rPr>
        <w:t>DELOITTE &amp; TOUCHE LLP AS THE INDEPENDENT REGISTERED PUBLIC</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ACCOUNTING FIRM FOR THE YEAR ENDING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8" w:name="page89"/>
    <w:bookmarkEnd w:id="88"/>
    <w:p>
      <w:pPr>
        <w:jc w:val="center"/>
        <w:ind w:right="-59"/>
        <w:spacing w:after="0"/>
        <w:rPr>
          <w:sz w:val="20"/>
          <w:szCs w:val="20"/>
          <w:color w:val="auto"/>
        </w:rPr>
      </w:pPr>
      <w:r>
        <w:rPr>
          <w:rFonts w:ascii="Arial" w:cs="Arial" w:eastAsia="Arial" w:hAnsi="Arial"/>
          <w:sz w:val="18"/>
          <w:szCs w:val="18"/>
          <w:b w:val="1"/>
          <w:bCs w:val="1"/>
          <w:color w:val="auto"/>
        </w:rPr>
        <w:t>AUDIT COMMITTEE REPORT</w:t>
      </w:r>
    </w:p>
    <w:p>
      <w:pPr>
        <w:spacing w:after="0" w:line="225"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The Audit Committee oversees our financial reporting process on behalf of the Board. The Audit Committee is composed of three independent directors and met five times in 2024. Our Audit Committee operates under a written charter, which is posted on our website at https://ir.alignmenthealth.com/. The Audit Committee’s oversight responsibilities include monitoring the integrity of our financial statements (including reviewing financial information, the systems of internal controls, the audit process, and the independence and performance of our internal audit function and independent registered public accounting firm) and our compliance with legal and regulatory requirements. However, management has the primary responsibility for the financial statements and the reporting process, including its assessment of our systems of internal controls over financial reporting. In fulfilling its oversight responsibilities, the Audit Committee:</w:t>
      </w:r>
    </w:p>
    <w:p>
      <w:pPr>
        <w:spacing w:after="0" w:line="142" w:lineRule="exact"/>
        <w:rPr>
          <w:sz w:val="20"/>
          <w:szCs w:val="20"/>
          <w:color w:val="auto"/>
        </w:rPr>
      </w:pPr>
    </w:p>
    <w:p>
      <w:pPr>
        <w:ind w:left="1300" w:right="3860" w:hanging="644"/>
        <w:spacing w:after="0" w:line="286" w:lineRule="auto"/>
        <w:tabs>
          <w:tab w:leader="none" w:pos="1295"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reviewed and discussed the audited financial statements for the year ended December 31, 2024 with our management;</w:t>
      </w:r>
    </w:p>
    <w:p>
      <w:pPr>
        <w:spacing w:after="0" w:line="126" w:lineRule="exact"/>
        <w:rPr>
          <w:rFonts w:ascii="Times New Roman" w:cs="Times New Roman" w:eastAsia="Times New Roman" w:hAnsi="Times New Roman"/>
          <w:sz w:val="18"/>
          <w:szCs w:val="18"/>
          <w:color w:val="auto"/>
        </w:rPr>
      </w:pPr>
    </w:p>
    <w:p>
      <w:pPr>
        <w:ind w:left="1300" w:right="400" w:hanging="644"/>
        <w:spacing w:after="0" w:line="286" w:lineRule="auto"/>
        <w:tabs>
          <w:tab w:leader="none" w:pos="1295"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discussed with our independent auditors, Deloitte &amp; Touche LLP, the matters required to be discussed by the applicable requirements of the Public Company Accounting Oversight Board (“PCAOB”) and the SEC; and</w:t>
      </w:r>
    </w:p>
    <w:p>
      <w:pPr>
        <w:spacing w:after="0" w:line="153" w:lineRule="exact"/>
        <w:rPr>
          <w:rFonts w:ascii="Times New Roman" w:cs="Times New Roman" w:eastAsia="Times New Roman" w:hAnsi="Times New Roman"/>
          <w:sz w:val="18"/>
          <w:szCs w:val="18"/>
          <w:color w:val="auto"/>
        </w:rPr>
      </w:pPr>
    </w:p>
    <w:p>
      <w:pPr>
        <w:jc w:val="both"/>
        <w:ind w:left="1300" w:right="280" w:hanging="644"/>
        <w:spacing w:after="0" w:line="268" w:lineRule="auto"/>
        <w:tabs>
          <w:tab w:leader="none" w:pos="1295"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color w:val="auto"/>
        </w:rPr>
        <w:t>received the written disclosures and the letter from the Deloitte &amp; Touche LLP required by applicable requirements of the PCAOB regarding Deloitte &amp; Touche LLP’s communications with the audit committee concerning independence, and has discussed with Deloitte &amp; Touche LLP the independence of Deloitte &amp; Touche LLP.</w:t>
      </w:r>
    </w:p>
    <w:p>
      <w:pPr>
        <w:spacing w:after="0" w:line="170"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Based on the Audit Committee’s review and discussions noted above, the Audit Committee recommended to the Board that the audited financial statements be included in our Annual Report on Form 10-K for the year ended December 31, 2024.</w:t>
      </w:r>
    </w:p>
    <w:p>
      <w:pPr>
        <w:spacing w:after="0" w:line="15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Respectfully submitted by:</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Yon Jorden</w:t>
      </w:r>
    </w:p>
    <w:p>
      <w:pPr>
        <w:ind w:left="4540"/>
        <w:spacing w:after="0" w:line="234" w:lineRule="auto"/>
        <w:rPr>
          <w:sz w:val="20"/>
          <w:szCs w:val="20"/>
          <w:color w:val="auto"/>
        </w:rPr>
      </w:pPr>
      <w:r>
        <w:rPr>
          <w:rFonts w:ascii="Arial" w:cs="Arial" w:eastAsia="Arial" w:hAnsi="Arial"/>
          <w:sz w:val="18"/>
          <w:szCs w:val="18"/>
          <w:color w:val="auto"/>
        </w:rPr>
        <w:t>Jody Bilney</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Margaret McCarthy</w:t>
      </w:r>
    </w:p>
    <w:p>
      <w:pPr>
        <w:spacing w:after="0" w:line="200" w:lineRule="exact"/>
        <w:rPr>
          <w:sz w:val="20"/>
          <w:szCs w:val="20"/>
          <w:color w:val="auto"/>
        </w:rPr>
      </w:pPr>
    </w:p>
    <w:p>
      <w:pPr>
        <w:spacing w:after="0" w:line="279" w:lineRule="exact"/>
        <w:rPr>
          <w:sz w:val="20"/>
          <w:szCs w:val="20"/>
          <w:color w:val="auto"/>
        </w:rPr>
      </w:pPr>
    </w:p>
    <w:p>
      <w:pPr>
        <w:spacing w:after="0" w:line="267" w:lineRule="auto"/>
        <w:rPr>
          <w:sz w:val="20"/>
          <w:szCs w:val="20"/>
          <w:color w:val="auto"/>
        </w:rPr>
      </w:pPr>
      <w:r>
        <w:rPr>
          <w:rFonts w:ascii="Arial" w:cs="Arial" w:eastAsia="Arial" w:hAnsi="Arial"/>
          <w:sz w:val="18"/>
          <w:szCs w:val="18"/>
          <w:i w:val="1"/>
          <w:iCs w:val="1"/>
          <w:color w:val="auto"/>
        </w:rPr>
        <w:t>This report shall not be deemed soliciting material or to be filed with the SEC, or incorporated by reference in any document so filed, whether made before or after the date hereof, except to the extent we specifically request that it be treated as soliciting material or it is specifically incorporated by reference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89" w:name="page90"/>
    <w:bookmarkEnd w:id="89"/>
    <w:p>
      <w:pPr>
        <w:jc w:val="center"/>
        <w:ind w:right="-59"/>
        <w:spacing w:after="0"/>
        <w:rPr>
          <w:sz w:val="20"/>
          <w:szCs w:val="20"/>
          <w:color w:val="auto"/>
        </w:rPr>
      </w:pPr>
      <w:r>
        <w:rPr>
          <w:rFonts w:ascii="Arial" w:cs="Arial" w:eastAsia="Arial" w:hAnsi="Arial"/>
          <w:sz w:val="18"/>
          <w:szCs w:val="18"/>
          <w:b w:val="1"/>
          <w:bCs w:val="1"/>
          <w:color w:val="auto"/>
        </w:rPr>
        <w:t>PROPOSAL 3 – NON-BINDING ADVISORY VOTE ON EXECUTIVE COMPENSATION</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accordance with the requirements of Section 14A of the Exchange Act and the related rules of the SEC and as a matter of good corporate governance, we are providing our stockholders with a non-binding, advisory vote on the compensation paid to the Company’s NEOs. This stockholder vote, commonly known as a “say-on-pay” vote, provides stockholders with the opportunity to endorse or not endorse the Company’s fiscal year 2024 executive compensation programs and policies and the compensation paid to our NEOs as discussed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of this proxy statement beginning on page 40, the accompanying compensation tables and the related narrative disclosure. Our next say-on-pay vote will take place at our 2026 annual meeting of stockholders.</w:t>
      </w:r>
    </w:p>
    <w:p>
      <w:pPr>
        <w:spacing w:after="0" w:line="14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summarizes our executive compensation program. Our Board and the Compensation Committee have implemented an executive compensation program that is intended to align the interests of our executive officers with those of our stockholders. The majority of our NEOs’ compensation is in the form of variable, at-risk compensation. Our cash annual incentive plan utilizes metrics that are tied to strategic goals that we believe will enhance stockholder value.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are asking our stockholders to vote on the following resolution:</w:t>
      </w:r>
    </w:p>
    <w:p>
      <w:pPr>
        <w:spacing w:after="0" w:line="185" w:lineRule="exact"/>
        <w:rPr>
          <w:sz w:val="20"/>
          <w:szCs w:val="20"/>
          <w:color w:val="auto"/>
        </w:rPr>
      </w:pPr>
    </w:p>
    <w:p>
      <w:pPr>
        <w:jc w:val="both"/>
        <w:ind w:left="580" w:right="600" w:firstLine="405"/>
        <w:spacing w:after="0" w:line="268" w:lineRule="auto"/>
        <w:rPr>
          <w:sz w:val="20"/>
          <w:szCs w:val="20"/>
          <w:color w:val="auto"/>
        </w:rPr>
      </w:pPr>
      <w:r>
        <w:rPr>
          <w:rFonts w:ascii="Arial" w:cs="Arial" w:eastAsia="Arial" w:hAnsi="Arial"/>
          <w:sz w:val="18"/>
          <w:szCs w:val="18"/>
          <w:color w:val="auto"/>
        </w:rPr>
        <w:t>RESOLVED, that the stockholders of Alignment Healthcare, Inc. approve, on an advisory basis, the compensation of the Company’s Named Executive Officers, as described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the accompanying compensation tables and the related narrative disclosure, set forth in the Company’s proxy statement.</w:t>
      </w:r>
    </w:p>
    <w:p>
      <w:pPr>
        <w:spacing w:after="0" w:line="13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Although this advisory vote on the compensation of our NEOs is non-binding, the Board of Directors and the Compensation Committee will carefully review and consider the outcome of the vote when considering future compensation arrangements our NEOs.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Vote Required and Recommendation of the Board of Directors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Approval of the non-binding, advisory resolution approving the compensation of our NEOs requires affirmative votes from the holders of a majority of the voting power present in person or represented by proxy at the Annual Meeting and entitled to vote on such matter. Shares not present at the meeting and broker-non votes have no effect on the approval of this matter, while abstentions will count as votes “against.” Pursuant to current NYSE regulations, brokers and other NYSE member organizations do not have discretionary voting power over the approval of the non-binding, advisory vote on the compensation of the Company’s Named Executive Officers. Therefore, if you hold shares through a broker or other NYSE member organization and do not provide voting instructions to your, broker or other NYSE member organization, your shares will not be entitled to vote with respect to this proposal. If you timely submit a signed proxy card but fail to specify instructions to vote with respect to this proposal, the proxy card will be voted “FOR” the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40575" cy="3943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0575" cy="394335"/>
                    </a:xfrm>
                    <a:prstGeom prst="rect">
                      <a:avLst/>
                    </a:prstGeom>
                    <a:noFill/>
                  </pic:spPr>
                </pic:pic>
              </a:graphicData>
            </a:graphic>
          </wp:anchor>
        </w:drawing>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RECOMMENDS THAT YOU VOTE “FOR”</w:t>
      </w:r>
    </w:p>
    <w:p>
      <w:pPr>
        <w:jc w:val="center"/>
        <w:ind w:right="-79"/>
        <w:spacing w:after="0" w:line="219" w:lineRule="auto"/>
        <w:rPr>
          <w:sz w:val="20"/>
          <w:szCs w:val="20"/>
          <w:color w:val="auto"/>
        </w:rPr>
      </w:pPr>
      <w:r>
        <w:rPr>
          <w:rFonts w:ascii="Arial" w:cs="Arial" w:eastAsia="Arial" w:hAnsi="Arial"/>
          <w:sz w:val="18"/>
          <w:szCs w:val="18"/>
          <w:b w:val="1"/>
          <w:bCs w:val="1"/>
          <w:color w:val="auto"/>
        </w:rPr>
        <w:t>THE NON-BINDING, ADVISORY RESOLUTION</w:t>
      </w:r>
    </w:p>
    <w:p>
      <w:pPr>
        <w:jc w:val="center"/>
        <w:ind w:right="-79"/>
        <w:spacing w:after="0"/>
        <w:rPr>
          <w:sz w:val="20"/>
          <w:szCs w:val="20"/>
          <w:color w:val="auto"/>
        </w:rPr>
      </w:pPr>
      <w:r>
        <w:rPr>
          <w:rFonts w:ascii="Arial" w:cs="Arial" w:eastAsia="Arial" w:hAnsi="Arial"/>
          <w:sz w:val="18"/>
          <w:szCs w:val="18"/>
          <w:b w:val="1"/>
          <w:bCs w:val="1"/>
          <w:color w:val="auto"/>
        </w:rPr>
        <w:t>APPROVING THE COMPENSATION OF OUR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90" w:name="page91"/>
    <w:bookmarkEnd w:id="90"/>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ind w:right="160" w:firstLine="405"/>
        <w:spacing w:after="0" w:line="291" w:lineRule="auto"/>
        <w:rPr>
          <w:sz w:val="20"/>
          <w:szCs w:val="20"/>
          <w:color w:val="auto"/>
        </w:rPr>
      </w:pPr>
      <w:r>
        <w:rPr>
          <w:rFonts w:ascii="Arial" w:cs="Arial" w:eastAsia="Arial" w:hAnsi="Arial"/>
          <w:sz w:val="17"/>
          <w:szCs w:val="17"/>
          <w:color w:val="auto"/>
        </w:rPr>
        <w:t>We are not aware of any matters other than those discussed in the foregoing materials contemplated for action at the Annual Meeting. The persons named in the proxy card will vote in accordance with the recommendation of the Board on any other matters incidental to the conduct of, or otherwise properly brought before, the Annual Meeting. The proxy card contains discretionary authority for them to do so.</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AVAILABILITY OF SEC FILINGS, CODE OF CONDUCT AND COMMITTEE CHARTERS</w:t>
      </w:r>
    </w:p>
    <w:p>
      <w:pPr>
        <w:spacing w:after="0" w:line="22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Copies of our reports on Forms 10-K, 10-Q, 8-K and all amendments to those reports filed with the SEC, and our Code of Conduct and the charters of the Audit Committee, Compensation Committee and NCGCC, and any reports of beneficial ownership of our common stock filed by executive officers, directors and beneficial owners of more than 10% of our outstanding common stock are posted on and may be obtained the investor relations section of our corporate website, https://ir.alignmenthealth.com/, or may be requested in print, at no cost, by mail at Alignment Healthcare, Inc., 1100 W. Town &amp; Country Rd., Suite 1600, Orange, CA 92868, Attention: Investor Relations.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TO FIND ADDITIONAL INFORMATION</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are subject to the informational requirements of the Exchange Act and in accordance therewith, we file annual, quarterly and current reports and other information with the SEC. Such information may be accessed electronically by means of the SEC’s home page on the Internet at www.sec.gov. We are an electronic filer, and the SEC maintains an Internet site at www.sec.gov that contains the reports and other information we file electronically. The investor relations section of our corporate website may be found at https://ir.alignmenthealth.com/. We make available free of charge, through our website, our annual report on Form 10-K, as amended, quarterly reports on Form 10-Q and current reports on Form 8-K, and all amendments to those reports as soon as reasonably practicable after such material is electronically filed with or furnished to the SEC. The information provided on or accessible through our website is not part of this proxy statement.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COST OF PROXY SOLICITATION</w:t>
      </w:r>
    </w:p>
    <w:p>
      <w:pPr>
        <w:spacing w:after="0" w:line="225"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Alignment is paying the expenses of this solicitation. Alignment will also make arrangements with brokerage houses and other custodians, nominees and fiduciaries to forward proxy materials to beneficial owners of common stock held as of the Record Date by such persons, and Alignment will reimburse such persons for their reasonable out-of-pocket expenses in forwarding such proxy materials. In addition to solicitation by mail, directors, officers and other employees of Alignment may solicit proxies in person or by telephone, facsimile, email or other similar means. Such individuals will not receive any additional compensation for these solicitation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91" w:name="page92"/>
    <w:bookmarkEnd w:id="91"/>
    <w:p>
      <w:pPr>
        <w:ind w:left="3520"/>
        <w:spacing w:after="0"/>
        <w:rPr>
          <w:sz w:val="20"/>
          <w:szCs w:val="20"/>
          <w:color w:val="auto"/>
        </w:rPr>
      </w:pPr>
      <w:r>
        <w:rPr>
          <w:rFonts w:ascii="Arial" w:cs="Arial" w:eastAsia="Arial" w:hAnsi="Arial"/>
          <w:sz w:val="18"/>
          <w:szCs w:val="18"/>
          <w:b w:val="1"/>
          <w:bCs w:val="1"/>
          <w:color w:val="auto"/>
        </w:rPr>
        <w:t>APPENDIX – 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Adjusted Gross Profit and Medical Benefits Ratio, or MBR</w:t>
      </w:r>
    </w:p>
    <w:p>
      <w:pPr>
        <w:spacing w:after="0" w:line="18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Adjusted gross profit is a non-GAAP financial measure that we define as loss from operations before depreciation and amortization, clinical equity-based compensation expense, clinical restructuring costs and selling, general, and administrative expenses. Adjusted gross profit is a key measure used by our management and Board of Directors to understand and evaluate our operating performance and trends before the impact of our consolidated selling, general and administrative expenses.</w:t>
      </w:r>
    </w:p>
    <w:p>
      <w:pPr>
        <w:spacing w:after="0" w:line="149"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Adjusted gross profit should not be considered in isolation of, or as an alternative to, measures prepared in accordance with GAAP. There are a number of limitations related to the use of adjusted gross profit in lieu of loss from operations, which is the most directly comparable financial measure calculated in accordance with GAAP.</w:t>
      </w:r>
    </w:p>
    <w:p>
      <w:pPr>
        <w:spacing w:after="0" w:line="13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Our use of the term adjusted gross profit may vary from the use of similar terms by other companies in our industry and accordingly may not be comparable to similarly titled measures used by other companies.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Adjusted gross profit is reconciled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5"/>
        </w:trPr>
        <w:tc>
          <w:tcPr>
            <w:tcW w:w="7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4"/>
        </w:trPr>
        <w:tc>
          <w:tcPr>
            <w:tcW w:w="7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thousands)</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780" w:type="dxa"/>
            <w:vAlign w:val="bottom"/>
            <w:shd w:val="clear" w:color="auto" w:fill="DBE5F1"/>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DBE5F1"/>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BE5F1"/>
          </w:tcPr>
          <w:p>
            <w:pPr>
              <w:jc w:val="right"/>
              <w:ind w:right="33"/>
              <w:spacing w:after="0"/>
              <w:rPr>
                <w:sz w:val="20"/>
                <w:szCs w:val="20"/>
                <w:color w:val="auto"/>
              </w:rPr>
            </w:pPr>
            <w:r>
              <w:rPr>
                <w:rFonts w:ascii="Arial" w:cs="Arial" w:eastAsia="Arial" w:hAnsi="Arial"/>
                <w:sz w:val="18"/>
                <w:szCs w:val="18"/>
                <w:color w:val="auto"/>
              </w:rPr>
              <w:t>(101,555)</w:t>
            </w:r>
          </w:p>
        </w:tc>
        <w:tc>
          <w:tcPr>
            <w:tcW w:w="140" w:type="dxa"/>
            <w:vAlign w:val="bottom"/>
            <w:shd w:val="clear" w:color="auto" w:fill="DBE5F1"/>
          </w:tcPr>
          <w:p>
            <w:pPr>
              <w:spacing w:after="0"/>
              <w:rPr>
                <w:sz w:val="20"/>
                <w:szCs w:val="20"/>
                <w:color w:val="auto"/>
              </w:rPr>
            </w:pPr>
          </w:p>
        </w:tc>
        <w:tc>
          <w:tcPr>
            <w:tcW w:w="400" w:type="dxa"/>
            <w:vAlign w:val="bottom"/>
            <w:shd w:val="clear" w:color="auto" w:fill="DBE5F1"/>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E5F1"/>
          </w:tcPr>
          <w:p>
            <w:pPr>
              <w:jc w:val="right"/>
              <w:ind w:right="52"/>
              <w:spacing w:after="0"/>
              <w:rPr>
                <w:sz w:val="20"/>
                <w:szCs w:val="20"/>
                <w:color w:val="auto"/>
              </w:rPr>
            </w:pPr>
            <w:r>
              <w:rPr>
                <w:rFonts w:ascii="Arial" w:cs="Arial" w:eastAsia="Arial" w:hAnsi="Arial"/>
                <w:sz w:val="18"/>
                <w:szCs w:val="18"/>
                <w:color w:val="auto"/>
              </w:rPr>
              <w:t>(127,817)</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Add back:</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DBE5F1"/>
          </w:tcPr>
          <w:p>
            <w:pPr>
              <w:ind w:left="200"/>
              <w:spacing w:after="0"/>
              <w:rPr>
                <w:sz w:val="20"/>
                <w:szCs w:val="20"/>
                <w:color w:val="auto"/>
              </w:rPr>
            </w:pPr>
            <w:r>
              <w:rPr>
                <w:rFonts w:ascii="Arial" w:cs="Arial" w:eastAsia="Arial" w:hAnsi="Arial"/>
                <w:sz w:val="18"/>
                <w:szCs w:val="18"/>
                <w:color w:val="auto"/>
              </w:rPr>
              <w:t>Equity-based compensation (medical expenses)</w:t>
            </w:r>
          </w:p>
        </w:tc>
        <w:tc>
          <w:tcPr>
            <w:tcW w:w="380" w:type="dxa"/>
            <w:vAlign w:val="bottom"/>
            <w:shd w:val="clear" w:color="auto" w:fill="DBE5F1"/>
          </w:tcPr>
          <w:p>
            <w:pPr>
              <w:spacing w:after="0"/>
              <w:rPr>
                <w:sz w:val="19"/>
                <w:szCs w:val="19"/>
                <w:color w:val="auto"/>
              </w:rPr>
            </w:pPr>
          </w:p>
        </w:tc>
        <w:tc>
          <w:tcPr>
            <w:tcW w:w="1260" w:type="dxa"/>
            <w:vAlign w:val="bottom"/>
            <w:shd w:val="clear" w:color="auto" w:fill="DBE5F1"/>
          </w:tcPr>
          <w:p>
            <w:pPr>
              <w:jc w:val="right"/>
              <w:ind w:right="33"/>
              <w:spacing w:after="0"/>
              <w:rPr>
                <w:sz w:val="20"/>
                <w:szCs w:val="20"/>
                <w:color w:val="auto"/>
              </w:rPr>
            </w:pPr>
            <w:r>
              <w:rPr>
                <w:rFonts w:ascii="Arial" w:cs="Arial" w:eastAsia="Arial" w:hAnsi="Arial"/>
                <w:sz w:val="18"/>
                <w:szCs w:val="18"/>
                <w:color w:val="auto"/>
              </w:rPr>
              <w:t>4,930</w:t>
            </w:r>
          </w:p>
        </w:tc>
        <w:tc>
          <w:tcPr>
            <w:tcW w:w="140" w:type="dxa"/>
            <w:vAlign w:val="bottom"/>
            <w:shd w:val="clear" w:color="auto" w:fill="DBE5F1"/>
          </w:tcPr>
          <w:p>
            <w:pPr>
              <w:spacing w:after="0"/>
              <w:rPr>
                <w:sz w:val="19"/>
                <w:szCs w:val="19"/>
                <w:color w:val="auto"/>
              </w:rPr>
            </w:pPr>
          </w:p>
        </w:tc>
        <w:tc>
          <w:tcPr>
            <w:tcW w:w="400" w:type="dxa"/>
            <w:vAlign w:val="bottom"/>
            <w:shd w:val="clear" w:color="auto" w:fill="DBE5F1"/>
          </w:tcPr>
          <w:p>
            <w:pPr>
              <w:spacing w:after="0"/>
              <w:rPr>
                <w:sz w:val="19"/>
                <w:szCs w:val="19"/>
                <w:color w:val="auto"/>
              </w:rPr>
            </w:pPr>
          </w:p>
        </w:tc>
        <w:tc>
          <w:tcPr>
            <w:tcW w:w="1260" w:type="dxa"/>
            <w:vAlign w:val="bottom"/>
            <w:shd w:val="clear" w:color="auto" w:fill="DBE5F1"/>
          </w:tcPr>
          <w:p>
            <w:pPr>
              <w:jc w:val="right"/>
              <w:ind w:right="52"/>
              <w:spacing w:after="0"/>
              <w:rPr>
                <w:sz w:val="20"/>
                <w:szCs w:val="20"/>
                <w:color w:val="auto"/>
              </w:rPr>
            </w:pPr>
            <w:r>
              <w:rPr>
                <w:rFonts w:ascii="Arial" w:cs="Arial" w:eastAsia="Arial" w:hAnsi="Arial"/>
                <w:sz w:val="18"/>
                <w:szCs w:val="18"/>
                <w:color w:val="auto"/>
              </w:rPr>
              <w:t>7,541</w:t>
            </w:r>
          </w:p>
        </w:tc>
        <w:tc>
          <w:tcPr>
            <w:tcW w:w="0" w:type="dxa"/>
            <w:vAlign w:val="bottom"/>
          </w:tcPr>
          <w:p>
            <w:pPr>
              <w:spacing w:after="0"/>
              <w:rPr>
                <w:sz w:val="1"/>
                <w:szCs w:val="1"/>
                <w:color w:val="auto"/>
              </w:rPr>
            </w:pPr>
          </w:p>
        </w:tc>
      </w:tr>
      <w:tr>
        <w:trPr>
          <w:trHeight w:val="230"/>
        </w:trPr>
        <w:tc>
          <w:tcPr>
            <w:tcW w:w="7780" w:type="dxa"/>
            <w:vAlign w:val="bottom"/>
          </w:tcPr>
          <w:p>
            <w:pPr>
              <w:ind w:left="200"/>
              <w:spacing w:after="0"/>
              <w:rPr>
                <w:sz w:val="20"/>
                <w:szCs w:val="20"/>
                <w:color w:val="auto"/>
              </w:rPr>
            </w:pPr>
            <w:r>
              <w:rPr>
                <w:rFonts w:ascii="Arial" w:cs="Arial" w:eastAsia="Arial" w:hAnsi="Arial"/>
                <w:sz w:val="18"/>
                <w:szCs w:val="18"/>
                <w:color w:val="auto"/>
              </w:rPr>
              <w:t>Depreciation (medical expenses)</w:t>
            </w:r>
          </w:p>
        </w:tc>
        <w:tc>
          <w:tcPr>
            <w:tcW w:w="38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7780" w:type="dxa"/>
            <w:vAlign w:val="bottom"/>
            <w:shd w:val="clear" w:color="auto" w:fill="DBE5F1"/>
          </w:tcPr>
          <w:p>
            <w:pPr>
              <w:ind w:left="200"/>
              <w:spacing w:after="0"/>
              <w:rPr>
                <w:sz w:val="20"/>
                <w:szCs w:val="20"/>
                <w:color w:val="auto"/>
              </w:rPr>
            </w:pPr>
            <w:r>
              <w:rPr>
                <w:rFonts w:ascii="Arial" w:cs="Arial" w:eastAsia="Arial" w:hAnsi="Arial"/>
                <w:sz w:val="18"/>
                <w:szCs w:val="18"/>
                <w:color w:val="auto"/>
              </w:rPr>
              <w:t>Restructuring costs (medical expenses)</w:t>
            </w:r>
          </w:p>
        </w:tc>
        <w:tc>
          <w:tcPr>
            <w:tcW w:w="380" w:type="dxa"/>
            <w:vAlign w:val="bottom"/>
            <w:shd w:val="clear" w:color="auto" w:fill="DBE5F1"/>
          </w:tcPr>
          <w:p>
            <w:pPr>
              <w:spacing w:after="0"/>
              <w:rPr>
                <w:sz w:val="19"/>
                <w:szCs w:val="19"/>
                <w:color w:val="auto"/>
              </w:rPr>
            </w:pPr>
          </w:p>
        </w:tc>
        <w:tc>
          <w:tcPr>
            <w:tcW w:w="1260" w:type="dxa"/>
            <w:vAlign w:val="bottom"/>
            <w:shd w:val="clear" w:color="auto" w:fill="DBE5F1"/>
          </w:tcPr>
          <w:p>
            <w:pPr>
              <w:jc w:val="right"/>
              <w:ind w:right="33"/>
              <w:spacing w:after="0"/>
              <w:rPr>
                <w:sz w:val="20"/>
                <w:szCs w:val="20"/>
                <w:color w:val="auto"/>
              </w:rPr>
            </w:pPr>
            <w:r>
              <w:rPr>
                <w:rFonts w:ascii="Arial" w:cs="Arial" w:eastAsia="Arial" w:hAnsi="Arial"/>
                <w:sz w:val="18"/>
                <w:szCs w:val="18"/>
                <w:color w:val="auto"/>
              </w:rPr>
              <w:t>796</w:t>
            </w:r>
          </w:p>
        </w:tc>
        <w:tc>
          <w:tcPr>
            <w:tcW w:w="140" w:type="dxa"/>
            <w:vAlign w:val="bottom"/>
            <w:shd w:val="clear" w:color="auto" w:fill="DBE5F1"/>
          </w:tcPr>
          <w:p>
            <w:pPr>
              <w:spacing w:after="0"/>
              <w:rPr>
                <w:sz w:val="19"/>
                <w:szCs w:val="19"/>
                <w:color w:val="auto"/>
              </w:rPr>
            </w:pPr>
          </w:p>
        </w:tc>
        <w:tc>
          <w:tcPr>
            <w:tcW w:w="400" w:type="dxa"/>
            <w:vAlign w:val="bottom"/>
            <w:shd w:val="clear" w:color="auto" w:fill="DBE5F1"/>
          </w:tcPr>
          <w:p>
            <w:pPr>
              <w:spacing w:after="0"/>
              <w:rPr>
                <w:sz w:val="19"/>
                <w:szCs w:val="19"/>
                <w:color w:val="auto"/>
              </w:rPr>
            </w:pPr>
          </w:p>
        </w:tc>
        <w:tc>
          <w:tcPr>
            <w:tcW w:w="1260" w:type="dxa"/>
            <w:vAlign w:val="bottom"/>
            <w:shd w:val="clear" w:color="auto" w:fill="DBE5F1"/>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26,872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21,414</w:t>
            </w:r>
          </w:p>
        </w:tc>
        <w:tc>
          <w:tcPr>
            <w:tcW w:w="0" w:type="dxa"/>
            <w:vAlign w:val="bottom"/>
          </w:tcPr>
          <w:p>
            <w:pPr>
              <w:spacing w:after="0"/>
              <w:rPr>
                <w:sz w:val="1"/>
                <w:szCs w:val="1"/>
                <w:color w:val="auto"/>
              </w:rPr>
            </w:pPr>
          </w:p>
        </w:tc>
      </w:tr>
      <w:tr>
        <w:trPr>
          <w:trHeight w:val="230"/>
        </w:trPr>
        <w:tc>
          <w:tcPr>
            <w:tcW w:w="7780" w:type="dxa"/>
            <w:vAlign w:val="bottom"/>
            <w:shd w:val="clear" w:color="auto" w:fill="DBE5F1"/>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auto"/>
            </w:tcBorders>
            <w:shd w:val="clear" w:color="auto" w:fill="DBE5F1"/>
          </w:tcPr>
          <w:p>
            <w:pPr>
              <w:spacing w:after="0"/>
              <w:rPr>
                <w:sz w:val="19"/>
                <w:szCs w:val="19"/>
                <w:color w:val="auto"/>
              </w:rPr>
            </w:pPr>
          </w:p>
        </w:tc>
        <w:tc>
          <w:tcPr>
            <w:tcW w:w="1260" w:type="dxa"/>
            <w:vAlign w:val="bottom"/>
            <w:tcBorders>
              <w:bottom w:val="single" w:sz="8" w:color="auto"/>
            </w:tcBorders>
            <w:shd w:val="clear" w:color="auto" w:fill="DBE5F1"/>
          </w:tcPr>
          <w:p>
            <w:pPr>
              <w:jc w:val="right"/>
              <w:ind w:right="33"/>
              <w:spacing w:after="0"/>
              <w:rPr>
                <w:sz w:val="20"/>
                <w:szCs w:val="20"/>
                <w:color w:val="auto"/>
              </w:rPr>
            </w:pPr>
            <w:r>
              <w:rPr>
                <w:rFonts w:ascii="Arial" w:cs="Arial" w:eastAsia="Arial" w:hAnsi="Arial"/>
                <w:sz w:val="18"/>
                <w:szCs w:val="18"/>
                <w:color w:val="auto"/>
              </w:rPr>
              <w:t>371,374</w:t>
            </w:r>
          </w:p>
        </w:tc>
        <w:tc>
          <w:tcPr>
            <w:tcW w:w="140" w:type="dxa"/>
            <w:vAlign w:val="bottom"/>
            <w:shd w:val="clear" w:color="auto" w:fill="DBE5F1"/>
          </w:tcPr>
          <w:p>
            <w:pPr>
              <w:spacing w:after="0"/>
              <w:rPr>
                <w:sz w:val="19"/>
                <w:szCs w:val="19"/>
                <w:color w:val="auto"/>
              </w:rPr>
            </w:pPr>
          </w:p>
        </w:tc>
        <w:tc>
          <w:tcPr>
            <w:tcW w:w="400" w:type="dxa"/>
            <w:vAlign w:val="bottom"/>
            <w:tcBorders>
              <w:bottom w:val="single" w:sz="8" w:color="auto"/>
            </w:tcBorders>
            <w:shd w:val="clear" w:color="auto" w:fill="DBE5F1"/>
          </w:tcPr>
          <w:p>
            <w:pPr>
              <w:spacing w:after="0"/>
              <w:rPr>
                <w:sz w:val="19"/>
                <w:szCs w:val="19"/>
                <w:color w:val="auto"/>
              </w:rPr>
            </w:pPr>
          </w:p>
        </w:tc>
        <w:tc>
          <w:tcPr>
            <w:tcW w:w="1260" w:type="dxa"/>
            <w:vAlign w:val="bottom"/>
            <w:tcBorders>
              <w:bottom w:val="single" w:sz="8" w:color="auto"/>
            </w:tcBorders>
            <w:shd w:val="clear" w:color="auto" w:fill="DBE5F1"/>
          </w:tcPr>
          <w:p>
            <w:pPr>
              <w:jc w:val="right"/>
              <w:ind w:right="52"/>
              <w:spacing w:after="0"/>
              <w:rPr>
                <w:sz w:val="20"/>
                <w:szCs w:val="20"/>
                <w:color w:val="auto"/>
              </w:rPr>
            </w:pPr>
            <w:r>
              <w:rPr>
                <w:rFonts w:ascii="Arial" w:cs="Arial" w:eastAsia="Arial" w:hAnsi="Arial"/>
                <w:sz w:val="18"/>
                <w:szCs w:val="18"/>
                <w:color w:val="auto"/>
              </w:rPr>
              <w:t>307,433</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DBE5F1"/>
            </w:tcBorders>
          </w:tcPr>
          <w:p>
            <w:pPr>
              <w:ind w:left="20"/>
              <w:spacing w:after="0"/>
              <w:rPr>
                <w:sz w:val="20"/>
                <w:szCs w:val="20"/>
                <w:color w:val="auto"/>
              </w:rPr>
            </w:pPr>
            <w:r>
              <w:rPr>
                <w:rFonts w:ascii="Arial" w:cs="Arial" w:eastAsia="Arial" w:hAnsi="Arial"/>
                <w:sz w:val="18"/>
                <w:szCs w:val="18"/>
                <w:color w:val="auto"/>
              </w:rPr>
              <w:t>Total add back</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404,162</w:t>
            </w:r>
          </w:p>
        </w:tc>
        <w:tc>
          <w:tcPr>
            <w:tcW w:w="140" w:type="dxa"/>
            <w:vAlign w:val="bottom"/>
            <w:tcBorders>
              <w:bottom w:val="single" w:sz="8" w:color="DBE5F1"/>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336,642</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8"/>
                <w:szCs w:val="18"/>
                <w:color w:val="auto"/>
              </w:rPr>
              <w:t>Adjusted gross profit</w:t>
            </w:r>
          </w:p>
        </w:tc>
        <w:tc>
          <w:tcPr>
            <w:tcW w:w="380" w:type="dxa"/>
            <w:vAlign w:val="bottom"/>
            <w:tcBorders>
              <w:bottom w:val="single" w:sz="8" w:color="auto"/>
            </w:tcBorders>
            <w:shd w:val="clear" w:color="auto" w:fill="DBE5F1"/>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BE5F1"/>
          </w:tcPr>
          <w:p>
            <w:pPr>
              <w:jc w:val="right"/>
              <w:ind w:right="33"/>
              <w:spacing w:after="0"/>
              <w:rPr>
                <w:sz w:val="20"/>
                <w:szCs w:val="20"/>
                <w:color w:val="auto"/>
              </w:rPr>
            </w:pPr>
            <w:r>
              <w:rPr>
                <w:rFonts w:ascii="Arial" w:cs="Arial" w:eastAsia="Arial" w:hAnsi="Arial"/>
                <w:sz w:val="18"/>
                <w:szCs w:val="18"/>
                <w:color w:val="auto"/>
              </w:rPr>
              <w:t>302,607</w:t>
            </w:r>
          </w:p>
        </w:tc>
        <w:tc>
          <w:tcPr>
            <w:tcW w:w="140" w:type="dxa"/>
            <w:vAlign w:val="bottom"/>
            <w:tcBorders>
              <w:bottom w:val="single" w:sz="8" w:color="DBE5F1"/>
            </w:tcBorders>
            <w:shd w:val="clear" w:color="auto" w:fill="DBE5F1"/>
          </w:tcPr>
          <w:p>
            <w:pPr>
              <w:spacing w:after="0"/>
              <w:rPr>
                <w:sz w:val="21"/>
                <w:szCs w:val="21"/>
                <w:color w:val="auto"/>
              </w:rPr>
            </w:pPr>
          </w:p>
        </w:tc>
        <w:tc>
          <w:tcPr>
            <w:tcW w:w="400" w:type="dxa"/>
            <w:vAlign w:val="bottom"/>
            <w:tcBorders>
              <w:bottom w:val="single" w:sz="8" w:color="auto"/>
            </w:tcBorders>
            <w:shd w:val="clear" w:color="auto" w:fill="DBE5F1"/>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E5F1"/>
          </w:tcPr>
          <w:p>
            <w:pPr>
              <w:jc w:val="right"/>
              <w:ind w:right="52"/>
              <w:spacing w:after="0"/>
              <w:rPr>
                <w:sz w:val="20"/>
                <w:szCs w:val="20"/>
                <w:color w:val="auto"/>
              </w:rPr>
            </w:pPr>
            <w:r>
              <w:rPr>
                <w:rFonts w:ascii="Arial" w:cs="Arial" w:eastAsia="Arial" w:hAnsi="Arial"/>
                <w:sz w:val="18"/>
                <w:szCs w:val="18"/>
                <w:color w:val="auto"/>
              </w:rPr>
              <w:t>208,825</w:t>
            </w:r>
          </w:p>
        </w:tc>
        <w:tc>
          <w:tcPr>
            <w:tcW w:w="0" w:type="dxa"/>
            <w:vAlign w:val="bottom"/>
          </w:tcPr>
          <w:p>
            <w:pPr>
              <w:spacing w:after="0"/>
              <w:rPr>
                <w:sz w:val="1"/>
                <w:szCs w:val="1"/>
                <w:color w:val="auto"/>
              </w:rPr>
            </w:pPr>
          </w:p>
        </w:tc>
      </w:tr>
      <w:tr>
        <w:trPr>
          <w:trHeight w:val="20"/>
        </w:trPr>
        <w:tc>
          <w:tcPr>
            <w:tcW w:w="7780" w:type="dxa"/>
            <w:vAlign w:val="bottom"/>
            <w:tcBorders>
              <w:top w:val="single" w:sz="8" w:color="DBE5F1"/>
              <w:bottom w:val="single" w:sz="8" w:color="DBE5F1"/>
            </w:tcBorders>
            <w:vMerge w:val="restart"/>
          </w:tcPr>
          <w:p>
            <w:pPr>
              <w:ind w:left="20"/>
              <w:spacing w:after="0"/>
              <w:rPr>
                <w:sz w:val="20"/>
                <w:szCs w:val="20"/>
                <w:color w:val="auto"/>
              </w:rPr>
            </w:pPr>
            <w:r>
              <w:rPr>
                <w:rFonts w:ascii="Arial" w:cs="Arial" w:eastAsia="Arial" w:hAnsi="Arial"/>
                <w:sz w:val="18"/>
                <w:szCs w:val="18"/>
                <w:color w:val="auto"/>
              </w:rPr>
              <w:t>Medical benefit ratio</w:t>
            </w:r>
          </w:p>
        </w:tc>
        <w:tc>
          <w:tcPr>
            <w:tcW w:w="380" w:type="dxa"/>
            <w:vAlign w:val="bottom"/>
            <w:tcBorders>
              <w:top w:val="single" w:sz="8" w:color="DBE5F1"/>
              <w:bottom w:val="single" w:sz="8" w:color="auto"/>
            </w:tcBorders>
          </w:tcPr>
          <w:p>
            <w:pPr>
              <w:spacing w:after="0" w:line="20" w:lineRule="exact"/>
              <w:rPr>
                <w:sz w:val="1"/>
                <w:szCs w:val="1"/>
                <w:color w:val="auto"/>
              </w:rPr>
            </w:pPr>
          </w:p>
        </w:tc>
        <w:tc>
          <w:tcPr>
            <w:tcW w:w="1260" w:type="dxa"/>
            <w:vAlign w:val="bottom"/>
            <w:tcBorders>
              <w:top w:val="single" w:sz="8" w:color="DBE5F1"/>
              <w:bottom w:val="single" w:sz="8" w:color="auto"/>
            </w:tcBorders>
          </w:tcPr>
          <w:p>
            <w:pPr>
              <w:spacing w:after="0" w:line="20" w:lineRule="exact"/>
              <w:rPr>
                <w:sz w:val="1"/>
                <w:szCs w:val="1"/>
                <w:color w:val="auto"/>
              </w:rPr>
            </w:pPr>
          </w:p>
        </w:tc>
        <w:tc>
          <w:tcPr>
            <w:tcW w:w="140" w:type="dxa"/>
            <w:vAlign w:val="bottom"/>
            <w:tcBorders>
              <w:top w:val="single" w:sz="8" w:color="DBE5F1"/>
            </w:tcBorders>
          </w:tcPr>
          <w:p>
            <w:pPr>
              <w:spacing w:after="0" w:line="20" w:lineRule="exact"/>
              <w:rPr>
                <w:sz w:val="1"/>
                <w:szCs w:val="1"/>
                <w:color w:val="auto"/>
              </w:rPr>
            </w:pPr>
          </w:p>
        </w:tc>
        <w:tc>
          <w:tcPr>
            <w:tcW w:w="400" w:type="dxa"/>
            <w:vAlign w:val="bottom"/>
            <w:tcBorders>
              <w:top w:val="single" w:sz="8" w:color="DBE5F1"/>
              <w:bottom w:val="single" w:sz="8" w:color="auto"/>
            </w:tcBorders>
          </w:tcPr>
          <w:p>
            <w:pPr>
              <w:spacing w:after="0" w:line="20" w:lineRule="exact"/>
              <w:rPr>
                <w:sz w:val="1"/>
                <w:szCs w:val="1"/>
                <w:color w:val="auto"/>
              </w:rPr>
            </w:pPr>
          </w:p>
        </w:tc>
        <w:tc>
          <w:tcPr>
            <w:tcW w:w="1260" w:type="dxa"/>
            <w:vAlign w:val="bottom"/>
            <w:tcBorders>
              <w:top w:val="single" w:sz="8" w:color="DBE5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7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88.8 %</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88.5 %</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calculate our medical benefits ratio (“MBR”) by dividing total medical expenses, excluding depreciation and equity-based compensation and clinical restructuring costs,by total revenues in a given period. We believe our MBR is an indicator of our gross profit for our Medicare Advantage plans and demonstrates the ability of our clinical model to produce superior outcomes by identifying and providing targeted care to our high-risk members resulting in improved member health and reduced total population medical expenses. We expect that this metric may fluctuate over time due to a variety of factors, including our pace of new member growth given that new members typically join Alignment with higher MBRs, while our model has demonstrated an ability to improve MBR for a given cohort over time.</w:t>
      </w:r>
    </w:p>
    <w:p>
      <w:pPr>
        <w:spacing w:after="0" w:line="15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When we determine, on an annual basis, whether we have satisfied the CMS minimum Medical Loss Ratio (“MLR”) of 85%, adjustments are made to the MBR calculation to include certain additional expenses related to improving the quality of care provided, and to exclude certain taxes and fees, in each case as permitted or required by CMS and applicable regulatory requirements.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Adjusted EBITDA</w:t>
      </w:r>
    </w:p>
    <w:p>
      <w:pPr>
        <w:spacing w:after="0" w:line="18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Adjusted EBITDA is a non-GAAP financial measure that we define as net loss before interest expense, income taxes, depreciation and amortization expense, acquisition expenses, certain litigation costs, gains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92" w:name="page93"/>
    <w:bookmarkEnd w:id="92"/>
    <w:p>
      <w:pPr>
        <w:ind w:right="100"/>
        <w:spacing w:after="0" w:line="257" w:lineRule="auto"/>
        <w:rPr>
          <w:sz w:val="20"/>
          <w:szCs w:val="20"/>
          <w:color w:val="auto"/>
        </w:rPr>
      </w:pPr>
      <w:r>
        <w:rPr>
          <w:rFonts w:ascii="Arial" w:cs="Arial" w:eastAsia="Arial" w:hAnsi="Arial"/>
          <w:sz w:val="18"/>
          <w:szCs w:val="18"/>
          <w:color w:val="auto"/>
        </w:rPr>
        <w:t>or losses on right of use ("ROU") assets, gains or losses on sale of property and equipment, restructuring costs, equity-based compensation expense and loss on extinguishment of debt. Adjusted EBITDA is a key measure used by our management and our Board of Directors to understand and evaluate our operating performance and trends, to prepare and approve our annual budget and to develop short and long-term operating plans. In particular, we believe that the exclusion of the amounts eliminated in calculating Adjusted EBITDA provides useful measures for period-to-period comparisons of our business. Given our intent to continue to invest in our platform and the scalability of our business in the short to medium-term, we believe Adjusted EBITDA over the long term will be an important indicator of value creation.</w:t>
      </w:r>
    </w:p>
    <w:p>
      <w:pPr>
        <w:spacing w:after="0" w:line="14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Adjusted EBITDA should not be considered in isolation of, or as an alternative to, measures prepared in accordance with GAAP. There are a number of limitations related to the use of Adjusted EBITDA in lieu of net loss, which is the most directly comparable financial measure calculated in accordance with GAAP.</w:t>
      </w:r>
    </w:p>
    <w:p>
      <w:pPr>
        <w:spacing w:after="0" w:line="14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Our use of the term Adjusted EBITDA may vary from the use of similar terms by other companies in our industry and accordingly may not be comparable to similarly titled measures used by other companies.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is reconciled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Year Ended December 31,</w:t>
            </w:r>
          </w:p>
        </w:tc>
      </w:tr>
      <w:tr>
        <w:trPr>
          <w:trHeight w:val="195"/>
        </w:trPr>
        <w:tc>
          <w:tcPr>
            <w:tcW w:w="7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r>
      <w:tr>
        <w:trPr>
          <w:trHeight w:val="183"/>
        </w:trPr>
        <w:tc>
          <w:tcPr>
            <w:tcW w:w="79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thousands)</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2"/>
        </w:trPr>
        <w:tc>
          <w:tcPr>
            <w:tcW w:w="7940" w:type="dxa"/>
            <w:vAlign w:val="bottom"/>
            <w:shd w:val="clear" w:color="auto" w:fill="DBE5F1"/>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DBE5F1"/>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(128,071)</w:t>
            </w:r>
          </w:p>
        </w:tc>
        <w:tc>
          <w:tcPr>
            <w:tcW w:w="100" w:type="dxa"/>
            <w:vAlign w:val="bottom"/>
          </w:tcPr>
          <w:p>
            <w:pPr>
              <w:spacing w:after="0"/>
              <w:rPr>
                <w:sz w:val="20"/>
                <w:szCs w:val="20"/>
                <w:color w:val="auto"/>
              </w:rPr>
            </w:pPr>
          </w:p>
        </w:tc>
        <w:tc>
          <w:tcPr>
            <w:tcW w:w="380" w:type="dxa"/>
            <w:vAlign w:val="bottom"/>
            <w:shd w:val="clear" w:color="auto" w:fill="DBE5F1"/>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(148,173)</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Less: Net loss attributable to noncontrolling interest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7940" w:type="dxa"/>
            <w:vAlign w:val="bottom"/>
            <w:shd w:val="clear" w:color="auto" w:fill="DBE5F1"/>
          </w:tcPr>
          <w:p>
            <w:pPr>
              <w:ind w:left="20"/>
              <w:spacing w:after="0"/>
              <w:rPr>
                <w:sz w:val="20"/>
                <w:szCs w:val="20"/>
                <w:color w:val="auto"/>
              </w:rPr>
            </w:pPr>
            <w:r>
              <w:rPr>
                <w:rFonts w:ascii="Arial" w:cs="Arial" w:eastAsia="Arial" w:hAnsi="Arial"/>
                <w:sz w:val="18"/>
                <w:szCs w:val="18"/>
                <w:color w:val="auto"/>
              </w:rPr>
              <w:t>Adjustments:</w:t>
            </w:r>
          </w:p>
        </w:tc>
        <w:tc>
          <w:tcPr>
            <w:tcW w:w="380" w:type="dxa"/>
            <w:vAlign w:val="bottom"/>
            <w:shd w:val="clear" w:color="auto" w:fill="DBE5F1"/>
          </w:tcPr>
          <w:p>
            <w:pPr>
              <w:spacing w:after="0"/>
              <w:rPr>
                <w:sz w:val="19"/>
                <w:szCs w:val="19"/>
                <w:color w:val="auto"/>
              </w:rPr>
            </w:pPr>
          </w:p>
        </w:tc>
        <w:tc>
          <w:tcPr>
            <w:tcW w:w="1220" w:type="dxa"/>
            <w:vAlign w:val="bottom"/>
            <w:shd w:val="clear" w:color="auto" w:fill="DBE5F1"/>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shd w:val="clear" w:color="auto" w:fill="DBE5F1"/>
          </w:tcPr>
          <w:p>
            <w:pPr>
              <w:spacing w:after="0"/>
              <w:rPr>
                <w:sz w:val="19"/>
                <w:szCs w:val="19"/>
                <w:color w:val="auto"/>
              </w:rPr>
            </w:pPr>
          </w:p>
        </w:tc>
        <w:tc>
          <w:tcPr>
            <w:tcW w:w="1220" w:type="dxa"/>
            <w:vAlign w:val="bottom"/>
            <w:shd w:val="clear" w:color="auto" w:fill="DBE5F1"/>
          </w:tcPr>
          <w:p>
            <w:pPr>
              <w:spacing w:after="0"/>
              <w:rPr>
                <w:sz w:val="19"/>
                <w:szCs w:val="19"/>
                <w:color w:val="auto"/>
              </w:rPr>
            </w:pPr>
          </w:p>
        </w:tc>
      </w:tr>
      <w:tr>
        <w:trPr>
          <w:trHeight w:val="229"/>
        </w:trPr>
        <w:tc>
          <w:tcPr>
            <w:tcW w:w="79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21,231</w:t>
            </w:r>
          </w:p>
        </w:tc>
      </w:tr>
      <w:tr>
        <w:trPr>
          <w:trHeight w:val="230"/>
        </w:trPr>
        <w:tc>
          <w:tcPr>
            <w:tcW w:w="7940" w:type="dxa"/>
            <w:vAlign w:val="bottom"/>
            <w:shd w:val="clear" w:color="auto" w:fill="DBE5F1"/>
          </w:tcPr>
          <w:p>
            <w:pPr>
              <w:ind w:left="200"/>
              <w:spacing w:after="0" w:line="229" w:lineRule="exact"/>
              <w:rPr>
                <w:sz w:val="20"/>
                <w:szCs w:val="20"/>
                <w:color w:val="auto"/>
              </w:rPr>
            </w:pPr>
            <w:r>
              <w:rPr>
                <w:rFonts w:ascii="Arial" w:cs="Arial" w:eastAsia="Arial" w:hAnsi="Arial"/>
                <w:sz w:val="18"/>
                <w:szCs w:val="18"/>
                <w:color w:val="auto"/>
              </w:rPr>
              <w:t xml:space="preserve">Depreciation and amortization </w:t>
            </w:r>
            <w:r>
              <w:rPr>
                <w:rFonts w:ascii="Times New Roman" w:cs="Times New Roman" w:eastAsia="Times New Roman" w:hAnsi="Times New Roman"/>
                <w:sz w:val="23"/>
                <w:szCs w:val="23"/>
                <w:color w:val="auto"/>
                <w:vertAlign w:val="superscript"/>
              </w:rPr>
              <w:t>(1)</w:t>
            </w:r>
          </w:p>
        </w:tc>
        <w:tc>
          <w:tcPr>
            <w:tcW w:w="380" w:type="dxa"/>
            <w:vAlign w:val="bottom"/>
            <w:shd w:val="clear" w:color="auto" w:fill="DBE5F1"/>
          </w:tcPr>
          <w:p>
            <w:pPr>
              <w:spacing w:after="0"/>
              <w:rPr>
                <w:sz w:val="19"/>
                <w:szCs w:val="19"/>
                <w:color w:val="auto"/>
              </w:rPr>
            </w:pPr>
          </w:p>
        </w:tc>
        <w:tc>
          <w:tcPr>
            <w:tcW w:w="1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27,062</w:t>
            </w:r>
          </w:p>
        </w:tc>
        <w:tc>
          <w:tcPr>
            <w:tcW w:w="100" w:type="dxa"/>
            <w:vAlign w:val="bottom"/>
          </w:tcPr>
          <w:p>
            <w:pPr>
              <w:spacing w:after="0"/>
              <w:rPr>
                <w:sz w:val="19"/>
                <w:szCs w:val="19"/>
                <w:color w:val="auto"/>
              </w:rPr>
            </w:pPr>
          </w:p>
        </w:tc>
        <w:tc>
          <w:tcPr>
            <w:tcW w:w="380" w:type="dxa"/>
            <w:vAlign w:val="bottom"/>
            <w:shd w:val="clear" w:color="auto" w:fill="DBE5F1"/>
          </w:tcPr>
          <w:p>
            <w:pPr>
              <w:spacing w:after="0"/>
              <w:rPr>
                <w:sz w:val="19"/>
                <w:szCs w:val="19"/>
                <w:color w:val="auto"/>
              </w:rPr>
            </w:pPr>
          </w:p>
        </w:tc>
        <w:tc>
          <w:tcPr>
            <w:tcW w:w="1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21,668</w:t>
            </w:r>
          </w:p>
        </w:tc>
      </w:tr>
      <w:tr>
        <w:trPr>
          <w:trHeight w:val="229"/>
        </w:trPr>
        <w:tc>
          <w:tcPr>
            <w:tcW w:w="7940" w:type="dxa"/>
            <w:vAlign w:val="bottom"/>
          </w:tcPr>
          <w:p>
            <w:pPr>
              <w:ind w:left="200"/>
              <w:spacing w:after="0"/>
              <w:rPr>
                <w:sz w:val="20"/>
                <w:szCs w:val="20"/>
                <w:color w:val="auto"/>
              </w:rPr>
            </w:pPr>
            <w:r>
              <w:rPr>
                <w:rFonts w:ascii="Arial" w:cs="Arial" w:eastAsia="Arial" w:hAnsi="Arial"/>
                <w:sz w:val="18"/>
                <w:szCs w:val="18"/>
                <w:color w:val="auto"/>
              </w:rPr>
              <w:t>Income tax expense (benefit)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7940" w:type="dxa"/>
            <w:vAlign w:val="bottom"/>
            <w:shd w:val="clear" w:color="auto" w:fill="DBE5F1"/>
          </w:tcPr>
          <w:p>
            <w:pPr>
              <w:ind w:left="200"/>
              <w:spacing w:after="0"/>
              <w:rPr>
                <w:sz w:val="20"/>
                <w:szCs w:val="20"/>
                <w:color w:val="auto"/>
              </w:rPr>
            </w:pPr>
            <w:r>
              <w:rPr>
                <w:rFonts w:ascii="Arial" w:cs="Arial" w:eastAsia="Arial" w:hAnsi="Arial"/>
                <w:sz w:val="18"/>
                <w:szCs w:val="18"/>
                <w:color w:val="auto"/>
              </w:rPr>
              <w:t xml:space="preserve">Equity-based compensation </w:t>
            </w:r>
            <w:r>
              <w:rPr>
                <w:rFonts w:ascii="Arial" w:cs="Arial" w:eastAsia="Arial" w:hAnsi="Arial"/>
                <w:sz w:val="23"/>
                <w:szCs w:val="23"/>
                <w:color w:val="auto"/>
                <w:vertAlign w:val="superscript"/>
              </w:rPr>
              <w:t>(2)</w:t>
            </w:r>
          </w:p>
        </w:tc>
        <w:tc>
          <w:tcPr>
            <w:tcW w:w="380" w:type="dxa"/>
            <w:vAlign w:val="bottom"/>
            <w:shd w:val="clear" w:color="auto" w:fill="DBE5F1"/>
          </w:tcPr>
          <w:p>
            <w:pPr>
              <w:spacing w:after="0"/>
              <w:rPr>
                <w:sz w:val="23"/>
                <w:szCs w:val="23"/>
                <w:color w:val="auto"/>
              </w:rPr>
            </w:pPr>
          </w:p>
        </w:tc>
        <w:tc>
          <w:tcPr>
            <w:tcW w:w="1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71,132</w:t>
            </w:r>
          </w:p>
        </w:tc>
        <w:tc>
          <w:tcPr>
            <w:tcW w:w="100" w:type="dxa"/>
            <w:vAlign w:val="bottom"/>
          </w:tcPr>
          <w:p>
            <w:pPr>
              <w:spacing w:after="0"/>
              <w:rPr>
                <w:sz w:val="23"/>
                <w:szCs w:val="23"/>
                <w:color w:val="auto"/>
              </w:rPr>
            </w:pPr>
          </w:p>
        </w:tc>
        <w:tc>
          <w:tcPr>
            <w:tcW w:w="380" w:type="dxa"/>
            <w:vAlign w:val="bottom"/>
            <w:shd w:val="clear" w:color="auto" w:fill="DBE5F1"/>
          </w:tcPr>
          <w:p>
            <w:pPr>
              <w:spacing w:after="0"/>
              <w:rPr>
                <w:sz w:val="23"/>
                <w:szCs w:val="23"/>
                <w:color w:val="auto"/>
              </w:rPr>
            </w:pPr>
          </w:p>
        </w:tc>
        <w:tc>
          <w:tcPr>
            <w:tcW w:w="1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66,835</w:t>
            </w:r>
          </w:p>
        </w:tc>
      </w:tr>
      <w:tr>
        <w:trPr>
          <w:trHeight w:val="230"/>
        </w:trPr>
        <w:tc>
          <w:tcPr>
            <w:tcW w:w="7940" w:type="dxa"/>
            <w:vAlign w:val="bottom"/>
          </w:tcPr>
          <w:p>
            <w:pPr>
              <w:ind w:left="200"/>
              <w:spacing w:after="0" w:line="230" w:lineRule="exact"/>
              <w:rPr>
                <w:sz w:val="20"/>
                <w:szCs w:val="20"/>
                <w:color w:val="auto"/>
              </w:rPr>
            </w:pPr>
            <w:r>
              <w:rPr>
                <w:rFonts w:ascii="Arial" w:cs="Arial" w:eastAsia="Arial" w:hAnsi="Arial"/>
                <w:sz w:val="18"/>
                <w:szCs w:val="18"/>
                <w:color w:val="auto"/>
              </w:rPr>
              <w:t xml:space="preserve">Acquisition expenses </w:t>
            </w:r>
            <w:r>
              <w:rPr>
                <w:rFonts w:ascii="Arial" w:cs="Arial" w:eastAsia="Arial" w:hAnsi="Arial"/>
                <w:sz w:val="23"/>
                <w:szCs w:val="23"/>
                <w:color w:val="auto"/>
                <w:vertAlign w:val="superscript"/>
              </w:rPr>
              <w:t>(3)</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977</w:t>
            </w:r>
          </w:p>
        </w:tc>
      </w:tr>
      <w:tr>
        <w:trPr>
          <w:trHeight w:val="270"/>
        </w:trPr>
        <w:tc>
          <w:tcPr>
            <w:tcW w:w="7940" w:type="dxa"/>
            <w:vAlign w:val="bottom"/>
            <w:shd w:val="clear" w:color="auto" w:fill="DBE5F1"/>
          </w:tcPr>
          <w:p>
            <w:pPr>
              <w:ind w:left="200"/>
              <w:spacing w:after="0"/>
              <w:rPr>
                <w:sz w:val="20"/>
                <w:szCs w:val="20"/>
                <w:color w:val="auto"/>
              </w:rPr>
            </w:pPr>
            <w:r>
              <w:rPr>
                <w:rFonts w:ascii="Arial" w:cs="Arial" w:eastAsia="Arial" w:hAnsi="Arial"/>
                <w:sz w:val="18"/>
                <w:szCs w:val="18"/>
                <w:color w:val="auto"/>
              </w:rPr>
              <w:t xml:space="preserve">Litigation costs </w:t>
            </w:r>
            <w:r>
              <w:rPr>
                <w:rFonts w:ascii="Arial" w:cs="Arial" w:eastAsia="Arial" w:hAnsi="Arial"/>
                <w:sz w:val="23"/>
                <w:szCs w:val="23"/>
                <w:color w:val="auto"/>
                <w:vertAlign w:val="superscript"/>
              </w:rPr>
              <w:t>(4)</w:t>
            </w:r>
          </w:p>
        </w:tc>
        <w:tc>
          <w:tcPr>
            <w:tcW w:w="380" w:type="dxa"/>
            <w:vAlign w:val="bottom"/>
            <w:shd w:val="clear" w:color="auto" w:fill="DBE5F1"/>
          </w:tcPr>
          <w:p>
            <w:pPr>
              <w:spacing w:after="0"/>
              <w:rPr>
                <w:sz w:val="23"/>
                <w:szCs w:val="23"/>
                <w:color w:val="auto"/>
              </w:rPr>
            </w:pPr>
          </w:p>
        </w:tc>
        <w:tc>
          <w:tcPr>
            <w:tcW w:w="1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23"/>
                <w:szCs w:val="23"/>
                <w:color w:val="auto"/>
              </w:rPr>
            </w:pPr>
          </w:p>
        </w:tc>
        <w:tc>
          <w:tcPr>
            <w:tcW w:w="380" w:type="dxa"/>
            <w:vAlign w:val="bottom"/>
            <w:shd w:val="clear" w:color="auto" w:fill="DBE5F1"/>
          </w:tcPr>
          <w:p>
            <w:pPr>
              <w:spacing w:after="0"/>
              <w:rPr>
                <w:sz w:val="23"/>
                <w:szCs w:val="23"/>
                <w:color w:val="auto"/>
              </w:rPr>
            </w:pPr>
          </w:p>
        </w:tc>
        <w:tc>
          <w:tcPr>
            <w:tcW w:w="1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2,298</w:t>
            </w:r>
          </w:p>
        </w:tc>
      </w:tr>
      <w:tr>
        <w:trPr>
          <w:trHeight w:val="229"/>
        </w:trPr>
        <w:tc>
          <w:tcPr>
            <w:tcW w:w="7940" w:type="dxa"/>
            <w:vAlign w:val="bottom"/>
          </w:tcPr>
          <w:p>
            <w:pPr>
              <w:ind w:left="200"/>
              <w:spacing w:after="0" w:line="230" w:lineRule="exact"/>
              <w:rPr>
                <w:sz w:val="20"/>
                <w:szCs w:val="20"/>
                <w:color w:val="auto"/>
              </w:rPr>
            </w:pPr>
            <w:r>
              <w:rPr>
                <w:rFonts w:ascii="Arial" w:cs="Arial" w:eastAsia="Arial" w:hAnsi="Arial"/>
                <w:sz w:val="18"/>
                <w:szCs w:val="18"/>
                <w:color w:val="auto"/>
              </w:rPr>
              <w:t xml:space="preserve">(Gain) loss on ROU assets </w:t>
            </w:r>
            <w:r>
              <w:rPr>
                <w:rFonts w:ascii="Arial" w:cs="Arial" w:eastAsia="Arial" w:hAnsi="Arial"/>
                <w:sz w:val="23"/>
                <w:szCs w:val="23"/>
                <w:color w:val="auto"/>
                <w:vertAlign w:val="superscript"/>
              </w:rPr>
              <w:t>(5)</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70"/>
        </w:trPr>
        <w:tc>
          <w:tcPr>
            <w:tcW w:w="7940" w:type="dxa"/>
            <w:vAlign w:val="bottom"/>
            <w:shd w:val="clear" w:color="auto" w:fill="DBE5F1"/>
          </w:tcPr>
          <w:p>
            <w:pPr>
              <w:ind w:left="200"/>
              <w:spacing w:after="0"/>
              <w:rPr>
                <w:sz w:val="20"/>
                <w:szCs w:val="20"/>
                <w:color w:val="auto"/>
              </w:rPr>
            </w:pPr>
            <w:r>
              <w:rPr>
                <w:rFonts w:ascii="Arial" w:cs="Arial" w:eastAsia="Arial" w:hAnsi="Arial"/>
                <w:sz w:val="18"/>
                <w:szCs w:val="18"/>
                <w:color w:val="auto"/>
              </w:rPr>
              <w:t>Gain on sale of property and equipment</w:t>
            </w:r>
          </w:p>
        </w:tc>
        <w:tc>
          <w:tcPr>
            <w:tcW w:w="380" w:type="dxa"/>
            <w:vAlign w:val="bottom"/>
            <w:shd w:val="clear" w:color="auto" w:fill="DBE5F1"/>
          </w:tcPr>
          <w:p>
            <w:pPr>
              <w:spacing w:after="0"/>
              <w:rPr>
                <w:sz w:val="23"/>
                <w:szCs w:val="23"/>
                <w:color w:val="auto"/>
              </w:rPr>
            </w:pPr>
          </w:p>
        </w:tc>
        <w:tc>
          <w:tcPr>
            <w:tcW w:w="1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380" w:type="dxa"/>
            <w:vAlign w:val="bottom"/>
            <w:shd w:val="clear" w:color="auto" w:fill="DBE5F1"/>
          </w:tcPr>
          <w:p>
            <w:pPr>
              <w:spacing w:after="0"/>
              <w:rPr>
                <w:sz w:val="23"/>
                <w:szCs w:val="23"/>
                <w:color w:val="auto"/>
              </w:rPr>
            </w:pPr>
          </w:p>
        </w:tc>
        <w:tc>
          <w:tcPr>
            <w:tcW w:w="1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40" w:type="dxa"/>
            <w:vAlign w:val="bottom"/>
          </w:tcPr>
          <w:p>
            <w:pPr>
              <w:ind w:left="200"/>
              <w:spacing w:after="0" w:line="230" w:lineRule="exact"/>
              <w:rPr>
                <w:sz w:val="20"/>
                <w:szCs w:val="20"/>
                <w:color w:val="auto"/>
              </w:rPr>
            </w:pPr>
            <w:r>
              <w:rPr>
                <w:rFonts w:ascii="Arial" w:cs="Arial" w:eastAsia="Arial" w:hAnsi="Arial"/>
                <w:sz w:val="18"/>
                <w:szCs w:val="18"/>
                <w:color w:val="auto"/>
              </w:rPr>
              <w:t xml:space="preserve">Restructuring costs </w:t>
            </w:r>
            <w:r>
              <w:rPr>
                <w:rFonts w:ascii="Arial" w:cs="Arial" w:eastAsia="Arial" w:hAnsi="Arial"/>
                <w:sz w:val="23"/>
                <w:szCs w:val="23"/>
                <w:color w:val="auto"/>
                <w:vertAlign w:val="superscript"/>
              </w:rPr>
              <w:t>(6)</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940" w:type="dxa"/>
            <w:vAlign w:val="bottom"/>
            <w:shd w:val="clear" w:color="auto" w:fill="DBE5F1"/>
          </w:tcPr>
          <w:p>
            <w:pPr>
              <w:ind w:left="200"/>
              <w:spacing w:after="0"/>
              <w:rPr>
                <w:sz w:val="20"/>
                <w:szCs w:val="20"/>
                <w:color w:val="auto"/>
              </w:rPr>
            </w:pPr>
            <w:r>
              <w:rPr>
                <w:rFonts w:ascii="Arial" w:cs="Arial" w:eastAsia="Arial" w:hAnsi="Arial"/>
                <w:sz w:val="18"/>
                <w:szCs w:val="18"/>
                <w:color w:val="auto"/>
              </w:rPr>
              <w:t>Loss on extinguishment of debt</w:t>
            </w:r>
          </w:p>
        </w:tc>
        <w:tc>
          <w:tcPr>
            <w:tcW w:w="380" w:type="dxa"/>
            <w:vAlign w:val="bottom"/>
            <w:tcBorders>
              <w:bottom w:val="single" w:sz="8" w:color="auto"/>
            </w:tcBorders>
            <w:shd w:val="clear" w:color="auto" w:fill="DBE5F1"/>
          </w:tcPr>
          <w:p>
            <w:pPr>
              <w:spacing w:after="0"/>
              <w:rPr>
                <w:sz w:val="23"/>
                <w:szCs w:val="23"/>
                <w:color w:val="auto"/>
              </w:rPr>
            </w:pPr>
          </w:p>
        </w:tc>
        <w:tc>
          <w:tcPr>
            <w:tcW w:w="122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23"/>
                <w:szCs w:val="23"/>
                <w:color w:val="auto"/>
              </w:rPr>
            </w:pPr>
          </w:p>
        </w:tc>
        <w:tc>
          <w:tcPr>
            <w:tcW w:w="380" w:type="dxa"/>
            <w:vAlign w:val="bottom"/>
            <w:tcBorders>
              <w:bottom w:val="single" w:sz="8" w:color="auto"/>
            </w:tcBorders>
            <w:shd w:val="clear" w:color="auto" w:fill="DBE5F1"/>
          </w:tcPr>
          <w:p>
            <w:pPr>
              <w:spacing w:after="0"/>
              <w:rPr>
                <w:sz w:val="23"/>
                <w:szCs w:val="23"/>
                <w:color w:val="auto"/>
              </w:rPr>
            </w:pPr>
          </w:p>
        </w:tc>
        <w:tc>
          <w:tcPr>
            <w:tcW w:w="1220" w:type="dxa"/>
            <w:vAlign w:val="bottom"/>
            <w:tcBorders>
              <w:bottom w:val="single" w:sz="8" w:color="auto"/>
            </w:tcBorders>
            <w:shd w:val="clear" w:color="auto" w:fill="DBE5F1"/>
          </w:tcPr>
          <w:p>
            <w:pPr>
              <w:spacing w:after="0"/>
              <w:rPr>
                <w:sz w:val="23"/>
                <w:szCs w:val="23"/>
                <w:color w:val="auto"/>
              </w:rPr>
            </w:pP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Adjusted EBTIDA</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(35,319)</w:t>
            </w:r>
          </w:p>
        </w:tc>
      </w:tr>
      <w:tr>
        <w:trPr>
          <w:trHeight w:val="20"/>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680" w:hanging="348"/>
        <w:spacing w:after="0"/>
        <w:tabs>
          <w:tab w:leader="none" w:pos="6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Includes $0.6 million in impairment expense related to intangible assets that were written off during the year</w:t>
      </w:r>
    </w:p>
    <w:p>
      <w:pPr>
        <w:spacing w:after="0" w:line="174" w:lineRule="exact"/>
        <w:rPr>
          <w:rFonts w:ascii="Arial" w:cs="Arial" w:eastAsia="Arial" w:hAnsi="Arial"/>
          <w:sz w:val="13"/>
          <w:szCs w:val="13"/>
          <w:color w:val="auto"/>
        </w:rPr>
      </w:pPr>
    </w:p>
    <w:p>
      <w:pPr>
        <w:ind w:left="660" w:right="400" w:hanging="328"/>
        <w:spacing w:after="0" w:line="264" w:lineRule="auto"/>
        <w:tabs>
          <w:tab w:leader="none" w:pos="687" w:val="left"/>
        </w:tabs>
        <w:numPr>
          <w:ilvl w:val="0"/>
          <w:numId w:val="73"/>
        </w:numPr>
        <w:rPr>
          <w:rFonts w:ascii="Arial" w:cs="Arial" w:eastAsia="Arial" w:hAnsi="Arial"/>
          <w:sz w:val="13"/>
          <w:szCs w:val="13"/>
          <w:color w:val="auto"/>
        </w:rPr>
      </w:pPr>
      <w:r>
        <w:rPr>
          <w:rFonts w:ascii="Arial" w:cs="Arial" w:eastAsia="Arial" w:hAnsi="Arial"/>
          <w:sz w:val="13"/>
          <w:szCs w:val="13"/>
          <w:color w:val="auto"/>
        </w:rPr>
        <w:t>Represents equity-based compensation related to grants made in the applicable year, as well as equity-based compensation related to the timing of the IPO, which includes previously issued stock appreciation rights ("SARs") liability awards, modifications related to transaction vesting units, and grants made in conjunction with the IPO</w:t>
      </w:r>
    </w:p>
    <w:p>
      <w:pPr>
        <w:spacing w:after="0" w:line="157" w:lineRule="exact"/>
        <w:rPr>
          <w:rFonts w:ascii="Arial" w:cs="Arial" w:eastAsia="Arial" w:hAnsi="Arial"/>
          <w:sz w:val="13"/>
          <w:szCs w:val="13"/>
          <w:color w:val="auto"/>
        </w:rPr>
      </w:pPr>
    </w:p>
    <w:p>
      <w:pPr>
        <w:ind w:left="640" w:hanging="308"/>
        <w:spacing w:after="0"/>
        <w:tabs>
          <w:tab w:leader="none" w:pos="6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Represents acquisition-related fees, such as legal and advisory fees, that are non-capitalizable</w:t>
      </w:r>
    </w:p>
    <w:p>
      <w:pPr>
        <w:spacing w:after="0" w:line="174" w:lineRule="exact"/>
        <w:rPr>
          <w:rFonts w:ascii="Arial" w:cs="Arial" w:eastAsia="Arial" w:hAnsi="Arial"/>
          <w:sz w:val="13"/>
          <w:szCs w:val="13"/>
          <w:color w:val="auto"/>
        </w:rPr>
      </w:pPr>
    </w:p>
    <w:p>
      <w:pPr>
        <w:ind w:left="660" w:right="140" w:hanging="328"/>
        <w:spacing w:after="0" w:line="262" w:lineRule="auto"/>
        <w:tabs>
          <w:tab w:leader="none" w:pos="687" w:val="left"/>
        </w:tabs>
        <w:numPr>
          <w:ilvl w:val="0"/>
          <w:numId w:val="73"/>
        </w:numPr>
        <w:rPr>
          <w:rFonts w:ascii="Arial" w:cs="Arial" w:eastAsia="Arial" w:hAnsi="Arial"/>
          <w:sz w:val="13"/>
          <w:szCs w:val="13"/>
          <w:color w:val="auto"/>
        </w:rPr>
      </w:pPr>
      <w:r>
        <w:rPr>
          <w:rFonts w:ascii="Arial" w:cs="Arial" w:eastAsia="Arial" w:hAnsi="Arial"/>
          <w:sz w:val="13"/>
          <w:szCs w:val="13"/>
          <w:color w:val="auto"/>
        </w:rPr>
        <w:t>Represents certain litigation costs considered outside of the ordinary course of business based on the following considerations which we assess regularly: (i) the frequency of similar cases that have been brought to date, or are expected to be brought within two years, (ii) complexity of the case, (iii) nature of the remedies sought, (iv) litigation posture of the Company, (v) counterparty involved, and (vi) the Company's overall litigation strategy</w:t>
      </w:r>
    </w:p>
    <w:p>
      <w:pPr>
        <w:spacing w:after="0" w:line="144" w:lineRule="exact"/>
        <w:rPr>
          <w:rFonts w:ascii="Arial" w:cs="Arial" w:eastAsia="Arial" w:hAnsi="Arial"/>
          <w:sz w:val="13"/>
          <w:szCs w:val="13"/>
          <w:color w:val="auto"/>
        </w:rPr>
      </w:pPr>
    </w:p>
    <w:p>
      <w:pPr>
        <w:ind w:left="680" w:hanging="348"/>
        <w:spacing w:after="0"/>
        <w:tabs>
          <w:tab w:leader="none" w:pos="6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Represents gains or losses related to ROU assets that were terminated or subleased in the respective period</w:t>
      </w:r>
    </w:p>
    <w:p>
      <w:pPr>
        <w:spacing w:after="0" w:line="188" w:lineRule="exact"/>
        <w:rPr>
          <w:rFonts w:ascii="Arial" w:cs="Arial" w:eastAsia="Arial" w:hAnsi="Arial"/>
          <w:sz w:val="13"/>
          <w:szCs w:val="13"/>
          <w:color w:val="auto"/>
        </w:rPr>
      </w:pPr>
    </w:p>
    <w:p>
      <w:pPr>
        <w:ind w:left="660" w:right="140" w:hanging="328"/>
        <w:spacing w:after="0" w:line="286" w:lineRule="auto"/>
        <w:tabs>
          <w:tab w:leader="none" w:pos="687" w:val="left"/>
        </w:tabs>
        <w:numPr>
          <w:ilvl w:val="0"/>
          <w:numId w:val="73"/>
        </w:numPr>
        <w:rPr>
          <w:rFonts w:ascii="Arial" w:cs="Arial" w:eastAsia="Arial" w:hAnsi="Arial"/>
          <w:sz w:val="13"/>
          <w:szCs w:val="13"/>
          <w:color w:val="auto"/>
        </w:rPr>
      </w:pPr>
      <w:r>
        <w:rPr>
          <w:rFonts w:ascii="Arial" w:cs="Arial" w:eastAsia="Arial" w:hAnsi="Arial"/>
          <w:sz w:val="13"/>
          <w:szCs w:val="13"/>
          <w:color w:val="auto"/>
        </w:rPr>
        <w:t>Represents severance and related costs incurred as part of a corporate restructuring, that took place during 2024, designed to streamline our organizational structure and drive operational efficiencies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517525</wp:posOffset>
            </wp:positionV>
            <wp:extent cx="7157720" cy="87737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8773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9265920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585470</wp:posOffset>
            </wp:positionH>
            <wp:positionV relativeFrom="page">
              <wp:posOffset>662940</wp:posOffset>
            </wp:positionV>
            <wp:extent cx="6000750" cy="77666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6000750" cy="7766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628650</wp:posOffset>
            </wp:positionV>
            <wp:extent cx="6000750" cy="77666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6000750" cy="77666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1."/>
      <w:numFmt w:val="decimal"/>
      <w:start w:val="1"/>
    </w:lvl>
  </w:abstractNum>
  <w:abstractNum w:abstractNumId="11">
    <w:nsid w:val="6A2342EC"/>
    <w:multiLevelType w:val="hybridMultilevel"/>
    <w:lvl w:ilvl="0">
      <w:lvlJc w:val="left"/>
      <w:lvlText w:val="%1."/>
      <w:numFmt w:val="decimal"/>
      <w:start w:val="1"/>
    </w:lvl>
  </w:abstractNum>
  <w:abstractNum w:abstractNumId="12">
    <w:nsid w:val="2A487CB0"/>
    <w:multiLevelType w:val="hybridMultilevel"/>
    <w:lvl w:ilvl="0">
      <w:lvlJc w:val="left"/>
      <w:lvlText w:val="(%1)"/>
      <w:numFmt w:val="decimal"/>
      <w:start w:val="1"/>
    </w:lvl>
  </w:abstractNum>
  <w:abstractNum w:abstractNumId="13">
    <w:nsid w:val="1D4ED43B"/>
    <w:multiLevelType w:val="hybridMultilevel"/>
    <w:lvl w:ilvl="0">
      <w:lvlJc w:val="left"/>
      <w:lvlText w:val="(%1)"/>
      <w:numFmt w:val="lowerRoman"/>
      <w:start w:val="10"/>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amp;"/>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lvl w:ilvl="1">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lvl w:ilvl="1">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1)"/>
      <w:numFmt w:val="decimal"/>
      <w:start w:val="1"/>
    </w:lvl>
  </w:abstractNum>
  <w:abstractNum w:abstractNumId="35">
    <w:nsid w:val="4F4EF005"/>
    <w:multiLevelType w:val="hybridMultilevel"/>
    <w:lvl w:ilvl="0">
      <w:lvlJc w:val="left"/>
      <w:lvlText w:val="(%1)"/>
      <w:numFmt w:val="decimal"/>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1)"/>
      <w:numFmt w:val="decimal"/>
      <w:start w:val="1"/>
    </w:lvl>
  </w:abstractNum>
  <w:abstractNum w:abstractNumId="38">
    <w:nsid w:val="275AC794"/>
    <w:multiLevelType w:val="hybridMultilevel"/>
    <w:lvl w:ilvl="0">
      <w:lvlJc w:val="left"/>
      <w:lvlText w:val="(%1)"/>
      <w:numFmt w:val="decimal"/>
      <w:start w:val="3"/>
    </w:lvl>
  </w:abstractNum>
  <w:abstractNum w:abstractNumId="39">
    <w:nsid w:val="39386575"/>
    <w:multiLevelType w:val="hybridMultilevel"/>
    <w:lvl w:ilvl="0">
      <w:lvlJc w:val="left"/>
      <w:lvlText w:val="(%1)"/>
      <w:numFmt w:val="decimal"/>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1)"/>
      <w:numFmt w:val="decimal"/>
      <w:start w:val="1"/>
    </w:lvl>
  </w:abstractNum>
  <w:abstractNum w:abstractNumId="44">
    <w:nsid w:val="354FE9F9"/>
    <w:multiLevelType w:val="hybridMultilevel"/>
    <w:lvl w:ilvl="0">
      <w:lvlJc w:val="left"/>
      <w:lvlText w:val="(%1)"/>
      <w:numFmt w:val="decimal"/>
      <w:start w:val="1"/>
    </w:lvl>
  </w:abstractNum>
  <w:abstractNum w:abstractNumId="45">
    <w:nsid w:val="15B5AF5C"/>
    <w:multiLevelType w:val="hybridMultilevel"/>
    <w:lvl w:ilvl="0">
      <w:lvlJc w:val="left"/>
      <w:lvlText w:val="(%1)"/>
      <w:numFmt w:val="decimal"/>
      <w:start w:val="3"/>
    </w:lvl>
  </w:abstractNum>
  <w:abstractNum w:abstractNumId="46">
    <w:nsid w:val="741226BB"/>
    <w:multiLevelType w:val="hybridMultilevel"/>
    <w:lvl w:ilvl="0">
      <w:lvlJc w:val="left"/>
      <w:lvlText w:val="(%1)"/>
      <w:numFmt w:val="decimal"/>
      <w:start w:val="1"/>
    </w:lvl>
  </w:abstractNum>
  <w:abstractNum w:abstractNumId="47">
    <w:nsid w:val="D34B6A8"/>
    <w:multiLevelType w:val="hybridMultilevel"/>
    <w:lvl w:ilvl="0">
      <w:lvlJc w:val="left"/>
      <w:lvlText w:val="(%1)"/>
      <w:numFmt w:val="decimal"/>
      <w:start w:val="3"/>
    </w:lvl>
  </w:abstractNum>
  <w:abstractNum w:abstractNumId="48">
    <w:nsid w:val="10233C99"/>
    <w:multiLevelType w:val="hybridMultilevel"/>
    <w:lvl w:ilvl="0">
      <w:lvlJc w:val="left"/>
      <w:lvlText w:val="(%1)"/>
      <w:numFmt w:val="decimal"/>
      <w:start w:val="1"/>
    </w:lvl>
  </w:abstractNum>
  <w:abstractNum w:abstractNumId="49">
    <w:nsid w:val="3F6AB60F"/>
    <w:multiLevelType w:val="hybridMultilevel"/>
    <w:lvl w:ilvl="0">
      <w:lvlJc w:val="left"/>
      <w:lvlText w:val="(%1)"/>
      <w:numFmt w:val="decimal"/>
      <w:start w:val="2"/>
    </w:lvl>
  </w:abstractNum>
  <w:abstractNum w:abstractNumId="50">
    <w:nsid w:val="61574095"/>
    <w:multiLevelType w:val="hybridMultilevel"/>
    <w:lvl w:ilvl="0">
      <w:lvlJc w:val="left"/>
      <w:lvlText w:val="(%1)"/>
      <w:numFmt w:val="decimal"/>
      <w:start w:val="1"/>
    </w:lvl>
  </w:abstractNum>
  <w:abstractNum w:abstractNumId="51">
    <w:nsid w:val="7E0C57B1"/>
    <w:multiLevelType w:val="hybridMultilevel"/>
    <w:lvl w:ilvl="0">
      <w:lvlJc w:val="left"/>
      <w:lvlText w:val="(%1)"/>
      <w:numFmt w:val="upperLetter"/>
      <w:start w:val="2"/>
    </w:lvl>
  </w:abstractNum>
  <w:abstractNum w:abstractNumId="52">
    <w:nsid w:val="77AE35EB"/>
    <w:multiLevelType w:val="hybridMultilevel"/>
    <w:lvl w:ilvl="0">
      <w:lvlJc w:val="left"/>
      <w:lvlText w:val="(%1)"/>
      <w:numFmt w:val="lowerRoman"/>
      <w:start w:val="3"/>
    </w:lvl>
  </w:abstractNum>
  <w:abstractNum w:abstractNumId="53">
    <w:nsid w:val="579BE4F1"/>
    <w:multiLevelType w:val="hybridMultilevel"/>
    <w:lvl w:ilvl="0">
      <w:lvlJc w:val="left"/>
      <w:lvlText w:val="(%1)"/>
      <w:numFmt w:val="lowerLetter"/>
      <w:start w:val="25"/>
    </w:lvl>
  </w:abstractNum>
  <w:abstractNum w:abstractNumId="54">
    <w:nsid w:val="310C50B3"/>
    <w:multiLevelType w:val="hybridMultilevel"/>
    <w:lvl w:ilvl="0">
      <w:lvlJc w:val="left"/>
      <w:lvlText w:val="(%1)"/>
      <w:numFmt w:val="decimal"/>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1)"/>
      <w:numFmt w:val="decimal"/>
      <w:start w:val="1"/>
    </w:lvl>
  </w:abstractNum>
  <w:abstractNum w:abstractNumId="58">
    <w:nsid w:val="1DBABF00"/>
    <w:multiLevelType w:val="hybridMultilevel"/>
    <w:lvl w:ilvl="0">
      <w:lvlJc w:val="left"/>
      <w:lvlText w:val="(%1)"/>
      <w:numFmt w:val="decimal"/>
      <w:start w:val="3"/>
    </w:lvl>
  </w:abstractNum>
  <w:abstractNum w:abstractNumId="59">
    <w:nsid w:val="4AD084E9"/>
    <w:multiLevelType w:val="hybridMultilevel"/>
    <w:lvl w:ilvl="0">
      <w:lvlJc w:val="left"/>
      <w:lvlText w:val="(%1)"/>
      <w:numFmt w:val="decimal"/>
      <w:start w:val="1"/>
    </w:lvl>
  </w:abstractNum>
  <w:abstractNum w:abstractNumId="60">
    <w:nsid w:val="1F48EAA1"/>
    <w:multiLevelType w:val="hybridMultilevel"/>
    <w:lvl w:ilvl="0">
      <w:lvlJc w:val="left"/>
      <w:lvlText w:val="(%1)"/>
      <w:numFmt w:val="decimal"/>
      <w:start w:val="3"/>
    </w:lvl>
  </w:abstractNum>
  <w:abstractNum w:abstractNumId="61">
    <w:nsid w:val="1381823A"/>
    <w:multiLevelType w:val="hybridMultilevel"/>
    <w:lvl w:ilvl="0">
      <w:lvlJc w:val="left"/>
      <w:lvlText w:val="(%1)"/>
      <w:numFmt w:val="decimal"/>
      <w:start w:val="5"/>
    </w:lvl>
  </w:abstractNum>
  <w:abstractNum w:abstractNumId="62">
    <w:nsid w:val="5DB70AE5"/>
    <w:multiLevelType w:val="hybridMultilevel"/>
    <w:lvl w:ilvl="0">
      <w:lvlJc w:val="left"/>
      <w:lvlText w:val="•"/>
      <w:numFmt w:val="bullet"/>
      <w:start w:val="1"/>
    </w:lvl>
  </w:abstractNum>
  <w:abstractNum w:abstractNumId="63">
    <w:nsid w:val="100F8FCA"/>
    <w:multiLevelType w:val="hybridMultilevel"/>
    <w:lvl w:ilvl="0">
      <w:lvlJc w:val="left"/>
      <w:lvlText w:val="•"/>
      <w:numFmt w:val="bullet"/>
      <w:start w:val="1"/>
    </w:lvl>
  </w:abstractNum>
  <w:abstractNum w:abstractNumId="64">
    <w:nsid w:val="6590700B"/>
    <w:multiLevelType w:val="hybridMultilevel"/>
    <w:lvl w:ilvl="0">
      <w:lvlJc w:val="left"/>
      <w:lvlText w:val="•"/>
      <w:numFmt w:val="bullet"/>
      <w:start w:val="1"/>
    </w:lvl>
  </w:abstractNum>
  <w:abstractNum w:abstractNumId="65">
    <w:nsid w:val="15014ACB"/>
    <w:multiLevelType w:val="hybridMultilevel"/>
    <w:lvl w:ilvl="0">
      <w:lvlJc w:val="left"/>
      <w:lvlText w:val="•"/>
      <w:numFmt w:val="bullet"/>
      <w:start w:val="1"/>
    </w:lvl>
  </w:abstractNum>
  <w:abstractNum w:abstractNumId="66">
    <w:nsid w:val="5F5E7FD0"/>
    <w:multiLevelType w:val="hybridMultilevel"/>
    <w:lvl w:ilvl="0">
      <w:lvlJc w:val="left"/>
      <w:lvlText w:val="•"/>
      <w:numFmt w:val="bullet"/>
      <w:start w:val="1"/>
    </w:lvl>
  </w:abstractNum>
  <w:abstractNum w:abstractNumId="67">
    <w:nsid w:val="98A3148"/>
    <w:multiLevelType w:val="hybridMultilevel"/>
    <w:lvl w:ilvl="0">
      <w:lvlJc w:val="left"/>
      <w:lvlText w:val="•"/>
      <w:numFmt w:val="bullet"/>
      <w:start w:val="1"/>
    </w:lvl>
  </w:abstractNum>
  <w:abstractNum w:abstractNumId="68">
    <w:nsid w:val="799D0247"/>
    <w:multiLevelType w:val="hybridMultilevel"/>
    <w:lvl w:ilvl="0">
      <w:lvlJc w:val="left"/>
      <w:lvlText w:val="(%1)"/>
      <w:numFmt w:val="decimal"/>
      <w:start w:val="1"/>
    </w:lvl>
  </w:abstractNum>
  <w:abstractNum w:abstractNumId="69">
    <w:nsid w:val="6B94764"/>
    <w:multiLevelType w:val="hybridMultilevel"/>
    <w:lvl w:ilvl="0">
      <w:lvlJc w:val="left"/>
      <w:lvlText w:val="(%1)"/>
      <w:numFmt w:val="decimal"/>
      <w:start w:val="2"/>
    </w:lvl>
  </w:abstractNum>
  <w:abstractNum w:abstractNumId="70">
    <w:nsid w:val="42C296BD"/>
    <w:multiLevelType w:val="hybridMultilevel"/>
    <w:lvl w:ilvl="0">
      <w:lvlJc w:val="left"/>
      <w:lvlText w:val="(%1)"/>
      <w:numFmt w:val="decimal"/>
      <w:start w:val="1"/>
    </w:lvl>
  </w:abstractNum>
  <w:abstractNum w:abstractNumId="71">
    <w:nsid w:val="168E121F"/>
    <w:multiLevelType w:val="hybridMultilevel"/>
    <w:lvl w:ilvl="0">
      <w:lvlJc w:val="left"/>
      <w:lvlText w:val="•"/>
      <w:numFmt w:val="bullet"/>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2025-04-25T15:32:10Z</dcterms:created>
  <dcterms:modified xsi:type="dcterms:W3CDTF">2025-04-25T15:32:10Z</dcterms:modified>
</cp:coreProperties>
</file>