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Arial;sans-serif" w:hAnsi="Arial;sans-serif"/>
          <w:b/>
          <w:sz w:val="36"/>
        </w:rPr>
      </w:pPr>
      <w:bookmarkStart w:id="0" w:name="notice_of_mtg_2023_defa1.htm"/>
      <w:bookmarkStart w:id="1" w:name="ksnotice_of_mtg_2023_defa1"/>
      <w:bookmarkEnd w:id="0"/>
      <w:bookmarkEnd w:id="1"/>
      <w:r>
        <w:rPr>
          <w:rFonts w:ascii="Arial;sans-serif" w:hAnsi="Arial;sans-serif"/>
          <w:b/>
          <w:sz w:val="36"/>
        </w:rPr>
        <w:t>UNITED STATES</w:t>
      </w:r>
    </w:p>
    <w:p>
      <w:pPr>
        <w:pStyle w:val="TextBody"/>
        <w:spacing w:before="0" w:after="0"/>
        <w:jc w:val="center"/>
        <w:rPr>
          <w:rFonts w:ascii="Times New Roman" w:hAnsi="Times New Roman"/>
          <w:sz w:val="20"/>
        </w:rPr>
      </w:pPr>
      <w:r>
        <w:rPr>
          <w:rFonts w:ascii="Arial;sans-serif" w:hAnsi="Arial;sans-serif"/>
          <w:b/>
          <w:sz w:val="36"/>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2"/>
        </w:rPr>
        <w:t>Washington, D.C. 20549</w:t>
      </w:r>
      <w:r>
        <w:rPr>
          <w:rFonts w:ascii="Times New Roman" w:hAnsi="Times New Roman"/>
          <w:sz w:val="20"/>
        </w:rPr>
        <w:t xml:space="preserve"> </w:t>
      </w:r>
    </w:p>
    <w:p>
      <w:pPr>
        <w:pStyle w:val="TextBody"/>
        <w:spacing w:before="0" w:after="0"/>
        <w:jc w:val="center"/>
        <w:rPr>
          <w:rFonts w:ascii="Arial;sans-serif" w:hAnsi="Arial;sans-serif"/>
          <w:b/>
          <w:sz w:val="36"/>
        </w:rPr>
      </w:pPr>
      <w:r>
        <w:rPr>
          <w:rFonts w:ascii="Arial;sans-serif" w:hAnsi="Arial;sans-serif"/>
          <w:b/>
          <w:sz w:val="36"/>
        </w:rPr>
        <w:t>SCHEDULE 14A</w:t>
      </w:r>
    </w:p>
    <w:p>
      <w:pPr>
        <w:pStyle w:val="TextBody"/>
        <w:spacing w:before="0" w:after="0"/>
        <w:jc w:val="center"/>
        <w:rPr>
          <w:rFonts w:ascii="Times New Roman" w:hAnsi="Times New Roman"/>
          <w:sz w:val="20"/>
        </w:rPr>
      </w:pPr>
      <w:r>
        <w:rPr>
          <w:rFonts w:ascii="Arial;sans-serif" w:hAnsi="Arial;sans-serif"/>
          <w:b/>
          <w:sz w:val="22"/>
        </w:rPr>
        <w:t>Proxy Statement Pursuant to Section 14(a)</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2"/>
        </w:rPr>
        <w:t>of the Securities Exchange Act of 1934</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Filed by the Registrant ☒</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Filed by a Party other than the Registrant ☐</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Check the appropriate box:</w:t>
      </w:r>
      <w:r>
        <w:rPr>
          <w:rFonts w:ascii="Times New Roman" w:hAnsi="Times New Roman"/>
          <w:sz w:val="20"/>
        </w:rPr>
        <w:t xml:space="preserve"> </w:t>
      </w:r>
    </w:p>
    <w:tbl>
      <w:tblPr>
        <w:tblW w:w="7528" w:type="dxa"/>
        <w:jc w:val="left"/>
        <w:tblInd w:w="0" w:type="dxa"/>
        <w:tblCellMar>
          <w:top w:w="28" w:type="dxa"/>
          <w:left w:w="28" w:type="dxa"/>
          <w:bottom w:w="28" w:type="dxa"/>
          <w:right w:w="28" w:type="dxa"/>
        </w:tblCellMar>
      </w:tblPr>
      <w:tblGrid>
        <w:gridCol w:w="331"/>
        <w:gridCol w:w="146"/>
        <w:gridCol w:w="7051"/>
      </w:tblGrid>
      <w:tr>
        <w:trPr/>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05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0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Preliminary Proxy Statement</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0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Confidential, for Use of the Commission Only (as permitted by Rule 14a-6(e)(2))</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0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Definitive Proxy Statement</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0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Definitive Additional Materials</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0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Soliciting Material Pursuant to §240.14a-12</w:t>
            </w:r>
          </w:p>
        </w:tc>
      </w:tr>
    </w:tbl>
    <w:p>
      <w:pPr>
        <w:pStyle w:val="TextBody"/>
        <w:spacing w:before="240" w:after="0"/>
        <w:jc w:val="center"/>
        <w:rPr>
          <w:rFonts w:ascii="Arial;sans-serif" w:hAnsi="Arial;sans-serif"/>
          <w:b/>
          <w:sz w:val="44"/>
        </w:rPr>
      </w:pPr>
      <w:r>
        <w:rPr>
          <w:rFonts w:ascii="Arial;sans-serif" w:hAnsi="Arial;sans-serif"/>
          <w:b/>
          <w:sz w:val="44"/>
        </w:rPr>
        <w:t>Alignment Healthcare, Inc.</w:t>
      </w:r>
    </w:p>
    <w:p>
      <w:pPr>
        <w:pStyle w:val="TextBody"/>
        <w:spacing w:before="0" w:after="0"/>
        <w:jc w:val="center"/>
        <w:rPr>
          <w:rFonts w:ascii="Times New Roman" w:hAnsi="Times New Roman"/>
          <w:sz w:val="20"/>
        </w:rPr>
      </w:pPr>
      <w:r>
        <w:rPr>
          <w:rFonts w:ascii="Arial;sans-serif" w:hAnsi="Arial;sans-serif"/>
          <w:b w:val="false"/>
          <w:sz w:val="20"/>
        </w:rPr>
        <w:t>(Name of registrant as specified in its charter)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16"/>
        </w:rPr>
        <w:t>(Name of Person(s) Filing Proxy Statement, if other than the Registrant)</w:t>
      </w:r>
      <w:r>
        <w:rPr>
          <w:rFonts w:ascii="Times New Roman" w:hAnsi="Times New Roman"/>
          <w:sz w:val="20"/>
        </w:rPr>
        <w:t xml:space="preserve"> </w:t>
      </w:r>
    </w:p>
    <w:p>
      <w:pPr>
        <w:pStyle w:val="TextBody"/>
        <w:spacing w:before="0" w:after="0"/>
        <w:jc w:val="center"/>
        <w:rPr/>
      </w:pPr>
      <w:r>
        <w:rPr/>
        <w:t> </w:t>
      </w:r>
    </w:p>
    <w:p>
      <w:pPr>
        <w:pStyle w:val="TextBody"/>
        <w:spacing w:before="0" w:after="0"/>
        <w:jc w:val="left"/>
        <w:rPr>
          <w:rFonts w:ascii="Times New Roman" w:hAnsi="Times New Roman"/>
          <w:sz w:val="20"/>
        </w:rPr>
      </w:pPr>
      <w:r>
        <w:rPr>
          <w:rFonts w:ascii="Arial;sans-serif" w:hAnsi="Arial;sans-serif"/>
          <w:b w:val="false"/>
          <w:sz w:val="20"/>
        </w:rPr>
        <w:t>Payment of Filing Fee (Check all boxes that apply):</w:t>
      </w:r>
      <w:r>
        <w:rPr>
          <w:rFonts w:ascii="Times New Roman" w:hAnsi="Times New Roman"/>
          <w:sz w:val="20"/>
        </w:rPr>
        <w:t xml:space="preserve"> </w:t>
      </w:r>
    </w:p>
    <w:tbl>
      <w:tblPr>
        <w:tblW w:w="9343" w:type="dxa"/>
        <w:jc w:val="left"/>
        <w:tblInd w:w="0" w:type="dxa"/>
        <w:tblCellMar>
          <w:top w:w="28" w:type="dxa"/>
          <w:left w:w="28" w:type="dxa"/>
          <w:bottom w:w="28" w:type="dxa"/>
          <w:right w:w="28" w:type="dxa"/>
        </w:tblCellMar>
      </w:tblPr>
      <w:tblGrid>
        <w:gridCol w:w="331"/>
        <w:gridCol w:w="146"/>
        <w:gridCol w:w="8866"/>
      </w:tblGrid>
      <w:tr>
        <w:trPr/>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6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8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8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No fee required.</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8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Fee paid previously with preliminary materials.</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8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Fee computed on table in exhibit required by Item 25(b) per Exchange Act Rules 14a-6(i)(1) and 0-11</w:t>
            </w:r>
          </w:p>
        </w:tc>
      </w:tr>
    </w:tbl>
    <w:p>
      <w:pPr>
        <w:pStyle w:val="TextBody"/>
        <w:spacing w:before="0" w:after="0"/>
        <w:jc w:val="left"/>
        <w:rPr/>
      </w:pPr>
      <w:r>
        <w:rPr/>
        <w:t> </w:t>
      </w:r>
    </w:p>
    <w:p>
      <w:pPr>
        <w:pStyle w:val="HorizontalLine"/>
        <w:rPr/>
      </w:pPr>
      <w:r>
        <w:rPr/>
      </w:r>
    </w:p>
    <w:p>
      <w:pPr>
        <w:pStyle w:val="TextBody"/>
        <w:spacing w:before="0" w:after="0"/>
        <w:jc w:val="center"/>
        <w:rPr/>
      </w:pPr>
      <w:r>
        <w:rPr/>
        <w:t> </w:t>
      </w:r>
    </w:p>
    <w:p>
      <w:pPr>
        <w:pStyle w:val="TextBody"/>
        <w:spacing w:before="0" w:after="0"/>
        <w:jc w:val="center"/>
        <w:rPr/>
      </w:pPr>
      <w:r>
        <w:rPr/>
        <w:drawing>
          <wp:inline distT="0" distB="0" distL="0" distR="0">
            <wp:extent cx="6838950" cy="8848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38950" cy="8848725"/>
                    </a:xfrm>
                    <a:prstGeom prst="rect">
                      <a:avLst/>
                    </a:prstGeom>
                  </pic:spPr>
                </pic:pic>
              </a:graphicData>
            </a:graphic>
          </wp:inline>
        </w:drawing>
      </w:r>
      <w:r>
        <w:rPr/>
        <w:t> </w:t>
      </w:r>
    </w:p>
    <w:p>
      <w:pPr>
        <w:pStyle w:val="TextBody"/>
        <w:spacing w:before="0" w:after="0"/>
        <w:jc w:val="left"/>
        <w:rPr>
          <w:rFonts w:ascii="Times New Roman" w:hAnsi="Times New Roman"/>
          <w:sz w:val="20"/>
        </w:rPr>
      </w:pPr>
      <w:r>
        <w:rPr>
          <w:rFonts w:ascii="Calibri;sans-serif" w:hAnsi="Calibri;sans-serif"/>
          <w:b w:val="false"/>
          <w:sz w:val="2"/>
        </w:rPr>
        <w:t>Alignment Healthcare, Inc. Important Notice Regarding the Availability of Proxy Materials Stockholders Meeting to be held on June 6, 2023 For Stockholders of record as of April 10, 2023 Have the 12 digit control number located in the shaded box above available when you access the website and follow the instructions. When requesting via the Internet or telephone you will need the 12 digit control number located in the shaded box above. * If requesting material by e-mail, please send a blank e-mail with the 12 digit control number (located above) in the subject line. No other requests, instructions OR other inquiries should be included with your e-mail requesting material. Alignment Healthcare, Inc. Meeting Type: Date: Time: Place: Annual Meeting of Stockholders Tuesday, June 6, 2023 8:00 AM Pacific Time Annual Meeting to be held live via the Internet Please visit www.proxydocs.com/ALHC for more details. You must register to attend the meeting online and/or participate at www.proxydocs.com/ALHC SEE REVERSE FOR FULL AGENDA INTERNET www.investorelections.com/ALHC TELEPHONE (866) 648-8133 * E-MAIL paper@investorelections.com To order paper materials, use one of the following methods. For a convenient way to view proxy materials and VOTE go to www.proxydocs.com/ALHC If you want to receive a paper or e-mail copy of the proxy material, you must request one. There is no charge to you for requesting a copy. In order to receive a paper package in time for this year's meeting, you must make this request on or before May 26, 2023.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To view the proxy materials, and to obtain directions to attend the meeting, go to: www.proxydocs.com/ALHC To vote your proxy while visiting this site, you will need the 12 digit control number in the box below. Under United States Securities and Exchange Commission rules, proxy materials do not have to be delivered in paper. Proxy materials can be distributed by making them available on the internet. P.O. BOX 8016, CARY, NC 27512-9903</w:t>
      </w:r>
      <w:r>
        <w:rPr>
          <w:rFonts w:ascii="Times New Roman" w:hAnsi="Times New Roman"/>
          <w:sz w:val="20"/>
        </w:rPr>
        <w:t xml:space="preserve"> </w:t>
      </w:r>
    </w:p>
    <w:p>
      <w:pPr>
        <w:pStyle w:val="HorizontalLine"/>
        <w:rPr/>
      </w:pPr>
      <w:r>
        <w:rPr/>
      </w:r>
    </w:p>
    <w:p>
      <w:pPr>
        <w:pStyle w:val="TextBody"/>
        <w:spacing w:before="0" w:after="0"/>
        <w:jc w:val="center"/>
        <w:rPr/>
      </w:pPr>
      <w:r>
        <w:rPr/>
        <w:t> </w:t>
      </w:r>
    </w:p>
    <w:p>
      <w:pPr>
        <w:pStyle w:val="TextBody"/>
        <w:spacing w:before="0" w:after="0"/>
        <w:jc w:val="center"/>
        <w:rPr/>
      </w:pPr>
      <w:r>
        <w:rPr/>
        <w:drawing>
          <wp:inline distT="0" distB="0" distL="0" distR="0">
            <wp:extent cx="6838950" cy="8848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38950" cy="8848725"/>
                    </a:xfrm>
                    <a:prstGeom prst="rect">
                      <a:avLst/>
                    </a:prstGeom>
                  </pic:spPr>
                </pic:pic>
              </a:graphicData>
            </a:graphic>
          </wp:inline>
        </w:drawing>
      </w:r>
      <w:r>
        <w:rPr/>
        <w:t> </w:t>
      </w:r>
    </w:p>
    <w:p>
      <w:pPr>
        <w:pStyle w:val="TextBody"/>
        <w:spacing w:before="0" w:after="0"/>
        <w:jc w:val="left"/>
        <w:rPr>
          <w:rFonts w:ascii="Times New Roman" w:hAnsi="Times New Roman"/>
          <w:sz w:val="20"/>
        </w:rPr>
      </w:pPr>
      <w:r>
        <w:rPr>
          <w:rFonts w:ascii="Calibri;sans-serif" w:hAnsi="Calibri;sans-serif"/>
          <w:b w:val="false"/>
          <w:sz w:val="2"/>
        </w:rPr>
        <w:t>Alignment Healthcare, Inc. Annual Meeting of Stockholders PROPOSAL 1. Election of Directors 1.01 Jody Bilney 1.02 David Hodgson 1.03 Jacqueline Kosecoff 1.04 Jeffrey Margolis 2. Ratify the appointment of Deloitte &amp; Touche LLP as our independent registered public accounting firm for the year ending December 31, 2023. 3. Approve, on an advisory basis, the compensation of our Named Executive Officers. THE BOARD OF DIRECTORS RECOMMENDS A VOTE: FOR EACH DIRECTOR NOMINEE UNDER PROPOSAL 1 AND FOR PROPOSALS 2 AND 3</w:t>
      </w:r>
      <w:r>
        <w:rPr>
          <w:rFonts w:ascii="Times New Roman" w:hAnsi="Times New Roman"/>
          <w:sz w:val="20"/>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583</Words>
  <CharactersWithSpaces>3663</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