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53"/>
          <w:szCs w:val="253"/>
          <w:b w:val="1"/>
          <w:bCs w:val="1"/>
          <w:color w:val="CFE1F1"/>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2025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920"/>
        <w:spacing w:after="0"/>
        <w:rPr>
          <w:sz w:val="20"/>
          <w:szCs w:val="20"/>
          <w:color w:val="auto"/>
        </w:rPr>
      </w:pPr>
      <w:r>
        <w:rPr>
          <w:rFonts w:ascii="Arial" w:cs="Arial" w:eastAsia="Arial" w:hAnsi="Arial"/>
          <w:sz w:val="102"/>
          <w:szCs w:val="102"/>
          <w:b w:val="1"/>
          <w:bCs w:val="1"/>
          <w:color w:val="CFE1F1"/>
        </w:rPr>
        <w:t>ANNUAL REPORT</w:t>
      </w:r>
    </w:p>
    <w:p>
      <w:pPr>
        <w:sectPr>
          <w:pgSz w:w="12240" w:h="15840" w:orient="portrait"/>
          <w:cols w:equalWidth="0" w:num="1">
            <w:col w:w="9780"/>
          </w:cols>
          <w:pgMar w:left="1440" w:top="307" w:right="1020" w:bottom="3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2540"/>
        <w:spacing w:after="0"/>
        <w:rPr>
          <w:sz w:val="20"/>
          <w:szCs w:val="20"/>
          <w:color w:val="auto"/>
        </w:rPr>
      </w:pPr>
      <w:r>
        <w:rPr>
          <w:rFonts w:ascii="Arial" w:cs="Arial" w:eastAsia="Arial" w:hAnsi="Arial"/>
          <w:sz w:val="27"/>
          <w:szCs w:val="27"/>
          <w:color w:val="FFFFFF"/>
        </w:rPr>
        <w:t>ALIGNMENT HEALTHCARE, INC.</w:t>
      </w:r>
    </w:p>
    <w:p>
      <w:pPr>
        <w:sectPr>
          <w:pgSz w:w="12240" w:h="15840" w:orient="portrait"/>
          <w:cols w:equalWidth="0" w:num="1">
            <w:col w:w="9780"/>
          </w:cols>
          <w:pgMar w:left="1440" w:top="307" w:right="1020" w:bottom="31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247015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8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440" w:hanging="397"/>
        <w:spacing w:after="0" w:line="180" w:lineRule="auto"/>
        <w:tabs>
          <w:tab w:leader="none" w:pos="440" w:val="left"/>
        </w:tabs>
        <w:numPr>
          <w:ilvl w:val="0"/>
          <w:numId w:val="1"/>
        </w:numPr>
        <w:rPr>
          <w:rFonts w:ascii="Wingdings" w:cs="Wingdings" w:eastAsia="Wingdings" w:hAnsi="Wingdings"/>
          <w:sz w:val="36"/>
          <w:szCs w:val="36"/>
          <w:b w:val="1"/>
          <w:bCs w:val="1"/>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9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360" w:type="dxa"/>
            <w:vAlign w:val="bottom"/>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rPr>
              <w:t>OR</w:t>
            </w:r>
          </w:p>
        </w:tc>
        <w:tc>
          <w:tcPr>
            <w:tcW w:w="0" w:type="dxa"/>
            <w:vAlign w:val="bottom"/>
          </w:tcPr>
          <w:p>
            <w:pPr>
              <w:spacing w:after="0"/>
              <w:rPr>
                <w:sz w:val="1"/>
                <w:szCs w:val="1"/>
                <w:color w:val="auto"/>
              </w:rPr>
            </w:pPr>
          </w:p>
        </w:tc>
      </w:tr>
      <w:tr>
        <w:trPr>
          <w:trHeight w:val="258"/>
        </w:trPr>
        <w:tc>
          <w:tcPr>
            <w:tcW w:w="28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o</w:t>
            </w:r>
          </w:p>
        </w:tc>
        <w:tc>
          <w:tcPr>
            <w:tcW w:w="9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8"/>
        </w:trPr>
        <w:tc>
          <w:tcPr>
            <w:tcW w:w="280" w:type="dxa"/>
            <w:vAlign w:val="bottom"/>
            <w:vMerge w:val="continue"/>
          </w:tcPr>
          <w:p>
            <w:pPr>
              <w:spacing w:after="0"/>
              <w:rPr>
                <w:sz w:val="20"/>
                <w:szCs w:val="20"/>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001-40295</w:t>
      </w:r>
    </w:p>
    <w:p>
      <w:pPr>
        <w:spacing w:after="0" w:line="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ALIGNMENT HEALTHCARE, INC.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w:t>
      </w:r>
    </w:p>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264"/>
        </w:trPr>
        <w:tc>
          <w:tcPr>
            <w:tcW w:w="5120" w:type="dxa"/>
            <w:vAlign w:val="bottom"/>
          </w:tcPr>
          <w:p>
            <w:pPr>
              <w:jc w:val="center"/>
              <w:ind w:right="1135"/>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46-5596242</w:t>
            </w:r>
          </w:p>
        </w:tc>
      </w:tr>
      <w:tr>
        <w:trPr>
          <w:trHeight w:val="215"/>
        </w:trPr>
        <w:tc>
          <w:tcPr>
            <w:tcW w:w="512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3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5120" w:type="dxa"/>
            <w:vAlign w:val="bottom"/>
          </w:tcPr>
          <w:p>
            <w:pPr>
              <w:jc w:val="center"/>
              <w:ind w:right="113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3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6"/>
        </w:trPr>
        <w:tc>
          <w:tcPr>
            <w:tcW w:w="5120" w:type="dxa"/>
            <w:vAlign w:val="bottom"/>
          </w:tcPr>
          <w:p>
            <w:pPr>
              <w:jc w:val="center"/>
              <w:ind w:right="1155"/>
              <w:spacing w:after="0"/>
              <w:rPr>
                <w:sz w:val="20"/>
                <w:szCs w:val="20"/>
                <w:color w:val="auto"/>
              </w:rPr>
            </w:pPr>
            <w:r>
              <w:rPr>
                <w:rFonts w:ascii="Times New Roman" w:cs="Times New Roman" w:eastAsia="Times New Roman" w:hAnsi="Times New Roman"/>
                <w:sz w:val="20"/>
                <w:szCs w:val="20"/>
                <w:b w:val="1"/>
                <w:bCs w:val="1"/>
                <w:color w:val="auto"/>
              </w:rPr>
              <w:t>1100 W. Town and Country Road, Suite 1600</w:t>
            </w:r>
          </w:p>
        </w:tc>
        <w:tc>
          <w:tcPr>
            <w:tcW w:w="2320" w:type="dxa"/>
            <w:vAlign w:val="bottom"/>
          </w:tcPr>
          <w:p>
            <w:pPr>
              <w:spacing w:after="0"/>
              <w:rPr>
                <w:sz w:val="23"/>
                <w:szCs w:val="23"/>
                <w:color w:val="auto"/>
              </w:rPr>
            </w:pPr>
          </w:p>
        </w:tc>
      </w:tr>
      <w:tr>
        <w:trPr>
          <w:trHeight w:val="264"/>
        </w:trPr>
        <w:tc>
          <w:tcPr>
            <w:tcW w:w="5120" w:type="dxa"/>
            <w:vAlign w:val="bottom"/>
          </w:tcPr>
          <w:p>
            <w:pPr>
              <w:jc w:val="center"/>
              <w:ind w:right="1135"/>
              <w:spacing w:after="0"/>
              <w:rPr>
                <w:sz w:val="20"/>
                <w:szCs w:val="20"/>
                <w:color w:val="auto"/>
              </w:rPr>
            </w:pPr>
            <w:r>
              <w:rPr>
                <w:rFonts w:ascii="Times New Roman" w:cs="Times New Roman" w:eastAsia="Times New Roman" w:hAnsi="Times New Roman"/>
                <w:sz w:val="20"/>
                <w:szCs w:val="20"/>
                <w:b w:val="1"/>
                <w:bCs w:val="1"/>
                <w:color w:val="auto"/>
                <w:w w:val="99"/>
              </w:rPr>
              <w:t>Orange, California</w:t>
            </w:r>
          </w:p>
        </w:tc>
        <w:tc>
          <w:tcPr>
            <w:tcW w:w="2320" w:type="dxa"/>
            <w:vAlign w:val="bottom"/>
          </w:tcPr>
          <w:p>
            <w:pPr>
              <w:jc w:val="right"/>
              <w:ind w:right="218"/>
              <w:spacing w:after="0"/>
              <w:rPr>
                <w:sz w:val="20"/>
                <w:szCs w:val="20"/>
                <w:color w:val="auto"/>
              </w:rPr>
            </w:pPr>
            <w:r>
              <w:rPr>
                <w:rFonts w:ascii="Times New Roman" w:cs="Times New Roman" w:eastAsia="Times New Roman" w:hAnsi="Times New Roman"/>
                <w:sz w:val="20"/>
                <w:szCs w:val="20"/>
                <w:b w:val="1"/>
                <w:bCs w:val="1"/>
                <w:color w:val="auto"/>
              </w:rPr>
              <w:t>92868</w:t>
            </w:r>
          </w:p>
        </w:tc>
      </w:tr>
      <w:tr>
        <w:trPr>
          <w:trHeight w:val="235"/>
        </w:trPr>
        <w:tc>
          <w:tcPr>
            <w:tcW w:w="5120" w:type="dxa"/>
            <w:vAlign w:val="bottom"/>
          </w:tcPr>
          <w:p>
            <w:pPr>
              <w:jc w:val="center"/>
              <w:ind w:right="115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jc w:val="center"/>
              <w:ind w:left="1158"/>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310-2247</w:t>
      </w:r>
    </w:p>
    <w:p>
      <w:pPr>
        <w:spacing w:after="0" w:line="3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6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7"/>
        </w:trPr>
        <w:tc>
          <w:tcPr>
            <w:tcW w:w="3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6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60" w:type="dxa"/>
            <w:vAlign w:val="bottom"/>
          </w:tcPr>
          <w:p>
            <w:pPr>
              <w:spacing w:after="0"/>
              <w:rPr>
                <w:sz w:val="22"/>
                <w:szCs w:val="22"/>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ALHC</w:t>
            </w:r>
          </w:p>
        </w:tc>
        <w:tc>
          <w:tcPr>
            <w:tcW w:w="60" w:type="dxa"/>
            <w:vAlign w:val="bottom"/>
          </w:tcPr>
          <w:p>
            <w:pPr>
              <w:spacing w:after="0"/>
              <w:rPr>
                <w:sz w:val="22"/>
                <w:szCs w:val="22"/>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84" w:lineRule="exact"/>
        <w:rPr>
          <w:sz w:val="20"/>
          <w:szCs w:val="20"/>
          <w:color w:val="auto"/>
        </w:rPr>
      </w:pPr>
    </w:p>
    <w:p>
      <w:pPr>
        <w:ind w:right="1240"/>
        <w:spacing w:after="0" w:line="350"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20" w:type="dxa"/>
            <w:vAlign w:val="bottom"/>
          </w:tcPr>
          <w:p>
            <w:pPr>
              <w:ind w:left="340"/>
              <w:spacing w:after="0"/>
              <w:rPr>
                <w:sz w:val="20"/>
                <w:szCs w:val="20"/>
                <w:color w:val="auto"/>
              </w:rPr>
            </w:pPr>
            <w:r>
              <w:rPr>
                <w:rFonts w:ascii="Wingdings" w:cs="Wingdings" w:eastAsia="Wingdings" w:hAnsi="Wingdings"/>
                <w:sz w:val="18"/>
                <w:szCs w:val="18"/>
                <w:b w:val="1"/>
                <w:bCs w:val="1"/>
                <w:color w:val="auto"/>
              </w:rPr>
              <w:t>x</w:t>
            </w:r>
          </w:p>
        </w:tc>
        <w:tc>
          <w:tcPr>
            <w:tcW w:w="43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rPr>
                <w:sz w:val="20"/>
                <w:szCs w:val="20"/>
                <w:color w:val="auto"/>
              </w:rPr>
            </w:pPr>
            <w:r>
              <w:rPr>
                <w:rFonts w:ascii="Wingdings" w:cs="Wingdings" w:eastAsia="Wingdings" w:hAnsi="Wingdings"/>
                <w:sz w:val="16"/>
                <w:szCs w:val="16"/>
                <w:b w:val="1"/>
                <w:bCs w:val="1"/>
                <w:color w:val="auto"/>
                <w:w w:val="83"/>
              </w:rPr>
              <w:t>o</w:t>
            </w:r>
          </w:p>
        </w:tc>
      </w:tr>
      <w:tr>
        <w:trPr>
          <w:trHeight w:val="34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2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rPr>
                <w:sz w:val="20"/>
                <w:szCs w:val="20"/>
                <w:color w:val="auto"/>
              </w:rPr>
            </w:pPr>
            <w:r>
              <w:rPr>
                <w:rFonts w:ascii="Wingdings" w:cs="Wingdings" w:eastAsia="Wingdings" w:hAnsi="Wingdings"/>
                <w:sz w:val="16"/>
                <w:szCs w:val="16"/>
                <w:b w:val="1"/>
                <w:bCs w:val="1"/>
                <w:color w:val="auto"/>
                <w:w w:val="83"/>
              </w:rPr>
              <w:t>o</w:t>
            </w:r>
          </w:p>
        </w:tc>
      </w:tr>
      <w:tr>
        <w:trPr>
          <w:trHeight w:val="36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2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43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3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ectPr>
          <w:pgSz w:w="12240" w:h="15840" w:orient="portrait"/>
          <w:cols w:equalWidth="0" w:num="1">
            <w:col w:w="9900"/>
          </w:cols>
          <w:pgMar w:left="1180" w:top="304" w:right="1160" w:bottom="797"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9" w:lineRule="exact"/>
        <w:rPr>
          <w:sz w:val="20"/>
          <w:szCs w:val="20"/>
          <w:color w:val="auto"/>
        </w:rPr>
      </w:pPr>
    </w:p>
    <w:p>
      <w:pPr>
        <w:ind w:right="420"/>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31" w:lineRule="exact"/>
        <w:rPr>
          <w:sz w:val="20"/>
          <w:szCs w:val="20"/>
          <w:color w:val="auto"/>
        </w:rPr>
      </w:pPr>
    </w:p>
    <w:p>
      <w:pPr>
        <w:ind w:right="18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3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84" w:lineRule="exact"/>
        <w:tabs>
          <w:tab w:leader="none" w:pos="80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b w:val="1"/>
          <w:bCs w:val="1"/>
          <w:color w:val="auto"/>
        </w:rPr>
        <w:t>☒</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color w:val="auto"/>
        </w:rPr>
        <w:t>The aggregate market value of voting shares held by non-affiliates of the Registrant was $2,060,116,814 as of June 30, 2025, the last business day of the Registrant’s most recently completed second fiscal quarter (based on a closing price of $14.00 per share). This determination of affiliate status is not necessarily a conclusive determination for other purposes. The registrant has no non-voting common stock.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2026, the registrant had 204,296,493 shares of common stock, $0.001 par value per share, outstanding.</w:t>
      </w:r>
    </w:p>
    <w:p>
      <w:pPr>
        <w:spacing w:after="0" w:line="6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6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6"/>
          <w:szCs w:val="16"/>
          <w:color w:val="auto"/>
        </w:rPr>
        <w:t>The information required by Part III of this Annual Report, to the extent not set forth herein, is incorporated herein by reference from the registrant’s definitive proxy statement relating to the Annual Meeting of Shareholders to be held in 2026, which definitive proxy statement shall be filed with the Securities and Exchange Commission within 120 days after the end of the fiscal year to which this Annual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85090</wp:posOffset>
            </wp:positionV>
            <wp:extent cx="6337300"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880"/>
          </w:cols>
          <w:pgMar w:left="1180" w:top="304" w:right="118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7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9"/>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460" w:type="dxa"/>
            <w:vAlign w:val="bottom"/>
            <w:gridSpan w:val="21"/>
          </w:tcPr>
          <w:p>
            <w:pPr>
              <w:spacing w:after="0"/>
              <w:rPr>
                <w:sz w:val="21"/>
                <w:szCs w:val="2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9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1B.</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60" w:type="dxa"/>
            <w:vAlign w:val="bottom"/>
            <w:gridSpan w:val="11"/>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100" w:type="dxa"/>
            <w:vAlign w:val="bottom"/>
            <w:gridSpan w:val="17"/>
          </w:tcPr>
          <w:p>
            <w:pPr>
              <w:spacing w:after="0"/>
              <w:rPr>
                <w:sz w:val="23"/>
                <w:szCs w:val="23"/>
                <w:color w:val="auto"/>
              </w:rPr>
            </w:pPr>
          </w:p>
        </w:tc>
      </w:tr>
      <w:tr>
        <w:trPr>
          <w:trHeight w:val="20"/>
        </w:trPr>
        <w:tc>
          <w:tcPr>
            <w:tcW w:w="9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760" w:type="dxa"/>
            <w:vAlign w:val="bottom"/>
            <w:gridSpan w:val="15"/>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58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9"/>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r>
      <w:tr>
        <w:trPr>
          <w:trHeight w:val="20"/>
        </w:trPr>
        <w:tc>
          <w:tcPr>
            <w:tcW w:w="9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23"/>
                <w:szCs w:val="23"/>
                <w:color w:val="auto"/>
              </w:rPr>
            </w:pPr>
          </w:p>
        </w:tc>
        <w:tc>
          <w:tcPr>
            <w:tcW w:w="1640" w:type="dxa"/>
            <w:vAlign w:val="bottom"/>
            <w:gridSpan w:val="3"/>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8.</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20"/>
        </w:trPr>
        <w:tc>
          <w:tcPr>
            <w:tcW w:w="9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620" w:type="dxa"/>
            <w:vAlign w:val="bottom"/>
            <w:gridSpan w:val="2"/>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9A.</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3"/>
                <w:szCs w:val="23"/>
                <w:color w:val="auto"/>
              </w:rPr>
            </w:pPr>
          </w:p>
        </w:tc>
        <w:tc>
          <w:tcPr>
            <w:tcW w:w="6340" w:type="dxa"/>
            <w:vAlign w:val="bottom"/>
            <w:gridSpan w:val="13"/>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9C.</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r>
      <w:tr>
        <w:trPr>
          <w:trHeight w:val="58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9"/>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000" w:type="dxa"/>
            <w:vAlign w:val="bottom"/>
            <w:gridSpan w:val="7"/>
          </w:tcPr>
          <w:p>
            <w:pPr>
              <w:spacing w:after="0"/>
              <w:rPr>
                <w:sz w:val="21"/>
                <w:szCs w:val="2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11.</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r>
      <w:tr>
        <w:trPr>
          <w:trHeight w:val="20"/>
        </w:trPr>
        <w:tc>
          <w:tcPr>
            <w:tcW w:w="98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12.</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23"/>
                <w:szCs w:val="23"/>
                <w:color w:val="auto"/>
              </w:rPr>
            </w:pPr>
          </w:p>
        </w:tc>
        <w:tc>
          <w:tcPr>
            <w:tcW w:w="820" w:type="dxa"/>
            <w:vAlign w:val="bottom"/>
          </w:tcPr>
          <w:p>
            <w:pPr>
              <w:spacing w:after="0"/>
              <w:rPr>
                <w:sz w:val="23"/>
                <w:szCs w:val="23"/>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14.</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r>
      <w:tr>
        <w:trPr>
          <w:trHeight w:val="586"/>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9"/>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200" w:type="dxa"/>
            <w:vAlign w:val="bottom"/>
            <w:gridSpan w:val="9"/>
          </w:tcPr>
          <w:p>
            <w:pPr>
              <w:spacing w:after="0"/>
              <w:rPr>
                <w:sz w:val="21"/>
                <w:szCs w:val="21"/>
                <w:color w:val="auto"/>
              </w:rPr>
            </w:pPr>
          </w:p>
        </w:tc>
      </w:tr>
      <w:tr>
        <w:trPr>
          <w:trHeight w:val="265"/>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Item 16.</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r>
      <w:tr>
        <w:trPr>
          <w:trHeight w:val="265"/>
        </w:trPr>
        <w:tc>
          <w:tcPr>
            <w:tcW w:w="980" w:type="dxa"/>
            <w:vAlign w:val="bottom"/>
          </w:tcPr>
          <w:p>
            <w:pPr>
              <w:spacing w:after="0"/>
              <w:rPr>
                <w:sz w:val="23"/>
                <w:szCs w:val="23"/>
                <w:color w:val="auto"/>
              </w:rPr>
            </w:pPr>
          </w:p>
        </w:tc>
        <w:tc>
          <w:tcPr>
            <w:tcW w:w="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60" w:type="dxa"/>
            <w:vAlign w:val="bottom"/>
            <w:tcBorders>
              <w:top w:val="single" w:sz="8" w:color="0000FF"/>
            </w:tcBorders>
            <w:gridSpan w:val="5"/>
          </w:tcPr>
          <w:p>
            <w:pPr>
              <w:spacing w:after="0"/>
              <w:rPr>
                <w:sz w:val="23"/>
                <w:szCs w:val="23"/>
                <w:color w:val="auto"/>
              </w:rPr>
            </w:pPr>
          </w:p>
        </w:tc>
        <w:tc>
          <w:tcPr>
            <w:tcW w:w="6560" w:type="dxa"/>
            <w:vAlign w:val="bottom"/>
            <w:gridSpan w:val="14"/>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29210</wp:posOffset>
                </wp:positionV>
                <wp:extent cx="43815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3pt" to="26.5pt,2.3pt" o:allowincell="f" strokecolor="#000000" strokeweight="1pt"/>
            </w:pict>
          </mc:Fallback>
        </mc:AlternateConten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ectPr>
          <w:pgSz w:w="12240" w:h="15840" w:orient="portrait"/>
          <w:cols w:equalWidth="0" w:num="2">
            <w:col w:w="9120" w:space="240"/>
            <w:col w:w="480"/>
          </w:cols>
          <w:pgMar w:left="1180" w:top="304" w:right="1220"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840"/>
          </w:cols>
          <w:pgMar w:left="1180" w:top="304" w:right="1220" w:bottom="34"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Throughout this annual report on Form 10-K (this “Annual Report”), we make “forward-looking statements” within the meaning of the U.S. Private Securities Litigation Reform Act of 1995. All statements other than statements of historical fact included in this Annual Report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The forward-looking statements contained in this Annual Report are generally located in the material set forth under the heading </w:t>
      </w:r>
      <w:r>
        <w:rPr>
          <w:rFonts w:ascii="Times New Roman" w:cs="Times New Roman" w:eastAsia="Times New Roman" w:hAnsi="Times New Roman"/>
          <w:sz w:val="18"/>
          <w:szCs w:val="18"/>
          <w:b w:val="1"/>
          <w:bCs w:val="1"/>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but may be found in other locations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statements are based upon management’s current expectations, assumptions and estimates and are not guarantees of timing, future results or performance. All forward-looking statements are subject to risks and uncertainties that may cause actual results to differ materially from those that we expected, including:</w:t>
      </w:r>
    </w:p>
    <w:p>
      <w:pPr>
        <w:spacing w:after="0" w:line="96" w:lineRule="exact"/>
        <w:rPr>
          <w:sz w:val="20"/>
          <w:szCs w:val="20"/>
          <w:color w:val="auto"/>
        </w:rPr>
      </w:pPr>
    </w:p>
    <w:p>
      <w:pPr>
        <w:ind w:left="2520" w:right="46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and our ability to achieve or maintain profitability in an environment of increasing expenses;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and our ability to realize expected results;</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members and to successfully enter into new markets;</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pricing of our products and services;</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 rating for our plans on the Five Star Quality Rating System;</w:t>
      </w:r>
    </w:p>
    <w:p>
      <w:pPr>
        <w:spacing w:after="0" w:line="129" w:lineRule="exact"/>
        <w:rPr>
          <w:rFonts w:ascii="Times New Roman" w:cs="Times New Roman" w:eastAsia="Times New Roman" w:hAnsi="Times New Roman"/>
          <w:sz w:val="18"/>
          <w:szCs w:val="18"/>
          <w:color w:val="auto"/>
        </w:rPr>
      </w:pPr>
    </w:p>
    <w:p>
      <w:pPr>
        <w:ind w:left="2520" w:right="42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satisfactory relationships with care providers that service our members;</w:t>
      </w:r>
    </w:p>
    <w:p>
      <w:pPr>
        <w:spacing w:after="0" w:line="65" w:lineRule="exact"/>
        <w:rPr>
          <w:rFonts w:ascii="Times New Roman" w:cs="Times New Roman" w:eastAsia="Times New Roman" w:hAnsi="Times New Roman"/>
          <w:sz w:val="18"/>
          <w:szCs w:val="18"/>
          <w:color w:val="auto"/>
        </w:rPr>
      </w:pPr>
    </w:p>
    <w:p>
      <w:pPr>
        <w:ind w:left="2520" w:right="50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execute our business plan, maintain high levels of service and member satisfaction or adequately address competitive challenges;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129" w:lineRule="exact"/>
        <w:rPr>
          <w:rFonts w:ascii="Times New Roman" w:cs="Times New Roman" w:eastAsia="Times New Roman" w:hAnsi="Times New Roman"/>
          <w:sz w:val="18"/>
          <w:szCs w:val="18"/>
          <w:color w:val="auto"/>
        </w:rPr>
      </w:pPr>
    </w:p>
    <w:p>
      <w:pPr>
        <w:ind w:left="2520" w:right="34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cybersecurity breaches, loss of data or other disruptions causing the compromise of sensitive information or preventing us from accessing critical information;</w:t>
      </w:r>
    </w:p>
    <w:p>
      <w:pPr>
        <w:spacing w:after="0" w:line="65" w:lineRule="exact"/>
        <w:rPr>
          <w:rFonts w:ascii="Times New Roman" w:cs="Times New Roman" w:eastAsia="Times New Roman" w:hAnsi="Times New Roman"/>
          <w:sz w:val="18"/>
          <w:szCs w:val="18"/>
          <w:color w:val="auto"/>
        </w:rPr>
      </w:pPr>
    </w:p>
    <w:p>
      <w:pPr>
        <w:ind w:left="2520" w:right="12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management continuity planning;</w:t>
      </w:r>
    </w:p>
    <w:p>
      <w:pPr>
        <w:spacing w:after="0" w:line="65" w:lineRule="exact"/>
        <w:rPr>
          <w:rFonts w:ascii="Times New Roman" w:cs="Times New Roman" w:eastAsia="Times New Roman" w:hAnsi="Times New Roman"/>
          <w:sz w:val="18"/>
          <w:szCs w:val="18"/>
          <w:color w:val="auto"/>
        </w:rPr>
      </w:pPr>
    </w:p>
    <w:p>
      <w:pPr>
        <w:ind w:left="2520" w:right="6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reimbursements by the Centers for Medicare and Medicaid Services ("CMS") and premium payments by individuals;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associated with being a government contractor;</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healthcare services industry becoming more cyclical;</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acquisitions, divestitures and other significant transactions successfully;</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enhance and protect our reputation and brand recognition;</w:t>
      </w:r>
    </w:p>
    <w:p>
      <w:pPr>
        <w:spacing w:after="0" w:line="129" w:lineRule="exact"/>
        <w:rPr>
          <w:rFonts w:ascii="Times New Roman" w:cs="Times New Roman" w:eastAsia="Times New Roman" w:hAnsi="Times New Roman"/>
          <w:sz w:val="18"/>
          <w:szCs w:val="18"/>
          <w:color w:val="auto"/>
        </w:rPr>
      </w:pPr>
    </w:p>
    <w:p>
      <w:pPr>
        <w:ind w:left="2520" w:right="120" w:hanging="1270"/>
        <w:spacing w:after="0" w:line="312" w:lineRule="auto"/>
        <w:tabs>
          <w:tab w:leader="none" w:pos="25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invest in, implement improvements to and properly maintain the uninterrupted operation and data integrity of our information technology and other business systems;</w:t>
      </w:r>
    </w:p>
    <w:p>
      <w:pPr>
        <w:spacing w:after="0" w:line="43" w:lineRule="exact"/>
        <w:rPr>
          <w:rFonts w:ascii="Times New Roman" w:cs="Times New Roman" w:eastAsia="Times New Roman" w:hAnsi="Times New Roman"/>
          <w:sz w:val="17"/>
          <w:szCs w:val="17"/>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intellectual property protection for our technology;</w:t>
      </w:r>
    </w:p>
    <w:p>
      <w:pPr>
        <w:spacing w:after="0" w:line="129" w:lineRule="exact"/>
        <w:rPr>
          <w:rFonts w:ascii="Times New Roman" w:cs="Times New Roman" w:eastAsia="Times New Roman" w:hAnsi="Times New Roman"/>
          <w:sz w:val="18"/>
          <w:szCs w:val="18"/>
          <w:color w:val="auto"/>
        </w:rPr>
      </w:pPr>
    </w:p>
    <w:p>
      <w:pPr>
        <w:ind w:left="2520" w:right="14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restrictions on our use of or ability to license data or our failure to license data and integrate third-party technologies;</w:t>
      </w:r>
    </w:p>
    <w:p>
      <w:pPr>
        <w:spacing w:after="0" w:line="65" w:lineRule="exact"/>
        <w:rPr>
          <w:rFonts w:ascii="Times New Roman" w:cs="Times New Roman" w:eastAsia="Times New Roman" w:hAnsi="Times New Roman"/>
          <w:sz w:val="18"/>
          <w:szCs w:val="18"/>
          <w:color w:val="auto"/>
        </w:rPr>
      </w:pPr>
    </w:p>
    <w:p>
      <w:pPr>
        <w:ind w:left="2520" w:right="10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potential adverse impacts of legal proceedings and litigation, including intellectual property and privacy disputes;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health plans in a limited number of U.S. states;</w:t>
      </w:r>
    </w:p>
    <w:p>
      <w:pPr>
        <w:spacing w:after="0" w:line="129" w:lineRule="exact"/>
        <w:rPr>
          <w:rFonts w:ascii="Times New Roman" w:cs="Times New Roman" w:eastAsia="Times New Roman" w:hAnsi="Times New Roman"/>
          <w:sz w:val="18"/>
          <w:szCs w:val="18"/>
          <w:color w:val="auto"/>
        </w:rPr>
      </w:pPr>
    </w:p>
    <w:p>
      <w:pPr>
        <w:ind w:left="2520" w:right="12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service all of our indebtedness and the potential impact of certain affirmative and negative covenants in our credit agreement on our business;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shortages of qualified personnel and related increases in our labor costs;</w:t>
      </w:r>
    </w:p>
    <w:p>
      <w:pPr>
        <w:spacing w:after="0" w:line="129" w:lineRule="exact"/>
        <w:rPr>
          <w:rFonts w:ascii="Times New Roman" w:cs="Times New Roman" w:eastAsia="Times New Roman" w:hAnsi="Times New Roman"/>
          <w:sz w:val="18"/>
          <w:szCs w:val="18"/>
          <w:color w:val="auto"/>
        </w:rPr>
      </w:pPr>
    </w:p>
    <w:p>
      <w:pPr>
        <w:ind w:left="2520" w:right="740" w:hanging="1270"/>
        <w:spacing w:after="0" w:line="282" w:lineRule="auto"/>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records may contain inaccurate or unsupportable information regarding risk adjustment scores of members;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expenses;</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publicity regarding the managed healthcare industry;</w:t>
      </w:r>
    </w:p>
    <w:p>
      <w:pPr>
        <w:sectPr>
          <w:pgSz w:w="12240" w:h="15840" w:orient="portrait"/>
          <w:cols w:equalWidth="0" w:num="1">
            <w:col w:w="9880"/>
          </w:cols>
          <w:pgMar w:left="1180" w:top="304" w:right="1180" w:bottom="11"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880"/>
          </w:cols>
          <w:pgMar w:left="1180" w:top="304" w:right="1180" w:bottom="11"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2520" w:right="2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 on our clinics, the centers out of which our external providers operate, and the facilities that host our AVA platform (as defined below);</w:t>
      </w:r>
    </w:p>
    <w:p>
      <w:pPr>
        <w:spacing w:after="0" w:line="65" w:lineRule="exact"/>
        <w:rPr>
          <w:rFonts w:ascii="Times New Roman" w:cs="Times New Roman" w:eastAsia="Times New Roman" w:hAnsi="Times New Roman"/>
          <w:sz w:val="18"/>
          <w:szCs w:val="18"/>
          <w:color w:val="auto"/>
        </w:rPr>
      </w:pPr>
    </w:p>
    <w:p>
      <w:pPr>
        <w:ind w:left="2520" w:right="48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risk agreements with hospitals, physicians, nurses, pharmacists and medical support staff;</w:t>
      </w:r>
    </w:p>
    <w:p>
      <w:pPr>
        <w:spacing w:after="0" w:line="65" w:lineRule="exact"/>
        <w:rPr>
          <w:rFonts w:ascii="Times New Roman" w:cs="Times New Roman" w:eastAsia="Times New Roman" w:hAnsi="Times New Roman"/>
          <w:sz w:val="18"/>
          <w:szCs w:val="18"/>
          <w:color w:val="auto"/>
        </w:rPr>
      </w:pPr>
    </w:p>
    <w:p>
      <w:pPr>
        <w:ind w:left="2520" w:right="12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estimating the amount of liabilities that we recognize under our risk agreements with providers;</w:t>
      </w:r>
    </w:p>
    <w:p>
      <w:pPr>
        <w:spacing w:after="0" w:line="65" w:lineRule="exact"/>
        <w:rPr>
          <w:rFonts w:ascii="Times New Roman" w:cs="Times New Roman" w:eastAsia="Times New Roman" w:hAnsi="Times New Roman"/>
          <w:sz w:val="18"/>
          <w:szCs w:val="18"/>
          <w:color w:val="auto"/>
        </w:rPr>
      </w:pPr>
    </w:p>
    <w:p>
      <w:pPr>
        <w:ind w:left="2520" w:right="6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 including but not limited to, increased inflation and higher interest rates;</w:t>
      </w:r>
    </w:p>
    <w:p>
      <w:pPr>
        <w:spacing w:after="0" w:line="65" w:lineRule="exact"/>
        <w:rPr>
          <w:rFonts w:ascii="Times New Roman" w:cs="Times New Roman" w:eastAsia="Times New Roman" w:hAnsi="Times New Roman"/>
          <w:sz w:val="18"/>
          <w:szCs w:val="18"/>
          <w:color w:val="auto"/>
        </w:rPr>
      </w:pPr>
    </w:p>
    <w:p>
      <w:pPr>
        <w:ind w:left="252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 economic downturn, including pressure on governmental budgets and reduced spending for health and human service programs;</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proper and effective internal control over financial reporting;</w:t>
      </w:r>
    </w:p>
    <w:p>
      <w:pPr>
        <w:spacing w:after="0" w:line="129"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Medicare spending;</w:t>
      </w:r>
    </w:p>
    <w:p>
      <w:pPr>
        <w:spacing w:after="0" w:line="129" w:lineRule="exact"/>
        <w:rPr>
          <w:rFonts w:ascii="Times New Roman" w:cs="Times New Roman" w:eastAsia="Times New Roman" w:hAnsi="Times New Roman"/>
          <w:sz w:val="18"/>
          <w:szCs w:val="18"/>
          <w:color w:val="auto"/>
        </w:rPr>
      </w:pPr>
    </w:p>
    <w:p>
      <w:pPr>
        <w:ind w:left="2520" w:right="320" w:hanging="1270"/>
        <w:spacing w:after="0" w:line="282" w:lineRule="auto"/>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federal, state and local rules and regulations, including those relating to data privacy and security; and</w:t>
      </w:r>
    </w:p>
    <w:p>
      <w:pPr>
        <w:spacing w:after="0" w:line="65" w:lineRule="exact"/>
        <w:rPr>
          <w:rFonts w:ascii="Times New Roman" w:cs="Times New Roman" w:eastAsia="Times New Roman" w:hAnsi="Times New Roman"/>
          <w:sz w:val="18"/>
          <w:szCs w:val="18"/>
          <w:color w:val="auto"/>
        </w:rPr>
      </w:pPr>
    </w:p>
    <w:p>
      <w:pPr>
        <w:ind w:left="2520" w:hanging="1270"/>
        <w:spacing w:after="0"/>
        <w:tabs>
          <w:tab w:leader="none" w:pos="2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Annual Report.</w:t>
      </w:r>
    </w:p>
    <w:p>
      <w:pPr>
        <w:spacing w:after="0" w:line="2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 this Annual Report.</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Annual Report in the context of these risks and uncertainties.</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are made only as of the date hereof. We undertake no obligation to update or revise any forward-looking statement as a result of new information, future events or otherwise, except as otherwise required by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 This information involves a number of assumptions and limitations, and you are cautioned not to give undue weight to such estimates. While we believe the information presented in this Annual Report is generally reliable, forecasts, assumptions, expectations, beliefs, estimates and projects involve risk and uncertainties and are subject to change based on various factors, including those described under </w:t>
      </w:r>
      <w:r>
        <w:rPr>
          <w:rFonts w:ascii="Times New Roman" w:cs="Times New Roman" w:eastAsia="Times New Roman" w:hAnsi="Times New Roman"/>
          <w:sz w:val="18"/>
          <w:szCs w:val="18"/>
          <w:b w:val="1"/>
          <w:bCs w:val="1"/>
          <w:i w:val="1"/>
          <w:iCs w:val="1"/>
          <w:color w:val="auto"/>
        </w:rPr>
        <w:t>“Forward-Looking Statements”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“Risk Factors.”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Throughout this Annual Report, all references to the “Five-Star Rating System” or “Star rating” are to a measure used by the CMS to rate the performance of Medicare Advantage and Part D plans. Although subject to change, Medicare Advantage Plans are currently rated on how well they perform in five different categories: (1) staying healthy: screenings, tests, and vaccines, (2) managing chronic (long-term) conditions, (3) member experience with health plan, (4) member complaints and changes in the health plan’s performance, and (5) health plan customer service. Similarly, Part D plans are currently rated on how well they perform in four different categories: (1) drug plan customer service, (2) member complaints and changes in the drug plan’s performance, (3) member experience with the drug plan, and (4) drug safety and accuracy of drug pricing. Ratings range from one to five stars, with five being the highest and one being the lowest. Plans are rated in each individual measure within the categories noted above and also at the category level. Medicare also assigns Medicare Advantage plans one summary star rating to summarize the plan’s performance on the Medicare Advantage measures, and assigns Part D plans a similar summary star rating. Medicare Advantage-Part D combined plans are also given an overall rating, which combines performance all measures. All ratings are reported at the contract level.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“Alignment,” the “Company,” “our company,” “we,” “us” and “our” in this annual report refer to Alignment Healthcare, Inc., its consolidated subsidiaries and its affiliated medical groups. We are a holding company and our sole asset is the capital stock of our wholly owned subsidiaries, including Alignment Healthcare USA, LLC.</w:t>
      </w:r>
    </w:p>
    <w:p>
      <w:pPr>
        <w:sectPr>
          <w:pgSz w:w="12240" w:h="15840" w:orient="portrait"/>
          <w:cols w:equalWidth="0" w:num="1">
            <w:col w:w="9900"/>
          </w:cols>
          <w:pgMar w:left="1180" w:top="304" w:right="116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900"/>
          </w:cols>
          <w:pgMar w:left="1180" w:top="304" w:right="1160" w:bottom="1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 Improve Healthcare, One Senior at a Time</w:t>
      </w:r>
    </w:p>
    <w:p>
      <w:pPr>
        <w:spacing w:after="0" w:line="21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Alignment Healthcare was founded in 2013 with one mission: improve healthcare, one senior at a time. We pursue this mission by focusing on our core values:</w:t>
      </w:r>
    </w:p>
    <w:p>
      <w:pPr>
        <w:spacing w:after="0" w:line="146"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put the senior first;</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doctor;</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data and technology to revolutionize care; and</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a serving heart.</w:t>
      </w:r>
    </w:p>
    <w:p>
      <w:pPr>
        <w:spacing w:after="0" w:line="2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created Alignment after our own families faced frustrating experiences within the fragmented healthcare system. Without an advocate to create an integrated, high quality healthcare experience for them, our loved ones were left to navigate a care delivery and insurance landscape fraught with confusion and complexity. Seniors across the country are systemically and disproportionately impacted by the lack of care coordination, transparency and clear information. Furthermore, they are disadvantaged by misaligned incentives that dominate today’s healthcare system. As one of our most vulnerable populations, seniors across America need and deserve better. We put our combined decades of healthcare experience to work to create the Alignment model, incorporating best practices learned over our years serving seniors. Through the combination of this experienced, mission-driven team with purpose-built technology, we have found a way to address the unmet health and wellness needs of seniors. We aim to bring this senior-first healthcare experience to millions in the United States, become the most trusted senior healthcare brand in the country, and ultimately “do well by doing good.”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Alignment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We believe our plans are differentiated because of our unique ability to manage costs by delivering proactive care and manage chronic conditions through an integrated clinical and technology model.</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licensed Medicare Advantage plans contract directly with the Centers for Medicare &amp; Medicaid Services. In exchange for a capitated, fixed monthly payment for each enrolled member (i.e., revenue per member per month or “PMPM”) , we take responsibility for coordinating and managing our members’ healthcare—both their health outcomes and the total costs of their care. The PMPM payment varies based on the geography where members live, the health needs and risks of the population we serve, and the quality performance of our plans based on CMS Star Ratings.</w:t>
      </w:r>
    </w:p>
    <w:p>
      <w:pPr>
        <w:spacing w:after="0" w:line="1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Most members enroll with Alignment for a one-year period that can be renewed annually. Because a large majority of our members choose to stay with Alignment after their initial selection year, this model provides meaningful visibility into our short-term financial performance and supports long-term stability and growth.</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grown Health Plan Membership, which we define as members enrolled in our health maintenance organization ("HMO") and preferred provider organization ("PPO") contracts (the "Alignment Health Plan"), from approximately 13,000 at inception to 236,300 as of December 31, 2025, representing a 30% compound annual growth rate.</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2025 plan year, Alignment offered Medicare Advantage plans in 45 markets across California (22 markets), North Carolina (16 markets), Nevada (2 markets), Arizona (3 markets) and Texas (2 markets). These markets collectively include approximately 8.4 million Medicare-eligible seniors.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Medicare Advantage Model Works</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Medicare Advantage’s capitated PMPM value-based payment model, we are responsible for delivering and coordinating all covered healthcare services for our members. This obligation includes hospital and physician care under Medicare Parts A and B, prescription drugs under Medicare Part D (with a separate PMPM payment from CMS), the supplemental benefits, such as dental and vision, we offer under certain of our plans, and related administration costs and services.</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Unlike the original Medicare program administered by CMS, which we refer to herein as “Traditional Medicare,” which typically pays providers separately for each service delivered (i.e., “fee-for-service”), the Medicare Advantage program rewards value rather than volume. By taking responsibility for the overall cost and quality of care for our members, plans like Alignment are incentivized to focus on prevention, care coordination and timely intervention. We meet this challenge by providing proactive, cross-disciplinary care</w:t>
      </w:r>
    </w:p>
    <w:p>
      <w:pPr>
        <w:sectPr>
          <w:pgSz w:w="12240" w:h="15840" w:orient="portrait"/>
          <w:cols w:equalWidth="0" w:num="1">
            <w:col w:w="9880"/>
          </w:cols>
          <w:pgMar w:left="1180" w:top="304" w:right="1180" w:bottom="11"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80"/>
          </w:cols>
          <w:pgMar w:left="1180" w:top="304" w:right="1180" w:bottom="11"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targeted at reducing avoidable emergency room visits, managing and promoting access to high-value prescription drugs and supporting care transitions after hospital stays, all of which can reduce the need for more expensive institutional treatments and services.</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Medicare Advantage regulatory framework is designed to reward plans that achieve the triple aim of high-quality care, low costs and better experience. CMS payments to Medicare Advantage plans are allocated in each county or region based on a bidding system. Each year, Medicare Advantage plans submit bids based on estimated costs per enrollee for services covered under Medicare Parts A and B. CMS compares those bids to local, county-level benchmarks that reflect what it would cost Traditional Medicare to cover the same population. Plans that have a lower cost structure and are able to deliver care more efficiently generate savings, a portion of which is returned to the plan in the form of rebates with the remainder accruing to CMS and the federal government.</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savings allow high-performing plans to offer enhanced supplemental benefits—such as lower cost sharing, $0 premium Part D coverage, and additional supplemental services—at no additional cost to the senior.</w:t>
      </w:r>
    </w:p>
    <w:p>
      <w:pPr>
        <w:spacing w:after="0" w:line="1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CMS also evaluates Medicare Advantage plans through a Five Star Quality Rating System, which measures clinical outcomes, patient experience, and operational performance. Medicare Advantage plans with higher Star Ratings receive additional economic incentives and payments. In practice, this means that only plans that consistently deliver better care and better member experience at lower cost can sustainably offer richer benefits and grow membership on a long-term basis.</w:t>
      </w:r>
    </w:p>
    <w:p>
      <w:pPr>
        <w:spacing w:after="0" w:line="15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Our Differentiated Model: Approach Medicare Advantage as a Care Management Business and Lower Costs by Delivering More Care</w:t>
      </w:r>
    </w:p>
    <w:p>
      <w:pPr>
        <w:spacing w:after="0" w:line="14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approach Medicare Advantage as a care management business. Unlike traditional health insurers, which rely heavily on actuarially underwriting and administrative and medical management tools like prior authorization, our model and core competencies emphasize clinical excellence, data-driven and evidence-based decision making and active care management. This approach is designed to reduce friction for seniors and providers, improve the quality of our member experience and improve health outcomes for our members, particularly for those with multiple chronic conditions.</w:t>
      </w:r>
    </w:p>
    <w:p>
      <w:pPr>
        <w:spacing w:after="0" w:line="1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invested heavily in care delivery for our members, with more than 450 full-time clinical employees comprising approximately 25% of our full-time workforce. By insourcing certain components of care delivery, identifying health issues earlier, supporting members between doctor visits and intervening quickly when health risks arise, we aim to reduce hospitalizations, shorten lengths of stay and improve post-discharge follow up—lowering costs across the enterprise while improving quality of care. In short, we focus on providing more care, not less, to our chronic and high-risk members to achieve superior results.</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care model is built around a scalable, capital-efficient, hybrid approach that combines virtual care with in-home services. Through multichannel communications, we engage our members in ways that are most convenient and effective for them. Because this hybrid approach does not rely on capital-intensive brick-and-mortar operations, it minimizes start-up costs and enables us to efficiently manage care across both dense urban markets and lower population density geographies.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Aligning Incentives Across the Healthcare Ecosystem</w:t>
      </w:r>
    </w:p>
    <w:p>
      <w:pPr>
        <w:spacing w:after="0" w:line="21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acting as both the payor and active care manager, we believe that Alignment is uniquely positioned to align incentives across stakeholders and the healthcare ecosystem. This includes:</w:t>
      </w:r>
    </w:p>
    <w:p>
      <w:pPr>
        <w:spacing w:after="0" w:line="142" w:lineRule="exact"/>
        <w:rPr>
          <w:sz w:val="20"/>
          <w:szCs w:val="20"/>
          <w:color w:val="auto"/>
        </w:rPr>
      </w:pPr>
    </w:p>
    <w:p>
      <w:pPr>
        <w:ind w:left="720" w:right="60" w:hanging="370"/>
        <w:spacing w:after="0" w:line="26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support better health through proactive chronic care management and targeted clinical intervention,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our in-home clinical teams, a key feature of our model which we refer to as </w:t>
      </w:r>
      <w:r>
        <w:rPr>
          <w:rFonts w:ascii="Times New Roman" w:cs="Times New Roman" w:eastAsia="Times New Roman" w:hAnsi="Times New Roman"/>
          <w:sz w:val="18"/>
          <w:szCs w:val="18"/>
          <w:b w:val="1"/>
          <w:bCs w:val="1"/>
          <w:i w:val="1"/>
          <w:iCs w:val="1"/>
          <w:color w:val="auto"/>
        </w:rPr>
        <w:t>Care Anywhere</w:t>
      </w:r>
      <w:r>
        <w:rPr>
          <w:rFonts w:ascii="Times New Roman" w:cs="Times New Roman" w:eastAsia="Times New Roman" w:hAnsi="Times New Roman"/>
          <w:sz w:val="18"/>
          <w:szCs w:val="18"/>
          <w:color w:val="auto"/>
        </w:rPr>
        <w:t>. We enrich the quality of life of our seniors by offering supplemental benefits such as gym access and fitness programs, caregiver services and support and non-emergency transportation. And we create a premium member experience through our 24/7 concierge member services.</w:t>
      </w:r>
    </w:p>
    <w:p>
      <w:pPr>
        <w:spacing w:after="0" w:line="160" w:lineRule="exact"/>
        <w:rPr>
          <w:rFonts w:ascii="Times New Roman" w:cs="Times New Roman" w:eastAsia="Times New Roman" w:hAnsi="Times New Roman"/>
          <w:sz w:val="18"/>
          <w:szCs w:val="18"/>
          <w:color w:val="auto"/>
        </w:rPr>
      </w:pPr>
    </w:p>
    <w:p>
      <w:pPr>
        <w:jc w:val="both"/>
        <w:ind w:left="720" w:right="360" w:hanging="370"/>
        <w:spacing w:after="0" w:line="26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work to empower—not compete with—community physicians by supplementing their care with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resources at no cost to the provider. When improved outcomes lead to lower costs, we share in the upside through surplus gainsharing arrangements with providers. And we align incentives while helping providers grow and retain patient panels through our strong product offerings and high CMS Star Ratings.</w:t>
      </w:r>
    </w:p>
    <w:p>
      <w:pPr>
        <w:spacing w:after="0" w:line="160" w:lineRule="exact"/>
        <w:rPr>
          <w:rFonts w:ascii="Times New Roman" w:cs="Times New Roman" w:eastAsia="Times New Roman" w:hAnsi="Times New Roman"/>
          <w:sz w:val="18"/>
          <w:szCs w:val="18"/>
          <w:color w:val="auto"/>
        </w:rPr>
      </w:pPr>
    </w:p>
    <w:p>
      <w:pPr>
        <w:ind w:left="720" w:right="40" w:hanging="370"/>
        <w:spacing w:after="0" w:line="26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believe our investments in member experience and clinical outcomes create satisfied seniors, reducing friction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annual enrollment and renewal process. Stable benefit designs and consistently strong Star Ratings enable brokers to grow confidently with our products. And the high and consistent Star Ratings of our plans support brokers’ sales efforts to new members.</w:t>
      </w:r>
    </w:p>
    <w:p>
      <w:pPr>
        <w:spacing w:after="0" w:line="160" w:lineRule="exact"/>
        <w:rPr>
          <w:rFonts w:ascii="Times New Roman" w:cs="Times New Roman" w:eastAsia="Times New Roman" w:hAnsi="Times New Roman"/>
          <w:sz w:val="18"/>
          <w:szCs w:val="18"/>
          <w:color w:val="auto"/>
        </w:rPr>
      </w:pPr>
    </w:p>
    <w:p>
      <w:pPr>
        <w:ind w:left="720" w:right="260" w:hanging="37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CMS</w:t>
      </w:r>
      <w:r>
        <w:rPr>
          <w:rFonts w:ascii="Times New Roman" w:cs="Times New Roman" w:eastAsia="Times New Roman" w:hAnsi="Times New Roman"/>
          <w:sz w:val="18"/>
          <w:szCs w:val="18"/>
          <w:color w:val="auto"/>
        </w:rPr>
        <w:t>: By emphasizing prevention, care coordination, and timely intervention, we help reduce costly downstream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visits and utilization and overall health care spending. We aim to advance CMS’s goals of better care for individuals, better health for populations, and lower system-wide costs and reduced costs for taxpayers.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Model: Proactively Managing Member Care to Improve Outcomes and Reduce Cost</w:t>
      </w:r>
    </w:p>
    <w:p>
      <w:pPr>
        <w:spacing w:after="0" w:line="21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engage regularly with members as part of their daily lives and proactively manage their chronic conditions to improve outcomes and reduce cost.</w:t>
      </w:r>
    </w:p>
    <w:p>
      <w:pPr>
        <w:sectPr>
          <w:pgSz w:w="12240" w:h="15840" w:orient="portrait"/>
          <w:cols w:equalWidth="0" w:num="1">
            <w:col w:w="9900"/>
          </w:cols>
          <w:pgMar w:left="1180" w:top="304" w:right="1160" w:bottom="11" w:gutter="0" w:footer="0" w:header="0"/>
        </w:sectPr>
      </w:pP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900"/>
          </w:cols>
          <w:pgMar w:left="1180" w:top="304" w:right="1160" w:bottom="11"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clinical model is designed specifically for seniors and managed across multiple disciplines (medical, social, psychological, pharmaceutical and functional) and sites of care (home, inpatient, outpatient, virtual and others). Our internal care teams and external providers use AVA, our proprietary technology platform, to coordinate high-quality care for members and manage the complexity of the healthcare system. Given the prevalence of comorbidities within our chronically ill members, coordination across a multi-disciplinary care team is vital to providing a medical and behavioral care plan that drives improved outcomes.</w:t>
      </w:r>
    </w:p>
    <w:p>
      <w:pPr>
        <w:spacing w:after="0" w:line="1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care delivery model creates a highly personalized experience that is unique to each member. Using insights from AVA, we organize members into four categories to provide optimized care: healthy, healthy utilizer, pre-chronic and chronic. The data below represents a sample of our population stratification from 2025.</w:t>
      </w:r>
    </w:p>
    <w:p>
      <w:pPr>
        <w:spacing w:after="0" w:line="15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Healthy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typical member in the “healthy” category requires low levels of medical care. Healthy members comprise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74% of our membership base but account for only 5% of the institutional claims submitted.</w:t>
      </w:r>
    </w:p>
    <w:p>
      <w:pPr>
        <w:spacing w:after="0" w:line="13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Healthy Utilizer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typical member in the “healthy utilizer” category is an otherwise healthy senior who has had isolated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unexpected health challenges requiring significant medical care. Healthy utilizers comprise approximately 6% of our membership base and account for 16% of the institutional claims submitted.</w:t>
      </w:r>
    </w:p>
    <w:p>
      <w:pPr>
        <w:spacing w:after="0" w:line="15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Pre-Chronic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typical member in the “pre-chronic category” is identified as high-risk by AVA but has yet to incur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expenditures. We also refer to these members as on the “launching pad,” and by deploying our targeted care programs towards this population we work to prevent or slow their increasing acuity levels. Pre-chronic members comprise approximately 6% of our membership but account for only 1% of the institutional claims submitted. Our active approach to monitoring gaps in care and acting before emerging health problems worsen is reflective of the culture of care embedded in our organization, and our focus on being a persistent advocate for our members.</w:t>
      </w:r>
    </w:p>
    <w:p>
      <w:pPr>
        <w:spacing w:after="0" w:line="166"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Chronic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typical member in the “chronic” category is generally a complex patient with multiple chronic conditions in need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coordinated care. Chronic members comprise 14% of our membership but account for 78% of the institutional claims submitted.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 Anywhere: Proactive, Coordinated Care Delivers Results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While the majority of healthy and healthy utilizer members’ care needs are managed by our network of local community providers in conjunction with our support and oversight, our pre-chronic and chronic members are in our </w:t>
      </w:r>
      <w:r>
        <w:rPr>
          <w:rFonts w:ascii="Times New Roman" w:cs="Times New Roman" w:eastAsia="Times New Roman" w:hAnsi="Times New Roman"/>
          <w:sz w:val="18"/>
          <w:szCs w:val="18"/>
          <w:b w:val="1"/>
          <w:bCs w:val="1"/>
          <w:i w:val="1"/>
          <w:iCs w:val="1"/>
          <w:color w:val="auto"/>
        </w:rPr>
        <w:t>Care Anywhere</w:t>
      </w:r>
      <w:r>
        <w:rPr>
          <w:rFonts w:ascii="Times New Roman" w:cs="Times New Roman" w:eastAsia="Times New Roman" w:hAnsi="Times New Roman"/>
          <w:sz w:val="18"/>
          <w:szCs w:val="18"/>
          <w:color w:val="auto"/>
        </w:rPr>
        <w:t xml:space="preserve"> program. </w:t>
      </w:r>
      <w:r>
        <w:rPr>
          <w:rFonts w:ascii="Times New Roman" w:cs="Times New Roman" w:eastAsia="Times New Roman" w:hAnsi="Times New Roman"/>
          <w:sz w:val="18"/>
          <w:szCs w:val="18"/>
          <w:b w:val="1"/>
          <w:bCs w:val="1"/>
          <w:i w:val="1"/>
          <w:iCs w:val="1"/>
          <w:color w:val="auto"/>
        </w:rPr>
        <w:t>Care Anywhere</w:t>
      </w:r>
      <w:r>
        <w:rPr>
          <w:rFonts w:ascii="Times New Roman" w:cs="Times New Roman" w:eastAsia="Times New Roman" w:hAnsi="Times New Roman"/>
          <w:sz w:val="18"/>
          <w:szCs w:val="18"/>
          <w:color w:val="auto"/>
        </w:rPr>
        <w:t xml:space="preserve"> is an advanced clinician-driven model of care that is staffed by Alignment-employed physicians, advanced practice clinicians, case managers, social workers and behavioral health coaches to assure execution of cross-functional care plans. Unlike many managed care plans, we have built these services in-house to provide valuable, high-quality care to members for free, which complement the care provided by our provider partners for their most challenging and resource-intensive patients.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Key features of the </w:t>
      </w:r>
      <w:r>
        <w:rPr>
          <w:rFonts w:ascii="Times New Roman" w:cs="Times New Roman" w:eastAsia="Times New Roman" w:hAnsi="Times New Roman"/>
          <w:sz w:val="18"/>
          <w:szCs w:val="18"/>
          <w:b w:val="1"/>
          <w:bCs w:val="1"/>
          <w:i w:val="1"/>
          <w:iCs w:val="1"/>
          <w:color w:val="auto"/>
        </w:rPr>
        <w:t>Care Anywhere</w:t>
      </w:r>
      <w:r>
        <w:rPr>
          <w:rFonts w:ascii="Times New Roman" w:cs="Times New Roman" w:eastAsia="Times New Roman" w:hAnsi="Times New Roman"/>
          <w:sz w:val="18"/>
          <w:szCs w:val="18"/>
          <w:color w:val="auto"/>
        </w:rPr>
        <w:t xml:space="preserve"> program include proactive outreach; 24/7 access; highly detailed personalized care plans; and enhanced coordination of care and social needs. Standardized care programs are targeted to seniors based on their underlying conditions, such as chronic heart failure or chronic obstructive pulmonary disorder, which are then personally tailored based on each individual’s underlying circumstances. We proactively engage with this high-risk group of seniors based on their preferences for care delivery, which is typically in their homes or through telephonic and video consultations.</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believe, based on data gathered and analyzed using AVA, that our </w:t>
      </w:r>
      <w:r>
        <w:rPr>
          <w:rFonts w:ascii="Times New Roman" w:cs="Times New Roman" w:eastAsia="Times New Roman" w:hAnsi="Times New Roman"/>
          <w:sz w:val="18"/>
          <w:szCs w:val="18"/>
          <w:b w:val="1"/>
          <w:bCs w:val="1"/>
          <w:i w:val="1"/>
          <w:iCs w:val="1"/>
          <w:color w:val="auto"/>
        </w:rPr>
        <w:t>Care Anywhere</w:t>
      </w:r>
      <w:r>
        <w:rPr>
          <w:rFonts w:ascii="Times New Roman" w:cs="Times New Roman" w:eastAsia="Times New Roman" w:hAnsi="Times New Roman"/>
          <w:sz w:val="18"/>
          <w:szCs w:val="18"/>
          <w:color w:val="auto"/>
        </w:rPr>
        <w:t xml:space="preserve"> program creates several benefits for our high-risk, complex members: improved quality of life, high patient satisfaction, reductions in unnecessary emergency room visits and inpatient care, and lower re-admission rates. This also allows us to establish a more direct relationship with seniors, building member loyalty and brand recognition.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Alignment’s Virtuous Cycle Aims to Enable Strong Membership Growth while Expanding Margins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model is based on a flywheel concept, referred to as our “virtuous cycle”. This cycle is a reflection of our differentiated model designed to manage care to reduce healthcare expenditures to lower costs. These cost savings are then reinvested back into our product benefits for our seniors to drive above-industry-average membership growth while managing our margin objectives. We believe this is a distinct and sustainable competitive advantage.</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execute upon this concept, we ingest medical and demographic data through our proprietary technology platform, which we refer to as AVA. AVA’s predictive algorithms provide unique insights into each member and identify those most at risk of an acute event. Our information-enabled care model is then combined with clinical engagement by our employed clinical teams known as Care Anywhere to improve healthcare outcomes for our members. For example, our high-touch clinical model proactively manages chronic conditions and assists with post-discharge care navigation to reduce unnecessary hospital admissions and readmissions, which in turn improves health outcomes and quality while lowering overall costs. We then reinvest medical cost savings into richer coverage and benefits, which propels growth in revenue and membership while maintaining margin discipline. The strength of our model is further reinforced by delivering a premium member experience. Our concierge and a clinical service hotline is available 24/7 at no additional cost to our members and our state-of-the-art in-house call centers provide us with more consistency and control over member-facing functions.</w:t>
      </w:r>
    </w:p>
    <w:p>
      <w:pPr>
        <w:sectPr>
          <w:pgSz w:w="12240" w:h="15840" w:orient="portrait"/>
          <w:cols w:equalWidth="0" w:num="1">
            <w:col w:w="9860"/>
          </w:cols>
          <w:pgMar w:left="1180" w:top="304" w:right="1200" w:bottom="11"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60"/>
          </w:cols>
          <w:pgMar w:left="1180" w:top="304" w:right="1200" w:bottom="11"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virtuous cycle, based on the principle of doing well by doing good, is highly repeatable and a core tenet of our ability to continue to expand in existing and new markets in the future. The five-year compounded growth rate through December 31, 2025 of our revenue and Health Plan Membership is 36% and 29%,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AVA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Provides Timely and Actionable Insights</w:t>
      </w:r>
    </w:p>
    <w:p>
      <w:pPr>
        <w:spacing w:after="0" w:line="15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AVA empowers Alignment’s employees and provider partners with timely and actionable information to improve the health experience and outcomes of Alignment’s members.</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position in the healthcare ecosystem as a Medicare Advantage plan affords us differentiated access to large amounts of member data. We applied our clinical and technical expertise to build AVA, a proprietary platform that forms the backbone of our care delivery efforts, whether done through provider partners or directly through our care teams. AVA is a highly sophisticated engine that ingests longitudinal data from more than 200 sources to provide an accurate assessment of each member and actionable information to care teams in real time. When triggered by relevant data, AVA delivers prescriptive insights that guide providers’ workflows to deliver personalized care to members. Examples of workflows include ordering a prescription, alerting a caregiver, transferring information from a lab to a doctor, and developing a treatment plan.</w:t>
      </w:r>
    </w:p>
    <w:p>
      <w:pPr>
        <w:spacing w:after="0" w:line="17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and our provider partners use this data every day to power care interventions that may be missed in traditional healthcare relationships. AVA improves the care outcomes and care experience of our members, while also providing everyone in their ecosystem — from doctors to nurses — real-time data and operational indicators to deliver the right care, to the right member at the right time.</w:t>
      </w:r>
    </w:p>
    <w:p>
      <w:pPr>
        <w:spacing w:after="0" w:line="1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AVA incorporates high security controls around member data, and it is subject to regular vulnerability tests and strict authorization protocols. It also uses machine learning and artificial intelligence to help predict various scenarios such as hospital admission and re-admission risk, member satisfaction, disenrollment risk and various disease propensity scores and how to best intervene. These models are based on hundreds of thousands of historical outcomes, which have shaped their predictions and accuracy, and are constantly updated with new data sets, enabling them to get smarter and more effective.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on AVA’s capabilities include:</w:t>
      </w:r>
    </w:p>
    <w:p>
      <w:pPr>
        <w:spacing w:after="0" w:line="205" w:lineRule="exact"/>
        <w:rPr>
          <w:sz w:val="20"/>
          <w:szCs w:val="20"/>
          <w:color w:val="auto"/>
        </w:rPr>
      </w:pPr>
    </w:p>
    <w:p>
      <w:pPr>
        <w:ind w:left="720" w:right="140" w:hanging="370"/>
        <w:spacing w:after="0" w:line="259"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Consumer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 offers a digital ecosystem that enables our members and their support system to get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and care they need, when and how they need it. With their AVA-powered member portal and mobile app, seniors have many self-service capabilities and can get 24/7 care, send secure messages to their concierge and care teams, check their rewards and ACCESS On-Demand Concierge Card balance, and view their health history, including medical claims history, pharmacy, and benefits data.</w:t>
      </w:r>
    </w:p>
    <w:p>
      <w:pPr>
        <w:spacing w:after="0" w:line="163" w:lineRule="exact"/>
        <w:rPr>
          <w:rFonts w:ascii="Times New Roman" w:cs="Times New Roman" w:eastAsia="Times New Roman" w:hAnsi="Times New Roman"/>
          <w:sz w:val="18"/>
          <w:szCs w:val="18"/>
          <w:color w:val="auto"/>
        </w:rPr>
      </w:pPr>
    </w:p>
    <w:p>
      <w:pPr>
        <w:ind w:left="720" w:right="280" w:hanging="370"/>
        <w:spacing w:after="0" w:line="291"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Internal Care Delivery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ability to efficiently and effectively deliver care via our internal care teams is critical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improving outcomes and managing costs. AVA is vital in our ability to identify and manage our highest risk, most complex members, and to ensure that every intervention opportunity is optimized by the most relevant and effective data available.</w:t>
      </w:r>
    </w:p>
    <w:p>
      <w:pPr>
        <w:spacing w:after="0" w:line="136" w:lineRule="exact"/>
        <w:rPr>
          <w:rFonts w:ascii="Times New Roman" w:cs="Times New Roman" w:eastAsia="Times New Roman" w:hAnsi="Times New Roman"/>
          <w:sz w:val="17"/>
          <w:szCs w:val="17"/>
          <w:color w:val="auto"/>
        </w:rPr>
      </w:pPr>
    </w:p>
    <w:p>
      <w:pPr>
        <w:ind w:left="720" w:hanging="370"/>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External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 transforms care delivery by shifting the paradigm from “silos of care” to physicians and payors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together as partners through technology-enablement. Medical group leaders, doctors and front-line administrative staff are provided comprehensive information to streamline and support the coordination of member care. AVA provider applications drive workflows and action lists to improve member outcomes at a lower cost and lower visit frequency. Providers are given access to AVA applications to track utilization, gaps in clinical care, and health risk assessments. This data is utilized to prioritize which members to see, and which members may benefit from various health engagement strategies.</w:t>
      </w:r>
    </w:p>
    <w:p>
      <w:pPr>
        <w:spacing w:after="0" w:line="166" w:lineRule="exact"/>
        <w:rPr>
          <w:rFonts w:ascii="Times New Roman" w:cs="Times New Roman" w:eastAsia="Times New Roman" w:hAnsi="Times New Roman"/>
          <w:sz w:val="18"/>
          <w:szCs w:val="18"/>
          <w:color w:val="auto"/>
        </w:rPr>
      </w:pPr>
    </w:p>
    <w:p>
      <w:pPr>
        <w:ind w:left="720" w:right="120" w:hanging="370"/>
        <w:spacing w:after="0" w:line="26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Health Plan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leveraging a single source of accurate information, we foster improved cross-functional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and execution across our key value drivers. With the support of AVA our operational leaders can make faster, data-driven decisions, which leads to improved outcomes and greater efficiencies as we grow our membership base.</w:t>
      </w:r>
    </w:p>
    <w:p>
      <w:pPr>
        <w:spacing w:after="0" w:line="154" w:lineRule="exact"/>
        <w:rPr>
          <w:rFonts w:ascii="Times New Roman" w:cs="Times New Roman" w:eastAsia="Times New Roman" w:hAnsi="Times New Roman"/>
          <w:sz w:val="18"/>
          <w:szCs w:val="18"/>
          <w:color w:val="auto"/>
        </w:rPr>
      </w:pPr>
    </w:p>
    <w:p>
      <w:pPr>
        <w:ind w:left="720" w:right="360" w:hanging="370"/>
        <w:spacing w:after="0" w:line="26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Growth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able to create greater brand differentiation in the market with our external brokers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sales team by providing them best-in-class digital solutions such as the AVA Broker Portal and mobile app. These tools streamline application submission and management, client management, commission tracking, and a variety of self-service capabilities specifically for Medicare Advantage.</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When paired with our operational expertise, we believe AVA is integral to our ability to drive our operations and business outcomes consistently across markets. AVA provides us with the flexibility to adapt our operating models to meet the needs of local communities and providers, while achieving high-quality, low-cost care in each market. From driving workflows to enabling smarter interventions, we believe AVA is a significant competitive advantage that allows us to deliver information-enabled healthcare at scale.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1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Our operations and those of our affiliated entities are subject to extensive federal, state and local governmental laws and regulations. These laws and regulations require us to meet various standards relating to, among other things, reports to CMS, personnel qualifications, maintenance of proper records and quality assurance programs and patient care. The majority of our regulation and oversight comes from CMS, which regulates almost every aspect of our business, including our provider network, benefits, member</w:t>
      </w:r>
    </w:p>
    <w:p>
      <w:pPr>
        <w:sectPr>
          <w:pgSz w:w="12240" w:h="15840" w:orient="portrait"/>
          <w:cols w:equalWidth="0" w:num="1">
            <w:col w:w="9900"/>
          </w:cols>
          <w:pgMar w:left="1180" w:top="304" w:right="1160" w:bottom="11" w:gutter="0" w:footer="0" w:header="0"/>
        </w:sectPr>
      </w:pP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900"/>
          </w:cols>
          <w:pgMar w:left="1180" w:top="304" w:right="1160" w:bottom="11"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enrollment, risk adjustment program, plan offerings, claims payments, quality improvement programs, and appeals and grievances. We have entered into standard form agreements with CMS pursuant to Sections 1851 through 1859 and Sections 1860D-1 through 1860D-43 of the Social Security Act ("SSA"), pursuant to which we have agreed to operate our plans in accordance with applicable laws and regulations and CMS has agreed to make payments to us under the SSA. Each CMS contract has a one-year term expiring on December 31 of the applicable calendar year and is subject to annual one-year renewal terms. Under the contracts we are obligated to provide our members basic benefits and services covered by Part A and Part B of the original Medicare Program, any applicable supplemental benefits we elect to provide in our final benefit and price bid proposals approved by CMS, and prescription drugs. The CMS contracts further require us to develop our annual benefit and price bid proposals and submit to CMS all related information on premiums, benefits and cost sharing by no later than the first Monday in June prior to the commencement of the subsequent calendar year to which they apply, in accordance with the CMS regulations. Each CMS contract may be terminated by mutual consent or by CMS or by us for cause. We are required to accept new enrollments, make enrollments effective, process voluntary disenrollments and limit involuntary disenrollments in accordance with the CMS regulations. Generally, to enroll or remain enrolled in one of our Medicare Advantage plans, an individual must be a U.S. citizen or lawfully present in the United States, be entitled to Medicare under Part A and enrolled in Part B, reside in the service area covered by the plan, complete and sign the required election forms to enroll and agree to abide by the rules of the Medicare Advantage plan into which he or she is enrolled or intends to enroll. Such agreements also provide for member and provider protections and marketing requirements, as well as recordkeeping and reporting requirements, all with reference to applicable laws and regulations. If any of our operations or those of our affiliated professional medical corporations are found to violate applicable laws or regulations, or if we otherwise fail to adhere to our contracts with CMS, we could suffer severe consequences that would have a material adverse effect on our business, results of operations, financial condition, cash flows, reputation and stock price, including:</w:t>
      </w:r>
    </w:p>
    <w:p>
      <w:pPr>
        <w:spacing w:after="0" w:line="175"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one or more of our Medicare Advantage plans or contracts;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our marketing of and/or enrollment into our Medicare Advantage plans;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monetary penalties;</w:t>
      </w:r>
    </w:p>
    <w:p>
      <w:pPr>
        <w:spacing w:after="0" w:line="209" w:lineRule="exact"/>
        <w:rPr>
          <w:rFonts w:ascii="Times New Roman" w:cs="Times New Roman" w:eastAsia="Times New Roman" w:hAnsi="Times New Roman"/>
          <w:sz w:val="18"/>
          <w:szCs w:val="18"/>
          <w:color w:val="auto"/>
        </w:rPr>
      </w:pPr>
    </w:p>
    <w:p>
      <w:pPr>
        <w:ind w:left="720" w:right="120" w:hanging="370"/>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received in violation of law or applicable Medicare Advantage requirements dating back to the applicable statute of limitation periods;</w:t>
      </w:r>
    </w:p>
    <w:p>
      <w:pPr>
        <w:spacing w:after="0" w:line="145"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required government certifications;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our clinics and in-house care delivery programs;</w:t>
      </w:r>
    </w:p>
    <w:p>
      <w:pPr>
        <w:spacing w:after="0" w:line="209" w:lineRule="exact"/>
        <w:rPr>
          <w:rFonts w:ascii="Times New Roman" w:cs="Times New Roman" w:eastAsia="Times New Roman" w:hAnsi="Times New Roman"/>
          <w:sz w:val="18"/>
          <w:szCs w:val="18"/>
          <w:color w:val="auto"/>
        </w:rPr>
      </w:pPr>
    </w:p>
    <w:p>
      <w:pPr>
        <w:ind w:left="720" w:right="60" w:hanging="370"/>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or civil liability, fines, damages or monetary penalties for violations of healthcare fraud and abuse laws, including the Stark Law, the Anti-Kickback Statute, the FCA and the Civil Monetary Penalties Law and/or state analogs to these federal enforcement authorities, or other regulatory requirements;</w:t>
      </w:r>
    </w:p>
    <w:p>
      <w:pPr>
        <w:spacing w:after="0" w:line="159" w:lineRule="exact"/>
        <w:rPr>
          <w:rFonts w:ascii="Times New Roman" w:cs="Times New Roman" w:eastAsia="Times New Roman" w:hAnsi="Times New Roman"/>
          <w:sz w:val="18"/>
          <w:szCs w:val="18"/>
          <w:color w:val="auto"/>
        </w:rPr>
      </w:pPr>
    </w:p>
    <w:p>
      <w:pPr>
        <w:ind w:left="720" w:hanging="370"/>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Health Insurance Portability and Accountability Act of 1996, as amended by the Health Information Technology for Economic and Clinical Health Act of 2009 (the “HITECH Act”), and their implementing regulations (collectively known as “HIPAA”)</w:t>
      </w:r>
    </w:p>
    <w:p>
      <w:pPr>
        <w:spacing w:after="0" w:line="167"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 or decrease our revenue;</w:t>
      </w:r>
    </w:p>
    <w:p>
      <w:pPr>
        <w:spacing w:after="0" w:line="209" w:lineRule="exact"/>
        <w:rPr>
          <w:rFonts w:ascii="Times New Roman" w:cs="Times New Roman" w:eastAsia="Times New Roman" w:hAnsi="Times New Roman"/>
          <w:sz w:val="18"/>
          <w:szCs w:val="18"/>
          <w:color w:val="auto"/>
        </w:rPr>
      </w:pPr>
    </w:p>
    <w:p>
      <w:pPr>
        <w:ind w:left="720" w:right="220" w:hanging="370"/>
        <w:spacing w:after="0" w:line="312" w:lineRule="auto"/>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and compliance with corporate integrity agreements that could subject us to ongoing audits and reporting requirements, as well as increased scrutiny of our business practices which could lead to potential fines, among other things;</w:t>
      </w:r>
    </w:p>
    <w:p>
      <w:pPr>
        <w:spacing w:after="0" w:line="123" w:lineRule="exact"/>
        <w:rPr>
          <w:rFonts w:ascii="Times New Roman" w:cs="Times New Roman" w:eastAsia="Times New Roman" w:hAnsi="Times New Roman"/>
          <w:sz w:val="17"/>
          <w:szCs w:val="17"/>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provider arrangements;</w:t>
      </w:r>
    </w:p>
    <w:p>
      <w:pPr>
        <w:spacing w:after="0" w:line="209" w:lineRule="exact"/>
        <w:rPr>
          <w:rFonts w:ascii="Times New Roman" w:cs="Times New Roman" w:eastAsia="Times New Roman" w:hAnsi="Times New Roman"/>
          <w:sz w:val="18"/>
          <w:szCs w:val="18"/>
          <w:color w:val="auto"/>
        </w:rPr>
      </w:pPr>
    </w:p>
    <w:p>
      <w:pPr>
        <w:jc w:val="both"/>
        <w:ind w:left="720" w:right="140" w:hanging="370"/>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reinterpretation of rules and laws by a regulatory agency or court, such as state corporate practice of medicine laws, that could affect the structure and management of our business and our affiliated physician-owned professional medical groups;</w:t>
      </w:r>
    </w:p>
    <w:p>
      <w:pPr>
        <w:spacing w:after="0" w:line="15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adjustments to government payment models including, but not limited to, Parts A, B and D benefits; and</w:t>
      </w:r>
    </w:p>
    <w:p>
      <w:pPr>
        <w:spacing w:after="0" w:line="209" w:lineRule="exact"/>
        <w:rPr>
          <w:rFonts w:ascii="Times New Roman" w:cs="Times New Roman" w:eastAsia="Times New Roman" w:hAnsi="Times New Roman"/>
          <w:sz w:val="18"/>
          <w:szCs w:val="18"/>
          <w:color w:val="auto"/>
        </w:rPr>
      </w:pPr>
    </w:p>
    <w:p>
      <w:pPr>
        <w:ind w:left="720" w:right="160" w:hanging="370"/>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our ability to attract and retain patients and physicians, our ability to obtain financing and our access to new business opportunities, among other things.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our industry will continue to be subject to substantial regulation, the scope and effect of which are difficult to predict. See “</w:t>
      </w:r>
      <w:r>
        <w:rPr>
          <w:rFonts w:ascii="Times New Roman" w:cs="Times New Roman" w:eastAsia="Times New Roman" w:hAnsi="Times New Roman"/>
          <w:sz w:val="18"/>
          <w:szCs w:val="18"/>
          <w:b w:val="1"/>
          <w:bCs w:val="1"/>
          <w:i w:val="1"/>
          <w:iCs w:val="1"/>
          <w:color w:val="auto"/>
        </w:rPr>
        <w:t>Risk Factors—Risks Related to Regulation.</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SSA, CMS regulations, and our contractual obligations, we must also comply with a variety of other laws: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HIPAA, HITECH Act and Other Laws, Rules and Regulations Related to Data Privacy; Security and Protection</w:t>
      </w:r>
    </w:p>
    <w:p>
      <w:pPr>
        <w:sectPr>
          <w:pgSz w:w="12240" w:h="15840" w:orient="portrait"/>
          <w:cols w:equalWidth="0" w:num="1">
            <w:col w:w="9880"/>
          </w:cols>
          <w:pgMar w:left="1180" w:top="304" w:right="1180" w:bottom="11"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880"/>
          </w:cols>
          <w:pgMar w:left="1180" w:top="304" w:right="1180" w:bottom="11"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and breach notification laws and regulations that apply to the collection, creation, receipt, maintenance, transmission, storage, use, disclosure and processing of protected health information (“PHI”), and other types of personal data or personally identifiable information (“PII”), which among other things, impose certain requirements relating to the privacy and security of such PHI and PII. The legislative and regulatory landscape for privacy and data protection continues to evolve, and there has been an increasing focus on privacy and data protection issues with the potential to affect our business. Failure to comply with any of these laws and regulations could result in enforcement action against us, including fines, public censure, claims for damages by affected individuals, damage to our reputation and loss of goodwill. Ongoing efforts to comply with evolving laws and regulations may be costly and require ongoing modifications to our policies, procedures and systems.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use of individually identifiable health data by our business is regulated at federal and state levels. These laws and rules are changed frequently by legislation or administrative interpretation. Various state laws address the use and maintenance of individually identifiable health information. HIPAA includes administrative provisions directed at simplifying electronic data interchange through standardizing transactions, establishing uniform healthcare provider, payer, and employer identifiers, and establishing regulations aimed at protecting confidentiality and security of patient and member data. The rules preempt all inconsistent state laws unless the state law is more privacy-protective. These regulations, in addition to other state laws, set standards for the security of electronic health information, including requirements that insurers provide customers with notice regarding how their individually identifiable health information is used.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US Department of Health and Human Services, Office for Civil Rights ("OCR") announced on December 27, 2024, and published in the Federal Register on January 6, 2025, a Notice of Proposed Rulemaking proposing extensive modifications to the HIPAA security standards. OCR’s Spring 2025 Unified Regulatory Agenda lists the proposed rule at the “Final Rule Stage”, with final action scheduled for May 2026. If finalized, these modifications and could entail significant additional compliance obligations and costs for HIPAA-regulated covered entities and business associates.</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HIPAA imposes mandatory penalties for certain violations. In 2026, penalties for violations of HIPAA and its implementing regulations started at $145 per violation and could not exceed approximately $73,011 per violation, subject to a cap of approximately $2.2 million for violations of the same standard in a single calendar year.] However, a single breach incident can result in violations of multiple standards.</w:t>
      </w:r>
    </w:p>
    <w:p>
      <w:pPr>
        <w:spacing w:after="0" w:line="16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HIPAA also authorizes state attorneys general to file suit on behalf of their residents for violations of HIPAA. While HIPAA does not create a private right of action allowing individuals to sue in civil court for violations of HIPAA, its standards have been used as the basis for duty of care in state civil suits such as those for negligence or recklessness in the misuse or breach of PHI.</w:t>
      </w:r>
    </w:p>
    <w:p>
      <w:pPr>
        <w:spacing w:after="0" w:line="16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HITECH Act mandates that the Secretary of the Department of Health and Human Services (“HHS”) conduct periodic compliance audits of HIPAA-regulated covered entities and business associates for compliance with HIPAA’s privacy and security standards. It also tasks HHS with establishing a methodology whereby harmed individuals who were the victims of breaches of unsecured PHI may receive a percentage of any civil monetary penalty fine paid by the violator.</w:t>
      </w:r>
    </w:p>
    <w:p>
      <w:pPr>
        <w:spacing w:after="0" w:line="1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HIPAA further requires that members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HHS will post the name of the breaching entity on its public website. Breaches affecting more than 500 individuals in the same state or jurisdiction must also be reported to the prominent media outlets serving the state or jurisdiction. If a breach involves fewer than 500 individuals, the covered entity must record it in a log and notify HHS at least annually.</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members and partners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privacy and security at the state level remains an evolving landscape. For example, California’s California Consumer Privacy Act of 2018 (“CCPA”), which came into effect on January 1, 2020, has since been amended by the California Privacy Rights Act (“CPRA”), which became effective on January 1, 2023 and began enforcement on July 1, 2023. The CCPA, as amended by the CPRA, expands on the existing rights provided to California residents and includes rights to know, delete and correct personal information; limit the use of sensitive personal information; and opt out of the sale of personal information or the sharing of personal information with third parties for purposes of cross-context behavioral advertising. There are also requirements for privacy risk and cybersecurity assessments, and contracting requirements for service providers, third parties, and contractors who receive and process personal information from the regulated “business.” The CPRA amendment created a state agency, the California Privacy Protection Agency (“CPPA”), to enforce and implement the law. This agency will be able to finance operations through penalties issued and, with the CPRA’s removal of the mandatory cure period from the CCPA, we will have less warning before compliance risk results in legal action. Additionally, the CCPA’s exemption for personal information of personnel (including employees, job applicants, officers, and directors) and business-to-business contacts expired. As a result, since January 1, 2023, personal information of California resident personnel and business contacts has been subject to the CCPA. This has created compliance obligations for our operations.</w:t>
      </w:r>
    </w:p>
    <w:p>
      <w:pPr>
        <w:sectPr>
          <w:pgSz w:w="12240" w:h="15840" w:orient="portrait"/>
          <w:cols w:equalWidth="0" w:num="1">
            <w:col w:w="9900"/>
          </w:cols>
          <w:pgMar w:left="1180" w:top="304" w:right="1160" w:bottom="11"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900"/>
          </w:cols>
          <w:pgMar w:left="1180" w:top="304" w:right="1160" w:bottom="11"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CCPA contains exemptions for medical information governed by the California Confidentiality of Medical Information Act, and for PHI collected by a covered entity or business associate governed by the privacy, security, and breach notification rule established pursuant to HIPAA. This exempts much of the data we process with respect to patients and plan members.</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CCPA prompted the passage of "copycat" legislation in a number of states. It also prompted passage of consumer privacy laws that protect consumer health data specifically, such as the Washington My Health My Data Act. These state laws generally exempt HIPAA regulated covered entities and business associates, PHI, and/or personal information collected in the context of employment and business-to-business relationships. However, this patchwork of state laws may add further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While the CCPA is an example of consumer privacy law, the NAIC’s Insurance Data Security Model Law (the “Model Law”) is a different type of law focused on securing insurance licensees’ information systems. Versions of this Model Law have been passed in many states and are expected to be passed in more states in the coming years. Similar to HIPAA, the Model Law requires the implementation of technical, administrative, and physical information security practices and procedures and includes reporting requirements for data breaches. These Model Laws are typically enforced by state insurance regulators. We are not currently subject to any of these laws that have been adopted to date.</w:t>
      </w:r>
    </w:p>
    <w:p>
      <w:pPr>
        <w:spacing w:after="0" w:line="17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It is possible that applicable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laws regarding privacy and security of PHI and other PII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indicated above, there are numerous federal and state laws and regulations addressing patient and consumer privacy concerns, including notification requirements in the event of unauthorized access or theft of personal information. State statutes and regulations vary from state to state. Substantially all of our relevant member data is maintained on our technology platform, AVA, which aggregates and provides us with access to extensive member datasets, including individually identifiable PHI. Violations of HIPAA or applicable federal or state laws or regulations could subject us to significant criminal or civil penalties, including significant monetary penalties. Compliance with HIPAA and other privacy regulations requires significant and ongoing systems enhancements, training and administrative effort.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Cybersecurity breaches, loss of data and other disruptions could compromise sensitive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 related to our business or our members,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and operations may also be subject to federal, state, and local consumer protection laws governing marketing communications, including the Telephone Consumer Protection Act (“TCPA”), which places restrictions on the use of automated tools and technologies to communicate with wireless telephone subscribers or communications services consumers generally and the CAN-SPAM Act, which regulates the transmission of marketing emails. In addition, certain of our businesses are also subject to the Payment Card Industry Data Security Standard (“PCI DSS”), which is a multifaceted industry security standard that is designed to protect credit and debit card account data as mandated by payment brands and acquiring banks.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 Care Reform Law and Other Current or Future Legislative, Judicial or Regulatory Changes</w:t>
      </w:r>
    </w:p>
    <w:p>
      <w:pPr>
        <w:spacing w:after="0" w:line="21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Patient Protection and Affordable Care Act and The Health Care and Education Reconciliation Act of 2010 (which we collectively refer to as 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Some of these changes impact us and other entities that offer Medicare Advantage plans. In addition, the Health Care Reform Law established insurance industry assessments, including the Comparative Effectiveness Research Fee to fund the Patient-Centered Outcomes Research Institute.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and Other Laws</w:t>
      </w:r>
    </w:p>
    <w:p>
      <w:pPr>
        <w:spacing w:after="0" w:line="21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a corporate entity, we are not licensed to practice medicine. Many states in which we operate through our subsidiaries limit the practice of medicine to licensed individuals or professional organizations exclusively owned and comprised of licensed individuals, and business corporations generally may not exercise control over the medical decisions of licensed physicians or other licensed clinicians. Statutes, regulations and court decisions relating to the practice of medicine, fee-splitting between physicians and referral sources, and similar issues vary widely from state to state. In addition, various state laws also generally prohibit the sharing of professional services income with nonprofessional or business interests. The laws and regulations in these areas are complex, changing, and often subject to varying interpretations. The interpretation and enforcement of these laws vary significantly from state to state. Under business support agreements between certain of our subsidiaries and associated physician-owned professional groups, these groups retain sole responsibility for all medical decisions, as well as for hiring and managing physicians and other licensed healthcare providers, developing operating policies and procedures, implementing professional standards and controls, and maintaining malpractice insurance.</w:t>
      </w:r>
    </w:p>
    <w:p>
      <w:pPr>
        <w:sectPr>
          <w:pgSz w:w="12240" w:h="15840" w:orient="portrait"/>
          <w:cols w:equalWidth="0" w:num="1">
            <w:col w:w="9880"/>
          </w:cols>
          <w:pgMar w:left="1180" w:top="304" w:right="1180" w:bottom="11"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880"/>
          </w:cols>
          <w:pgMar w:left="1180" w:top="304" w:right="1180" w:bottom="11"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Recently, Oregon and California have passed laws codifying and strengthening their existing corporate practice of medicine prohibitions in ways which may require us to adjust contractual arrangements with our affiliated physician-owned professional groups, and we are aware of a number of other states considering similar legislation.</w:t>
      </w:r>
    </w:p>
    <w:p>
      <w:pPr>
        <w:spacing w:after="0" w:line="160"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We, our in-house and externally engaged physicians and the facilities in which they operate are subject to various federal, state and local licensing and certification laws and regulations and accreditation standards and other laws, relating to, among other things, the adequacy of medical care, equipment, privacy of member information, physician relationships, personnel and operating policies and procedures.</w:t>
      </w:r>
    </w:p>
    <w:p>
      <w:pPr>
        <w:spacing w:after="0" w:line="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Failure to comply with these licensing, certification and accreditation laws, regulations and standards could result in prior payments being subject to recoupment, requirements to make significant changes to our operations and can give rise to civil or, in extreme cases, criminal penalties. We routinely take the steps we believe are necessary to retain or obtain all requisite licensure and operating authorities.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jurisdictions where the corporate practice of medicine is prohibited, we have historically operated by maintaining long-term business support services contracts with multiple associated professional medical entities that are wholly owned by physicians and, in turn, employ or contract with physicians to provide those professional medical services required by our members. Under these business support services agreements, our primary operating subsidiary performs only non-medical business support services, does not represent that it offers medical services and does not exercise influence or control over the practice of medicine by the physicians or the associated physician groups. In addition to the above business support services arrangements, we have certain contractual rights relating to the orderly transfer of equity interests in our associated physician practices through succession agreements and other arrangements with their physician equity holders. Such equity interests cannot, however, be transferred to or held by us or by any non-professional medical entity. Accordingly, neither we nor our direct subsidiaries directly own any equity interests in any of our associated physician practices. Further, the enforceability of such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Physician Self-Referral and Other Fraud and Abuse Laws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federal law commonly referred to as the “Anti-Kickback Statute” prohibits the offer, payment, solicitation, or receipt of any form of remuneration to induce, or in return for, the referral of Medicare or other governmental health program patients or patient care opportunities, or in return for the purchase, lease or order of items or services that are covered by Medicare or other federal governmental health programs. Because the prohibitions contained in the Anti-Kickback Statute apply to the furnishing of items or services for which payment is made in “whole or in part,” the Anti-Kickback Statute could be implicated if any portion of an item or service we provide is covered by any of the state or federal health benefit programs described above. Violation of these provisions constitutes a felony criminal offense and applicable sanctions could include exclusion from the Medicare and Medicaid programs.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1877 of the Social Security Act, commonly known as the “Stark Law,” prohibits physicians, subject to certain exceptions described below, from referring Medicare or Medicaid patients to an entity providing “designated health services” in which the physician, or an immediate family member, has an ownership or investment interest or with which the physician, or an immediate family member, has entered into a compensation arrangement. These prohibitions, contained in the Omnibus Budget Reconciliation Act of 1993, commonly known as “Stark II,” amended prior federal physician self-referral legislation known as “Stark I” by expanding the list of designated health services to a total of 11 categories. The professional groups with which we are contracted or affiliated provide one or more of these designated health services. Persons or entities found to be in violation of the Stark Law are subject to denial of payment for services furnished pursuant to an improper referral, civil monetary penalties, and exclusion from the Medicare and Medicaid programs.</w:t>
      </w:r>
    </w:p>
    <w:p>
      <w:pPr>
        <w:spacing w:after="0" w:line="1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 federal law commonly referred to as the “False Claims Act” prohibits the submission of a false or fraudulent claim to the government for payment or approval. </w:t>
      </w:r>
      <w:r>
        <w:rPr>
          <w:rFonts w:ascii="Times New Roman" w:cs="Times New Roman" w:eastAsia="Times New Roman" w:hAnsi="Times New Roman"/>
          <w:sz w:val="18"/>
          <w:szCs w:val="18"/>
          <w:b w:val="1"/>
          <w:bCs w:val="1"/>
          <w:i w:val="1"/>
          <w:iCs w:val="1"/>
          <w:color w:val="auto"/>
        </w:rPr>
        <w:t>Qui tam</w:t>
      </w:r>
      <w:r>
        <w:rPr>
          <w:rFonts w:ascii="Times New Roman" w:cs="Times New Roman" w:eastAsia="Times New Roman" w:hAnsi="Times New Roman"/>
          <w:sz w:val="18"/>
          <w:szCs w:val="18"/>
          <w:color w:val="auto"/>
        </w:rPr>
        <w:t xml:space="preserve"> relators and/or the government may take the position that we submit certain data or information that could form the basis of a claim for payment, thus subjecting us to allegations under the False Claims Act. In such events, we could be subject to treble damages and per-claim penalties.</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Many states also have enacted laws similar in scope and purpose to the Anti-Kickback Statute and, in more limited instances, the Stark Law, that are not limited to services for which Medicare or Medicaid payment is made. In addition, most states have statutes, regulations, or professional codes that restrict a physician from accepting various kinds of remuneration in exchange for making referrals. These laws vary from state to state and have seldom been interpreted by the courts or regulatory agencies. In states that have enacted these statutes, we believe that regulatory authorities and state courts interpreting these statutes may regard federal law under the Anti-Kickback Statute and the Stark Law as persuasive.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Insurance-Related Products</w:t>
      </w:r>
    </w:p>
    <w:p>
      <w:pPr>
        <w:spacing w:after="0" w:line="21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Laws in each of the states in which we operate our business license and regulate entities that offer health plans to residents of that state. The products we offer are sold under licenses issued by the applicable insurance regulators. However, for entities offering Medicare Advantage plans, federal law preempts all state laws and regulations except those relating to licensing and financial solvency.</w:t>
      </w:r>
    </w:p>
    <w:p>
      <w:pPr>
        <w:spacing w:after="0" w:line="14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Certain of our licensed insurance subsidiaries are also subject to regulation under state insurance holding company regulations. These regulations generally require, among other things, prior approval and/or notice of new products, rates, benefit changes, and certain</w:t>
      </w:r>
    </w:p>
    <w:p>
      <w:pPr>
        <w:sectPr>
          <w:pgSz w:w="12240" w:h="15840" w:orient="portrait"/>
          <w:cols w:equalWidth="0" w:num="1">
            <w:col w:w="9900"/>
          </w:cols>
          <w:pgMar w:left="1180" w:top="304" w:right="1160" w:bottom="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2240" w:h="15840" w:orient="portrait"/>
          <w:cols w:equalWidth="0" w:num="1">
            <w:col w:w="9900"/>
          </w:cols>
          <w:pgMar w:left="1180" w:top="304" w:right="11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material transactions, including dividend payments, purchases or sales of assets, intercompany agreements, and the filing of various financial and operational reports. The amount of dividends that may be paid to us by these insurance subsidiaries, without prior approval by state regulatory authorities, or ordinary dividends, is limited based on the entity’s level of statutory income and statutory capital and surplus.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departments of insurance.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Risks Related to Regulation—State Regulation of Insurance-Related Products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that our intellectual property rights are valuable and critical to our business stability and growth. We rely on a combination of trademarks, copyrights, trade secrets, know-how license agreements and confidentiality procedures, non-disclosure agreements, employee disclosure and invention assignment agreements and other contractual rights to establish and protect our proprietary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issued patents with respect to our AVA platform, and we are not currently pursuing any patent applications.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 effective.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healthcare insurance industry is highly competitive. Our competitors vary by local market and include other managed care companies, national insurance companies, HMOs and PPOs. Many of our competitors have a larger membership base and/or greater financial resources than we do. In addition, other companies may enter our markets in the future, including emerging competitors in the Medicare Advantage program or competitors in the delivery of healthcare services. We believe that barriers to entry in our markets are not substantial, so the addition of new competitors can occur relatively easily, and customers enjoy significant flexibility in moving between competitors. Contracts for the sale of our products are generally tied to an annual bidding process with CMS. While health plans compete on the basis of many factors, including service and the quality and depth of provider networks, we expect that price and Star ratings will continue to be significant bases of competition. In addition to the challenge of controlling healthcare costs, we face intense competitive pressure to contain premium prices. Factors such as business consolidations, strategic alliances, legislative reform and marketing practices create pressure to contain premium price increases, despite being faced with increasing medical costs. The primary competitive factors for our industry include, but are not limited to, the following:</w:t>
      </w:r>
    </w:p>
    <w:p>
      <w:pPr>
        <w:spacing w:after="0" w:line="176"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price;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ratings;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richness of benefits, such as maximum out-of-pocket, deductibles, co-pays, Part B rebates, in addition to others;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services and products offered, particularly ones that address the social determinants of health;</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network access;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member engagement;</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member satisfaction;</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member experience provided, including member service;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 delivery and health outcomes;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care;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and retain skilled employees and clinicians;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identity and reputation; and</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committed to creating positive, measurable outcomes for our members, employees, communities, and shareholders. Our approach integrates responsible governance, ethical operations, and disciplined risk management with actions that improve health outcomes, enhance access and affordability, support our workforce, and strengthen the communities we serve. We believe that delivering long-term value requires aligning our business strategy with the impact we have on people and society.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Guided by our core value of leading with a serving heart, we have established five impact priorities through 2025:</w:t>
      </w:r>
    </w:p>
    <w:p>
      <w:pPr>
        <w:sectPr>
          <w:pgSz w:w="12240" w:h="15840" w:orient="portrait"/>
          <w:cols w:equalWidth="0" w:num="1">
            <w:col w:w="9900"/>
          </w:cols>
          <w:pgMar w:left="1180" w:top="304" w:right="116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9900"/>
          </w:cols>
          <w:pgMar w:left="1180" w:top="304" w:right="116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720" w:right="740" w:hanging="370"/>
        <w:spacing w:after="0" w:line="28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Serving Members </w:t>
      </w:r>
      <w:r>
        <w:rPr>
          <w:rFonts w:ascii="Times New Roman" w:cs="Times New Roman" w:eastAsia="Times New Roman" w:hAnsi="Times New Roman"/>
          <w:sz w:val="18"/>
          <w:szCs w:val="18"/>
          <w:color w:val="auto"/>
        </w:rPr>
        <w:t>– Proactively provide all members with access to high-quality, low-cost care and support healthier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w:t>
      </w:r>
    </w:p>
    <w:p>
      <w:pPr>
        <w:spacing w:after="0" w:line="138"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Serving Health Care Providers </w:t>
      </w:r>
      <w:r>
        <w:rPr>
          <w:rFonts w:ascii="Times New Roman" w:cs="Times New Roman" w:eastAsia="Times New Roman" w:hAnsi="Times New Roman"/>
          <w:sz w:val="18"/>
          <w:szCs w:val="18"/>
          <w:color w:val="auto"/>
        </w:rPr>
        <w:t>– Enable better care through improved access to data, tools, and resources.</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Serving our Employees </w:t>
      </w:r>
      <w:r>
        <w:rPr>
          <w:rFonts w:ascii="Times New Roman" w:cs="Times New Roman" w:eastAsia="Times New Roman" w:hAnsi="Times New Roman"/>
          <w:sz w:val="18"/>
          <w:szCs w:val="18"/>
          <w:color w:val="auto"/>
        </w:rPr>
        <w:t>- Foster engagement, ownership and a sense of belonging.</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Serving Consciously </w:t>
      </w:r>
      <w:r>
        <w:rPr>
          <w:rFonts w:ascii="Times New Roman" w:cs="Times New Roman" w:eastAsia="Times New Roman" w:hAnsi="Times New Roman"/>
          <w:sz w:val="18"/>
          <w:szCs w:val="18"/>
          <w:color w:val="auto"/>
        </w:rPr>
        <w:t>- Understand and improve the impact of our operations on the communities we serve.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Serving Responsibly </w:t>
      </w:r>
      <w:r>
        <w:rPr>
          <w:rFonts w:ascii="Times New Roman" w:cs="Times New Roman" w:eastAsia="Times New Roman" w:hAnsi="Times New Roman"/>
          <w:sz w:val="18"/>
          <w:szCs w:val="18"/>
          <w:color w:val="auto"/>
        </w:rPr>
        <w:t>- Maintain effective, transparent and ethical governance.</w:t>
      </w:r>
    </w:p>
    <w:p>
      <w:pPr>
        <w:spacing w:after="0" w:line="21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publish an annual Impact Report highlighting progress against these priorities. Oversight is provided through collaboration among senior leadership, the CEO, and the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focused on building a company that is transforming health care by putting seniors first, and our employees are critical to our distinctive business model. Our Human Capital strategy focuses on meeting business objectives by attracting, developing, engaging, and retaining a high-performing, diverse workforce. As of December 31, 2025, we had 1,849 full-time employees in addition to seasonal employees who assist with the Medicare AEP.</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recognize that an inclusive workplace is crucial as we scale and build our high-performing team. All aspects of our inclusive culture continue to be embedded in each aspect of our processes, programs, and structures that drive our talent lifecycle: attraction, recruitment, onboarding, development, and retention efforts. Our efforts to recruit for excellence are reflected in the composition of our current employee workforce and Board of Directors, which are comprised of a diverse group of highly qualified individuals that represent top talent in the industry. As of December 31, 2025:</w:t>
      </w:r>
    </w:p>
    <w:p>
      <w:pPr>
        <w:spacing w:after="0" w:line="167"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of our employees were female;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our employees were ethnically diverse;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of our executive team was ethnically diverse;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of our executive team was female;</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of our Board of Directors was ethnically diverse; and</w:t>
      </w:r>
    </w:p>
    <w:p>
      <w:pPr>
        <w:spacing w:after="0" w:line="209" w:lineRule="exact"/>
        <w:rPr>
          <w:rFonts w:ascii="Times New Roman" w:cs="Times New Roman" w:eastAsia="Times New Roman" w:hAnsi="Times New Roman"/>
          <w:sz w:val="18"/>
          <w:szCs w:val="18"/>
          <w:color w:val="auto"/>
        </w:rPr>
      </w:pPr>
    </w:p>
    <w:p>
      <w:pPr>
        <w:ind w:left="720" w:hanging="370"/>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of our Board of Directors was female.</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Each year, we conduct an employee survey and take action to further enhance employee engagement and productivity. We also implement rigorous employee training protocols to help ensure our teams operate with rigor, ethics and compliance in mind. We are intentional in our efforts to provide all employees opportunities to grow. Our training and development programs for employees focus on enhancing and developing talent within the company. All employees have access to on</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demand training through our learning and development platform, which supports scalable capability-building across functional, leadership, compliance, and digital skills. We are currently designing additional training programs and resources for both new hires and longer-tenured employees that will educate them on critical functional areas of within the organization.</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and health and wellness programs. We regularly evaluate each aspect of compensation and benefits to ensure they align with the market and our peers.</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current workforce model embraces working in a hybrid-remote fashion. Our workforce strategy enhances our ability to attract the best talent nationally, allowing us to serve our members where they live and continue to provide our employees with a healthy work-life balance.</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2240" w:h="15840" w:orient="portrait"/>
          <w:cols w:equalWidth="0" w:num="1">
            <w:col w:w="9880"/>
          </w:cols>
          <w:pgMar w:left="1180" w:top="304" w:right="1180" w:bottom="0" w:gutter="0" w:footer="0" w:header="0"/>
          <w:type w:val="continuous"/>
        </w:sectPr>
      </w:pPr>
    </w:p>
    <w:bookmarkStart w:id="16" w:name="page17"/>
    <w:bookmarkEnd w:id="16"/>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0" w:right="100"/>
        <w:spacing w:after="0" w:line="261" w:lineRule="auto"/>
        <w:rPr>
          <w:sz w:val="20"/>
          <w:szCs w:val="20"/>
          <w:color w:val="auto"/>
        </w:rPr>
      </w:pPr>
      <w:r>
        <w:rPr>
          <w:rFonts w:ascii="Times New Roman" w:cs="Times New Roman" w:eastAsia="Times New Roman" w:hAnsi="Times New Roman"/>
          <w:sz w:val="18"/>
          <w:szCs w:val="18"/>
          <w:color w:val="auto"/>
        </w:rPr>
        <w:t>We were originally formed as a Delaware limited liability company under the name Alignment Healthcare Holdings, LLC in 2013. In March 2021, we completed a corporate restructuring in connection with our initial public offering (“IPO”) changed our name to Alignment Healthcare, Inc. Following the IPO, our common stock began trading on the Nasdaq Global Select Market under the symbol “ALHC.”</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Our principal executive office is located at 1100 W. Town &amp; Country Rd., Suite 1600, Orange, CA 92868 and our phone number is</w:t>
      </w:r>
    </w:p>
    <w:p>
      <w:pPr>
        <w:spacing w:after="0" w:line="27" w:lineRule="exact"/>
        <w:rPr>
          <w:sz w:val="20"/>
          <w:szCs w:val="20"/>
          <w:color w:val="auto"/>
        </w:rPr>
      </w:pPr>
    </w:p>
    <w:p>
      <w:pPr>
        <w:ind w:left="10" w:right="60" w:hanging="10"/>
        <w:spacing w:after="0" w:line="253" w:lineRule="auto"/>
        <w:tabs>
          <w:tab w:leader="none" w:pos="4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310-2247. Our website address is www.alignmenthealth.com.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affiliated medical groups.</w:t>
      </w:r>
    </w:p>
    <w:p>
      <w:pPr>
        <w:spacing w:after="0" w:line="173"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if applicable, amendments to those reports filed or furnished pursuant to Section 13(a) of the Securities Exchange Act of 1934, as amended (the “Exchange Act”), are available free of charge on or through our website, https://www.alignmenthealth.com, as soon as reasonably practicable after we electronically file such material with, or furnish it to, the Securities and Exchange Commission, or the SEC. The SEC’s website, https:// www.sec.gov, contains reports, proxy and information statements, and other information regarding issuers that file electronically with the SEC.</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a high degree of risk. You should carefully consider the risks and uncertainties described below, together with all of the other information contained in this Annual Report on Form 10-K,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14" w:lineRule="exact"/>
        <w:rPr>
          <w:sz w:val="20"/>
          <w:szCs w:val="20"/>
          <w:color w:val="auto"/>
        </w:rPr>
      </w:pPr>
    </w:p>
    <w:p>
      <w:pPr>
        <w:ind w:left="1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The following are the principal risks that are applicable to our business and the shares of our common stock. Such risks are discussed in more detail below, and you should read this Risk Factors section in its entirety before deciding whether to invest in our common stock.</w:t>
      </w:r>
    </w:p>
    <w:p>
      <w:pPr>
        <w:spacing w:after="0" w:line="121" w:lineRule="exact"/>
        <w:rPr>
          <w:sz w:val="20"/>
          <w:szCs w:val="20"/>
          <w:color w:val="auto"/>
        </w:rPr>
      </w:pPr>
    </w:p>
    <w:p>
      <w:pPr>
        <w:ind w:left="1450" w:hanging="460"/>
        <w:spacing w:after="0"/>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be unable to achieve or maintain profitability.</w:t>
      </w:r>
    </w:p>
    <w:p>
      <w:pPr>
        <w:spacing w:after="0" w:line="209" w:lineRule="exact"/>
        <w:rPr>
          <w:rFonts w:ascii="Times New Roman" w:cs="Times New Roman" w:eastAsia="Times New Roman" w:hAnsi="Times New Roman"/>
          <w:sz w:val="18"/>
          <w:szCs w:val="18"/>
          <w:color w:val="auto"/>
        </w:rPr>
      </w:pPr>
    </w:p>
    <w:p>
      <w:pPr>
        <w:ind w:left="1450" w:hanging="460"/>
        <w:spacing w:after="0"/>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may not prove viable and we may not realize expected results.</w:t>
      </w:r>
    </w:p>
    <w:p>
      <w:pPr>
        <w:spacing w:after="0" w:line="209" w:lineRule="exact"/>
        <w:rPr>
          <w:rFonts w:ascii="Times New Roman" w:cs="Times New Roman" w:eastAsia="Times New Roman" w:hAnsi="Times New Roman"/>
          <w:sz w:val="18"/>
          <w:szCs w:val="18"/>
          <w:color w:val="auto"/>
        </w:rPr>
      </w:pPr>
    </w:p>
    <w:p>
      <w:pPr>
        <w:ind w:left="1450" w:hanging="460"/>
        <w:spacing w:after="0"/>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members, our revenue growth will be adversely affected.</w:t>
      </w:r>
    </w:p>
    <w:p>
      <w:pPr>
        <w:spacing w:after="0" w:line="209" w:lineRule="exact"/>
        <w:rPr>
          <w:rFonts w:ascii="Times New Roman" w:cs="Times New Roman" w:eastAsia="Times New Roman" w:hAnsi="Times New Roman"/>
          <w:sz w:val="18"/>
          <w:szCs w:val="18"/>
          <w:color w:val="auto"/>
        </w:rPr>
      </w:pPr>
    </w:p>
    <w:p>
      <w:pPr>
        <w:ind w:left="1450" w:right="60" w:hanging="460"/>
        <w:spacing w:after="0" w:line="266"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design and price our products properly and competitively, cannot develop new products and implement clinical initiatives, lower costs, and appropriately document members’ risk profile, or if our benefits expense estimates are inadequate, our profitability may be materially adversely affected.</w:t>
      </w:r>
    </w:p>
    <w:p>
      <w:pPr>
        <w:spacing w:after="0" w:line="159" w:lineRule="exact"/>
        <w:rPr>
          <w:rFonts w:ascii="Times New Roman" w:cs="Times New Roman" w:eastAsia="Times New Roman" w:hAnsi="Times New Roman"/>
          <w:sz w:val="18"/>
          <w:szCs w:val="18"/>
          <w:color w:val="auto"/>
        </w:rPr>
      </w:pPr>
    </w:p>
    <w:p>
      <w:pPr>
        <w:ind w:left="1450" w:right="60" w:hanging="460"/>
        <w:spacing w:after="0" w:line="282"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maintaining or improving our Star ratings in future years, which may have a direct and substantial adverse impact on our revenue.</w:t>
      </w:r>
    </w:p>
    <w:p>
      <w:pPr>
        <w:spacing w:after="0" w:line="145" w:lineRule="exact"/>
        <w:rPr>
          <w:rFonts w:ascii="Times New Roman" w:cs="Times New Roman" w:eastAsia="Times New Roman" w:hAnsi="Times New Roman"/>
          <w:sz w:val="18"/>
          <w:szCs w:val="18"/>
          <w:color w:val="auto"/>
        </w:rPr>
      </w:pPr>
    </w:p>
    <w:p>
      <w:pPr>
        <w:ind w:left="1450" w:right="400" w:hanging="460"/>
        <w:spacing w:after="0" w:line="282"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satisfactory relationships with care providers, our business may be adversely affected.</w:t>
      </w:r>
    </w:p>
    <w:p>
      <w:pPr>
        <w:spacing w:after="0" w:line="145" w:lineRule="exact"/>
        <w:rPr>
          <w:rFonts w:ascii="Times New Roman" w:cs="Times New Roman" w:eastAsia="Times New Roman" w:hAnsi="Times New Roman"/>
          <w:sz w:val="18"/>
          <w:szCs w:val="18"/>
          <w:color w:val="auto"/>
        </w:rPr>
      </w:pPr>
    </w:p>
    <w:p>
      <w:pPr>
        <w:ind w:left="1450" w:right="120" w:hanging="460"/>
        <w:spacing w:after="0" w:line="266"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government contractor, we risk the potential loss of CMS contracts, suspension from the Medicare Advantage program, changes to premiums paid to Medicare Advantage plans, changes to provisions for risk sharing under Medicare Part D and governmental audits and investigations, among others.</w:t>
      </w:r>
    </w:p>
    <w:p>
      <w:pPr>
        <w:spacing w:after="0" w:line="159" w:lineRule="exact"/>
        <w:rPr>
          <w:rFonts w:ascii="Times New Roman" w:cs="Times New Roman" w:eastAsia="Times New Roman" w:hAnsi="Times New Roman"/>
          <w:sz w:val="18"/>
          <w:szCs w:val="18"/>
          <w:color w:val="auto"/>
        </w:rPr>
      </w:pPr>
    </w:p>
    <w:p>
      <w:pPr>
        <w:ind w:left="1450" w:right="100" w:hanging="460"/>
        <w:spacing w:after="0" w:line="282"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member satisfaction or adequately address competitive challenges.</w:t>
      </w:r>
    </w:p>
    <w:p>
      <w:pPr>
        <w:spacing w:after="0" w:line="145" w:lineRule="exact"/>
        <w:rPr>
          <w:rFonts w:ascii="Times New Roman" w:cs="Times New Roman" w:eastAsia="Times New Roman" w:hAnsi="Times New Roman"/>
          <w:sz w:val="18"/>
          <w:szCs w:val="18"/>
          <w:color w:val="auto"/>
        </w:rPr>
      </w:pPr>
    </w:p>
    <w:p>
      <w:pPr>
        <w:ind w:left="1450" w:right="120" w:hanging="460"/>
        <w:spacing w:after="0" w:line="282"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renegotiation of certain key contracts with large independent physician associations (“IPAs”), hospitals or other provider networks, to serve our membership base could negatively impact our results.</w:t>
      </w:r>
    </w:p>
    <w:p>
      <w:pPr>
        <w:spacing w:after="0" w:line="145" w:lineRule="exact"/>
        <w:rPr>
          <w:rFonts w:ascii="Times New Roman" w:cs="Times New Roman" w:eastAsia="Times New Roman" w:hAnsi="Times New Roman"/>
          <w:sz w:val="18"/>
          <w:szCs w:val="18"/>
          <w:color w:val="auto"/>
        </w:rPr>
      </w:pPr>
    </w:p>
    <w:p>
      <w:pPr>
        <w:ind w:left="1450" w:right="720" w:hanging="460"/>
        <w:spacing w:after="0" w:line="282"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loss of data and other disruptions could compromise sensitive business or member information, or prevent access to critical information and expose us to liability.</w:t>
      </w:r>
    </w:p>
    <w:p>
      <w:pPr>
        <w:spacing w:after="0" w:line="145" w:lineRule="exact"/>
        <w:rPr>
          <w:rFonts w:ascii="Times New Roman" w:cs="Times New Roman" w:eastAsia="Times New Roman" w:hAnsi="Times New Roman"/>
          <w:sz w:val="18"/>
          <w:szCs w:val="18"/>
          <w:color w:val="auto"/>
        </w:rPr>
      </w:pPr>
    </w:p>
    <w:p>
      <w:pPr>
        <w:ind w:left="1450" w:right="340" w:hanging="460"/>
        <w:spacing w:after="0" w:line="266" w:lineRule="auto"/>
        <w:tabs>
          <w:tab w:leader="none" w:pos="14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machine learning and artificial intelligence, including within our AVA platform, may introduce operational, regulatory and legal risks that could adversely affect our business, financial condition and results of operations.</w:t>
      </w:r>
    </w:p>
    <w:p>
      <w:pPr>
        <w:sectPr>
          <w:pgSz w:w="12240" w:h="15840" w:orient="portrait"/>
          <w:cols w:equalWidth="0" w:num="1">
            <w:col w:w="9850"/>
          </w:cols>
          <w:pgMar w:left="1170" w:top="304" w:right="122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13</w:t>
      </w:r>
    </w:p>
    <w:p>
      <w:pPr>
        <w:sectPr>
          <w:pgSz w:w="12240" w:h="15840" w:orient="portrait"/>
          <w:cols w:equalWidth="0" w:num="1">
            <w:col w:w="9850"/>
          </w:cols>
          <w:pgMar w:left="1170" w:top="304" w:right="122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440" w:right="22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disaster recovery systems or management continuity planning could limit our ability to operate our business effectively and adequately care for our members.</w:t>
      </w:r>
    </w:p>
    <w:p>
      <w:pPr>
        <w:spacing w:after="0" w:line="145" w:lineRule="exact"/>
        <w:rPr>
          <w:rFonts w:ascii="Times New Roman" w:cs="Times New Roman" w:eastAsia="Times New Roman" w:hAnsi="Times New Roman"/>
          <w:sz w:val="18"/>
          <w:szCs w:val="18"/>
          <w:color w:val="auto"/>
        </w:rPr>
      </w:pPr>
    </w:p>
    <w:p>
      <w:pPr>
        <w:ind w:left="1440" w:right="14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effectively invest in, implement improvements to and properly maintain the uninterrupted operation and data integrity of our information technology platform.</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impacted if the healthcare services industry becomes more cyclical.</w:t>
      </w:r>
    </w:p>
    <w:p>
      <w:pPr>
        <w:spacing w:after="0" w:line="209" w:lineRule="exact"/>
        <w:rPr>
          <w:rFonts w:ascii="Times New Roman" w:cs="Times New Roman" w:eastAsia="Times New Roman" w:hAnsi="Times New Roman"/>
          <w:sz w:val="18"/>
          <w:szCs w:val="18"/>
          <w:color w:val="auto"/>
        </w:rPr>
      </w:pPr>
    </w:p>
    <w:p>
      <w:pPr>
        <w:ind w:left="1440" w:right="44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enhance and protect our reputation and brand recognition, including through the maintenance and protection of trademarks, our business and results of operations will be harmed.</w:t>
      </w:r>
    </w:p>
    <w:p>
      <w:pPr>
        <w:spacing w:after="0" w:line="145" w:lineRule="exact"/>
        <w:rPr>
          <w:rFonts w:ascii="Times New Roman" w:cs="Times New Roman" w:eastAsia="Times New Roman" w:hAnsi="Times New Roman"/>
          <w:sz w:val="18"/>
          <w:szCs w:val="18"/>
          <w:color w:val="auto"/>
        </w:rPr>
      </w:pPr>
    </w:p>
    <w:p>
      <w:pPr>
        <w:ind w:left="1440" w:hanging="460"/>
        <w:spacing w:after="0" w:line="266"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and enforce sufficiently broad intellectual property protection, including for our trade secrets, know-how and other proprietary and internally developed information, the value of our technology could be adversely affected.</w:t>
      </w:r>
    </w:p>
    <w:p>
      <w:pPr>
        <w:spacing w:after="0" w:line="159" w:lineRule="exact"/>
        <w:rPr>
          <w:rFonts w:ascii="Times New Roman" w:cs="Times New Roman" w:eastAsia="Times New Roman" w:hAnsi="Times New Roman"/>
          <w:sz w:val="18"/>
          <w:szCs w:val="18"/>
          <w:color w:val="auto"/>
        </w:rPr>
      </w:pPr>
    </w:p>
    <w:p>
      <w:pPr>
        <w:ind w:left="1440" w:right="50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our use of, or ability to license, data, or our failure to license data and integrate third-party technologies, could have a material adverse effect on our business.</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and litigation, including intellectual property and privacy disputes.</w:t>
      </w:r>
    </w:p>
    <w:p>
      <w:pPr>
        <w:spacing w:after="0" w:line="209" w:lineRule="exact"/>
        <w:rPr>
          <w:rFonts w:ascii="Times New Roman" w:cs="Times New Roman" w:eastAsia="Times New Roman" w:hAnsi="Times New Roman"/>
          <w:sz w:val="18"/>
          <w:szCs w:val="18"/>
          <w:color w:val="auto"/>
        </w:rPr>
      </w:pPr>
    </w:p>
    <w:p>
      <w:pPr>
        <w:ind w:left="1440" w:right="740" w:hanging="460"/>
        <w:spacing w:after="0" w:line="312" w:lineRule="auto"/>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senior management team and other key employees, and the loss of one or more of these employees or an inability to attract and retain other highly skilled employees could harm our business.</w:t>
      </w:r>
    </w:p>
    <w:p>
      <w:pPr>
        <w:spacing w:after="0" w:line="123" w:lineRule="exact"/>
        <w:rPr>
          <w:rFonts w:ascii="Times New Roman" w:cs="Times New Roman" w:eastAsia="Times New Roman" w:hAnsi="Times New Roman"/>
          <w:sz w:val="17"/>
          <w:szCs w:val="17"/>
          <w:color w:val="auto"/>
        </w:rPr>
      </w:pPr>
    </w:p>
    <w:p>
      <w:pPr>
        <w:ind w:left="1440" w:right="22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are concentrated in a limited number of U.S. states and we may not be able to establish new geographic presences.</w:t>
      </w:r>
    </w:p>
    <w:p>
      <w:pPr>
        <w:spacing w:after="0" w:line="145" w:lineRule="exact"/>
        <w:rPr>
          <w:rFonts w:ascii="Times New Roman" w:cs="Times New Roman" w:eastAsia="Times New Roman" w:hAnsi="Times New Roman"/>
          <w:sz w:val="18"/>
          <w:szCs w:val="18"/>
          <w:color w:val="auto"/>
        </w:rPr>
      </w:pPr>
    </w:p>
    <w:p>
      <w:pPr>
        <w:ind w:left="1440" w:right="32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physicians and nurses, shortages of qualified personnel or other factors could increase our labor costs and adversely affect our revenue, profitability and cash flows.</w:t>
      </w:r>
    </w:p>
    <w:p>
      <w:pPr>
        <w:spacing w:after="0" w:line="145" w:lineRule="exact"/>
        <w:rPr>
          <w:rFonts w:ascii="Times New Roman" w:cs="Times New Roman" w:eastAsia="Times New Roman" w:hAnsi="Times New Roman"/>
          <w:sz w:val="18"/>
          <w:szCs w:val="18"/>
          <w:color w:val="auto"/>
        </w:rPr>
      </w:pPr>
    </w:p>
    <w:p>
      <w:pPr>
        <w:ind w:left="1440" w:right="36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records may contain inaccurate or unsupportable information regarding risk adjustment scores of members, which could cause misstatements of revenue and subject us to penalties.</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of incurred but not reported medical expense could adversely affect our results.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industry generally could adversely affect our results of operations or business.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Advantage funding reductions could adversely affect our results of operations.</w:t>
      </w:r>
    </w:p>
    <w:p>
      <w:pPr>
        <w:spacing w:after="0" w:line="209" w:lineRule="exact"/>
        <w:rPr>
          <w:rFonts w:ascii="Times New Roman" w:cs="Times New Roman" w:eastAsia="Times New Roman" w:hAnsi="Times New Roman"/>
          <w:sz w:val="18"/>
          <w:szCs w:val="18"/>
          <w:color w:val="auto"/>
        </w:rPr>
      </w:pPr>
    </w:p>
    <w:p>
      <w:pPr>
        <w:ind w:left="1440" w:right="52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industry is highly competitive, and this competition may have a material adverse effect on our business operations and financial position.</w:t>
      </w:r>
    </w:p>
    <w:p>
      <w:pPr>
        <w:spacing w:after="0" w:line="145" w:lineRule="exact"/>
        <w:rPr>
          <w:rFonts w:ascii="Times New Roman" w:cs="Times New Roman" w:eastAsia="Times New Roman" w:hAnsi="Times New Roman"/>
          <w:sz w:val="18"/>
          <w:szCs w:val="18"/>
          <w:color w:val="auto"/>
        </w:rPr>
      </w:pPr>
    </w:p>
    <w:p>
      <w:pPr>
        <w:ind w:left="1440" w:right="44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offer new and innovative products and services or fail to keep pace with industry advances, technology and needs, our members may terminate memberships.</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with no operations of our own, and we depend on our subsidiaries for cash.</w:t>
      </w:r>
    </w:p>
    <w:p>
      <w:pPr>
        <w:spacing w:after="0" w:line="209" w:lineRule="exact"/>
        <w:rPr>
          <w:rFonts w:ascii="Times New Roman" w:cs="Times New Roman" w:eastAsia="Times New Roman" w:hAnsi="Times New Roman"/>
          <w:sz w:val="18"/>
          <w:szCs w:val="18"/>
          <w:color w:val="auto"/>
        </w:rPr>
      </w:pPr>
    </w:p>
    <w:p>
      <w:pPr>
        <w:ind w:left="1440" w:right="8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maintain higher statutory capital levels for our existing operations or may become subject to additional capital reserve requirements as we pursue new business opportunities.</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changes in laws or their application could increase our cost of doing business.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adapt to changes in the healthcare industry and related regulations or our business may be harmed.</w:t>
      </w:r>
    </w:p>
    <w:p>
      <w:pPr>
        <w:spacing w:after="0" w:line="209" w:lineRule="exact"/>
        <w:rPr>
          <w:rFonts w:ascii="Times New Roman" w:cs="Times New Roman" w:eastAsia="Times New Roman" w:hAnsi="Times New Roman"/>
          <w:sz w:val="18"/>
          <w:szCs w:val="18"/>
          <w:color w:val="auto"/>
        </w:rPr>
      </w:pPr>
    </w:p>
    <w:p>
      <w:pPr>
        <w:ind w:left="1440" w:right="18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the services of the physicians who own our associated physician practices could jeopardize our contractual arrangements.</w:t>
      </w:r>
    </w:p>
    <w:p>
      <w:pPr>
        <w:spacing w:after="0" w:line="145" w:lineRule="exact"/>
        <w:rPr>
          <w:rFonts w:ascii="Times New Roman" w:cs="Times New Roman" w:eastAsia="Times New Roman" w:hAnsi="Times New Roman"/>
          <w:sz w:val="18"/>
          <w:szCs w:val="18"/>
          <w:color w:val="auto"/>
        </w:rPr>
      </w:pPr>
    </w:p>
    <w:p>
      <w:pPr>
        <w:ind w:left="1440" w:right="10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could adversely affect our business and growth prospects, particularly in an environment of rising interest rates.</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could reduce our ability to compete successfully.</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and distract our management.</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corporate governance documents could make an acquisition of us more difficult.</w:t>
      </w:r>
    </w:p>
    <w:p>
      <w:pPr>
        <w:spacing w:after="0" w:line="209" w:lineRule="exact"/>
        <w:rPr>
          <w:rFonts w:ascii="Times New Roman" w:cs="Times New Roman" w:eastAsia="Times New Roman" w:hAnsi="Times New Roman"/>
          <w:sz w:val="18"/>
          <w:szCs w:val="18"/>
          <w:color w:val="auto"/>
        </w:rPr>
      </w:pPr>
    </w:p>
    <w:p>
      <w:pPr>
        <w:ind w:left="1440" w:right="480" w:hanging="460"/>
        <w:spacing w:after="0" w:line="282" w:lineRule="auto"/>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provision in our certificate of incorporation may have the effect of discouraging lawsuits against our directors and officers.</w:t>
      </w:r>
    </w:p>
    <w:p>
      <w:pPr>
        <w:sectPr>
          <w:pgSz w:w="12240" w:h="15840" w:orient="portrait"/>
          <w:cols w:equalWidth="0" w:num="1">
            <w:col w:w="9840"/>
          </w:cols>
          <w:pgMar w:left="1180" w:top="304" w:right="1220" w:bottom="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2240" w:h="15840" w:orient="portrait"/>
          <w:cols w:equalWidth="0" w:num="1">
            <w:col w:w="9840"/>
          </w:cols>
          <w:pgMar w:left="1180" w:top="304" w:right="122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440" w:hanging="460"/>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trading market for our common stock may not be sustained.</w:t>
      </w:r>
    </w:p>
    <w:p>
      <w:pPr>
        <w:spacing w:after="0" w:line="209" w:lineRule="exact"/>
        <w:rPr>
          <w:rFonts w:ascii="Times New Roman" w:cs="Times New Roman" w:eastAsia="Times New Roman" w:hAnsi="Times New Roman"/>
          <w:sz w:val="18"/>
          <w:szCs w:val="18"/>
          <w:color w:val="auto"/>
        </w:rPr>
      </w:pPr>
    </w:p>
    <w:p>
      <w:pPr>
        <w:ind w:left="1440" w:right="80" w:hanging="460"/>
        <w:spacing w:after="0" w:line="282"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including as a result of economic or industry-wide factors that are beyond our control.</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may be sold into the market in the near future.</w:t>
      </w:r>
    </w:p>
    <w:p>
      <w:pPr>
        <w:spacing w:after="0" w:line="209" w:lineRule="exact"/>
        <w:rPr>
          <w:rFonts w:ascii="Times New Roman" w:cs="Times New Roman" w:eastAsia="Times New Roman" w:hAnsi="Times New Roman"/>
          <w:sz w:val="18"/>
          <w:szCs w:val="18"/>
          <w:color w:val="auto"/>
        </w:rPr>
      </w:pPr>
    </w:p>
    <w:p>
      <w:pPr>
        <w:ind w:left="1440" w:right="260" w:hanging="460"/>
        <w:spacing w:after="0" w:line="282"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substantial amounts of common stock, or the possibility of such sales, could adversely affect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0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anticipate increasing expenses in the future, and we may not be able to achieve or maintain profitability.</w:t>
      </w:r>
    </w:p>
    <w:p>
      <w:pPr>
        <w:spacing w:after="0" w:line="1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have incurred net losses on an annual basis since our inception, including a net loss of $1.0 million and $128.1 million for the years ended December 31, 2025 and December 31, 2024. As of December 31, 2025, we had an accumulated deficit of $1,009.0 million. We expect our aggregate costs will increase substantially in the foreseeable future as we expect to invest heavily in increasing our member base, growing our provider networks, expanding our operations geographically, engaging in expanded marketing and outreach efforts, enhancing our technology, hiring additional employees, operating as a public company and acquiring companies or assets complementary to our business. These efforts may prove more expensive than we currently anticipate, and we may not succeed in increasing our revenue sufficiently to offset these higher expenses. In addition, even if we are successful in increasing our membership and consequently increasing our total revenues from premiums earned, we may not successfully and effectively predict, price and manage the medical costs of our members. To date, we have financed our operations principally from the sale of our equity, revenue from the CMS and the incurrence of indebtedness. We may not generate positive cash flow from operations or profitability in the future.</w:t>
      </w:r>
    </w:p>
    <w:p>
      <w:pPr>
        <w:spacing w:after="0" w:line="1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expenses as we continue to grow our business. In addition to the expected costs to grow our business, we also expect to incur additional legal, accounting and other expenses as we continue to operate as a public company. Moreover, the investments we intend to make into growing our company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Furthermore, even if we achieve profitability in the future, we may not be able to sustain profitability in subsequent periods. If we are not able to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results of operations and financial condition would be adversely affected. Our failure to achieve or maintain profitability could negatively impact the value of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may not prove viable and we may not realize expected results.</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strategy is to grow rapidly by expanding our service offerings through an array of non-traditional benefits and continuing to build out and attract network relationships in our existing markets. We also intend to expand into new markets, leveraging our AVA technology platform, which has been designed to scale and allow us to provide a predictable and replicable member experience across new markets. Our strategy hinges on our ability to satisfy our members in our existing markets, achieve and maintain high Star ratings for our plans, submit successful bids to CMS for new plans and/or in new markets, attract new members, form alliances with primary care providers, and hire physicians, nurses and other medical support staff for our in-house care delivery programs, among other factors. We also seek growth opportunities through strategic acquisitions and vertical integration, as well as through joint ventures or other strategic arrangements. We cannot guarantee that we will be successful in pursuing our growth strategy. If we fail to evaluate and execute new business opportunities properly, we may not achieve anticipated benefits and may incur increased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involves a number of risks and uncertainties, including that:</w:t>
      </w:r>
    </w:p>
    <w:p>
      <w:pPr>
        <w:spacing w:after="0" w:line="209" w:lineRule="exact"/>
        <w:rPr>
          <w:sz w:val="20"/>
          <w:szCs w:val="20"/>
          <w:color w:val="auto"/>
        </w:rPr>
      </w:pPr>
    </w:p>
    <w:p>
      <w:pPr>
        <w:ind w:left="1520" w:hanging="540"/>
        <w:spacing w:after="0" w:line="266"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enroll or retain a sufficient number of new members to execute our growth strategy, and we may incur substantial costs to enroll new members but may be unable to enroll a sufficient number of new members to offset those costs;</w:t>
      </w:r>
    </w:p>
    <w:p>
      <w:pPr>
        <w:spacing w:after="0" w:line="159" w:lineRule="exact"/>
        <w:rPr>
          <w:rFonts w:ascii="Times New Roman" w:cs="Times New Roman" w:eastAsia="Times New Roman" w:hAnsi="Times New Roman"/>
          <w:sz w:val="18"/>
          <w:szCs w:val="18"/>
          <w:color w:val="auto"/>
        </w:rPr>
      </w:pPr>
    </w:p>
    <w:p>
      <w:pPr>
        <w:ind w:left="1520" w:right="40" w:hanging="540"/>
        <w:spacing w:after="0" w:line="261"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enter into contracts with local providers in existing or new markets on terms favorable to us or at all. In addition, we compete for provider relationships with many other health care plans, some of whom may have greater resources than we do. This competition may intensify due to the ongoing consolidation in the healthcare industry, which may increase our costs to pursue such opportunities;</w:t>
      </w:r>
    </w:p>
    <w:p>
      <w:pPr>
        <w:spacing w:after="0" w:line="163" w:lineRule="exact"/>
        <w:rPr>
          <w:rFonts w:ascii="Times New Roman" w:cs="Times New Roman" w:eastAsia="Times New Roman" w:hAnsi="Times New Roman"/>
          <w:sz w:val="18"/>
          <w:szCs w:val="18"/>
          <w:color w:val="auto"/>
        </w:rPr>
      </w:pPr>
    </w:p>
    <w:p>
      <w:pPr>
        <w:ind w:left="1520" w:right="120" w:hanging="540"/>
        <w:spacing w:after="0" w:line="266"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and improve the satisfaction levels of our members, which could lead to decreased ratings for some of our plans in the Five Star Quality Rating System and consequently to loss of the economic incentives associated with high Star ratings, which could negatively impact our revenues;</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2240" w:h="15840" w:orient="portrait"/>
          <w:cols w:equalWidth="0" w:num="1">
            <w:col w:w="9880"/>
          </w:cols>
          <w:pgMar w:left="1180" w:top="304" w:right="11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520" w:right="640" w:hanging="54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entering new markets, including by identifying and executing key strategic joint ventures or other arrangements to facilitate such entry;</w:t>
      </w:r>
    </w:p>
    <w:p>
      <w:pPr>
        <w:spacing w:after="0" w:line="145"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value of our AVA technology platform;</w:t>
      </w:r>
    </w:p>
    <w:p>
      <w:pPr>
        <w:spacing w:after="0" w:line="209" w:lineRule="exact"/>
        <w:rPr>
          <w:rFonts w:ascii="Times New Roman" w:cs="Times New Roman" w:eastAsia="Times New Roman" w:hAnsi="Times New Roman"/>
          <w:sz w:val="18"/>
          <w:szCs w:val="18"/>
          <w:color w:val="auto"/>
        </w:rPr>
      </w:pPr>
    </w:p>
    <w:p>
      <w:pPr>
        <w:ind w:left="1520" w:right="380" w:hanging="54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otherwise engage sufficient numbers of physicians and other staff and may fail to integrate our employees, particularly our medical personnel, into our in-house care model;</w:t>
      </w:r>
    </w:p>
    <w:p>
      <w:pPr>
        <w:spacing w:after="0" w:line="145" w:lineRule="exact"/>
        <w:rPr>
          <w:rFonts w:ascii="Times New Roman" w:cs="Times New Roman" w:eastAsia="Times New Roman" w:hAnsi="Times New Roman"/>
          <w:sz w:val="18"/>
          <w:szCs w:val="18"/>
          <w:color w:val="auto"/>
        </w:rPr>
      </w:pPr>
    </w:p>
    <w:p>
      <w:pPr>
        <w:ind w:left="1520" w:right="360" w:hanging="54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maintaining our reputation and brand in our existing markets or in establishing our reputation and brand with new members or into new markets;</w:t>
      </w:r>
    </w:p>
    <w:p>
      <w:pPr>
        <w:spacing w:after="0" w:line="145" w:lineRule="exact"/>
        <w:rPr>
          <w:rFonts w:ascii="Times New Roman" w:cs="Times New Roman" w:eastAsia="Times New Roman" w:hAnsi="Times New Roman"/>
          <w:sz w:val="18"/>
          <w:szCs w:val="18"/>
          <w:color w:val="auto"/>
        </w:rPr>
      </w:pPr>
    </w:p>
    <w:p>
      <w:pPr>
        <w:ind w:left="1520" w:right="300" w:hanging="54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our business into new states, we may be required to comply with laws and regulations that may differ from states in which we currently operate;</w:t>
      </w:r>
    </w:p>
    <w:p>
      <w:pPr>
        <w:spacing w:after="0" w:line="145"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expanding into new markets, we may face competition with greater knowledge of such local markets; and</w:t>
      </w:r>
    </w:p>
    <w:p>
      <w:pPr>
        <w:spacing w:after="0" w:line="209" w:lineRule="exact"/>
        <w:rPr>
          <w:rFonts w:ascii="Times New Roman" w:cs="Times New Roman" w:eastAsia="Times New Roman" w:hAnsi="Times New Roman"/>
          <w:sz w:val="18"/>
          <w:szCs w:val="18"/>
          <w:color w:val="auto"/>
        </w:rPr>
      </w:pPr>
    </w:p>
    <w:p>
      <w:pPr>
        <w:ind w:left="1520" w:right="20" w:hanging="54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offerings or new markets, or the acquisition of complementary businesses or assets, may require us to raise additional capital, which may not be available on desirable terms or at all.</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Pursuing our growth strategy requires significant capital expenditures, the allocation of valuable management resources, and the hiring of additional personnel, and may strain our operations and our financial and management controls and reporting systems and procedures. For a variety of reasons, we may not succeed in achieving scale, improving our operating efficiency or gaining operating leverage. Moreover, we have experienced and may in the future continue to experience attrition, which may further exacerbate these challenges. If we are unable to effectively execute our growth strategy and manage our growth, our results of operations and financial condition could be materially and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members, our revenue growth will be adversely affected.</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derive substantially all of our revenue from CMS contracts related to our Medicare Advantage health plans. To increase our revenue, we must grow by expanding the number of members under our plans in the markets in which we currently operate and in the new markets that we intend to enter. In order to support such growth, we must continue to enroll and retain a sufficient number of new members. We have experienced significant member growth since we commenced operations; however, we may not be able to maintain this growth, and our member base could decrease rapidly or shrink over time. Even if we are successful in achieving and maintaining growth, doing so may be more costly than we anticipate, and if we are not able to manage our costs, our results could be materially adversely affected.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focused on the Medicare-eligible population and face competition from other plans in the enrollment of Medicare-eligible potential members. If we are unable to obtain CMS contracts for new plans or in new markets and convince the Medicare-eligible population of the benefits of our plans, or if potential or existing members prefer a plan offered by one of our competitors, we may not be able to effectively implement our growth strategy. Our ability to attract new members will depend on a variety of factors, including the following:</w:t>
      </w:r>
    </w:p>
    <w:p>
      <w:pPr>
        <w:spacing w:after="0" w:line="167" w:lineRule="exact"/>
        <w:rPr>
          <w:sz w:val="20"/>
          <w:szCs w:val="20"/>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new plans and/or ancillary benefits;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high Star ratings for each of our plans;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promote our plans in our existing markets and the new markets we intend to enter;</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allocation of management and financial resources toward efforts to grow our membership in certain markets;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eligible beneficiaries shop for MA plans in the markets we enter;</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provider groups and other key market constituencies;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products and pricing strategies;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grow our reputation and brand in new and existing markets;</w:t>
      </w:r>
    </w:p>
    <w:p>
      <w:pPr>
        <w:spacing w:after="0" w:line="209" w:lineRule="exact"/>
        <w:rPr>
          <w:rFonts w:ascii="Times New Roman" w:cs="Times New Roman" w:eastAsia="Times New Roman" w:hAnsi="Times New Roman"/>
          <w:sz w:val="18"/>
          <w:szCs w:val="18"/>
          <w:color w:val="auto"/>
        </w:rPr>
      </w:pPr>
    </w:p>
    <w:p>
      <w:pPr>
        <w:ind w:left="1520" w:right="420" w:hanging="54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overall pool of MA-eligible beneficiaries continues to grow and the extent to which the historical trend of increased MA market penetration continues;</w:t>
      </w:r>
    </w:p>
    <w:p>
      <w:pPr>
        <w:spacing w:after="0" w:line="145" w:lineRule="exact"/>
        <w:rPr>
          <w:rFonts w:ascii="Times New Roman" w:cs="Times New Roman" w:eastAsia="Times New Roman" w:hAnsi="Times New Roman"/>
          <w:sz w:val="18"/>
          <w:szCs w:val="18"/>
          <w:color w:val="auto"/>
        </w:rPr>
      </w:pPr>
    </w:p>
    <w:p>
      <w:pPr>
        <w:ind w:left="1520" w:right="240" w:hanging="54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strategic partners terminate or fail to renew our current contracts or we fail to enter into contracts with new strategic partners; and</w:t>
      </w:r>
    </w:p>
    <w:p>
      <w:pPr>
        <w:spacing w:after="0" w:line="145" w:lineRule="exact"/>
        <w:rPr>
          <w:rFonts w:ascii="Times New Roman" w:cs="Times New Roman" w:eastAsia="Times New Roman" w:hAnsi="Times New Roman"/>
          <w:sz w:val="18"/>
          <w:szCs w:val="18"/>
          <w:color w:val="auto"/>
        </w:rPr>
      </w:pPr>
    </w:p>
    <w:p>
      <w:pPr>
        <w:ind w:left="1520" w:right="80" w:hanging="54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overall pool of MA-eligible beneficiaries and our ability to navigate the applicable regulatory requirements.</w:t>
      </w:r>
    </w:p>
    <w:p>
      <w:pPr>
        <w:sectPr>
          <w:pgSz w:w="12240" w:h="15840" w:orient="portrait"/>
          <w:cols w:equalWidth="0" w:num="1">
            <w:col w:w="9900"/>
          </w:cols>
          <w:pgMar w:left="1180" w:top="304" w:right="1160" w:bottom="0" w:gutter="0" w:footer="0" w:header="0"/>
        </w:sect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2240" w:h="15840" w:orient="portrait"/>
          <w:cols w:equalWidth="0" w:num="1">
            <w:col w:w="9900"/>
          </w:cols>
          <w:pgMar w:left="1180" w:top="304" w:right="11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our growth strategy is partially dependent on beneficiaries electing to move from fee-for-service to one of our Medicare Advantage plans, or electing to move from their current Medicare Advantage plan and selecting us as their Medicare Advantage plan. In certain instances, original Medicare or other insurers’ MA plans may be more attractive to a consumer than our MA plans. For example, though our PPO members are enrolled in plans that enable them to visit any doctor participating in Medicare who will see them, our HMO plans have restrictions on the network of doctors that HMO members can see, and in some markets other providers participating in Medicare may choose to see no MA members or only MA members participating in specific plans. It is also possible that original Medicare or other insurers’ MA plans may offer broader physician networks in particular markets or highly competitive benefits, in which case those plans may be more attractive to some consumers than our MA plans. When the time to choose an MA plan comes, newly Medicare-eligible consumers may also choose to continue with their current insurer which was offered by their employer instead of transitioning to one of our plans.</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a majority of individuals, plan enrollment selections for Medicare Advantage are made during an annual enrollment period from October into December of each year; therefore, our ability to grow our member population is dependent in substantial part on our ability to successfully enroll members during the annual enrollment period and to convince such individuals not to subsequently change that election. If our ability to market and sell our MA plans is constrained during an enrollment period for any reason, such as technology failures, reduced allocation of resources, any inability to timely employ, license, train, certify and retain employees and contractors and agents to sell plans, interruptions in the operation of our website or systems, or disruptions caused by other external factors, such as natural disasters or civic disorder, we could acquire fewer new members than expected or suffer a reduction in the number of our existing members.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inability to enroll new members and retain existing members would harm our ability to execute our growth strategy and may have a material adverse effect on our business operations and financial position.</w:t>
      </w:r>
    </w:p>
    <w:p>
      <w:pPr>
        <w:spacing w:after="0" w:line="1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design and price our products properly and competitively, if we are unable to develop new products and implement clinical initiatives to provide a better healthcare experience for our members, lower costs, and appropriately document the risk profile of our members, or if our estimates of benefits expense are inadequate, our profitability may be materially adversely affected.</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use a substantial portion of our revenues to pay the costs of healthcare services delivered to our members by third-party providers. These costs include claims payments, capitation payments to providers (predetermined amounts paid to cover services), administrative costs and various other costs incurred to provide health insurance coverage to our members. These costs also include estimates of future payments to hospitals and other providers for medical care provided to our members. Generally, premiums in the healthcare business are fixed for one-year periods and we are required by federal law to spend a fixed amount of these premiums on healthcare services, covered benefits and quality improvement efforts. Accordingly, costs we incur in excess of our benefit cost projections generally are not recovered in the contract year through higher premiums and our ability to enhance the profitability of our plans depends in significant part on our ability to estimate the costs of our future benefit claims and other expenses. We make these estimates using actuarial methods and assumptions based upon claim payment patterns, medical inflation, historical developments, including claim inventory levels and claim receipt patterns, and other relevant factors. We also record benefits payable for future payments. We continually review estimates of future payments relating to benefit claims costs for services incurred in the current and prior periods and make necessary adjustments to our reserves, including premium deficiency reserves where appropriate. However, these estimates involve extensive judgment and have considerable inherent variability that is sensitive to claim payment patterns and medical cost trends. Many factors may and often do cause actual healthcare costs to exceed what was estimated and used to set our premiums. These factors may include:</w:t>
      </w:r>
    </w:p>
    <w:p>
      <w:pPr>
        <w:spacing w:after="0" w:line="181" w:lineRule="exact"/>
        <w:rPr>
          <w:sz w:val="20"/>
          <w:szCs w:val="20"/>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medical facilities and services;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such services;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or cost of prescription drugs, including specialty prescription drugs;</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costly treatments, including new technologies;</w:t>
      </w:r>
    </w:p>
    <w:p>
      <w:pPr>
        <w:spacing w:after="0" w:line="209" w:lineRule="exact"/>
        <w:rPr>
          <w:rFonts w:ascii="Times New Roman" w:cs="Times New Roman" w:eastAsia="Times New Roman" w:hAnsi="Times New Roman"/>
          <w:sz w:val="18"/>
          <w:szCs w:val="18"/>
          <w:color w:val="auto"/>
        </w:rPr>
      </w:pPr>
    </w:p>
    <w:p>
      <w:pPr>
        <w:ind w:left="1520" w:right="120" w:hanging="54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providers in our network follow appropriate care recommendations and carry out effective care coordination and care management;</w:t>
      </w:r>
    </w:p>
    <w:p>
      <w:pPr>
        <w:spacing w:after="0" w:line="145"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membership mix;</w:t>
      </w:r>
    </w:p>
    <w:p>
      <w:pPr>
        <w:spacing w:after="0" w:line="209" w:lineRule="exact"/>
        <w:rPr>
          <w:rFonts w:ascii="Times New Roman" w:cs="Times New Roman" w:eastAsia="Times New Roman" w:hAnsi="Times New Roman"/>
          <w:sz w:val="18"/>
          <w:szCs w:val="18"/>
          <w:color w:val="auto"/>
        </w:rPr>
      </w:pPr>
    </w:p>
    <w:p>
      <w:pPr>
        <w:ind w:left="1520" w:right="160" w:hanging="54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members decline to seek out appropriate preventative care or follow their physicians’ care and healthful living recommendations;</w:t>
      </w:r>
    </w:p>
    <w:p>
      <w:pPr>
        <w:spacing w:after="0" w:line="145" w:lineRule="exact"/>
        <w:rPr>
          <w:rFonts w:ascii="Times New Roman" w:cs="Times New Roman" w:eastAsia="Times New Roman" w:hAnsi="Times New Roman"/>
          <w:sz w:val="18"/>
          <w:szCs w:val="18"/>
          <w:color w:val="auto"/>
        </w:rPr>
      </w:pPr>
    </w:p>
    <w:p>
      <w:pPr>
        <w:ind w:left="1520" w:right="520" w:hanging="54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actual versus estimated levels of cost associated with new products, benefits or lines of business, product changes or benefit level changes;</w:t>
      </w:r>
    </w:p>
    <w:p>
      <w:pPr>
        <w:spacing w:after="0" w:line="145"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demographic characteristics of an account or market;</w:t>
      </w:r>
    </w:p>
    <w:p>
      <w:pPr>
        <w:spacing w:after="0" w:line="209" w:lineRule="exact"/>
        <w:rPr>
          <w:rFonts w:ascii="Times New Roman" w:cs="Times New Roman" w:eastAsia="Times New Roman" w:hAnsi="Times New Roman"/>
          <w:sz w:val="18"/>
          <w:szCs w:val="18"/>
          <w:color w:val="auto"/>
        </w:rPr>
      </w:pPr>
    </w:p>
    <w:p>
      <w:pPr>
        <w:ind w:left="1520" w:right="400" w:hanging="54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reductions of our utilization management functions such as preauthorization of services, concurrent review or requirements for physician referrals;</w:t>
      </w:r>
    </w:p>
    <w:p>
      <w:pPr>
        <w:sectPr>
          <w:pgSz w:w="12240" w:h="15840" w:orient="portrait"/>
          <w:cols w:equalWidth="0" w:num="1">
            <w:col w:w="9900"/>
          </w:cols>
          <w:pgMar w:left="1180" w:top="304" w:right="1160" w:bottom="0"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2240" w:h="15840" w:orient="portrait"/>
          <w:cols w:equalWidth="0" w:num="1">
            <w:col w:w="9900"/>
          </w:cols>
          <w:pgMar w:left="1180" w:top="304" w:right="11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520" w:right="420" w:hanging="540"/>
        <w:spacing w:after="0" w:line="266" w:lineRule="auto"/>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catastrophes, including acts of terrorism, public health epidemics, or severe weather (e.g., hurricanes and earthquakes), which may increase both use and cost of medical services and cause members to delay obtaining services, affecting their long-term health;</w:t>
      </w:r>
    </w:p>
    <w:p>
      <w:pPr>
        <w:spacing w:after="0" w:line="15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cost inflation; and</w:t>
      </w:r>
    </w:p>
    <w:p>
      <w:pPr>
        <w:spacing w:after="0" w:line="20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mandated benefits, member eligibility criteria, or other legislative, judicial, or regulatory changes.</w:t>
      </w:r>
    </w:p>
    <w:p>
      <w:pPr>
        <w:spacing w:after="0" w:line="20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Key to our operational strategy is the implementation of clinical initiatives that we believe provide a better healthcare experience for our members, lower the cost of healthcare services delivered to our members, and appropriately document the risk profile of our members. Our profitability and competitiveness depend in large part on our ability to leverage our technology platform, AVA, to optimize and appropriately manage healthcare costs by, among other things, proactively managing member care.</w:t>
      </w:r>
    </w:p>
    <w:p>
      <w:pPr>
        <w:spacing w:after="0" w:line="16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Increases or decreases in staff and provider-related expenses, any costs associated with exiting products, additional investment in new products and in the expansion of clinical and technological capabilities as part of our integrated care delivery model, investments in health and well-being product offerings, acquisitions, new taxes and assessments, and implementation of regulatory requirements may increase our operating expenses. Any failure to adequately price our products or estimate sufficient benefits payable or effectively manage our operating expenses may result in a material adverse effect on our results of operations, financial position, and cash flows.</w:t>
      </w:r>
    </w:p>
    <w:p>
      <w:pPr>
        <w:spacing w:after="0" w:line="1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Premium increases, introduction of new product designs, and our relationships with our providers in various markets, among other issues, could also affect our membership levels. Other actions that could affect membership levels include our possible exit from or entrance into markets or the entering into or termination of a key network contract. If we do not compete effectively in our markets, if we set rates too high or too low in highly competitive markets to keep or increase our market share, if membership does not increase as we expect, if membership declines, or if we lose membership with favorable medical cost experience while retaining or increasing membership with unfavorable medical cost experience, our results of operations, financial position, and cash flows may be materially adversely affected.</w:t>
      </w:r>
    </w:p>
    <w:p>
      <w:pPr>
        <w:spacing w:after="0" w:line="16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or improving our Star ratings in future years, which may have a direct and substantial adverse impact on our revenue.</w:t>
      </w:r>
    </w:p>
    <w:p>
      <w:pPr>
        <w:spacing w:after="0" w:line="1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CMS measures the quality of Medicare Advantage plans through a Five Star Quality Rating System. The Star Rating system considers various measures adopted by CMS, including, among others, quality of care, preventative services, chronic illness management and member satisfaction. The achievement of Star ratings of 4-Star or higher qualifies Medicare Advantage plans for an increase in the benchmark against which they bid (potentially increasing premium payments). As of January 1, 2026, approximately 100% of our members are enrolled in plans that have a 4.0 Star rating or greater for the 2026 rating year / 2027 payment year. However, we may not be able to maintain or improve upon these Star ratings in future years. Failure to maintain satisfactory quality and performance measures may negatively affect our premium rates, impede our ability to compete for new business in existing or new markets or result in the termination of our contracts, or affect our ability to enter into new CMS contracts or expand the service area of current health plans. Star ratings are an important component of how MA beneficiaries select an MA plan, both during each annual enrollment period and throughout each year. Low Star ratings may reduce our membership, if members choose to enroll in higher-rated plans.</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Various factors may make it difficult for us to maintain or increase our Star ratings. For example, there are numerous providers that serve our plans, and we engage multiple third-party vendors to provide supplemental plan benefits. We may have limited success in obtaining quality health care outcomes and satisfactory member experiences from these providers and vendors. As a result of our dependence upon these relationships, we may have limited ability to directly influence the overall quality rating of our plans. Additionally,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CMS has attempted to address some of this disparity, but the efforts may not work as intended or be sufficient to address the difficulties of serving varying member populations.</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CMS updates and makes changes to the Star ratings annually. Changes implemented by CMS with respect to the Five Star Quality Rating System have, in the past, and could, in the future, negatively impact our Star ratings. For example, in rating year 2024, CMS removed performance outliers from the calculation of non-Consumer Assessment of Healthcare Providers and Systems (“non-CAHPS data”) measure rating cut points using the Turkey outlier deletion method. This change increased cut points overall, making it more difficult to achieve and maintain high Star ratings. In the 2026 Star ratings, only 18 MA-Part D contracts earned a 5-star rating, an increase from seven in 2025 but a significant decrease from 31 in 2024 and 57 in 2023.</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CMS continues to make changes to Star Ratings methodology that could negatively impact our Star Ratings in future years. For example, CMS recently proposed changes for the 2027 Star Ratings, including streamlining the Star Ratings measure set by removing certain measures and revising aspects of the reward factor methodology (including proposing to remove the Health Equity Index reward and revert to the historical reward factor). These changes, if finalized, and future adjustments to the Star rating methodology may have a negative impact on our Star ratings.</w:t>
      </w:r>
    </w:p>
    <w:p>
      <w:pPr>
        <w:spacing w:after="0" w:line="16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In addition, audits of our performance for past or future periods may result in downgrades to our Star ratings. For example, if a CMS audit finds that a particular issue of noncompliance impacts the data source for a Star measure, the Star measure may be reduced if the data set is deemed inaccurate or biased. Accordingly, our plans may receive a lower Star rating and may not be eligible for full level</w:t>
      </w:r>
    </w:p>
    <w:p>
      <w:pPr>
        <w:sectPr>
          <w:pgSz w:w="12240" w:h="15840" w:orient="portrait"/>
          <w:cols w:equalWidth="0" w:num="1">
            <w:col w:w="9900"/>
          </w:cols>
          <w:pgMar w:left="1180" w:top="304" w:right="1160" w:bottom="0" w:gutter="0" w:footer="0" w:header="0"/>
        </w:sectPr>
      </w:pP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2240" w:h="15840" w:orient="portrait"/>
          <w:cols w:equalWidth="0" w:num="1">
            <w:col w:w="9900"/>
          </w:cols>
          <w:pgMar w:left="1180" w:top="304" w:right="11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quality bonus payments, which could adversely affect the benefits we can offer, reduce membership and/or reduce profit margins. Also, CMS has the authority to terminate contracts that have had a rating of less than three Stars for three consecutive years, whereas Medicare Advantage plans with five Stars are permitted to conduct enrollment throughout almost the entire year. Because low quality ratings can potentially lead to the termination of one or more of our contracts we may not be able to prevent the potential termination of a plan or a shift of members to other plans based upon quality issues, which could, in turn, have a material adverse effect on our business, results of operations, financial condition and cash flows.</w:t>
      </w:r>
    </w:p>
    <w:p>
      <w:pPr>
        <w:spacing w:after="0" w:line="16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satisfactory relationships with care providers to service our members, our business may be adversely affected.</w:t>
      </w:r>
    </w:p>
    <w:p>
      <w:pPr>
        <w:spacing w:after="0" w:line="14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requires that we maintain and grow our provider networks and contract with providers and medical facilities in new markets in order to meet CMS requirements relating to network adequacy. We contract with a variety of physicians, nurses, hospitals, clinics and other third-party providers to deliver healthcare and related services to our members. Our plans encourage or require our customers to use these contracted providers. A key component of our integrated care delivery strategy is to increase the number of providers who share medical cost risk with us or have financial incentives to deliver high quality medical services in a cost-effective manner. In order to retain our members and attract additional membership, our provider networks, including those physicians participating in Medicare and willing to see our patients but with whom we have not contracted, must be not only adequate, but attractive, providing Medicare-eligible beneficiaries access to the providers and facilities that they want.</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any particular market, providers could refuse to contract with us, demand higher payments, or take other actions that could result in higher healthcare costs for us, less desirable outcomes for members or difficulty meeting regulatory or accreditation requirements, including network adequacy requirements. In some markets, certain providers, particularly hospitals, physician specialty groups, physician/hospital organizations, or multi-specialty physician groups, may have significant market positions and negotiating power. In addition, physician or practice management companies, which aggregate physician practices for administrative efficiency and marketing leverage, may compete with us in certain circumstances. If these providers refuse to contract with us, use their market position to negotiate unfavorable contracts with us or place us at a competitive disadvantage, or do not enter into contracts with us that encourage the delivery of quality medical services in a cost-effective manner, our ability to market products or to be profitable in those areas may be adversely affected.</w:t>
      </w:r>
    </w:p>
    <w:p>
      <w:pPr>
        <w:spacing w:after="0" w:line="17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some situations, we have capitation contracts with individual or groups of primary care providers and specialists for an actuarially determined, fixed fee per month to provide a basket of required medical services to our members. The inability of providers to properly manage costs under these capitation arrangements could result in the financial instability of these providers and the termination of their relationship with us. In addition, payment or other disputes between a primary care provider and specialists with whom the primary care provider contracts could result in a disruption in the provision of services to our members or a reduction in the services available to our members. The financial instability or failure of a primary care provider to pay other providers for whom they have taken professional risk for services rendered could lead those other providers to demand payment from us even though we have made our regular fixed payments to the primary care provider. Providers with whom we contract may not properly manage the costs of services, maintain financial solvency or avoid disputes with other providers. Even if we contract with sufficient numbers of providers in our markets, we may be required, from time to time, to work with providers with whom we do not contract and who are not included in our networks. This can increase our medical costs, as there is no pre-negotiated rate that we pay the provider and no incentive for the provider to control costs.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We may be unable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6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member satisfaction or adequately address competitive challenges.</w:t>
      </w:r>
    </w:p>
    <w:p>
      <w:pPr>
        <w:spacing w:after="0" w:line="14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rapidly scale our technology platform, effectively increase our headcount and expand our provider networks, and we must continue to effectively train and manage our employees and partners. We will be unable to manage our business effectively if we are unable to alleviate the strain on resources caused by growth in a timely and successful manner. If we fail to effectively manage our anticipated growth and change, the quality of our services may suffer, which could negatively affect our brand and reputation and harm our ability to attract and retain members and employees.</w:t>
      </w:r>
    </w:p>
    <w:p>
      <w:pPr>
        <w:spacing w:after="0" w:line="17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addition, as we expand our business, it is important that we continue to maintain a high level of member service and satisfaction. As our member base continues to grow, we will need to expand our product and service offerings and our network of partners to provide</w:t>
      </w:r>
    </w:p>
    <w:p>
      <w:pPr>
        <w:sectPr>
          <w:pgSz w:w="12240" w:h="15840" w:orient="portrait"/>
          <w:cols w:equalWidth="0" w:num="1">
            <w:col w:w="9900"/>
          </w:cols>
          <w:pgMar w:left="1180" w:top="304" w:right="1160" w:bottom="0"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2240" w:h="15840" w:orient="portrait"/>
          <w:cols w:equalWidth="0" w:num="1">
            <w:col w:w="9900"/>
          </w:cols>
          <w:pgMar w:left="1180" w:top="304" w:right="11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personalized member service. If we are not able to continue to provide high quality products, benefits and medical care with high levels of member satisfaction, our reputation, as well as our business, results of operations and financial condition could be adversely affected.</w:t>
      </w:r>
    </w:p>
    <w:p>
      <w:pPr>
        <w:spacing w:after="0" w:line="11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healthcare industry is highly competitive. There are many other healthcare plans and healthcare service providers, many of which have a longer operating history and substantially more resources, and there are few barriers to entry in the healthcare industry. This competition may have a material adverse effect on our business operations and financial position.</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compete directly with national, regional and local Medicare Advantage organizations for members and healthcare providers. Competition in our markets involves rapidly changing technologies, diverse and evolving regulatory requirements and industry expectations, new product offerings and constantly changing member and physician preferences and user requirements. We currently face competition from a range of companies, including other incumbent MA providers and health insurance companies. Many of the other companies currently providing health insurance coverage and healthcare services, particularly national insurers such as United Health, Aetna, Humana and Cigna, have been in business longer and/or have substantially more resources than we do. Other companies could enter the healthcare industry in the future and divert some or all of our business. We also face competition from traditional Medicare.</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ability to compete successfully varies from location to location and depends on a number of factors, including the number of competing plans in the local market and the types of services available at local clinical facilities, the demographics of each market and our ability to generate offerings that meet the needs of that population, our local reputation for providing quality care to members, the commitment and expertise of the providers in our network and our in-house medical staff, our local service offerings and community programs and the cost of care in each locality. If we are unable to attract members, our revenue and profitability will be adversely affected. Some of our competitors may have greater recognition and may be more established in particular communities than we are, and they may have greater financial and other resources than we have. Competing Medicare Advantage plans may also offer different programs or services than we do, which, combined with the foregoing factors, may result in our competitors being more attractive to our current members or potential members. While health plans compete on the basis of many factors, including service and the quality and depth of provider networks, we expect that price will continue to be a significant basis of competition. Furthermore, while we budget for improvements in our products and services to keep them competitive in their respective markets, to the extent that competitive forces cause related expenditures to increase in the future, our financial condition may be negatively affected. In addition, in certain instances our relationships with providers are not exclusive and our competitors have established or could seek to establish relationships with such providers. Additionally, as we expand into new geographies, we may encounter competitors with stronger relationships or recognition in the community in such new geography, which could give those competitors an advantage in retaining current members and obtaining new members, which may have a material adverse effect on our business operations and financial position.</w:t>
      </w:r>
    </w:p>
    <w:p>
      <w:pPr>
        <w:spacing w:after="0" w:line="1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w:t>
      </w:r>
    </w:p>
    <w:p>
      <w:pPr>
        <w:spacing w:after="0" w:line="15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key contracts with large independent physician associations, hospitals and other provider networks to serve our membership base. The loss or renegotiation of any of these contracts could negatively impact our results.</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provider network includes key contracts with certain large independent physician associations (“IPAs”), hospitals and other provider networks, which are critical to serving our membership base. Although we typically seek to enter into contracts spanning three or more years, after a specified period, certain of these contracts, including existing contracts with some of our largest IPA partners, hospitals or other providers, may terminate by their own terms or through notice of non-renewal. In the ordinary course of business, including in connection with renewals or extensions of these agreements, we engage in active discussions and renegotiations with these counterparties in respect of the solutions we provide and the terms of our agreements. The loss of any of our largest IPA partnerships, hospitals or other provider networks or the renegotiation of any of these contracts could adversely affect our results of operations, as this may alter the attractiveness of our provider network, result in more out-of-network claims costs and/or increase the payments we make to these counterparties.</w:t>
      </w:r>
    </w:p>
    <w:p>
      <w:pPr>
        <w:spacing w:after="0" w:line="16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loss of data and other disruptions could compromise sensitive information related to our business or our members, or prevent us from accessing critical information and expose us to liability, which could adversely affect our business and our reputation.</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collect, store, process, transfer, disclose and otherwise use sensitive data, including PHI and PII relating to our employees, members and others. We also process and store, and use third-party service providers to process and store, substantial amounts of sensitive information, including intellectual property, confidential information and other proprietary business information. We manage and maintain such sensitive data and information utilizing a combination of on-site systems, managed data center systems and cloud-based computing center systems.</w:t>
      </w:r>
    </w:p>
    <w:p>
      <w:pPr>
        <w:spacing w:after="0" w:line="1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transmit and store this sensitive data and information. Cybersecurity breaches of this infrastructure, including electronic break-ins, computer viruses, ransomware, attacks by hackers and other malicious actors and similar breaches, physical break-ins and employee or contractor error, negligence or malfeasance, can create system disruptions, shutdowns or unauthorized disclosure or modifications of such sensitive data or information, causing PHI or other PII to be accessed or acquired without authorization or to become publicly available. We utilize a</w:t>
      </w:r>
    </w:p>
    <w:p>
      <w:pPr>
        <w:sectPr>
          <w:pgSz w:w="12240" w:h="15840" w:orient="portrait"/>
          <w:cols w:equalWidth="0" w:num="1">
            <w:col w:w="9880"/>
          </w:cols>
          <w:pgMar w:left="1180" w:top="304" w:right="1180" w:bottom="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2240" w:h="15840" w:orient="portrait"/>
          <w:cols w:equalWidth="0" w:num="1">
            <w:col w:w="9880"/>
          </w:cols>
          <w:pgMar w:left="1180" w:top="304" w:right="11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third-party operated 24x7 security operations center that continuously monitors the security and privacy posture of our systems and have implemented the HITRUST Alliance's Common Security Framework as part of our certification by HITRUST; however, we cannot provide assurance that these measures will protect us from all cybersecurity threats and risks. As our third-party service providers manage important aspects of the collection, storage, processing and transmission of employee, user and member information, and other confidential and sensitive information, we rely on them to perform functions that have material cybersecurity risks. Because of the sensitivity of the PHI, PII and other sensitive information we and our service providers collect, store, transmit, and otherwise process and use, the security of our technology platform and other aspects of our services, including those provided or facilitated by our third-party service providers, are important to our operations and business strategy. Measures taken to protect our systems, those of our contractors or third-party service providers, or the PHI, PII or other sensitive information we or contractors or third-party service providers process or maintain (including our requirement that our third-party service providers enter into business associate agreements or other required security agreements, if applicable), may not adequately protect us from the risks associated with the collection, storage, processing and transmission of such sensitive data and information. For example, we may be required to expend significant capital and other resources, such as in the performance of ongoing risk assessments of our and our third-party service providers’ information systems, to protect against cybersecurity breaches or to alleviate problems caused by cybersecurity breaches. Because cyber-attacks are becoming more sophisticated and frequent and the techniques used to obtain unauthorized access or to sabotage systems change frequently and generally are not identified until they are launched against a target, despite the implementation of security measures, we or our third-party service providers may be unable to anticipate these techniques or to implement adequate protective measures.</w:t>
      </w:r>
    </w:p>
    <w:p>
      <w:pPr>
        <w:spacing w:after="0" w:line="17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cybersecurity breach or other breach or privacy violation that leads to disclosure or unauthorized use or modification of, or that prevents access to or otherwise impacts the confidentiality, security, integrity or availability of, member information, including PHI, PII or other sensitive information we or our contractors or third-party service providers maintain or otherwise process, could harm our reputation and brand, compel us to comply with breach notification laws, and cause us to incur significant costs for remediation, fines, penalties, providing notification to individuals and civil claims. We would need to identify and implement measures intended to repair or replace systems or technology and to prevent future occurrences, and we could face potential increases in insurance premiums. This is of particular risk when considering tight integration with third-party service providers who manage or provide parts of our information systems.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members. We may also suffer loss of reputation, adverse impacts on member and investor confidence and financial loss, and we would be exposed to the risk of governmental investigations or other actions, regulatory or contractual penalties, and other claims and liabilities, including liability under laws and regulations that protect the privacy of member information or other personal information, such as HIPAA as well as other federal and state privacy, data security, consumer protection, biometric information, eavesdropping and wiretapping, electronic communications, and data breach notification laws that permit private rights of action or other civil claims. In addition, cybersecurity breaches and other inappropriate access to, or acquisition or processing of, information can be difficult to detect, and any delay in identifying such incidents or in providing any notification of such incidents may lead to increased harm.</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such breach or interruption of our systems or those of any of our third-party service providers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service offering is driven by our core operating technology platform, AVA, allowing us to access and analyze comprehensive member data quickly, generating insights and alerts using such data and making recommendations to members and practitioners. AVA and the other systems or networks used in our business may experience an increase in attempted cyber-attacks, targeted intrusion, ransomware and phishing campaigns seeking to take advantage of shifts to employees and healthcare providers working remotely using their household or personal internet networks.</w:t>
      </w:r>
    </w:p>
    <w:p>
      <w:pPr>
        <w:spacing w:after="0" w:line="16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 cybersecurity breach could result in incorrect or delayed medical recommendations and prescriptions, missed alerts and missed opportunities to intervene for our members on a timely basis. Unauthorized access, loss or dissemination could also disrupt our operations, including our ability to perform our services, access member health information, collect, process, and prepare company financial information, provide information about our current and future services and engage in other member and clinician education and outreach efforts. Any of the foregoing could have a material adverse effect on our business, results of operations and financial condition.</w:t>
      </w:r>
    </w:p>
    <w:p>
      <w:pPr>
        <w:spacing w:after="0" w:line="14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use of machine learning and artificial intelligence, including within our AVA platform, may introduce operational, regulatory and legal risks that could adversely affect our business, financial condition and results of operations.</w:t>
      </w:r>
    </w:p>
    <w:p>
      <w:pPr>
        <w:spacing w:after="0" w:line="15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We use machine learning, artificial intelligence (“AI”) and other automated data-analysis technologies in certain aspects of our operations, including within AVA, which aggregates and analyzes member and provider information to generate insights, alerts and recommendations and to support risk adjustment, care management and other activities. AI models may produce inaccurate, incomplete, biased or non-reproducible outputs due to limitations in data quality, model design or changing data patterns, and certain methodologies may lack transparency or explainability. If AI-supported processes adversely affect clinical or operational activities, coding or documentation, risk adjustment, utilization management, quality measurement or member stratification, we could experience reduced revenue, increased medical costs, member harm, regulatory exposure or reputational damage. Our use of AI also increases risks relating to data governance, privacy, cybersecurity and third-party technology dependencies, including risks arising from aggregation and use of sensitive data.</w:t>
      </w:r>
    </w:p>
    <w:p>
      <w:pPr>
        <w:sectPr>
          <w:pgSz w:w="12240" w:h="15840" w:orient="portrait"/>
          <w:cols w:equalWidth="0" w:num="1">
            <w:col w:w="9880"/>
          </w:cols>
          <w:pgMar w:left="1180" w:top="304" w:right="1180" w:bottom="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2240" w:h="15840" w:orient="portrait"/>
          <w:cols w:equalWidth="0" w:num="1">
            <w:col w:w="9880"/>
          </w:cols>
          <w:pgMar w:left="1180" w:top="304" w:right="11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The legal and regulatory framework governing AI in healthcare and insurance is rapidly evolving. Federal agencies, including HHS and CMS, are developing policies and guidance regarding the governance and permissible uses of AI in healthcare programs, and federal executive actions and proposed or enacted state laws seek to regulate AI use in sensitive or regulated contexts. New or changing AI-related requirements or enforcement priorities could restrict permissible uses of AI in Medicare Advantage or other regulated activities, require additional governance, validation, documentation, transparency or reporting, or increase audit, overpayment, penalty or liability risks. If our AI governance or use practices are determined to be deficient or non-compliant, we could be subject to investigations, sanctions, contractual liability or other adverse consequences.</w:t>
      </w:r>
    </w:p>
    <w:p>
      <w:pPr>
        <w:spacing w:after="0" w:line="17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If any of these risks were to materialize, our operations, regulatory compliance, reputation, financial condition and results of operations could be adversely affected.</w:t>
      </w:r>
    </w:p>
    <w:p>
      <w:pPr>
        <w:spacing w:after="0" w:line="13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disaster recovery systems or management continuity planning could limit our ability to operate our business effectively and adequately care for our members.</w:t>
      </w:r>
    </w:p>
    <w:p>
      <w:pPr>
        <w:spacing w:after="0" w:line="14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facilitate our ability to conduct our business. The functioning of AVA, our technology platform, is critical to our ability to adequately care for our members and drive health outcomes. While we have disaster recovery systems and business continuity plans in place and such plans are reviewed annually as part of our third-party HITRUST certification, there may be disruptions in our disaster recovery systems or the failure of these systems to operate as expected. Such events could, depending on the magnitude of the problem, adversely affect our operating results and the health of our members by limiting our capacity to effectively monitor and control our operations. Despite our implementation of a variety of security measures, our information technology systems could be subject to physical or electronic break-ins or disruptions from unauthorized tampering, fires, power loss, telecommunication failures or any weather-related disruptions where our headquarters is located or at locations that host portions of our technology platform. In addition, in the event that a significant number of our personnel were unavailable in the event of a disaster, our ability to effectively conduct business and adequately care for our members could be adversely affected.</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government contractor, we are exposed to risks that may materially adversely affect our business, including the potential loss of CMS contracts, significant changes to the Medicare Advantage and/or Part D programs, potential suspension from participating in the Medicare Advantage program, changes to the risk-adjustment model used to determine the premiums paid to Medicare Advantage plans, changes to provisions for risk sharing under Medicare Part D and risks related to governmental audits and investigations, among others.</w:t>
      </w:r>
    </w:p>
    <w:p>
      <w:pPr>
        <w:spacing w:after="0" w:line="1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 relates, directly or indirectly, to the Medicare Advantage program, which accounted for substantially all of our total revenue for the year ended December 31, 2025. Participating in the Medicare Advantage program exposes us to various risks, as described further below.</w:t>
      </w:r>
    </w:p>
    <w:p>
      <w:pPr>
        <w:spacing w:after="0" w:line="160" w:lineRule="exact"/>
        <w:rPr>
          <w:sz w:val="20"/>
          <w:szCs w:val="20"/>
          <w:color w:val="auto"/>
        </w:rPr>
      </w:pPr>
    </w:p>
    <w:p>
      <w:pPr>
        <w:ind w:left="1520" w:right="20" w:hanging="540"/>
        <w:spacing w:after="0" w:line="256"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2026, under our contracts with CMS, we provided health insurance coverage to approximately 275,300 individual Medicare Advantage members. Our continued participation in the Medicare Advantage program through these and other contracts is not guaranteed. Our CMS contracts are subject to annual renewal, and CMS must also annually approve our bids for the plans we intend to offer under each contract. The loss of these and other CMS contracts or significant changes to the terms thereof may have a material adverse effect on our business, results of operations and financial condition.</w:t>
      </w:r>
    </w:p>
    <w:p>
      <w:pPr>
        <w:spacing w:after="0" w:line="171" w:lineRule="exact"/>
        <w:rPr>
          <w:rFonts w:ascii="Times New Roman" w:cs="Times New Roman" w:eastAsia="Times New Roman" w:hAnsi="Times New Roman"/>
          <w:sz w:val="18"/>
          <w:szCs w:val="18"/>
          <w:color w:val="auto"/>
        </w:rPr>
      </w:pPr>
    </w:p>
    <w:p>
      <w:pPr>
        <w:ind w:left="1520" w:right="40" w:hanging="540"/>
        <w:spacing w:after="0" w:line="254"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Congress or CMS may at any time enact significant changes to the Medicare Advantage program, and these changes may materially impact our profitability. For example, there may be changes to the amount or calculation of our premium payments, the mandated member benefits, or member eligibility criteria without corresponding increases in our premium payments, or the timing of payments. We have no control over these changes, including when or how frequently they are made. In addition, CMS annually establishes benchmark payment rates for Medicare Advantage organizations, and these rates may decrease or not keep pace with our expected medical costs. Any of these, or other, changes to the Medicare Advantage program and our payment rates may have a material adverse effect on our business, results of operations and financial condition.</w:t>
      </w:r>
    </w:p>
    <w:p>
      <w:pPr>
        <w:spacing w:after="0" w:line="175" w:lineRule="exact"/>
        <w:rPr>
          <w:rFonts w:ascii="Times New Roman" w:cs="Times New Roman" w:eastAsia="Times New Roman" w:hAnsi="Times New Roman"/>
          <w:sz w:val="18"/>
          <w:szCs w:val="18"/>
          <w:color w:val="auto"/>
        </w:rPr>
      </w:pPr>
    </w:p>
    <w:p>
      <w:pPr>
        <w:ind w:left="1520" w:right="240" w:hanging="540"/>
        <w:spacing w:after="0" w:line="254"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may terminate our Medicare Advantage contracts if there is credible evidence that we have committed or participated in false, fraudulent, or abusive activities, including the submission of false or fraudulent data. Additionally, we may be subject to scrutiny under the federal False Claims Act (the “FCA”) for the alleged submission of fraudulent information. As a recipient of federal money, we may be subject to qui tam litigation brought by individuals who seek to sue on behalf of the government, alleging that the recipient submitted false claims to the government. Litigation of this nature is filed under seal to allow the government an opportunity to investigate and to decide if it wishes to intervene and assume control of the litigation. If the government does not intervene, the lawsuit is unsealed, and the individual may continue to prosecute the action on his or her own.</w:t>
      </w:r>
    </w:p>
    <w:p>
      <w:pPr>
        <w:spacing w:after="0" w:line="175" w:lineRule="exact"/>
        <w:rPr>
          <w:rFonts w:ascii="Times New Roman" w:cs="Times New Roman" w:eastAsia="Times New Roman" w:hAnsi="Times New Roman"/>
          <w:sz w:val="18"/>
          <w:szCs w:val="18"/>
          <w:color w:val="auto"/>
        </w:rPr>
      </w:pPr>
    </w:p>
    <w:p>
      <w:pPr>
        <w:ind w:left="1520" w:right="20" w:hanging="540"/>
        <w:spacing w:after="0" w:line="258"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uses a risk-adjustment model which adjusts premiums paid to Medicare Advantage organizations according to the health status of covered members. The risk-adjustment model, which CMS implemented pursuant to the Balanced Budget Act of 1997 and the Benefits Improvement and Protection Act of 2000 (“BIPA”), generally pays more where a plan’s membership has higher expected costs. Under this model, amounts paid to Medicare Advantage organizations are based, in part, on actuarially determined bids, which include a process whereby our</w:t>
      </w:r>
    </w:p>
    <w:p>
      <w:pPr>
        <w:sectPr>
          <w:pgSz w:w="12240" w:h="15840" w:orient="portrait"/>
          <w:cols w:equalWidth="0" w:num="1">
            <w:col w:w="9900"/>
          </w:cols>
          <w:pgMar w:left="1180" w:top="304" w:right="1160" w:bottom="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2240" w:h="15840" w:orient="portrait"/>
          <w:cols w:equalWidth="0" w:num="1">
            <w:col w:w="9900"/>
          </w:cols>
          <w:pgMar w:left="1180" w:top="304" w:right="116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520"/>
        <w:spacing w:after="0" w:line="252" w:lineRule="auto"/>
        <w:rPr>
          <w:sz w:val="20"/>
          <w:szCs w:val="20"/>
          <w:color w:val="auto"/>
        </w:rPr>
      </w:pPr>
      <w:r>
        <w:rPr>
          <w:rFonts w:ascii="Times New Roman" w:cs="Times New Roman" w:eastAsia="Times New Roman" w:hAnsi="Times New Roman"/>
          <w:sz w:val="18"/>
          <w:szCs w:val="18"/>
          <w:color w:val="auto"/>
        </w:rPr>
        <w:t>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Medicare Advantage organizations must collect and submit the data from hospital inpatient, hospital outpatient, and physician services to CMS within prescribed deadlines. The CMS risk-adjustment model uses the diagnosis data to calculate the risk-adjusted premium payment to Medicare Advantage organizations, which CMS adjusts for coding pattern differences between the health plans and the government fee-for-service program. In certain cases, we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and we rely on our technology platform to aggregate, organize, interpret and report such data.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80"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18"/>
          <w:szCs w:val="18"/>
          <w:color w:val="auto"/>
        </w:rPr>
        <w:t>CMS and the Office of the Inspector General of Health and Human Services (“HHS-OIG”), are continuing to perform audits of various companies’ selected Medicare Advantage contracts related to this risk adjustment diagnosis data. We refer to these audits as Risk-Adjustment Data Validation Audits (“RADV audits”). RADV audits review medical records in an attempt to validate provider medical record documentation and coding practices which influence the calculation of premium payments to Medicare Advantage organizations.</w:t>
      </w:r>
    </w:p>
    <w:p>
      <w:pPr>
        <w:spacing w:after="0" w:line="167" w:lineRule="exact"/>
        <w:rPr>
          <w:sz w:val="20"/>
          <w:szCs w:val="20"/>
          <w:color w:val="auto"/>
        </w:rPr>
      </w:pPr>
    </w:p>
    <w:p>
      <w:pPr>
        <w:ind w:left="1520" w:right="40"/>
        <w:spacing w:after="0" w:line="252" w:lineRule="auto"/>
        <w:rPr>
          <w:sz w:val="20"/>
          <w:szCs w:val="20"/>
          <w:color w:val="auto"/>
        </w:rPr>
      </w:pPr>
      <w:r>
        <w:rPr>
          <w:rFonts w:ascii="Times New Roman" w:cs="Times New Roman" w:eastAsia="Times New Roman" w:hAnsi="Times New Roman"/>
          <w:sz w:val="18"/>
          <w:szCs w:val="18"/>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 Medicare Advantage contract, if any, the results of the RADV audit sample would be extrapolated to the entire Medicare Advantage contract. Additionally, the estimated payment error rate identified during the audit would be compared to a similar audit of the government’s traditional FFS Medicare program. We refer to the process of accounting for errors in fee-for-service claims as the “FFS Adjuster.” This comparison of RADV audit results to the FFS error rate is necessary to determine the economic impact, if any, of RADV audit results because the government used the traditional fee-for-service Medicare program data set, including any attendant errors that are present in that data set, to estimate the costs of various health status conditions and to set the resulting adjustments to Medicare Advantage plans’ payment rates in order to establish actuarial equivalence in payment rates as required under the Medicare statute. CMS already makes other adjustments to payment rates based on a comparison of coding pattern differences between Medicare Advantage plans and traditional fee-for-service Medicare program data (such as for frequency of coding for certain diagnoses in Medicare Advantage plan data versus the traditional fee-for-service Medicare program dataset).</w:t>
      </w:r>
    </w:p>
    <w:p>
      <w:pPr>
        <w:spacing w:after="0" w:line="180" w:lineRule="exact"/>
        <w:rPr>
          <w:sz w:val="20"/>
          <w:szCs w:val="20"/>
          <w:color w:val="auto"/>
        </w:rPr>
      </w:pPr>
    </w:p>
    <w:p>
      <w:pPr>
        <w:ind w:left="1520" w:right="40"/>
        <w:spacing w:after="0" w:line="252" w:lineRule="auto"/>
        <w:rPr>
          <w:sz w:val="20"/>
          <w:szCs w:val="20"/>
          <w:color w:val="auto"/>
        </w:rPr>
      </w:pPr>
      <w:r>
        <w:rPr>
          <w:rFonts w:ascii="Times New Roman" w:cs="Times New Roman" w:eastAsia="Times New Roman" w:hAnsi="Times New Roman"/>
          <w:sz w:val="18"/>
          <w:szCs w:val="18"/>
          <w:color w:val="auto"/>
        </w:rPr>
        <w:t>CMS released a final rule on January 30, 2023, which changes both the use of extrapolation and the application of the FFS Adjuster. Specifically, under the final rule CMS would not extrapolate audit results for any audits covering payment years prior to 2018. Additionally, CMS would not apply any FFS Adjuster in RADV audits. These changes would be expected to have a material impact on Medicare Advantage organizations, including us. In November 2024, CMS announced it had initiated the payment year 2018 RADV audits, and it expected to begin issuing the audit findings in mid-calendar year 2026, including instructions on how the overpayments will be collected as part of the audit. In May 2025, CMS reiterated its focus on RADV audits, noting that the agency planned to complete the payment year 2018 RADV audits by early 2026 and that, going forward, CMS would audit all eligible MA contracts each payment year. However, in September 2025, a federal district court vacated CMS’s 2023 RADV final rule on procedural grounds, creating uncertainty regarding the application of that rule’s audit methodology, including the use of extrapolation and the elimination of the FFS Adjuster, and potentially delaying CMS’s ability to conclude these audits as originally anticipated. The government has filed a notice of appeal in that litigation, and the timing and methodology for issuing findings and any related payment recovery actions remain uncertain.</w:t>
      </w:r>
    </w:p>
    <w:p>
      <w:pPr>
        <w:spacing w:after="0" w:line="181" w:lineRule="exact"/>
        <w:rPr>
          <w:sz w:val="20"/>
          <w:szCs w:val="20"/>
          <w:color w:val="auto"/>
        </w:rPr>
      </w:pPr>
    </w:p>
    <w:p>
      <w:pPr>
        <w:jc w:val="both"/>
        <w:ind w:left="1520" w:right="40"/>
        <w:spacing w:after="0" w:line="258" w:lineRule="auto"/>
        <w:rPr>
          <w:sz w:val="20"/>
          <w:szCs w:val="20"/>
          <w:color w:val="auto"/>
        </w:rPr>
      </w:pPr>
      <w:r>
        <w:rPr>
          <w:rFonts w:ascii="Times New Roman" w:cs="Times New Roman" w:eastAsia="Times New Roman" w:hAnsi="Times New Roman"/>
          <w:sz w:val="18"/>
          <w:szCs w:val="18"/>
          <w:color w:val="auto"/>
        </w:rPr>
        <w:t>In addition, as part of our internal compliance efforts, we routinely perform ordinary course reviews of our internal business processes related to, among other things, our risk coding and data submissions in connection with the risk-adjustment model. These reviews may also result in the identification of errors and the submission of corrections to CMS, that may, either individually or in the aggregate, be material. As such, the result of these reviews may have a material adverse effect on our results of operations, financial position, or cash flows.</w:t>
      </w:r>
    </w:p>
    <w:p>
      <w:pPr>
        <w:spacing w:after="0" w:line="167" w:lineRule="exact"/>
        <w:rPr>
          <w:sz w:val="20"/>
          <w:szCs w:val="20"/>
          <w:color w:val="auto"/>
        </w:rPr>
      </w:pPr>
    </w:p>
    <w:p>
      <w:pPr>
        <w:ind w:left="1520" w:right="20"/>
        <w:spacing w:after="0" w:line="277" w:lineRule="auto"/>
        <w:rPr>
          <w:sz w:val="20"/>
          <w:szCs w:val="20"/>
          <w:color w:val="auto"/>
        </w:rPr>
      </w:pPr>
      <w:r>
        <w:rPr>
          <w:rFonts w:ascii="Times New Roman" w:cs="Times New Roman" w:eastAsia="Times New Roman" w:hAnsi="Times New Roman"/>
          <w:sz w:val="17"/>
          <w:szCs w:val="17"/>
          <w:color w:val="auto"/>
        </w:rPr>
        <w:t>Our CMS contracts that cover members’ prescription drugs under Medicare Part D contain provisions for risk sharing and certain payments for prescription drug costs for which we are not at risk. These provisions, certain of which are described below, affect our ultimate payments from CMS. Beginning in 2025, the Inflation Reduction Act (the “IRA”) imposes changes to the Medicare Part D program, including changes to catastrophic coverage, manufacturer discount obligations, and CMS reinsurance subsidies. These changes to tend to increase the portion of</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2240" w:h="15840" w:orient="portrait"/>
          <w:cols w:equalWidth="0" w:num="1">
            <w:col w:w="9880"/>
          </w:cols>
          <w:pgMar w:left="1180" w:top="304" w:right="11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520" w:right="600"/>
        <w:spacing w:after="0" w:line="282" w:lineRule="auto"/>
        <w:rPr>
          <w:sz w:val="20"/>
          <w:szCs w:val="20"/>
          <w:color w:val="auto"/>
        </w:rPr>
      </w:pPr>
      <w:r>
        <w:rPr>
          <w:rFonts w:ascii="Times New Roman" w:cs="Times New Roman" w:eastAsia="Times New Roman" w:hAnsi="Times New Roman"/>
          <w:sz w:val="18"/>
          <w:szCs w:val="18"/>
          <w:color w:val="auto"/>
        </w:rPr>
        <w:t>prescription drug costs for which we are financially responsible and may increase variability in our ultimate payments from CMS.</w:t>
      </w:r>
    </w:p>
    <w:p>
      <w:pPr>
        <w:spacing w:after="0" w:line="146" w:lineRule="exact"/>
        <w:rPr>
          <w:sz w:val="20"/>
          <w:szCs w:val="20"/>
          <w:color w:val="auto"/>
        </w:rPr>
      </w:pPr>
    </w:p>
    <w:p>
      <w:pPr>
        <w:ind w:left="1520" w:right="60"/>
        <w:spacing w:after="0" w:line="255" w:lineRule="auto"/>
        <w:rPr>
          <w:sz w:val="20"/>
          <w:szCs w:val="20"/>
          <w:color w:val="auto"/>
        </w:rPr>
      </w:pPr>
      <w:r>
        <w:rPr>
          <w:rFonts w:ascii="Times New Roman" w:cs="Times New Roman" w:eastAsia="Times New Roman" w:hAnsi="Times New Roman"/>
          <w:sz w:val="18"/>
          <w:szCs w:val="18"/>
          <w:color w:val="auto"/>
        </w:rPr>
        <w:t>Our losses or gains are limited by risk corridor provisions which compare costs targeted in our annual bids to our allowable costs under the plan, limited to actual costs that were incurred for the standard coverage as defined by CMS. Variances exceeding certain thresholds may result in CMS making additional payments to us or require us to refund to CMS a portion of the premiums we received (known as a “risk corridor”). We estimate and recognize an adjustment to premiums revenue related to the risk corridor payment settlement based upon pharmacy claims experience. The estimate of the settlement associated with these risk corridor provisions requires us to consider factors that may not be certain, including member eligibility differences with CMS.</w:t>
      </w:r>
    </w:p>
    <w:p>
      <w:pPr>
        <w:spacing w:after="0" w:line="173" w:lineRule="exact"/>
        <w:rPr>
          <w:sz w:val="20"/>
          <w:szCs w:val="20"/>
          <w:color w:val="auto"/>
        </w:rPr>
      </w:pPr>
    </w:p>
    <w:p>
      <w:pPr>
        <w:ind w:left="1520" w:right="80"/>
        <w:spacing w:after="0" w:line="261" w:lineRule="auto"/>
        <w:rPr>
          <w:sz w:val="20"/>
          <w:szCs w:val="20"/>
          <w:color w:val="auto"/>
        </w:rPr>
      </w:pPr>
      <w:r>
        <w:rPr>
          <w:rFonts w:ascii="Times New Roman" w:cs="Times New Roman" w:eastAsia="Times New Roman" w:hAnsi="Times New Roman"/>
          <w:sz w:val="18"/>
          <w:szCs w:val="18"/>
          <w:color w:val="auto"/>
        </w:rPr>
        <w:t>Reinsurance and low-income cost subsidies represent payments from CMS in connection with the Medicare Part D program. Pursuant to the IRA, CMS’s share of costs in the catastrophic coverage phase decreased from 80% in</w:t>
      </w:r>
    </w:p>
    <w:p>
      <w:pPr>
        <w:ind w:left="1520"/>
        <w:spacing w:after="0" w:line="251" w:lineRule="auto"/>
        <w:rPr>
          <w:sz w:val="20"/>
          <w:szCs w:val="20"/>
          <w:color w:val="auto"/>
        </w:rPr>
      </w:pPr>
      <w:r>
        <w:rPr>
          <w:rFonts w:ascii="Times New Roman" w:cs="Times New Roman" w:eastAsia="Times New Roman" w:hAnsi="Times New Roman"/>
          <w:sz w:val="18"/>
          <w:szCs w:val="18"/>
          <w:color w:val="auto"/>
        </w:rPr>
        <w:t>2024 to 20% in 2025, meaning that we are responsible for a greater portion of prescription drug costs above the out-of-pocket threshold.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as well as other factors, is made after the end of the applicable year.</w:t>
      </w:r>
    </w:p>
    <w:p>
      <w:pPr>
        <w:spacing w:after="0" w:line="178" w:lineRule="exact"/>
        <w:rPr>
          <w:sz w:val="20"/>
          <w:szCs w:val="20"/>
          <w:color w:val="auto"/>
        </w:rPr>
      </w:pPr>
    </w:p>
    <w:p>
      <w:pPr>
        <w:ind w:left="1520" w:right="20"/>
        <w:spacing w:after="0" w:line="253" w:lineRule="auto"/>
        <w:rPr>
          <w:sz w:val="20"/>
          <w:szCs w:val="20"/>
          <w:color w:val="auto"/>
        </w:rPr>
      </w:pPr>
      <w:r>
        <w:rPr>
          <w:rFonts w:ascii="Times New Roman" w:cs="Times New Roman" w:eastAsia="Times New Roman" w:hAnsi="Times New Roman"/>
          <w:sz w:val="18"/>
          <w:szCs w:val="18"/>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payment which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178" w:lineRule="exact"/>
        <w:rPr>
          <w:sz w:val="20"/>
          <w:szCs w:val="20"/>
          <w:color w:val="auto"/>
        </w:rPr>
      </w:pPr>
    </w:p>
    <w:p>
      <w:pPr>
        <w:ind w:left="1520" w:hanging="540"/>
        <w:spacing w:after="0" w:line="267" w:lineRule="auto"/>
        <w:tabs>
          <w:tab w:leader="none" w:pos="1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also subject to various other governmental audits and investigations. Under state laws, we are audited by state departments of insurance for financial and contractual compliance and by state departments of health. Audits and investigations, including audits of risk adjustment data, are also conducted by state attorneys general, CMS, HHS-OIG, the Office of Personnel Management, the Department of Justice (“DOJ”) and the Department of Labor. Findings from these audits and investigations could result in, among other things, the loss of licensure or the right to participate in the Medicare Advantage or other programs, a limitation on our ability to market or sell products, a suspension on our ability to enroll new members, a requirement to refund money to the government, the imposition of fines, penalties and other civil and criminal sanctions, or changes in our business practices. The outcome of any current or future governmental or internal investigations cannot be accurately predicted, nor can we predict any resulting penalties, fines or other sanctions that may be imposed at the discretion of federal or state regulatory authorities. Nevertheless, it is possible that any such outcome of litigation, penalties, fines or other sanctions could be substantial, and the outcome of these matters may have a material adverse effect on our results of operations, financial position, and cash flows. Responding to subpoenas, investigations and other lawsuits, claims and legal proceedings as well as defending ourselves in such matters would divert management’s attention and cause us to incur significant legal expense. Negative findings or terms and conditions that we might agree to accept as part of a negotiated resolution of pending or future legal or regulatory matters could result in, among other things, substantial financial penalties or awards against us, substantial payments made by us, required changes to our business practices, exclusion from future participation in the Medicare Advantage Programs and, in certain cases, criminal penalties, any of which could have a material adverse effect on us. Certain of these matters could also affect our reputation. In addition, disclosure of any adverse investigation or audit results or sanctions could negatively affect our industry or our reputation in various markets and make it more difficult for us to sell our products and services.</w:t>
      </w:r>
    </w:p>
    <w:p>
      <w:pPr>
        <w:spacing w:after="0" w:line="3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Inflation Reduction Act of 2022 contains several provisions that affect the Part D program. These changes may require us to change our prescription drug offerings, reduce our profitability, and otherwise impact our financial performance.</w:t>
      </w:r>
    </w:p>
    <w:p>
      <w:pPr>
        <w:spacing w:after="0" w:line="14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Inflation Reduction Act of 2022 (“IRA”), signed into law on August 16, 2022, reflects an ongoing effort to control prescription drug costs and reduce spending by the federal government. The IRA contains several provisions that impact the Part D program and that may influence our benefit design and profitability. For example, beginning in 2024, Part D plans were required to eliminate member cost-sharing in the catastrophic phase of the benefit, and beginning in 2025, the coverage gap phase was eliminated. For 2026, Part D plans must also implement a cap on member out-of-pocket spending of $2,100. These changes have the potential to increase the financial responsibility of Part D plan sponsors. Furthermore, Part D plans must offer enrollees the option to pay out-of-pocket prescription drug costs in the form of capped monthly payments through the Medicare Prescription Payment Plan instead of all at once at the pharmacy.</w:t>
      </w:r>
    </w:p>
    <w:p>
      <w:pPr>
        <w:sectPr>
          <w:pgSz w:w="12240" w:h="15840" w:orient="portrait"/>
          <w:cols w:equalWidth="0" w:num="1">
            <w:col w:w="9880"/>
          </w:cols>
          <w:pgMar w:left="1180" w:top="304" w:right="1180" w:bottom="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2240" w:h="15840" w:orient="portrait"/>
          <w:cols w:equalWidth="0" w:num="1">
            <w:col w:w="9880"/>
          </w:cols>
          <w:pgMar w:left="1180" w:top="304" w:right="11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may increase administrative burdens for plans by requiring new payment tracking systems and risk management strategies. Finally, 2026 is the first year that CMS will implement negotiated prices on certain high-cost Part D drugs, and Part D plans must include these drugs on their formularies at the maximum fair price. These changes may significantly alter the plans that we offer and may adversely affect our business, results of operations and financial condition.</w:t>
      </w:r>
    </w:p>
    <w:p>
      <w:pPr>
        <w:spacing w:after="0" w:line="15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and litigation, including intellectual property and privacy disputes, which are costly and could materially harm our business and results of operations.</w:t>
      </w:r>
    </w:p>
    <w:p>
      <w:pPr>
        <w:spacing w:after="0" w:line="1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may be party to lawsuits and legal proceedings in or outside of the normal course of business, whether initiated by third parties or by us. These matters are often expensive and disruptive to normal business operations. We may face allegations, lawsuits and regulatory inquiries, audits and investigations regarding the denial of healthcare benefit payments, compensation or non-acceptance or termination of provider contracts, medical malpractice (based on our medical necessity decisions or brought against us on the theory that we are liable for providers’ alleged malpractice) or professional liability (in connection with the delivery of healthcare and related services to the public). We may initiate litigation or administrative proceedings, including, without limitation, to address regulatory matters or to protect our intellectual property. We may be subject to class-action lawsuits, shareholder derivative suits, or other litigation arising from alleged violations of federal or state securities laws or of Delaware corporate law. We may also face </w:t>
      </w:r>
      <w:r>
        <w:rPr>
          <w:rFonts w:ascii="Times New Roman" w:cs="Times New Roman" w:eastAsia="Times New Roman" w:hAnsi="Times New Roman"/>
          <w:sz w:val="18"/>
          <w:szCs w:val="18"/>
          <w:b w:val="1"/>
          <w:bCs w:val="1"/>
          <w:i w:val="1"/>
          <w:iCs w:val="1"/>
          <w:color w:val="auto"/>
        </w:rPr>
        <w:t>qui tam</w:t>
      </w:r>
      <w:r>
        <w:rPr>
          <w:rFonts w:ascii="Times New Roman" w:cs="Times New Roman" w:eastAsia="Times New Roman" w:hAnsi="Times New Roman"/>
          <w:sz w:val="18"/>
          <w:szCs w:val="18"/>
          <w:color w:val="auto"/>
        </w:rPr>
        <w:t xml:space="preserve"> allegations or lawsuits brought by individuals who seek to sue on behalf of the government including, among other allegations, resulting from coding and review practices under the Medicare Advantage risk-adjustment model.</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may be subject to lawsuits under the FCA and comparable state laws for submitting allegedly fraudulent or otherwise inappropriate risk adjustment or Stars data. These lawsuits, which may be initiated by government authorities as well as private party relators, can involve significant monetary damages, fines, attorney fees and the award of bounties to private plaintiffs who successfully bring these suits, as well as to the government programs. In recent years, government oversight and law enforcement have become increasingly active and aggressive in investigating and taking legal action against potential fraud, waste and abuse. Fraud, waste, and abuse prohibitions encompass a wide range of activities, including kickbacks for referral of members, fraudulent coding practices, billing for unnecessary medical and/or other covered services, improper marketing and violations of patient privacy rights. The DOJ and the Department of Health and Human Services Office of Inspector General (“OIG”), have recently increased their scrutiny of healthcare payers and providers, and Medicare Advantage insurers, under the federal FCA, in particular, and there have been a number of investigations, prosecutions, convictions and settlements in the healthcare industry. The FCA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8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Additionally, we may face allegations, lawsuits and regulatory inquiries, audits and investigations regarding data privacy and security, labor and employment, consumer protection and intellectual property infringement, misappropriation or other violation, including claims related to patents, publicity, trademarks, copyrights and other intellectual property or proprietary rights. We may also face allegations or litigation related to our acquisitions, securities issuances or business practices, including public disclosures about our business.</w:t>
      </w:r>
    </w:p>
    <w:p>
      <w:pPr>
        <w:spacing w:after="0" w:line="1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Certain of these matters may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members or geographies, all of which could negatively impact our geographical expansion and revenue growth. We may also become subject to periodic audits, which would likely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Accordingly, such proceedings could harm our reputation, business, financial condition, results of operations and the market price of our common stock.</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we maintain third-party professional liability insurance coverage and managed care errors and omissions policies, it is possible that claims against us may exceed the coverage limits of our insurance policies.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if the healthcare services industry becomes more cyclical.</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past, healthcare utilization generally has trended upward over time, regardless of minor fluctuations in the U.S. economy. We believe this trend may change, however, as consumers have been given more decision-making and spending responsibility. In turn, we believe members are making healthcare purchases on a more discretionary basis, especially for elective procedures. This could result in a more cyclical trend in healthcare utilization over the coming years and may cause short-term volatility in our operating results.</w:t>
      </w:r>
    </w:p>
    <w:p>
      <w:pPr>
        <w:sectPr>
          <w:pgSz w:w="12240" w:h="15840" w:orient="portrait"/>
          <w:cols w:equalWidth="0" w:num="1">
            <w:col w:w="9880"/>
          </w:cols>
          <w:pgMar w:left="1180" w:top="304" w:right="1180" w:bottom="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2240" w:h="15840" w:orient="portrait"/>
          <w:cols w:equalWidth="0" w:num="1">
            <w:col w:w="9880"/>
          </w:cols>
          <w:pgMar w:left="1180" w:top="304" w:right="11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manage acquisitions, joint ventures, divestitures and other significant transactions successfully may have a material adverse effect on our results of operations, financial position, and cash flows.</w:t>
      </w:r>
    </w:p>
    <w:p>
      <w:pPr>
        <w:spacing w:after="0" w:line="1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engage in discussions with third parties regarding possible investments, acquisitions, divestitures, strategic alliances, joint ventures, and outsourcing transactions and may enter into agreements relating to such transactions in order to further our business objectives. Such transactions may not always align properly with our strategic objectives and may not deliver the expected benefits within the timeframes anticipated or at all. In order to pursue our acquisition strategy successfully, we must identify suitable candidates for and successfully complete transactions, some of which may be large and complex, and manage post-closing issues such as the integration of acquired companies or employees. Integration and other risks can be more pronounced for larger and more complicated transactions, transactions outside of our core business space, or if multiple transactions are pursued simultaneously. Delays or difficulties in aligning key integration elements may result in operational disruptions, decreased productivity, and the failure to realize anticipated synergies, leading to a negative impact on financial performance. Moreover, the failure to successfully integrate acquired entities and businesses or failure to produce results consistent with the financial model used in the analysis of our acquisitions, investments, joint ventures or strategic alliances may cause asset write-offs, restructuring costs or other expenses and may have a material adverse effect on our results of operations, financial position, and cash flows. Acquisitions and joint ventures may expose us to legal and regulatory risks, including compliance with antitrust laws, contractual obligations, and other regulatory requirements. Failure to navigate these complexities may result in legal disputes, regulatory scrutiny, or financial penalties. If we fail to identify and successfully complete transactions that further our strategic objectives, we may be required to expend additional resources to expand our business organically.</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enhance and protect our reputation and brand recognition, including through the maintenance and protection of trademarks, our business and results of operations will be harmed.</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is critical to our relationships with both members and providers and to our ability to attract new members. The promotion of our brand may require us to make substantial investments and we anticipate that, as our market becomes increasingly competitive, these marketing initiatives may become increasingly difficult and expensive. Moreover, our current marketing efforts to date have been limited to certain geographic regions and markets where our business operates to facilitate the efficient use of resources. If we grow nationally, we will need to spend additional resources to build strong national brand recognition and our efforts may not be effective. Our marketing activities may not be successful or yield increased revenue, and to the extent that these activities yield increased revenue, the increased revenue may not offset the expenses we incur and our results of operations could be harmed.</w:t>
      </w:r>
    </w:p>
    <w:p>
      <w:pPr>
        <w:spacing w:after="0" w:line="17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Any factor that diminishes our reputation or that of our management, including failing to meet the expectations of or provide quality service to our members, or any adverse publicity or litigation involving or surrounding us or our management, could make it substantially more difficult for us to attract new members and retain existing members. Similarly, because our existing members often act as references for us with prospective new members, any existing member that questions the quality of our care could impair our ability to secure additional new members. In addition, negative publicity resulting from any adverse government audit could injure our reputation. If we do not successfully maintain and enhance our reputation and brand recognition, our business may not grow and we could lose our relationships with members or providers, which would harm our business, results of operations and financial condition.</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diluted, declared generic, lapsed or determined to be infringing on or dilutive of other marks. We may not be able to protect our rights in these trademarks and trade names, which we need in order to build name recognition with members, providers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16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the uninterrupted operation and data integrity of our information technology platform and other business systems.</w:t>
      </w:r>
    </w:p>
    <w:p>
      <w:pPr>
        <w:spacing w:after="0" w:line="14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maintaining effective information systems, including our AVA platform, as well as the integrity and timeliness of the data we use to serve our members, support our in-house care teams and external providers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in-house care teams, external providers and other partners regard as significant. If our data were found to be inaccurate or unreliable due to fraud or other error, or if we, or any of the providers we engage, were to fail to maintain information systems and data integrity effectively, we could experience operational disruptions that may impact our members, in-house care teams and external providers and other partners and hinder our ability to provide products and services, retain and attract members, manage our member risk profiles, report timely and accurate financial results and maintain regulatory compliance, among other things.</w:t>
      </w:r>
    </w:p>
    <w:p>
      <w:pPr>
        <w:spacing w:after="0" w:line="17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Natural disasters or widespread civic disruptions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w:t>
      </w:r>
    </w:p>
    <w:p>
      <w:pPr>
        <w:sectPr>
          <w:pgSz w:w="12240" w:h="15840" w:orient="portrait"/>
          <w:cols w:equalWidth="0" w:num="1">
            <w:col w:w="9880"/>
          </w:cols>
          <w:pgMar w:left="1180" w:top="304" w:right="1180" w:bottom="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2240" w:h="15840" w:orient="portrait"/>
          <w:cols w:equalWidth="0" w:num="1">
            <w:col w:w="9880"/>
          </w:cols>
          <w:pgMar w:left="1180" w:top="304" w:right="11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their systems and services, any of which could materially adversely affect our business. Limitations on access or disruptions to services provided by some of the external care providers upon which our platform and business operations rely could interrupt our ability to provide our platform, decrease the productivity of our workforce and provider networks, and significantly harm our business operations, financial condition and results of operations.</w:t>
      </w:r>
    </w:p>
    <w:p>
      <w:pPr>
        <w:spacing w:after="0" w:line="16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information technology strategy and execution are critical to our continued success because our technology platform is at the center of our business model. We must continue to invest in long-term solutions that will enable us to anticipate member needs and expectations, enhance the member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continued trends toward greater member engagement and increased regulatory scrutiny in healthcare require new and enhanced technologies. Connectivity among technologies is becoming increasingly important. We must also develop new systems to meet current market standards and keep pace with continuing changes in information processing technology, evolving industry and regulatory standards and member needs. Failure to do so may present compliance challenges and impede our ability to deliver products and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business, financial condition and results of operations.</w:t>
      </w:r>
    </w:p>
    <w:p>
      <w:pPr>
        <w:spacing w:after="0" w:line="17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16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Our business depends on internally developed technology and content, including software, databases, confidential information and know-how, such as the AVA platform, the protection of which is crucial to the success of our business. We rely on a combination of trademark, trade secret and copyright laws and confidentiality procedures and contractual provisions to protect our intellectual property rights in our internally developed technology and content. We may, over time, increase our investment in protecting our intellectual property through additional trademark, patent and other intellectual property filings that could be expensive and time-consuming. Effective trademark, trade secret, copyright and other intellectual property protection is expensive to develop and maintain, both in terms of initial and ongoing registration requirements and the costs of defending our rights. These measures, however, may not be sufficient to offer us meaningful protection. Additionally, we do not currently hold a patent or other registered or applied for intellectual property protection for AVA. If we are unable to protect our intellectual property and other proprietary rights, particularly with respect to AVA,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misappropriated or otherwise violated,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seek to analyze our competitors’ services, and may in the future seek to enforce our rights against potential infringement, misappropriation or other violation. However, the steps we have taken to protect our intellectual property rights may not be adequate to prevent infringement, misappropriation or other violation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1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Uncertainty may result from changes to intellectual property legislation and from interpretations of intellectual property laws by applicable courts and agencies. Accordingly, despite our efforts, we may be unable to obtain, maintain, protect and enforce the intellectual property rights necessary to provide us with a competitive advantage. Our failure to obtain, maintain, protect and enforce our intellectual property rights could therefore have a material adverse effect on our business, financial condition and results of operations.</w:t>
      </w:r>
    </w:p>
    <w:p>
      <w:pPr>
        <w:spacing w:after="0" w:line="14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1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may not be able to protect our trade secrets, know-how and other internally developed proprietary information, including in relation to the AVA platform, adequately. Although we use reasonable efforts to protect this internally developed information and technology, our employees, consultants and other parties (including independent contractors and companies with which we conduct business) may unintentionally or willfully disclose our trade secrets or other proprietary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w:t>
      </w:r>
    </w:p>
    <w:p>
      <w:pPr>
        <w:sectPr>
          <w:pgSz w:w="12240" w:h="15840" w:orient="portrait"/>
          <w:cols w:equalWidth="0" w:num="1">
            <w:col w:w="9900"/>
          </w:cols>
          <w:pgMar w:left="1180" w:top="304" w:right="1160" w:bottom="0" w:gutter="0" w:footer="0" w:header="0"/>
        </w:sect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2240" w:h="15840" w:orient="portrait"/>
          <w:cols w:equalWidth="0" w:num="1">
            <w:col w:w="9900"/>
          </w:cols>
          <w:pgMar w:left="1180" w:top="304" w:right="116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protect trade secrets, know-how and other proprietary information. We rely, in part, on non-disclosure, confidentiality and assignment-of-invention agreements with our employees, independent contractors, consultants and companies with which we conduct business to protect our trade secrets, know-how and other intellectual property and internally developed information. We may fail to enter into such agreements with all applicable parties, and such agreements may not be self-executing, or they may be breached and we may not have adequate remedies for such breach. Moreover, third parties may independently develop similar or equivalent proprietary information or reverse-engineer or otherwise gain access to our trade secrets, know-how and other internally developed information. Any of the foregoing could have a material adverse effect on our business, financial condition and results of operations.</w:t>
      </w:r>
    </w:p>
    <w:p>
      <w:pPr>
        <w:spacing w:after="0" w:line="1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14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depend upon licenses from third parties for some of the technology and data used in AVA, our core operating technology platform. We may be unsuccessful in maintaining those licenses, and in such an event, it is possible that alternative technology may not be available for license on favorable terms or at all. Moreover, we expect that we may need to obtain additional licenses from third parties in the future in connection with the development of our applications. In addition, we obtain a portion of the data that we use from government entities, public records, external healthcare providers and other partners. We believe that we have all rights necessary to use the data that is incorporated into our services. We cannot, however, assure you that our licenses for information will allow us to use that information for all potential or contemplated applications.</w:t>
      </w:r>
    </w:p>
    <w:p>
      <w:pPr>
        <w:spacing w:after="0" w:line="17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our ability to continue to offer an integrated healthcare experience to our members depends on maintaining AVA, which is partially populated with data disclosed to us by our members, the physicians in our network and our other partners with their consent. If these members, physicians and other partners revoke their consent for us to maintain, use, de-identify and share this data, consistent with applicable law, our data assets could be degraded.</w:t>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members would be materially adversely impacted, which could have a material adverse effect on our business, financial condition and results of operations.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also integrate into our internally developed applications and use third-party software to support our technology infrastructure. Some of this software is proprietary and some is open-source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of time. Our inability to obtain, maintain or comply with any of these licenses could delay development until equivalent technology can be identified, licensed and integrated, which would harm our business, financial condition and results of operations.</w:t>
      </w:r>
    </w:p>
    <w:p>
      <w:pPr>
        <w:spacing w:after="0" w:line="17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third-party licenses are generally non-exclusive and our competitors may obtain the right to use any of the data and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16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adversely affect our ability to offer our products and services and subject us to possible litigation.</w:t>
      </w:r>
    </w:p>
    <w:p>
      <w:pPr>
        <w:spacing w:after="0" w:line="1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use open-source software in connection with our services. Companies that incorporate open-source software into their technologies have, from time to time, faced claims challenging the use of open-source software and/or compliance with open-source license terms. As a result, we could be subject to suits by parties claiming ownership of what we believe to be open-source software or claiming noncompliance with open-source licensing terms. Some open-source software licenses require users who distribute software containing open-source software to publicly disclose all or part of the source code to such software and/or make available any derivative works of the open-source code, which could include valuable proprietary code of the user, on unfavorable terms or at no cost. While we monitor the use of open-source software and try to ensure that none is used in a manner that would require us to disclose our internally developed source code, including that of our AVA platform, or that would otherwise breach the terms of an open-source agreement, such use could inadvertently occur, in part because open-source license terms are often ambiguous. In addition to risks related to license requirements, use of certain open-source software can lead to greater risks than use of third-party commercial software, as open-source licensors generally do not provide warranties or controls on the origin of software which, thus, may contain security vulnerabilities, such as the Log4j vulnerability in November 2021, or infringing or broken code. Any requirement to publicly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ectPr>
          <w:pgSz w:w="12240" w:h="15840" w:orient="portrait"/>
          <w:cols w:equalWidth="0" w:num="1">
            <w:col w:w="9880"/>
          </w:cols>
          <w:pgMar w:left="1180" w:top="304" w:right="1180"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2240" w:h="15840" w:orient="portrait"/>
          <w:cols w:equalWidth="0" w:num="1">
            <w:col w:w="9880"/>
          </w:cols>
          <w:pgMar w:left="1180" w:top="304" w:right="11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14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senior management team and other key employees. We rely on our leadership team's deep expertise and industry experience in the areas of operations, product development, provision of medical services, information technology and security, marketing, and general and administrative functions. From time to time, there may be changes in our executive management team resulting from the hiring or departure of executives, which could disrupt our business. Our employment agreements with our executive officers and other key personnel do not require them to continue to work for us for any specified period and, therefore, they could terminate their employment with us at any time. Furthermore, volatility in our stock price may affect our ability to attract and retain replacements should key personnel depart.</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loss of one or more of the members of our senior management team, or other key employees, could cause disruptions in or harm to our business, and replacing any such employees would entail significant time and cost. In particular, the loss of the services of our founder and Chief Executive Officer, John Kao, could significantly delay or prevent the achievement of our strategic objectives. We currently do not have “key person” insurance on any of our employees.</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for highly qualified personnel is intense, especially for technology specialists and for physicians, nurses and other medical professionals who are experienced in providing care services to older adults. We have, from time to time, experienced, and we expect to continue to experience, difficulty in hiring and retaining employees with appropriate qualifications. Many of the other Medicare Advantage plans and healthcare organizations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harmed.</w:t>
      </w:r>
    </w:p>
    <w:p>
      <w:pPr>
        <w:spacing w:after="0" w:line="16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membership is concentrated in a limited number of U.S. states, and so we are subject to risks associated with our geographic concentration, including unanticipated changes in population morbidity, which could significantly increase utilization rates and medical costs.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 is driven by CMS payments in connection with our health plans in California, North Carolina, Nevada, Arizona and Texas, with approximately 84% of our members concentrated in California as of December 31, 2025. As a result, our exposure to many of the risks described herein is not mitigated by a diversification of geographic focus. Unfavorable changes in healthcare or other benefit costs or reimbursement rates or increased competition in these areas or any other geographic area where our membership becomes concentrated in the future could therefore have a disproportionately adverse effect on our operating results. Furthermore, due to the concentration of our operations in these states and in California in particular, our business may be adversely affected by economic, health or other conditions that disproportionately affect these states as compared to other states (e.g., outbreaks of infectious disease) or by natural disasters such as major earthquake, wildfire or hurricane. Any of these factors could have a significant impact on the health of a large number of our covered members, access to care may be more difficult and proposed responses, including telehealth, may not be available. Moreover, regulatory changes undertaken in response to such events could require us to cover health care costs for members for which we would not typically be responsible.</w:t>
      </w:r>
    </w:p>
    <w:p>
      <w:pPr>
        <w:spacing w:after="0" w:line="176"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To continue to diversify our operations we will have to expand to other regions of the United States, which will require us to devote resources to identifying and exploring such perceived opportunities. We may not be able to continue to successfully expand our operations in any new geographic markets and so we may remain subject to the risks presented by our geographic concentration.</w:t>
      </w:r>
    </w:p>
    <w:p>
      <w:pPr>
        <w:spacing w:after="0" w:line="13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physicians and nurses, shortages of qualified personnel or other factors could increase our labor costs and adversely affect our revenue, profitability and cash flows.</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primarily contract with external providers for care delivery, we also employ physicians and other healthcare professionals to deliver in-house care. Our in-house care delivery operations are dependent on the efforts, abilities and experience of those employees. We compete with healthcare providers, hospitals, clinics, networks and other facilities in attracting physicians, nurses and medical staff to support our in-house care delivery capabilities and in recruiting and retaining qualified management and support personnel to be responsible for the daily operations of our clinical care teams.</w:t>
      </w:r>
    </w:p>
    <w:p>
      <w:pPr>
        <w:spacing w:after="0" w:line="1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some markets, the lack of availability of clinical personnel, such as nurses, social workers and mental health professionals, is a significant operating issue facing all healthcare providers and others seeking to employ such personnel. Any shortage of personnel may require us to continue to enhance wages and benefits to recruit and retain qualified personnel or to contract for more expensive temporary personnel. We also depend on the available labor pool of semi-skilled and unskilled workers in each of the markets in which we operate. Our failure to recruit and retain qualified clinical and other medical personnel could have a material adverse effect on our business, financial condition and results of operations.</w:t>
      </w:r>
    </w:p>
    <w:p>
      <w:pPr>
        <w:spacing w:after="0" w:line="17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Any union activity that may occur among our clinical staff in the future could contribute to increased labor costs. Certain proposed changes in federal labor laws and the National Labor Relations Board’s modification of its election procedures could increase the likelihood of employee unionization attempts. Although none of our employees are currently represented by a collective bargaining agreement, to the extent a significant portion of our employee base unionizes, it is possible our labor costs could increase materially.</w:t>
      </w:r>
    </w:p>
    <w:p>
      <w:pPr>
        <w:sectPr>
          <w:pgSz w:w="12240" w:h="15840" w:orient="portrait"/>
          <w:cols w:equalWidth="0" w:num="1">
            <w:col w:w="9840"/>
          </w:cols>
          <w:pgMar w:left="1180" w:top="304" w:right="122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2240" w:h="15840" w:orient="portrait"/>
          <w:cols w:equalWidth="0" w:num="1">
            <w:col w:w="9840"/>
          </w:cols>
          <w:pgMar w:left="1180" w:top="304" w:right="122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our labor costs increase, we may not be able to offset these increased costs. Because a significant percentage of our revenue consists of fixed, prospective payments, our ability to pass along increased labor costs is limited. In particular, if labor costs rise at an annual rate greater than our net annual payments from CMS, our results of operations and cash flows will likely be adversely affected.</w:t>
      </w:r>
    </w:p>
    <w:p>
      <w:pPr>
        <w:spacing w:after="0" w:line="15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records, including those submitted to us by our external providers, contain inaccurate or unsupportable information regarding risk adjustment scores of members, we might overstate or understate our revenue and be subject to various penalties.</w:t>
      </w:r>
    </w:p>
    <w:p>
      <w:pPr>
        <w:spacing w:after="0" w:line="1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RAF scores attributable to our members determine, in part, the revenue to which we are entitled for the provision of medical care to our members. The data we submit to CMS is based, in part, on medical charts and diagnosis codes that our in-house clinical staff and our external providers prepare and submit to us. We generally rely on our in-house and externally engaged physicians to appropriately document and support such RAF data in our medical records. We also rely on our in-house and externally engaged physicians to appropriately code claims for medical services provided to members. If the providers do not provide us with accurate and supportable coding and diagnosis information, we may not be able to accurately estimate our revenue and medical costs associated with providing care to our members. If the data suggests the members are sicker than they actually are, we may overstate our revenue and overstate our costs. If the data suggests the members are healthier than they actually are, we may understate our revenue and underestimate our costs. Erroneous and/or unsupported submissions could result in a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have a material adverse effect on our business, financial condition and results of operations.</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CMS audits Medicare Advantage organizations for documentation to support RAF-related payments for members. The Medicare Advantage organizations ask providers to submit the underlying documentation for members that they serve. It is possible that claims associated with members with higher RAF scores could be subject to more scrutiny in a CMS or plan audit. CMS may impose penalties as a result of its audits. In addition, we could be liable for penalties to the government under the FCA that range from $5,500 to $11,000 (adjusted for inflation) for each false claim, plus up to three times the amount of damages caused by each false claim, which can be as much as the amounts received directly or indirectly from the government for each such false claim. On July 3, 2025, the DOJ issued a final rule announcing adjustments to FCA penalties, under which the per claim penalty range was increased to a range from $14,308 to $28,619 for penalties assessed after July 3, 2025 with respect to violations occurring after November 2, 2015. As discussed above, there is ongoing litigation regarding CMS’s 2023 RADV final rule, which would allow CMS to extrapolate findings in RADV audits, potentially leading to much larger recoveries.</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provisions of the FCA, which provide for civil enforcement, the federal government can use several criminal statutes to prosecute persons who are alleged to have submitted false or fraudulent claims for payment to the federal government.</w:t>
      </w:r>
    </w:p>
    <w:p>
      <w:pPr>
        <w:spacing w:after="0" w:line="14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health plans may be randomly selected or targeted for review by CMS and the outcome of such a review may result in a material adjustment in our revenue and profitability.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accurately estimate incurred but not reported medical expense could adversely affect our results of operations.</w:t>
      </w:r>
    </w:p>
    <w:p>
      <w:pPr>
        <w:spacing w:after="0" w:line="21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Member care costs include estimates of future medical claims that have been incurred by the members but for which the provider has not yet billed. These claim estimates are made utilizing actuarial methods and are continually evaluated and adjusted by management, based upon our historical claims experience and other factors, including an independent assessment by a nationally recognized actuarial firm.</w:t>
      </w:r>
    </w:p>
    <w:p>
      <w:pPr>
        <w:spacing w:after="0" w:line="2"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Adjustments, if necessary, are made to medical claims expense and capitated revenues when the assumptions used to determine our claims liability change and when actual claim costs are ultimately determined.</w:t>
      </w:r>
    </w:p>
    <w:p>
      <w:pPr>
        <w:spacing w:after="0" w:line="16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Due to the inherent uncertainties associated with the factors used in these estimates and changes in the patterns and rates of medical utilization, materially different amounts could be reported in our financial statements for a particular period under different conditions or using different, but still reasonable, assumptions. It is possible that our estimates of this type of claim may be inadequate in the future. In such event, our results of operations could be adversely impacted. Further, the inability to estimate these claims accurately may also affect our ability to take timely corrective actions, further exacerbating the extent of any adverse effect on our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regarding the managed healthcare industry generally could adversely affect our results of operations or business.</w:t>
      </w:r>
    </w:p>
    <w:p>
      <w:pPr>
        <w:spacing w:after="0" w:line="2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Negative publicity regarding the managed healthcare industry generally, or the Medicare Advantage program in particular, may result in increased regulation and legislative review of industry practices that further increase our costs of doing business and adversely affect our results of operations or business by:</w:t>
      </w:r>
    </w:p>
    <w:p>
      <w:pPr>
        <w:spacing w:after="0" w:line="160" w:lineRule="exact"/>
        <w:rPr>
          <w:sz w:val="20"/>
          <w:szCs w:val="20"/>
          <w:color w:val="auto"/>
        </w:rPr>
      </w:pPr>
    </w:p>
    <w:p>
      <w:pPr>
        <w:ind w:left="1520" w:hanging="540"/>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change our products and services;</w:t>
      </w:r>
    </w:p>
    <w:p>
      <w:pPr>
        <w:spacing w:after="0" w:line="209" w:lineRule="exact"/>
        <w:rPr>
          <w:rFonts w:ascii="Times New Roman" w:cs="Times New Roman" w:eastAsia="Times New Roman" w:hAnsi="Times New Roman"/>
          <w:sz w:val="18"/>
          <w:szCs w:val="18"/>
          <w:color w:val="auto"/>
        </w:rPr>
      </w:pPr>
    </w:p>
    <w:p>
      <w:pPr>
        <w:ind w:left="1520" w:right="260" w:hanging="540"/>
        <w:spacing w:after="0" w:line="266" w:lineRule="auto"/>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regulatory, including compliance, burdens under which we operate which, in turn, may negatively impact the manner in which we provide products and services and increase our costs of providing products and services;</w:t>
      </w:r>
    </w:p>
    <w:p>
      <w:pPr>
        <w:spacing w:after="0" w:line="159" w:lineRule="exact"/>
        <w:rPr>
          <w:rFonts w:ascii="Times New Roman" w:cs="Times New Roman" w:eastAsia="Times New Roman" w:hAnsi="Times New Roman"/>
          <w:sz w:val="18"/>
          <w:szCs w:val="18"/>
          <w:color w:val="auto"/>
        </w:rPr>
      </w:pPr>
    </w:p>
    <w:p>
      <w:pPr>
        <w:ind w:left="1520" w:right="500" w:hanging="540"/>
        <w:spacing w:after="0" w:line="266" w:lineRule="auto"/>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market our products or services through the imposition of further regulatory restrictions regarding the manner in which plans and providers market to and communicate with Medicare Advantage enrollees; or</w:t>
      </w:r>
    </w:p>
    <w:p>
      <w:pPr>
        <w:sectPr>
          <w:pgSz w:w="12240" w:h="15840" w:orient="portrait"/>
          <w:cols w:equalWidth="0" w:num="1">
            <w:col w:w="9880"/>
          </w:cols>
          <w:pgMar w:left="1180" w:top="304" w:right="1180" w:bottom="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2240" w:h="15840" w:orient="portrait"/>
          <w:cols w:equalWidth="0" w:num="1">
            <w:col w:w="9880"/>
          </w:cols>
          <w:pgMar w:left="1180" w:top="304" w:right="11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520" w:hanging="54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attract and retain members.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reductions in Medicare Advantage funding could adversely affect our financial condition and results of operations.</w:t>
      </w:r>
    </w:p>
    <w:p>
      <w:pPr>
        <w:spacing w:after="0" w:line="2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majority of our revenues come from the government-subsidized Medicare Advantage program. Medicare Advantage is a federally administered program financed in part by federal funds. The federal government has instituted measures aimed at controlling the growth of and/or reducing healthcare spending, including Medicare Advantage spending. We are exposed to financial risks associated with contracting with the federal government, including but not limited to our dependence upon Congress and CMS’ robustly funding the Medicare Advantage program and the impact that delays in government payments could have on our operating cash flow and liquidity.</w:t>
      </w:r>
    </w:p>
    <w:p>
      <w:pPr>
        <w:spacing w:after="0" w:line="1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 example, future levels of funding for Medicare Advantage may be affected by continuing government efforts to contain healthcare costs and may further be affected by federal budgetary constraints. Congress periodically considers reducing or reallocating the amount of money the federal government spends on healthcare programs including the Medicare Advantage program, and CMS annually sets the rates and other financial factors that influence the amount of money Medicare Advantage organizations receive from the government. Furthermore, Medicare remains subject to the automatic spending reductions imposed by the Budget Control Act of 2011 and the American Taxpayer Relief Act of 2012 (“sequestration”), subject to a 2% cap, which has been extended several times, most recently by the Consolidated Appropriations Act of 2023, and is effective through 2032 with respect to Medicare benefit payments (i.e., all payments for programs and activities under Title XVIII of the Social Security Act). Adverse economic conditions may put pressures on federal budgets as tax and other federal revenues decrease while the population that is eligible to participate in Medicare Advantage programs increases, creating more need for funding. This may require Congress and/or CMS to seek to reduce Medicare Advantage spending, which may result in reductions in funding for the Medicare Advantage program or contraction of covered benefits. A reduction (or less than expected increase), a protracted delay, or a change in allocation methodology in government funding for Medicare Advantage, as well as termination of one or more CMS contracts, may materially and adversely affect our results of operations, financial position and cash flows.</w:t>
      </w:r>
    </w:p>
    <w:p>
      <w:pPr>
        <w:spacing w:after="0" w:line="18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if another federal government shutdown were to occur for a prolonged period of time, CMS payment obligations, including its obligations under the Medicare Advantage program, may be delayed. If CMS fails to make payments on a timely basis, our business could suffer, and our financial position, results of operations or cash flows may be materially affected.</w:t>
      </w:r>
    </w:p>
    <w:p>
      <w:pPr>
        <w:spacing w:after="0" w:line="1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Delays in obtaining, or failure to obtain or maintain, governmental approvals, or moratoria imposed by regulatory authorities, could adversely affect our revenues or membership, increase costs or adversely affect our ability to bring new products and services to market as forecasted.</w:t>
      </w:r>
    </w:p>
    <w:p>
      <w:pPr>
        <w:spacing w:after="0" w:line="15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centers out of which our external providers operate and the facilities that host our AVA platform may be negatively impacted by weather and other factors beyond our control.</w:t>
      </w:r>
    </w:p>
    <w:p>
      <w:pPr>
        <w:spacing w:after="0" w:line="1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results of operations may be adversely impacted by adverse conditions affecting the centers out of which our external care providers operate, and the facilities that host our AVA platform, including severe weather events such as tornadoes and widespread winter storms, natural disasters such as earthquakes and fires, public health concerns such as infectious disease outbreaks, violence or threats of violence or other factors beyond our control. Any of these events could cause disruption of member scheduling, displacement of our members, employees and care teams, or force certain of our providers’ centers, or facilities that host our AVA platform to close temporarily. In certain geographic areas, we have a large concentration of clinics, external provider facilities, and facilities that host our AVA platform that may be simultaneously affected by adverse weather conditions or other events. Our future operating results may be adversely affected by these and other factors that disrupt the operation of the centers out of which our external providers operate and the facilities that host our AVA platform.</w:t>
      </w:r>
    </w:p>
    <w:p>
      <w:pPr>
        <w:spacing w:after="0" w:line="16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offer new and innovative products and services or our products and services fail to keep pace with advances in industry standards, technology and our members’ needs, our members may terminate or fail to renew their membership with us and our revenue and results of operations may suffer.</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on providing innovative, high-quality, customizable products and services that elevate our members’ healthcare experience and outcomes. If we cannot adapt to rapidly evolving industry standards, technology and increasingly sophisticated and varied members’ needs, our existing product and service offerings could become undesirable, obsolete or harm our reputation. In order to remain competitive, we must continue to invest significant resources in our personnel and technology in a timely and cost-effective manner in order to enhance our existing products and services and introduce new high-quality products and services that existing members and potential members will want. We are continually involved in a number of projects to develop new products and services, including the further refinement of our proprietary AVA platform. If our innovations are not responsive to the needs of our existing members or potential new members, are not appropriately timed with market opportunity, are not effectively brought to market or significantly increase our operating costs, we may lose existing members or be unable to enroll new members and our results of operations may suffer.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we depend on our subsidiaries for cash.</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Currently, we are a holding company and do not have any material assets or operations other than ownership of equity interests of our subsidiaries. Our operations are conducted almost entirely through our subsidiaries, and our ability to generate cash to meet our obligations or to pay dividends is highly dependent on the earnings of, and receipt of funds from, our subsidiaries through dividends,</w:t>
      </w:r>
    </w:p>
    <w:p>
      <w:pPr>
        <w:sectPr>
          <w:pgSz w:w="12240" w:h="15840" w:orient="portrait"/>
          <w:cols w:equalWidth="0" w:num="1">
            <w:col w:w="9880"/>
          </w:cols>
          <w:pgMar w:left="1180" w:top="304" w:right="1180"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2240" w:h="15840" w:orient="portrait"/>
          <w:cols w:equalWidth="0" w:num="1">
            <w:col w:w="9880"/>
          </w:cols>
          <w:pgMar w:left="1180" w:top="304" w:right="11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administrative expenses or intercompany loans. The ability of our subsidiaries to generate sufficient cash flow from future operations to allow us and them to make scheduled payments on our obligations will depend on their future financial performance, which will be affected by a range of economic, competitive and business factors, many of which are outside of our control. We cannot assure you that the cash flow and future earnings of our operating subsidiaries will be adequate for our subsidiaries to service their debt obligations. If our subsidiaries do not generate sufficient cash flow from future operations to satisfy corporate obligations, we may have to: undertake alternative financing plans (such as refinancing), restructure debt, sell assets, reduce or delay capital investments, or seek to raise additional capital. We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our various debt instruments then in effect. Our inability to generate sufficient cash flow to satisfy our obligations, or to refinance our obligations on commercially reasonable terms, would have an adverse effect on our business, financial condition and results of operations. Furthermore, we and our subsidiaries may incur substantial additional indebtedness in the future that may severely restrict or prohibit our subsidiaries from making distributions, paying dividends or making loans to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funds from certain of our licensed subsidiaries is restricted by state insurance regulations.</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 plans are operated through regulated insurance subsidiaries in various states. These subsidiaries are subject to state regulations that, among other things, require the maintenance of minimum levels of statutory capital or tangible net equity, as defined by each state. The states in which our subsidiaries operate regulate the payment of dividends, loans, administrative expense reimbursements or other cash transfers to us, and limit investments to approved securities. The amount of dividends that may be paid to us by these insurance subsidiaries, without prior approval by state regulatory authorities, or ordinary dividends, is limited based on the entity’s level of statutory income and statutory capital and surplus. In some states, prior notification is provided before paying a dividend even if approval is not required.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governmental departments of insurance. In the event that our subsidiaries are unable to provide sufficient capital to fund our obligations and allow us to pursue our objectives, our results of operations, financial position, and cash flows may be materially adversely affected.</w:t>
      </w:r>
    </w:p>
    <w:p>
      <w:pPr>
        <w:spacing w:after="0" w:line="1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4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One or more of the states in which our MA plan subsidiaries operate may raise the statutory capital or tangible net equity level we are required to maintain from time to time. Many states have adopted risk-based capital requirements based on guidelines adopted by the National Association of Insurance Commissioners, which tend to be, although are not necessarily, higher than existing statutory capital requirements. Regardless of whether a state in which we may operate has adopted risk-based capital requirements, the state departments of insurance can require our regulated insurance subsidiaries to maintain minimum levels of statutory capital or tangible net equity in excess of amounts required under the applicable state laws if they determine that maintaining additional statutory capital or tangible net equity, as applicable,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strategy.</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delegating services and functions to vendors, including supplemental benefit providers and third-party brokers.</w:t>
      </w:r>
    </w:p>
    <w:p>
      <w:pPr>
        <w:spacing w:after="0" w:line="1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on a number of vendors and other third parties to perform various functions and fulfill our obligations to CMS and members. Our ability to operate our business depends on the performance of, and continued contracts with, these vendors. The functions performed by our major vendors include, but are not limited to, information technology support, claims processing, pharmaceutical benefit management, supplemental benefits (e.g., our "black card" benefit, vision benefits, dental benefits and transportation benefits) and other business process outsourcing. We also rely in part on third-party brokers for the marketing and sale of our insurance plans and on our IPAs, which perform certain functions on our behalf.</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operate our business depends on the performance of these third parties. Their performance may be compromised, degraded or interrupted for a variety of reasons, some of which are outside of our control, and they may fail to meet agreed-upon service level standards. For example, if a vendor becomes disqualified by CMS from providing services in connection with a Medicare Advantage plan, we would be unable to continue to use their services. Our vendors could also experience changes in their financial health or disruptions to their own operations. We do not directly control their actions and they could violate applicable laws, rules, and regulations. In the event that these third parties render poor performance or are unwilling or unable to perform services for us in accordance with our contract and legal requirements, we may face operational difficulties, increased expenses, penalties, fines, sanctions or litigation. Although we may be able to force the vendor to indemnify us for some or all of our losses, the vendor may not ultimately be liable in contract or tort for other losses and our business and reputation may suffer nonetheless. Disputes arising from contractual disagreements, service-level disputes or changes in vendor terms and conditions may impact our ability to maintain stable and cost-effective relationships with third-party vendors.</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2240" w:h="15840" w:orient="portrait"/>
          <w:cols w:equalWidth="0" w:num="1">
            <w:col w:w="9880"/>
          </w:cols>
          <w:pgMar w:left="1180" w:top="304" w:right="11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Our reliance on third-party vendors may directly and adversely impact our health plan membership. To the extent a vendor’s inadequate performance impacts our members, their satisfaction with our health insurance plans and customer service may be diminished.</w:t>
      </w:r>
    </w:p>
    <w:p>
      <w:pPr>
        <w:spacing w:after="0" w:line="12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Additionally, in the event that one of our agreements with a key third party terminates, we may have a difficult time bringing the contracted services in-house or contracting with another vendor. Identifying a replacement vendor, negotiating an agreement with the vendor, and transitioning services to the vendor takes significant time and resources. We may be unable to enter into agreements with replacement vendors on favorable terms, or at all. Any loss of a key vendor relationship could result in a service disruption or unavailability and harm our ability to continue to develop, maintain, and improve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2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substantial government regulation. New laws or regulations, or legislative, judicial, or regulatory changes in existing laws or regulations or their manner of application could increase our cost of doing business and may have a material adverse effect on our results of operations; our financial position; and our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 Care Reform Law and Other Current or Future Legislative, Judicial or Regulatory Changes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Patient Protection and Affordable Care Act and The Health Care and Education Reconciliation Act of 2010 (which we collectively refer to as 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Some of these changes impact us and other entities that offer Medicare Advantage plans.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It is reasonably possible that the Health Care Reform Law and related regulations, as well as other current or future legislative, judicial or regulatory changes, including restrictions on our ability to manage our provider network or otherwise operate our business, or restrictions on profitability, including reviews by regulatory bodies that may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payment rates and increasing our expenses associated with assessments), our financial position and our cash flows.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Additionally, potential legislative changes or judicial determinations, including activities to repeal or replace the Health Care Reform Law or declare all or certain portions of the Health Care Reform Law unconstitutional, creates uncertainty for our business, and we cannot predict when, or in what form, such legislative changes or judicial determinations may occur.</w:t>
      </w:r>
    </w:p>
    <w:p>
      <w:pPr>
        <w:spacing w:after="0" w:line="15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 the Health Information Technology for Economic and Clinical Health Act and Other Laws, Rules and Regulations Related to Data Privacy</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PHI and other PII, which among other things, impose certain requirements relating to the privacy, security and transmission of PII. The legislative and regulatory landscape for privacy and data protection continues to evolve, and there has been an increasing focus on privacy and data protection issues with the potential to affect our business. Failure to comply with any of these laws and regulations could result in enforcement action against us, including fines, public censure, claims for damages by affected individuals, damage to our reputation and loss of goodwill, any of which could have a material adverse effect on our business, financial condition, results of operations or prospects. Ongoing efforts to comply with evolving laws and regulations may be costly and require ongoing modifications to our policies, procedures and systems.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use of individually identifiable health data by our business is regulated at federal and state levels. These laws and rules are changed frequently by legislation or administrative interpretation. Various state laws address the use and maintenance of PII. Among these state laws, which we describe in more detail below, we are most substantially affected by the California Consumer Privacy Act ("CCPA"), which uniquely among general consumer privacy laws did not exempt employee information, business contact information, and only maintains narrow exemptions for data subject to HIPAA or the Gramm-Leach-Bliley Act. We are required to comply with these laws in the way we create, receive, maintain or transmit PII.</w:t>
      </w:r>
    </w:p>
    <w:p>
      <w:pPr>
        <w:spacing w:after="0" w:line="17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HIPAA includes administrative provisions directed at simplifying electronic data interchange through standardizing transactions, establishing uniform healthcare provider, payer, and employer identifiers, and establishing regulations aimed at protecting confidentiality and security of patient and member data. The rules preempt all inconsistent state laws unless the state law is more privacy-protective.</w:t>
      </w:r>
    </w:p>
    <w:p>
      <w:pPr>
        <w:spacing w:after="0" w:line="14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regulations, in addition to other state laws, set standards for the security of electronic health information, including requirements that insurers provide customers with notice regarding how their PHI is used. Compliance with HIPAA regulations requires us to regularly monitor security risk, implement and regularly review administrative, technical and physical safeguards to protect electronic health information, and provide workforce training, among other administrative efforts. HIPAA can also expose us to additional liability for violations by our business associates (</w:t>
      </w:r>
      <w:r>
        <w:rPr>
          <w:rFonts w:ascii="Times New Roman" w:cs="Times New Roman" w:eastAsia="Times New Roman" w:hAnsi="Times New Roman"/>
          <w:sz w:val="18"/>
          <w:szCs w:val="18"/>
          <w:b w:val="1"/>
          <w:bCs w:val="1"/>
          <w:i w:val="1"/>
          <w:iCs w:val="1"/>
          <w:color w:val="auto"/>
        </w:rPr>
        <w:t>e.g.,</w:t>
      </w:r>
      <w:r>
        <w:rPr>
          <w:rFonts w:ascii="Times New Roman" w:cs="Times New Roman" w:eastAsia="Times New Roman" w:hAnsi="Times New Roman"/>
          <w:sz w:val="18"/>
          <w:szCs w:val="18"/>
          <w:color w:val="auto"/>
        </w:rPr>
        <w:t xml:space="preserve"> entities that provide services to health plans and providers).</w:t>
      </w:r>
    </w:p>
    <w:p>
      <w:pPr>
        <w:sectPr>
          <w:pgSz w:w="12240" w:h="15840" w:orient="portrait"/>
          <w:cols w:equalWidth="0" w:num="1">
            <w:col w:w="9880"/>
          </w:cols>
          <w:pgMar w:left="1180" w:top="304" w:right="1180" w:bottom="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9880"/>
          </w:cols>
          <w:pgMar w:left="1180" w:top="304" w:right="11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US Department of Health and Human Services, Office for Civil Rights announced on December 27, 2024, and published in the Federal Register on January 6, 2025, a Notice of Proposed Rulemaking proposing extensive modifications to the HIPAA security standards. If finalized, these modifications could entail significant additional compliance obligations and costs for HIPAA-regulated covered entities and business associates.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HIPAA imposes mandatory penalties for certain violations. In 2026, penalties for violations of HIPAA and its implementing regulations started at $145 per violation and could not exceed approximately $73,011 per violation, subject to a cap of approximately $2.2 million for violations of the same standard in a single calendar year]. However, a single breach incident can result in violations of multiple standards. Additionally, the penalty amounts listed above are also due for inflation adjustments in 2026.</w:t>
      </w:r>
    </w:p>
    <w:p>
      <w:pPr>
        <w:spacing w:after="0" w:line="16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HIPAA also authorizes state attorneys general to file suit on behalf of their residents for violations of HIPAA. While HIPAA does not create a private right of action allowing individuals to sue in civil court for violations of HIPAA, its standards have been used as the basis for duty of care in state civil suits such as those for negligence or recklessness in the misuse or breach of PHI.</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HIPAA further requires that members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individuals or more, it must be reported to HHS without unreasonable delay, and HHS will post the name of the breaching entity on its public website. Breaches affecting more than 500 individuals in the same state or jurisdiction must also be reported to prominent media outlets serving the state or jurisdiction. If a breach involves fewer than 500 individuals, the covered entity must record it in a log and notify HHS at least annually.</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publish statements to our members and partners that describe how we handle and protect PHI.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have a material adverse impact on our business and our financial results.</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privacy and security at the state level remains an evolving landscape. For example, CCPA, which came into effect on January 1, 2020, requires companies that process personal information of California residents to make disclosures to consumers about their data collection, use and sharing practices, allow consumers to exercise certain rights with respect to their data, including the right to opt out of certain data sharing with third parties and provides a cause of action for data breaches. In addition, on November 3, 2020, California voters approved amendments to the CCPA, known as the California Privacy Rights Act ("CPRA"), which significantly modifies the CCPA, including by expanding consumers’ rights with respect to certain personal information and creating a state agency, the California Privacy Protection Agency (“CPPA”), to oversee implementation and enforcement efforts. The CPPA is able to finance operations through penalties issued and with the CPRA’s removal of the mandatory cure period from CCPA, we will have less warning before compliance risk results in legal action. The CPRA’s amendments became effective on January 1, 2023. The CCPA contains exemptions for medical information governed by the California Confidentiality of Medical Information Act, and for PHI collected by a covered entity or business associate governed by the privacy, security, and breach notification rule established pursuant to HIPAA.</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September 23, 2025, the CPPA finalized its regulations on risk assessments, cybersecurity assessments, and automated decision-making technologies. These regulations contain substantial new compliance obligations with respect to PII we process.</w:t>
      </w:r>
    </w:p>
    <w:p>
      <w:pPr>
        <w:spacing w:after="0" w:line="14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CCPA prompted the passage of “copycat” legislation in a number states. It also prompted passage of consumer privacy laws that protect consumer health data specifically, such as the Washington My Health My Data Act. These state laws generally exempt HIPAA regulated covered entities and business associates, PHI, and/or personal information collected in the context of employment and business-to-business relationships. However, this patchwork of state laws may still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5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While the CCPA is an example of consumer privacy law, the NAIC’s Model Insurance Data Security Law (the "Model law") is a different type of law focused on securing insurance licensees’ information systems. Versions of this Model Law have been passed in many states and are expected to be passed in more states in the coming years. Similar to HIPAA, the Model Law requires the implementation of technical, administrative, and procedural information security practices and procedures and includes reporting requirements for data breaches. These Model Laws exist in a majority of states and are typically enforced by state insurance regulators.</w:t>
      </w:r>
    </w:p>
    <w:p>
      <w:pPr>
        <w:spacing w:after="0" w:line="15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It is possible that applicable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laws regarding privacy and security of PHI and other PII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have an adverse effect on our business, financial condition and results of operations.</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2240" w:h="15840" w:orient="portrait"/>
          <w:cols w:equalWidth="0" w:num="1">
            <w:col w:w="9880"/>
          </w:cols>
          <w:pgMar w:left="1180" w:top="304" w:right="11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As indicated above, there are numerous federal and state laws and regulations addressing patient and consumer privacy concerns, including notification requirements in the event of unauthorized access or theft of personal information. State statutes and regulations vary from state to state. Violations of HIPAA or applicable federal or state laws or regulations could subject us to significant criminal or civil penalties, including significant monetary penalties.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customers may be subject to differing privacy laws, rules and legislation, which may mean that they require us to be bound by varying contractual requirements applicable to certain other jurisdictions. Adherence to such contractual requirements may impact our collection, use, processing, storage, sharing and disclosure of various types of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features, products and services and/or increase our cost of doing business. As we expand our customer base, these requirements may vary from customer to customer, further increasing the cost of compliance and doing business.</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and operations may also be subject to federal, state, and local consumer protection laws governing marketing communications, including the Telephone Consumer Protection Act (“TCPA”), which places restrictions on the use of automated tools and technologies to communicate with wireless telephone subscribers or communications services consumers generally and the CAN-SPAM Act, which regulates the transmission of marketing emails. Under the TCPA, entities using an automatic telephone dialing system to send communications must obtain prior express consent for non-marketing communications and prior express written consent for marketing communications. The TCPA has a private right of action, allowing individuals who have received unsolicited communications (phone calls, text messages or faxes) made using an “automatic telephone dialing system” to seek statutory damages of $500 per violation, or $1,500 if the violation was made willfully or knowingly. Despite our compliance efforts, we could nevertheless be forced to defend private class actions or government enforcement based on the communications we send to members.</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certain of our businesses are also subject to the PCI DSS, which is a multifaceted industry security standard that is designed to protect credit card account data as mandated by payment brands and acquiring banks. We rely on vendors to assist us with PCI matters and to ensure PCI compliance. Despite our compliance efforts, we may become subject to claims that we have violated the PCI DSS or other requirements of the payment card brands, based on past, present, or future business practices, which could have an adverse impact on our business and reputation, subject us to fines and/or have a negative impact on our ability to accept credit card payments.</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described above, substantially all of our relevant member data is maintained on our technology platform, AVA, which aggregates and provides us with access to extensive member datasets, including individually identifiable PHI. As a result, any breach of our technology platform could expose us to substantial liability under HIPAA, the HITECH Act and other applicable laws, regulations or rules.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—Cybers</w:t>
      </w:r>
      <w:r>
        <w:rPr>
          <w:rFonts w:ascii="Times New Roman" w:cs="Times New Roman" w:eastAsia="Times New Roman" w:hAnsi="Times New Roman"/>
          <w:sz w:val="18"/>
          <w:szCs w:val="18"/>
          <w:b w:val="1"/>
          <w:bCs w:val="1"/>
          <w:i w:val="1"/>
          <w:iCs w:val="1"/>
          <w:color w:val="auto"/>
        </w:rPr>
        <w:t>ecurity breaches, loss of data and other disruptions could compromise sensitive information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 or our members, or prevent us from accessing critical information and expose us to liability, which could adversely affect our business and our reputation</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and Other Laws</w:t>
      </w:r>
    </w:p>
    <w:p>
      <w:pPr>
        <w:spacing w:after="0" w:line="21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corporate entity, we are not licensed to practice medicine. Many states in which we operate through our subsidiaries limit the practice of medicine to licensed individuals or professional organizations exclusively owned and comprised of licensed individuals, and business corporations generally may not exercise control over the medical decisions of licensed physicians or other licensed clinicians. Statutes, regulations and court decisions relating to the practice of medicine, fee-splitting between physicians and referral sources, and similar issues vary widely from state to state. In addition, various state laws also generally prohibit the sharing of professional services income with nonprofessional or business interests. While we endeavor to comply with state corporate practice of medicine laws and regulations as we interpret them, the laws and regulations in these areas are complex, changing, and often subject to varying interpretations. The interpretation and enforcement of these laws vary significantly from state to state.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business support services agreements between certain of our subsidiaries and affiliated physician-owned professional groups, these groups retain sole responsibility for all medical decisions, as well as for hiring and managing physicians and other licensed healthcare providers, developing operating policies and procedures, implementing professional standards and controls, and maintaining malpractice insurance. Regulatory authorities and other parties may assert that, despite the business support services agreements and other arrangements through which we operate, we are engaged in the prohibited corporate practice of medicine or that our arrangements constitute unlawful fee-splitting. Penalties for violations of the corporate practice of medicine or fee-splitting laws vary by state and may result in physicians being subject to disciplinary action, as well as to forfeiture of revenue from payors for services rendered. For business entities such as us, violations may also bring both civil and, in more extreme cases, criminal liability for engaging in medical practice without a license, our agreements could be found legally invalid and unenforceable (in whole or in part) or we could be required to restructure our contractual arrangements. Recently, Oregon and California have passed laws codifying and strengthening their existing corporate practice of medicine prohibitions in ways which may require us to adjust contractual arrangements with our affiliated physician-owned professional groups, and we are aware of a number of other states considering similar legislation.</w:t>
      </w:r>
    </w:p>
    <w:p>
      <w:pPr>
        <w:spacing w:after="0" w:line="174"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We, our in-house and externally engaged physicians and the facilities in which they operate are subject to various federal, state and local licensing and certification laws and regulations and accreditation standards and other laws, relating to, among other things, the adequacy of medical care, equipment, privacy of member information, physician relationships, personnel and operating policies and procedures.</w:t>
      </w:r>
    </w:p>
    <w:p>
      <w:pPr>
        <w:sectPr>
          <w:pgSz w:w="12240" w:h="15840" w:orient="portrait"/>
          <w:cols w:equalWidth="0" w:num="1">
            <w:col w:w="9880"/>
          </w:cols>
          <w:pgMar w:left="1180" w:top="304" w:right="1180" w:bottom="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9880"/>
          </w:cols>
          <w:pgMar w:left="1180" w:top="304" w:right="11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Failure to comply with these licensing, certification and accreditation laws, regulations and standards could result in prior payments being subject to recoupment, requirements to make significant changes to our operations and can give rise to civil or, in extreme cases, criminal penalties. We routinely take the steps we believe are necessary to retain or obtain all requisite licensure and operating authorities. While we have made reasonable efforts to substantially comply with federal, state and local licensing and certification laws and regulations and standards as we interpret them, the agencies that administer these programs may find that we have failed to comply in some material respects. If this were to occur, we could be subject to civil and/or criminal penalties, or we could be required to close or limit our operations at relevant sites.</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jurisdictions where the corporate practice of medicine is prohibited, we have historically operated by maintaining long-term business support contracts with multiple associated professional medical entities that are wholly owned by physicians and, in turn, employ or contract with physicians to provide those professional medical services required by our members. Under these business support services agreements, our primary operating subsidiary performs only non-medical business support services, does not represent that it offers medical services and does not exercise influence or control over the practice of medicine by the physicians or the associated physician groups. In addition to the above business support services arrangements, we have certain contractual rights relating to the orderly transfer of equity interests in our associated physician practices through succession agreements and other arrangements with their physician equity holders. Such equity interests cannot, however, be transferred to or held by us or by any non-professional medical entity. Accordingly, neither we nor our direct subsidiaries directly own any equity interests in any of our physician practices. In the event that any of the physician owners of our associated physician practices fail to comply with the business support services arrangement, if any business support services arrangement is terminated and/or we are unable to enforce our contractual rights over the orderly transfer of equity interests in any of our associated physician practices, such events could have a material adverse effect on our business, results of operations, financial condition and cash flows. Further, the enforceability of such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is possible that a state regulatory agency or a court could determine that our agreements with physician equity holders of our associated physician practices and the way we carry out these arrangements as described above, either independently or coupled with the business support services agreements with such associated physician practices, are in violation of prohibitions on the corporate practice of medicine. As a result, these arrangements could be deemed invalid. Such a determination could force a restructuring of our business support services arrangements with the affected practices, which might include revisions of the business support services agreements, including a modification of the services fee and/or establishing an alternative structure that would permit us to contract with a physician network without violating prohibitions on the corporate practice of medicine. Such a restructuring may not be feasible, or it may not be possible to accomplish it within a reasonable time frame without a material adverse effect on our business, results of operations, financial condition and cash flows. Additionally, a number of states have recently introduced or are planning to introduce legislation that would significantly increase the level of scrutiny that similarly structured organizations would face and could introduce additional penalties on business support services organizations similar to ours.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Physician Self-Referral and Other Fraud and Abuse Laws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federal law commonly referred to as the “Anti-Kickback Statute” prohibits the offer, payment, solicitation, or receipt of any form of remuneration to induce, or in return for, the referral of Medicare or other governmental health program patients or patient care opportunities, or in return for the purchase, lease or order of items or services that are covered by Medicare or other federal governmental health programs. Because the prohibitions contained in the Anti-Kickback Statute apply to the furnishing of items or services for which payment is made in “whole or in part,” the Anti-Kickback Statute could be implicated if any portion of an item or service we provide is covered by any of the state or federal health benefit programs described above. Violation of these provisions constitutes a felony criminal offense and applicable sanctions could include exclusion from the Medicare and Medicaid programs.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1877 of the Social Security Act, commonly known as the “Stark Law,” prohibits physicians, subject to certain exceptions described below, from referring Medicare or Medicaid patients to an entity providing “designated health services” in which the physician, or an immediate family member, has an ownership or investment interest or with which the physician, or an immediate family member, has entered into a compensation arrangement. These prohibitions, contained in the Omnibus Budget Reconciliation Act of 1993, commonly known as “Stark II,” amended prior federal physician self-referral legislation known as “Stark I” by expanding the list of designated health services to a total of 11 categories. The professional groups with which we are contracted or affiliated provide one or more of these designated health services. Persons or entities found to be in violation of the Stark Law are subject to denial of payment for services furnished pursuant to an improper referral, civil monetary penalties, and exclusion from the Medicare and Medicaid programs.</w:t>
      </w:r>
    </w:p>
    <w:p>
      <w:pPr>
        <w:spacing w:after="0" w:line="1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 federal law commonly referred to as the “False Claims Act” prohibits the submission of a false or fraudulent claim to the government for payment or approval. </w:t>
      </w:r>
      <w:r>
        <w:rPr>
          <w:rFonts w:ascii="Times New Roman" w:cs="Times New Roman" w:eastAsia="Times New Roman" w:hAnsi="Times New Roman"/>
          <w:sz w:val="18"/>
          <w:szCs w:val="18"/>
          <w:b w:val="1"/>
          <w:bCs w:val="1"/>
          <w:i w:val="1"/>
          <w:iCs w:val="1"/>
          <w:color w:val="auto"/>
        </w:rPr>
        <w:t>Qui tam</w:t>
      </w:r>
      <w:r>
        <w:rPr>
          <w:rFonts w:ascii="Times New Roman" w:cs="Times New Roman" w:eastAsia="Times New Roman" w:hAnsi="Times New Roman"/>
          <w:sz w:val="18"/>
          <w:szCs w:val="18"/>
          <w:color w:val="auto"/>
        </w:rPr>
        <w:t xml:space="preserve"> relators and/or the government may take the position that we submit certain data or information that could form the basis of a claim for payment, thus subjecting us to allegations under the False Claims Act. In such events, we could be subject to treble damages and per-claim penalties.</w:t>
      </w:r>
    </w:p>
    <w:p>
      <w:pPr>
        <w:spacing w:after="0" w:line="16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Many states also have enacted laws similar in scope and purpose to the Anti-Kickback Statute and, in more limited instances, the Stark Law, that are not limited to services for which Medicare or Medicaid payment is made. In addition, most states have statutes, regulations, or professional codes that restrict a physician from accepting various kinds of remuneration in exchange for making referrals. These laws</w:t>
      </w:r>
    </w:p>
    <w:p>
      <w:pPr>
        <w:sectPr>
          <w:pgSz w:w="12240" w:h="15840" w:orient="portrait"/>
          <w:cols w:equalWidth="0" w:num="1">
            <w:col w:w="9900"/>
          </w:cols>
          <w:pgMar w:left="1180" w:top="304" w:right="1160" w:bottom="0"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2240" w:h="15840" w:orient="portrait"/>
          <w:cols w:equalWidth="0" w:num="1">
            <w:col w:w="9900"/>
          </w:cols>
          <w:pgMar w:left="1180" w:top="304" w:right="11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vary from state to state and have seldom been interpreted by the courts or regulatory agencies. In states that have enacted these statutes, we believe that regulatory authorities and state courts interpreting these statutes may regard federal law under the Anti-Kickback Statute and the Stark Law as persuasive.</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these laws are subject to modification and changes in interpretation, and are enforced by authorities vested with broad discretion. We continually monitor developments in this area. If we or our third parties with which we contract fail to comply with these laws, or if these laws are interpreted in a manner contrary to our interpretation or are reinterpreted or amended, or if new legislation is enacted with respect to healthcare fraud and abuse, illegal remuneration, or similar issues, we may be required to restructure our affected operations to maintain compliance with applicable law and/or be subject to liability. Such restructuring may not be possible or, if possible, may have a material adverse effect on our results of operations, financial position, or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human health and the environment. If an environmental regulatory agency finds any of our facilities to be in violation of environmental laws, penalties and fines may be imposed for each day of violation and the affected facility could be forced to cease operations. We could also incur other significant costs, such as cleanup costs or claims by third parties, as a result of releases of hazardous substances or violations of, or other liabilities under, environmental laws. Although we believe that our environmental practices, including waste handling and disposal practices, are in material compliance with applicable laws, future claims or violations, or changes in environmental laws, could have a material adverse effect on our results of operations, financial position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Insurance-Related Products</w:t>
      </w:r>
    </w:p>
    <w:p>
      <w:pPr>
        <w:spacing w:after="0" w:line="21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Laws in each of the states in which we operate our business license and regulate entities that offer health plans to residents of that state. The products we offer are sold under licenses issued by the applicable insurance regulators. However, for entities offering Medicare Advantage plans, federal law preempts all state laws and regulations except those relating to licensing and financial solvency.</w:t>
      </w:r>
    </w:p>
    <w:p>
      <w:pPr>
        <w:spacing w:after="0" w:line="1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With respect to state regulation of financial solvency, certain of our licensed insurance subsidiaries are subject to regulation under state insurance holding company regulations. These regulations generally require, among other things, prior approval and/or notice of certain material transactions, including dividend payments, purchases or sales of assets, intercompany agreements, and the filing of various financial and operational reports. The amount of dividends that may be paid to us by these insurance subsidiaries, without prior approval by state regulatory authorities, or ordinary dividends, is limited based on the entity’s level of statutory income and statutory capital and surplus. Actual dividends paid may vary due to consideration of excess statutory capital and surplus and expected future surplus requirements. We continue to maintain our levels of aggregate excess statutory capital and surplus in our state-regulated operating subsidiaries. Dividends from our non-insurance companies are generally not restricted by departments of insurance.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any of our plans or operations are found to violate these or other applicable government laws or regulations, we could suffer severe consequences that would have a material adverse effect on our business, results of operations, financial condition, cash flows, reputation and stock price, including:</w:t>
      </w:r>
    </w:p>
    <w:p>
      <w:pPr>
        <w:spacing w:after="0" w:line="160" w:lineRule="exact"/>
        <w:rPr>
          <w:sz w:val="20"/>
          <w:szCs w:val="20"/>
          <w:color w:val="auto"/>
        </w:rPr>
      </w:pPr>
    </w:p>
    <w:p>
      <w:pPr>
        <w:ind w:left="1440" w:hanging="550"/>
        <w:spacing w:after="0"/>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one or more of our plans;</w:t>
      </w:r>
    </w:p>
    <w:p>
      <w:pPr>
        <w:spacing w:after="0" w:line="209" w:lineRule="exact"/>
        <w:rPr>
          <w:rFonts w:ascii="Times New Roman" w:cs="Times New Roman" w:eastAsia="Times New Roman" w:hAnsi="Times New Roman"/>
          <w:sz w:val="18"/>
          <w:szCs w:val="18"/>
          <w:color w:val="auto"/>
        </w:rPr>
      </w:pPr>
    </w:p>
    <w:p>
      <w:pPr>
        <w:ind w:left="1440" w:right="420" w:hanging="550"/>
        <w:spacing w:after="0" w:line="282"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received in violation of law or applicable payment program requirements dating back to the applicable statute of limitation periods;</w:t>
      </w:r>
    </w:p>
    <w:p>
      <w:pPr>
        <w:spacing w:after="0" w:line="145" w:lineRule="exact"/>
        <w:rPr>
          <w:rFonts w:ascii="Times New Roman" w:cs="Times New Roman" w:eastAsia="Times New Roman" w:hAnsi="Times New Roman"/>
          <w:sz w:val="18"/>
          <w:szCs w:val="18"/>
          <w:color w:val="auto"/>
        </w:rPr>
      </w:pPr>
    </w:p>
    <w:p>
      <w:pPr>
        <w:ind w:left="1440" w:hanging="550"/>
        <w:spacing w:after="0"/>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required government certifications;</w:t>
      </w:r>
    </w:p>
    <w:p>
      <w:pPr>
        <w:spacing w:after="0" w:line="209" w:lineRule="exact"/>
        <w:rPr>
          <w:rFonts w:ascii="Times New Roman" w:cs="Times New Roman" w:eastAsia="Times New Roman" w:hAnsi="Times New Roman"/>
          <w:sz w:val="18"/>
          <w:szCs w:val="18"/>
          <w:color w:val="auto"/>
        </w:rPr>
      </w:pPr>
    </w:p>
    <w:p>
      <w:pPr>
        <w:ind w:left="1440" w:hanging="550"/>
        <w:spacing w:after="0"/>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licenses required to operate our clinics and in-house care delivery programs;</w:t>
      </w:r>
    </w:p>
    <w:p>
      <w:pPr>
        <w:spacing w:after="0" w:line="209" w:lineRule="exact"/>
        <w:rPr>
          <w:rFonts w:ascii="Times New Roman" w:cs="Times New Roman" w:eastAsia="Times New Roman" w:hAnsi="Times New Roman"/>
          <w:sz w:val="18"/>
          <w:szCs w:val="18"/>
          <w:color w:val="auto"/>
        </w:rPr>
      </w:pPr>
    </w:p>
    <w:p>
      <w:pPr>
        <w:ind w:left="1440" w:right="120" w:hanging="550"/>
        <w:spacing w:after="0" w:line="312" w:lineRule="auto"/>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or civil liability, fines, damages or monetary penalties for violations of healthcare fraud and abuse laws, including the federal Anti-Kickback Statute, Stark Law and FCA, or other failures to meet regulatory requirements;</w:t>
      </w:r>
    </w:p>
    <w:p>
      <w:pPr>
        <w:spacing w:after="0" w:line="123" w:lineRule="exact"/>
        <w:rPr>
          <w:rFonts w:ascii="Times New Roman" w:cs="Times New Roman" w:eastAsia="Times New Roman" w:hAnsi="Times New Roman"/>
          <w:sz w:val="17"/>
          <w:szCs w:val="17"/>
          <w:color w:val="auto"/>
        </w:rPr>
      </w:pPr>
    </w:p>
    <w:p>
      <w:pPr>
        <w:ind w:left="1440" w:right="80" w:hanging="550"/>
        <w:spacing w:after="0" w:line="266"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by governmental agencies and/or state law claims for monetary damages by members who believe their PHI has been used, disclosed or not properly safeguarded in violation of federal or state patient privacy laws, including HIPAA and the Privacy Act of 1974;</w:t>
      </w:r>
    </w:p>
    <w:p>
      <w:pPr>
        <w:spacing w:after="0" w:line="159" w:lineRule="exact"/>
        <w:rPr>
          <w:rFonts w:ascii="Times New Roman" w:cs="Times New Roman" w:eastAsia="Times New Roman" w:hAnsi="Times New Roman"/>
          <w:sz w:val="18"/>
          <w:szCs w:val="18"/>
          <w:color w:val="auto"/>
        </w:rPr>
      </w:pPr>
    </w:p>
    <w:p>
      <w:pPr>
        <w:ind w:left="1440" w:hanging="550"/>
        <w:spacing w:after="0"/>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changes to our practices or procedures that significantly increase operating expenses;</w:t>
      </w:r>
    </w:p>
    <w:p>
      <w:pPr>
        <w:spacing w:after="0" w:line="209" w:lineRule="exact"/>
        <w:rPr>
          <w:rFonts w:ascii="Times New Roman" w:cs="Times New Roman" w:eastAsia="Times New Roman" w:hAnsi="Times New Roman"/>
          <w:sz w:val="18"/>
          <w:szCs w:val="18"/>
          <w:color w:val="auto"/>
        </w:rPr>
      </w:pPr>
    </w:p>
    <w:p>
      <w:pPr>
        <w:jc w:val="both"/>
        <w:ind w:left="1440" w:right="580" w:hanging="550"/>
        <w:spacing w:after="0" w:line="266"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among other things;</w:t>
      </w:r>
    </w:p>
    <w:p>
      <w:pPr>
        <w:spacing w:after="0" w:line="159" w:lineRule="exact"/>
        <w:rPr>
          <w:rFonts w:ascii="Times New Roman" w:cs="Times New Roman" w:eastAsia="Times New Roman" w:hAnsi="Times New Roman"/>
          <w:sz w:val="18"/>
          <w:szCs w:val="18"/>
          <w:color w:val="auto"/>
        </w:rPr>
      </w:pPr>
    </w:p>
    <w:p>
      <w:pPr>
        <w:ind w:left="1440" w:right="240" w:hanging="550"/>
        <w:spacing w:after="0" w:line="282" w:lineRule="auto"/>
        <w:tabs>
          <w:tab w:leader="none" w:pos="1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various relationships and/or contracts related to our business, including joint venture arrangements, medical director agreements, real estate leases and consulting agreements with physicians; and</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2240" w:h="15840" w:orient="portrait"/>
          <w:cols w:equalWidth="0" w:num="1">
            <w:col w:w="9880"/>
          </w:cols>
          <w:pgMar w:left="1180" w:top="304" w:right="11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440" w:right="420" w:hanging="550"/>
        <w:spacing w:after="0" w:line="266" w:lineRule="auto"/>
        <w:tabs>
          <w:tab w:leader="none" w:pos="1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which could negatively impact our business relationships, affect our ability to attract and retain members and physicians, affect our ability to obtain financing and decrease access to new business opportunities, our ability to develop relationships with providers, among other things.</w:t>
      </w:r>
    </w:p>
    <w:p>
      <w:pPr>
        <w:spacing w:after="0" w:line="15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adapt to changes in the healthcare industry, including changes to laws and regulations regarding or affecting the U.S. healthcare reform, our business may be harmed.</w:t>
      </w:r>
    </w:p>
    <w:p>
      <w:pPr>
        <w:spacing w:after="0" w:line="1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Due to the importance of the healthcare industry in the lives of all Americans, federal, state, and local legislative bodies frequently pass legislation and promulgate regulations relating to healthcare reform or that affect the healthcare industry. As has been the trend in recent years, it is reasonable to assume that there will continue to be increased government oversight and regulation of the healthcare industry in the future. We cannot predict the ultimate content, timing or effect of any new healthcare legislation or regulations, nor is it possible at this time to estimate the impact of potential new legislation or regulations on our business. It is possible that future legislation enacted by Congress or state legislatures, or regulations promulgated by regulatory authorities at the federal or state level, could adversely affect our business or could change the operating environment of our clinical staff and external providers. It is possible that the changes in Medicare, Medicaid or other governmental healthcare program reimbursements may serve as precedent to possible changes in other payors’ reimbursement policies in a manner adverse to us. Similarly, changes in the private payor reimbursements could lead to adverse changes to Medicare, Medicaid and other governmental healthcare programs, which could have a material adverse effect on our business, financial condition and results of operations.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policies and decisions of the federal and state governments regarding the Medicare Advantage program in which we participate have a substantial impact on our profitability. These governmental policies and decisions, which we cannot predict with certainty, directly shape the revenues given to us under the Medicare Advantage program, the eligibility and enrollment of our members, the services we provide to our members, and our administrative, healthcare services, and other costs associated with the Medicare Advantage program. Legislative or regulatory actions, such as changes to the Medicare Advantage program, those resulting in a reduction in payments to us, an increase in our cost of administrative and healthcare services, or additional fees, taxes or assessments, may have a material adverse effect on our results of operations, financial position, and cash flows. For example, under the Contract Year 2026 Medicare Advantage and Part D final rule, CMS finalized new federal requirements for certain D-SNPs that, beginning in 2027, will require the use of integrated member identification cards that serve as the ID cards for both the Medicare and Medicaid plans in which an enrollee is enrolled, and the completion of an integrated health risk assessment for Medicare and Medicaid, rather than separate assessments for each program. CMS also codified timeframes for all special needs plans to conduct health risk assessments and develop individualized care plans, and to prioritize the involvement of the enrollee or the enrollee’s representative in the development of such care plans. These requirements may increase administrative complexity, operational costs, and coordination obligations for D-SNPs and may affect our ability to offer or maintain such plans in certain markets.</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Additionally, CMS recently implemented stricter regulations on Third-Party Marketing Organizations (TPMOs), prohibiting the sharing or resale of personal beneficiary data without prior written consent, which may limit outreach efforts and reduce lead generation and enrollment opportunities for MA plans. CMS also finalized changes to the compensation structure for Medicare Advantage agents and brokers that were intended to reclassify certain administrative fees as compensation subject to CMS caps and restrict contractual terms that CMS viewed as potentially steering beneficiaries toward particular plans. In August 2025, a federal district court vacated these provisions, concluding that CMS exceeded its statutory authority and that aspects of the rulemaking were arbitrary and capricious. While this outcome preserves flexibility in agent and broker arrangements, it also creates uncertainty, as CMS may pursue future rulemaking in this area. CMS’s focus on marketing activities coincides with an apparent increased DOJ interest, as well. In recent years, the DOJ has launched investigations into whether marketing and recruiting practices of Medicare Advantage Organizations and their downstream providers violate the FCA.</w:t>
      </w:r>
    </w:p>
    <w:p>
      <w:pPr>
        <w:spacing w:after="0" w:line="1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believe that we have structured our agreements and operations in material compliance with applicable healthcare laws and regulations, we may be unable to successfully address changes in the current regulatory environment. In addition,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6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federal restrictions on plans that CMS believes resemble dual-eligible special needs plans and new state-level restrictions on actual dual-eligible special needs plans may restrict the types and number of plans that we can offer, thus potentially adversely impacting our membership, revenue and/or profitability.</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Medicare Advantage organizations may offer dual-eligible special needs plans (“D-SNPs”), which are plans that may only enroll beneficiaries who are eligible for both Medicare and Medicaid. D-SNPs must meet additional statutory and regulatory requirements that are intended to address certain challenges faced by the dually eligible population. According to CMS, some Medicare Advantage organizations offer plans that are not D-SNPs but that are designed to attract primarily dual-eligible beneficiaries (“D-SNP look-alike plans”). In 2020, CMS issued a final rule to restrict the offering of D-SNP look-alike plans. Specifically, CMS will not enter into a contract for a new Medicare Advantage plan that is not a special needs plan and is projected to enroll more than 80% dual-eligible members. Moreover, CMS will not renew a contract for such plans unless the plan has been active for less than a year and enrolls 200 or fewer members. There may be additional CMS restrictions on D-SNP plans and their enrollment, as CMS recently finalized a policy that would, among other things, lower the threshold to seventy percent (70%) in 2025 and sixty percent (60%) in 2026. Additionally, the</w:t>
      </w:r>
    </w:p>
    <w:p>
      <w:pPr>
        <w:sectPr>
          <w:pgSz w:w="12240" w:h="15840" w:orient="portrait"/>
          <w:cols w:equalWidth="0" w:num="1">
            <w:col w:w="9900"/>
          </w:cols>
          <w:pgMar w:left="1180" w:top="304" w:right="1160" w:bottom="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2240" w:h="15840" w:orient="portrait"/>
          <w:cols w:equalWidth="0" w:num="1">
            <w:col w:w="9900"/>
          </w:cols>
          <w:pgMar w:left="1180" w:top="304" w:right="116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California Department of Healthcare Services has adopted regulatory changes limiting the availability of D-SNP contracts. Since contract year 2024, DHCS will only contract with new D-SNPs that are affiliated with a Medi-Cal managed care plan. Furthermore, beginning in contract year 2025, existing D-SNPs without such affiliations are prohibited from enrolling new members. These regulatory developments are likely to restrict the types of plans we can offer and the membership mix we can maintain in our plans. To the extent we have to offer enhanced benefits to attract or retain dual-eligible members in certain plans, the profitability of such plans may be impacted. These regulatory developments may accordingly have an adverse impact on our membership, financial condition, results of operations and cash flows</w:t>
      </w:r>
      <w:r>
        <w:rPr>
          <w:rFonts w:ascii="Times New Roman" w:cs="Times New Roman" w:eastAsia="Times New Roman" w:hAnsi="Times New Roman"/>
          <w:sz w:val="18"/>
          <w:szCs w:val="18"/>
          <w:b w:val="1"/>
          <w:bCs w:val="1"/>
          <w:i w:val="1"/>
          <w:iCs w:val="1"/>
          <w:color w:val="auto"/>
        </w:rPr>
        <w:t>.</w:t>
      </w:r>
    </w:p>
    <w:p>
      <w:pPr>
        <w:spacing w:after="0" w:line="16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lost the services of the licensed physicians who own our associated physician practices for any reason, the contractual arrangements with our associated physician practices could be in jeopardy.</w:t>
      </w:r>
    </w:p>
    <w:p>
      <w:pPr>
        <w:spacing w:after="0" w:line="14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described above, because of regulations preventing the corporate practice of medicine, certain of our associated physician practice groups that operate our clinics are wholly owned or primarily owned by physicians employed by us. Although we retain certain rights regarding the succession of ownership of the associated practices through succession agreements and other arrangements with their physician equity holders, if current owners died, were incapacitated or otherwise were no longer affiliated with us, there could be a material adverse effect on the relationship between us and the associated physician practices and, therefore, our business operations could be adversely affected. Recently, Oregon and California have passed laws codifying and strengthening their existing corporate practice of medicine prohibitions in ways which may require us to adjust contractual arrangements with our affiliated physician-owned professional groups.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contractual arrangements we have with our associated physician practices are not as secure as direct ownership of such entities.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described above, because of laws prohibiting the corporate practice of medicine, we enter into contractual arrangements to manage certain of our affiliated physician practices. If we were to hold the equity of such physician practices directly, we would be able to exercise our rights as an equity holder directly to effect changes in the boards of directors of those entities, which could effect changes at the management and operational level. In contrast, under our current contractual arrangements with our associated physician groups, we may not be able to directly change the members of the boards of directors of these entities and would have to rely on the entities and the entities’ equity holders to perform their obligations in order to exercise our control over the entities. If any of these affiliated entities or their equity holders fail to perform their respective obligations under the contractual arrangements, we may have to incur substantial costs and expend additional resources to enforce such arrangements. Further, the enforceability of equity transfer restriction agreements has been called into question by state courts and regulators in New Jersey, New York, California, and Oregon. The invalidation of our transfer restriction agreements in such states may have a detrimental effect on our relationship with our affiliated physician-owned professional entities.</w:t>
      </w:r>
    </w:p>
    <w:p>
      <w:pPr>
        <w:spacing w:after="0" w:line="1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Internal Revenue Service or a court may disagree with tax positions taken by us, which may result in adverse effects on our financial condition or the value of our common stock.</w:t>
      </w:r>
    </w:p>
    <w:p>
      <w:pPr>
        <w:spacing w:after="0" w:line="1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Executive or Congressional actions could materially increase our tax obligations and significantly impact our effective tax rate in the period such guidance is issued or such actions take effect, and in future periods. In addition, it may be the case that the Internal Revenue Service (the "Service") has yet to issue guidance on a number of important issues regarding the changes made by recent or future legislation. In the absence of such guidance, we may take positions with respect to a number of unsettled issues. There is no assurance that the Service or a court will agree with the positions taken by us, in which case tax penalties and interest may be imposed that could adversely affect our business, cash flows or financial performance.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our Capital Requirements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22, 2024 we completed the sale of $330.0 million of our 4.25% Convertible Senior Notes (the "Convertible Notes"). The Convertible Notes were issued pursuant to an indenture, dated as of November 22, 2024, between the Company and U.S. Bank Trust Company, National Association, as trustee. The Convertible Notes are senior, unsecured obligations of the Company, and interest will be payable semi-annually in arrears at a rate of 4.25% per annum beginning on May 15, 2025. The Convertible Notes will mature on November 15, 2029, unless earlier repurchased, redeemed or converted in accordance with their terms. The Convertible Notes have an initial conversion rate of 62.4 shares of common stock per $1,000 principal amount of the Convertible Notes (subject to adjustment for certain events). This represents an initial conversion price of approximately $16.04 per share.</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we have entered into a senior secured revolving credit facility with various banks (the “Revolving Credit Facility”) in the principal amount of up to $200,000,000. Indebtedness under the Revolving Credit Facility bears interest at a variable rate based on (i) the prime rate announced by Citibank, (ii) the federal funds effective rate or (iii) the forward-looking Secured Overnight Financing Rate ("SOFR"), plus, in each case, an applicable margin based on a consolidated senior secured leverage ratio, as set forth in the credit</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2240" w:h="15840" w:orient="portrait"/>
          <w:cols w:equalWidth="0" w:num="1">
            <w:col w:w="9900"/>
          </w:cols>
          <w:pgMar w:left="1180" w:top="304" w:right="11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agreement governing the Revolving Credit Facility (the "Credit Agreement"). We have not yet borrowed any amount under the Revolving Credit Facility.</w:t>
      </w:r>
    </w:p>
    <w:p>
      <w:pPr>
        <w:spacing w:after="0" w:line="1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indebtedness under the Convertible Notes, or any additional indebtedness we may incur under the Revolving Credit Facility or otherwise,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interest rate applicable to our Revolving Credit Facility is based on, at our option, the prime rate, federal funds effective rate or SOFR, it is therefore subject to increases in interest rates. Fluctuations in interest rates can increase borrowing costs. To the extent the interest rates applicable to the Revolving Credit Facility increase, our interest expense will increase, in which event we may have difficulties making interest payments and funding our other fixed costs, and our available cash flow for general corporate requirements may be adversely affected.</w:t>
      </w:r>
    </w:p>
    <w:p>
      <w:pPr>
        <w:spacing w:after="0" w:line="16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Our indebtedness under the Convertible Notes and any other indebtedness we may incur under the Revolving Credit Facility or otherwise, and the cash flow needed to satisfy our debt, have other important consequences, including:</w:t>
      </w:r>
    </w:p>
    <w:p>
      <w:pPr>
        <w:spacing w:after="0" w:line="146" w:lineRule="exact"/>
        <w:rPr>
          <w:sz w:val="20"/>
          <w:szCs w:val="20"/>
          <w:color w:val="auto"/>
        </w:rPr>
      </w:pPr>
    </w:p>
    <w:p>
      <w:pPr>
        <w:ind w:left="1440" w:right="80" w:hanging="460"/>
        <w:spacing w:after="0" w:line="282" w:lineRule="auto"/>
        <w:tabs>
          <w:tab w:leader="none" w:pos="1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our competitors that are not as highly leveraged; and</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2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 In addition, developments in tax policy, such as the disallowance of tax deductions for interest paid on outstanding indebtedness, could have an adverse effect on our liquidity and our business, financial conditions and results of operations.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5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including refinancing such indebtedness, which may not be successful.</w:t>
      </w:r>
    </w:p>
    <w:p>
      <w:pPr>
        <w:spacing w:after="0" w:line="14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We may not be able to obtain sufficient funds to enable us to repay or refinance our debt obligations on commercially reasonable terms, or at all, and accordingly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6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our convertible notes, repurchase our convertible notes upon a fundamental change, or repay our convertible notes in cash at their maturity, and our future debt may contain limitations on our ability to pay cash upon conversion or repurchase of our convertible notes.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need to make cash payments (a) if holders of the Convertible Notes require us to repurchase all, or a portion of, their Convertible Notes before the maturity date upon the occurrence of a fundamental change (e.g., a change of control of Alignment Healthcare, Inc.) or (b) to repay the Convertible Notes in cash at their maturity unless earlier converted, repurchased or redeemed. If our cash provided by operating activities, together with our existing cash, cash equivalents, and investments, and existing sources of financing, are inadequate to satisfy these obligations, we will need to obtain third-party financing, which may not be available to us on</w:t>
      </w:r>
    </w:p>
    <w:p>
      <w:pPr>
        <w:sectPr>
          <w:pgSz w:w="12240" w:h="15840" w:orient="portrait"/>
          <w:cols w:equalWidth="0" w:num="1">
            <w:col w:w="9860"/>
          </w:cols>
          <w:pgMar w:left="1180" w:top="304" w:right="1200" w:bottom="0" w:gutter="0" w:footer="0" w:header="0"/>
        </w:sectPr>
      </w:pP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2240" w:h="15840" w:orient="portrait"/>
          <w:cols w:equalWidth="0" w:num="1">
            <w:col w:w="9860"/>
          </w:cols>
          <w:pgMar w:left="1180" w:top="304" w:right="120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commercially reasonable terms or at all, to meet these payment obligations. Under the terms of the Convertible Notes, we also have the option to settle the amount of our conversion obligation in cash, shares of our common stock or a combination of cash and shares, at our election. If we are unable to settle such obligations in cash, we would be required to settle such obligations by delivering shares of our common stock, which may have a significant dilutive impact on our stockholders.</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a takeover transaction constitutes a make-whole fundamental change under the Indenture, we may be required to increase the conversion rate for holders who convert their notes in connection with such takeover. In either case, and in other cases, our obligations under the Convertible Notes and the Indenture could increase the cost of acquiring us or otherwise discourage a third party from acquiring us or removing incumbent management, including in a transaction that holders of the Convertible Notes or holders of our common stock may view as favorable.</w:t>
      </w:r>
    </w:p>
    <w:p>
      <w:pPr>
        <w:spacing w:after="0" w:line="1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our ability to repurchase or to pay cash upon conversion of the Convertible Notes may be limited by law, regulatory authority, or agreements governing our future indebtedness. Our failure to repurchase the Convertible Notes at a time when the repurchase is required by the Indenture or to pay cash upon conversion of the Convertible Notes as required by the Indenture would constitute a default under the indenture. A default under the Indenture or the fundamental change itself could also lead to a default under agreements governing our future indebtedness, if any. If the payment of the related indebtedness were to be accelerated after any applicable notice or grace periods, we may not have sufficient funds to repay the indebtedness and repurchase the Convertible Notes or to pay cash upon conversion of the Convertible Notes.</w:t>
      </w:r>
    </w:p>
    <w:p>
      <w:pPr>
        <w:spacing w:after="0" w:line="16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and conditions of our Revolving Credit Facility restrict our current and future operations, particularly our ability to respond to changes or to take certain actions.</w:t>
      </w:r>
    </w:p>
    <w:p>
      <w:pPr>
        <w:spacing w:after="0" w:line="1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Revolving Credit Facility contains a number of restrictive covenants that impose significant operating and financial restrictions on us and may limit our ability to engage in acts that may be in our long-term best interests, including restrictions on our ability to:</w:t>
      </w:r>
    </w:p>
    <w:p>
      <w:pPr>
        <w:spacing w:after="0" w:line="146" w:lineRule="exact"/>
        <w:rPr>
          <w:sz w:val="20"/>
          <w:szCs w:val="20"/>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other contingent obligations;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loans and advances;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liquidate or dissolve;</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our assets;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equity interests or make other payments in respect of capital stock; and</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alter the business we conduct.</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us to maintain, as of the last day of each fiscal quarter (commencing with the fiscal quarter ending June 30, 2026), (i) a ratio of senior secured indebtedness that is not subordinated in right of payment to the obligations under the Credit Agreement (including the indebtedness under the Credit Agreement) to Consolidated EBITDA (as defined in the Credit Agreement) for the period of four consecutive fiscal quarters ended on such date, of not more than 2.50 to 1.00 and (ii) Consolidated EBITDA for the period of four consecutive fiscal quarters ended on such date, of amounts specified in the Credit Agreement. Our ability to satisfy those tests can be affected by events beyond our control.</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breach of the covenants or restrictions under the Credit Agreement could result in an event of default under such document. Pursuant to a security agreement with the lenders, we granted a first priority security interest in substantially all of our assets (excluding those held by certain subsidiaries), including certain intellectual property and a pledge of the equity interests in certain subsidiaries, subject to customary exceptions. Accordingly, an event of default may allow the lenders to accelerate the debt and to seize our assets that serve as collateral for any outstanding indebtedness under the Credit Agreement. In the event lenders under the Credit Agreement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176" w:lineRule="exact"/>
        <w:rPr>
          <w:sz w:val="20"/>
          <w:szCs w:val="20"/>
          <w:color w:val="auto"/>
        </w:rPr>
      </w:pPr>
    </w:p>
    <w:p>
      <w:pPr>
        <w:ind w:left="1440" w:hanging="460"/>
        <w:spacing w:after="0"/>
        <w:tabs>
          <w:tab w:leader="none" w:pos="1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0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restrictions, along with restrictions that may be contained in agreements evidencing or governing other future indebtedness, may affect our ability to grow in accordance with our growth strategy.</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2240" w:h="15840" w:orient="portrait"/>
          <w:cols w:equalWidth="0" w:num="1">
            <w:col w:w="9880"/>
          </w:cols>
          <w:pgMar w:left="1180" w:top="304" w:right="11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need to raise additional funds, and we may not be able to obtain additional debt or equity financing on favorable terms or at all. Our need for additional capital will depend on our business needs, requirements and opportunities, including to develop and enhance new and existing products and services, enter new markets, further develop our infrastructure, and comply with any statutory, regulatory or contractual capital and liquidity requirements. In addition, we intend to assess strategic acquisitions as the opportunities arise, some of which may be material to our operations. Our ability to obtain additional capital will depend on our development efforts, business plans, investor demand, operating performance, the condition of the capital markets, and other factors. If we raise additional equity financing or additional convertible note financing, our security holders may experience significant dilution of their ownership interests. The equity securities we issue may also have rights, preferences, or privileges senior to the rights of existing stockholders. If we engage in additional debt financing, we may be required to accept terms that restrict our ability to incur additional indebtedness, force us to maintain specified liquidity or other ratios or restrict our ability to pay dividends or make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need additional capital and cannot raise it on acceptable terms, or at all, we may not be able to, among other things:</w:t>
      </w:r>
    </w:p>
    <w:p>
      <w:pPr>
        <w:spacing w:after="0" w:line="209" w:lineRule="exact"/>
        <w:rPr>
          <w:sz w:val="20"/>
          <w:szCs w:val="20"/>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member services;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our marketing efforts;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presence in certain existing markets or enter new markets as currently planned, or at all;</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organization;</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 or</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 opportunities.</w:t>
      </w:r>
    </w:p>
    <w:p>
      <w:pPr>
        <w:spacing w:after="0" w:line="20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support our business growth and to respond to business challenges could be significantly limited or impaired.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including as a result of factors that are beyond our control.</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and public companies in the healthcare and technology industry in particular,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167" w:lineRule="exact"/>
        <w:rPr>
          <w:sz w:val="20"/>
          <w:szCs w:val="20"/>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financial and operating results;</w:t>
      </w:r>
    </w:p>
    <w:p>
      <w:pPr>
        <w:spacing w:after="0" w:line="209" w:lineRule="exact"/>
        <w:rPr>
          <w:rFonts w:ascii="Times New Roman" w:cs="Times New Roman" w:eastAsia="Times New Roman" w:hAnsi="Times New Roman"/>
          <w:sz w:val="18"/>
          <w:szCs w:val="18"/>
          <w:color w:val="auto"/>
        </w:rPr>
      </w:pPr>
    </w:p>
    <w:p>
      <w:pPr>
        <w:ind w:left="1440" w:right="180" w:hanging="460"/>
        <w:spacing w:after="0" w:line="282" w:lineRule="auto"/>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actual results for a fiscal period that are higher or lower than revenue or earnings guidance or our announcement of revenue or earnings guidance that is higher or lower than expected;</w:t>
      </w:r>
    </w:p>
    <w:p>
      <w:pPr>
        <w:spacing w:after="0" w:line="14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other key personnel;</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 including those related to Medicare;</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such as earthquakes, epidemics, weather and war; and</w:t>
      </w:r>
    </w:p>
    <w:p>
      <w:pPr>
        <w:sectPr>
          <w:pgSz w:w="12240" w:h="15840" w:orient="portrait"/>
          <w:cols w:equalWidth="0" w:num="1">
            <w:col w:w="9900"/>
          </w:cols>
          <w:pgMar w:left="1180" w:top="304" w:right="1160" w:bottom="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2240" w:h="15840" w:orient="portrait"/>
          <w:cols w:equalWidth="0" w:num="1">
            <w:col w:w="9900"/>
          </w:cols>
          <w:pgMar w:left="1180" w:top="304" w:right="116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440" w:hanging="460"/>
        <w:spacing w:after="0"/>
        <w:tabs>
          <w:tab w:leader="none" w:pos="14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20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These and other factors, many of which are beyond our control, may cause our operating results and the market price and demand for our shares to fluctuate substantially. Fluctuations in our quarterly or annual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 Further, we provide indemnification for our officers and directors for certain claims in connection with such litigation. Large indemnity payments would adversely affect our business, results of operations, and financial condition.</w:t>
      </w:r>
    </w:p>
    <w:p>
      <w:pPr>
        <w:spacing w:after="0" w:line="14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4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 xml:space="preserve">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Our actual results could differ materially from such projections. Factors that could cause or contribute to such differences include, but are not limited to, those identified in this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color w:val="auto"/>
        </w:rPr>
        <w:t xml:space="preserve"> section.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common stock may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common stock may not be sustained.</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our common stock is currently listed on the Nasdaq Stock Market under the symbol “ALHC,” an active trading market for our shares may not be sustained. Accordingly, if an active trading market for our common stock is not maintained, the liquidity of our common stock would be limited, and holders of our common stock may not be able to sell their shares when desired. Moreover, the prices that they may obtain for their shares would be adversely affected. An inactive market may also impair our ability to raise capital to continue to fund operations by issuing shares and may impair our ability to acquire other companies or technologies by using our shares as consideration.</w:t>
      </w:r>
    </w:p>
    <w:p>
      <w:pPr>
        <w:spacing w:after="0" w:line="16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by us of our common stock could result in additional dilution to you and could cause the price of our common stock to drop significantly. Additionally, a significant portion of our total outstanding shares may be sold into the market in the future. This could also cause the market price of our common stock to drop significantly, even if our business is doing well.</w:t>
      </w:r>
    </w:p>
    <w:p>
      <w:pPr>
        <w:spacing w:after="0" w:line="16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As of December 31, 2025, we had 204,153,619 outstanding shares of common stock. We also had $330 million in aggregate principal amount of convertible notes outstanding that could be converted into additional shares of common stock. From time to time in the future, we may issue additional shares of our common stock or securities convertible into our common stock pursuant to a variety of transactions, including acquisitions. The issuance by us of additional shares of our common stock or securities convertible into our common stock would dilute the ownership of our existing stockholders and may cause the price of our common stock to drop significantly.</w:t>
      </w:r>
    </w:p>
    <w:p>
      <w:pPr>
        <w:spacing w:after="0" w:line="17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sales of a substantial number of shares of our common stock in the public market by the existing holders thereof could occur at any time. For example, General Atlantic, which holds approximately 6.7% of our outstanding shares as of December 31, 2025, is entitled, under a registration rights agreement, to require us to register shares owned by it for public sale in the United States. Additionally, we have registered shares of common stock that we may issue under our equity compensation plans. Subject to the satisfaction of vesting conditions, such shares can be freely sold in the public market upon issuance. Sales by these holders, or the perception in the market that the holders of a large number of shares intend to sell shares, could reduce the market price of our common stock. These factors could also make it more difficult for us to raise additional funds through future offerings of our shares of common stock or other securities.</w:t>
      </w:r>
    </w:p>
    <w:p>
      <w:pPr>
        <w:spacing w:after="0" w:line="172"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Conversion of our convertible notes may dilute the percentage of ownership of our stockholders and could negatively impact the trading prices of our common stock.</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conversion of the Convertible Notes, we have the option to pay or deliver, as the case may be, cash, shares of our common stock, or a combination of cash and shares, at our election. If we elect to settle conversions of the Convertible Notes by delivering shares of our common stock (or a combination of cash and shares), or if we are otherwise required to do so because we do not have the funds available to settle such conversions in cash, the conversion of some or all of the Convertible Notes may have a significant dilutive impact on our stockholders and could negatively impact the trading prices of our common stock. In addition, if we elect to settle our conversion obligation in shares of our common stock (or a combination of cash and shares), any sales in the public market of our shares issuable upon such conversion could adversely affect prevailing market prices of our common stock.</w:t>
      </w:r>
    </w:p>
    <w:p>
      <w:pPr>
        <w:sectPr>
          <w:pgSz w:w="12240" w:h="15840" w:orient="portrait"/>
          <w:cols w:equalWidth="0" w:num="1">
            <w:col w:w="9900"/>
          </w:cols>
          <w:pgMar w:left="1180" w:top="304" w:right="1160" w:bottom="0"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2240" w:h="15840" w:orient="portrait"/>
          <w:cols w:equalWidth="0" w:num="1">
            <w:col w:w="9900"/>
          </w:cols>
          <w:pgMar w:left="1180" w:top="304" w:right="11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convertible notes may impact the trading price of our common stock.</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the Convertible Notes, as well as related market regulatory actions, could have a significant impact on the trading prices of our common stock, and the trading prices and liquidity of the Convertible Notes. The price of our common stock and the Convertible Notes could also be affected by possible sales of our common stock by investors who view the Convertible Notes as more attractive means of equity participation in us.</w:t>
      </w:r>
    </w:p>
    <w:p>
      <w:pPr>
        <w:spacing w:after="0" w:line="14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stock price and trading volume could decline.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trading market for our shares is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6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4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current plans to pay regular cash dividends on our common stock for the foreseeable future.</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common stock for the foreseeable future.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w:t>
      </w:r>
    </w:p>
    <w:p>
      <w:pPr>
        <w:spacing w:after="0" w:line="1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14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and the Delaware General Corporation Law (the “DGCL”) contain provisions that could make it more difficult for a third-party to acquire us, even if doing so might be beneficial to our shareholders. Among other things, these provisions:</w:t>
      </w:r>
    </w:p>
    <w:p>
      <w:pPr>
        <w:spacing w:after="0" w:line="160" w:lineRule="exact"/>
        <w:rPr>
          <w:sz w:val="20"/>
          <w:szCs w:val="20"/>
          <w:color w:val="auto"/>
        </w:rPr>
      </w:pPr>
    </w:p>
    <w:p>
      <w:pPr>
        <w:ind w:left="1440" w:right="160" w:hanging="460"/>
        <w:spacing w:after="0" w:line="266" w:lineRule="auto"/>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alteration, rescission or repeal of our certificate of incorporation or our bylaws by our stockholders will require the affirmative vote of the holders of at least 66 2/3% in voting power of all the then-outstanding shares of our stock entitled to vote thereon, voting together as a single class;</w:t>
      </w:r>
    </w:p>
    <w:p>
      <w:pPr>
        <w:spacing w:after="0" w:line="159" w:lineRule="exact"/>
        <w:rPr>
          <w:rFonts w:ascii="Times New Roman" w:cs="Times New Roman" w:eastAsia="Times New Roman" w:hAnsi="Times New Roman"/>
          <w:sz w:val="18"/>
          <w:szCs w:val="18"/>
          <w:color w:val="auto"/>
        </w:rPr>
      </w:pPr>
    </w:p>
    <w:p>
      <w:pPr>
        <w:ind w:left="1440" w:right="220" w:hanging="460"/>
        <w:spacing w:after="0" w:line="266" w:lineRule="auto"/>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stockholders;</w:t>
      </w:r>
    </w:p>
    <w:p>
      <w:pPr>
        <w:spacing w:after="0" w:line="15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209"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w:t>
      </w:r>
    </w:p>
    <w:p>
      <w:pPr>
        <w:spacing w:after="0" w:line="209" w:lineRule="exact"/>
        <w:rPr>
          <w:rFonts w:ascii="Times New Roman" w:cs="Times New Roman" w:eastAsia="Times New Roman" w:hAnsi="Times New Roman"/>
          <w:sz w:val="18"/>
          <w:szCs w:val="18"/>
          <w:color w:val="auto"/>
        </w:rPr>
      </w:pPr>
    </w:p>
    <w:p>
      <w:pPr>
        <w:ind w:left="1440" w:right="40" w:hanging="460"/>
        <w:spacing w:after="0" w:line="282" w:lineRule="auto"/>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or for proposing matters that can be acted upon by stockholders at stockholder meetings.</w:t>
      </w:r>
    </w:p>
    <w:p>
      <w:pPr>
        <w:spacing w:after="0" w:line="14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Our certificate of incorporation contains a provision that provides us with protections similar to Section 203 of the DGCL, and prevents us from engaging in a business combination with a person who acquires at least 15% of our common stock for a period of three years from the date such person (excluding the Lead Sponsor and any of its direct or indirect transferees and any group as to which such persons are a party) acquired such common stock, unless Board or stockholder approval is obtained prior to the acquisition. These provisions could discourage, delay or prevent a transaction involving a change in control of our company. These provisions could also</w:t>
      </w:r>
    </w:p>
    <w:p>
      <w:pPr>
        <w:sectPr>
          <w:pgSz w:w="12240" w:h="15840" w:orient="portrait"/>
          <w:cols w:equalWidth="0" w:num="1">
            <w:col w:w="9900"/>
          </w:cols>
          <w:pgMar w:left="1180" w:top="304" w:right="1160" w:bottom="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2240" w:h="15840" w:orient="portrait"/>
          <w:cols w:equalWidth="0" w:num="1">
            <w:col w:w="9900"/>
          </w:cols>
          <w:pgMar w:left="1180" w:top="304" w:right="1160" w:bottom="0" w:gutter="0" w:footer="0" w:header="0"/>
          <w:type w:val="continuous"/>
        </w:sectPr>
      </w:pPr>
    </w:p>
    <w:bookmarkStart w:id="48" w:name="page49"/>
    <w:bookmarkEnd w:id="48"/>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10" w:right="60"/>
        <w:spacing w:after="0" w:line="261" w:lineRule="auto"/>
        <w:rPr>
          <w:sz w:val="20"/>
          <w:szCs w:val="20"/>
          <w:color w:val="auto"/>
        </w:rPr>
      </w:pPr>
      <w:r>
        <w:rPr>
          <w:rFonts w:ascii="Times New Roman" w:cs="Times New Roman" w:eastAsia="Times New Roman" w:hAnsi="Times New Roman"/>
          <w:sz w:val="18"/>
          <w:szCs w:val="18"/>
          <w:color w:val="auto"/>
        </w:rPr>
        <w:t>discourage proxy contests and make it more difficult for stockholders to elect directors of their choosing and cause us to take other corporate actions they desire, including actions that they may deem advantageous, or negatively affect the trading price of our common stock. In addition, because our Board is responsible for appointing the members of our management team, these provisions could in turn affect any attempt by our stockholders to replace current members of our management team.</w:t>
      </w:r>
    </w:p>
    <w:p>
      <w:pPr>
        <w:spacing w:after="0" w:line="164" w:lineRule="exact"/>
        <w:rPr>
          <w:sz w:val="20"/>
          <w:szCs w:val="20"/>
          <w:color w:val="auto"/>
        </w:rPr>
      </w:pPr>
    </w:p>
    <w:p>
      <w:pPr>
        <w:ind w:left="10" w:right="60"/>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157" w:lineRule="exact"/>
        <w:rPr>
          <w:sz w:val="20"/>
          <w:szCs w:val="20"/>
          <w:color w:val="auto"/>
        </w:rPr>
      </w:pPr>
    </w:p>
    <w:p>
      <w:pPr>
        <w:ind w:left="1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forum in the Court of Chancery of the State of Delaware or the federal district courts of the United States for certain types of lawsuits may have the effect of discouraging lawsuits against our directors and officers.</w:t>
      </w:r>
    </w:p>
    <w:p>
      <w:pPr>
        <w:spacing w:after="0" w:line="162" w:lineRule="exact"/>
        <w:rPr>
          <w:sz w:val="20"/>
          <w:szCs w:val="20"/>
          <w:color w:val="auto"/>
        </w:rPr>
      </w:pPr>
    </w:p>
    <w:p>
      <w:pPr>
        <w:ind w:left="10" w:right="20"/>
        <w:spacing w:after="0" w:line="272" w:lineRule="auto"/>
        <w:rPr>
          <w:sz w:val="20"/>
          <w:szCs w:val="20"/>
          <w:color w:val="auto"/>
        </w:rPr>
      </w:pPr>
      <w:r>
        <w:rPr>
          <w:rFonts w:ascii="Times New Roman" w:cs="Times New Roman" w:eastAsia="Times New Roman" w:hAnsi="Times New Roman"/>
          <w:sz w:val="17"/>
          <w:szCs w:val="17"/>
          <w:color w:val="auto"/>
        </w:rPr>
        <w:t>Pursuant to our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shareholders,</w:t>
      </w:r>
    </w:p>
    <w:p>
      <w:pPr>
        <w:spacing w:after="0" w:line="2" w:lineRule="exact"/>
        <w:rPr>
          <w:sz w:val="20"/>
          <w:szCs w:val="20"/>
          <w:color w:val="auto"/>
        </w:rPr>
      </w:pPr>
    </w:p>
    <w:p>
      <w:pPr>
        <w:ind w:left="10" w:hanging="10"/>
        <w:spacing w:after="0" w:line="251"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any provision of the DGCL, our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there is exclusive federal or concurrent federal and state jurisdiction. Additionally, unless we consent in writing to the selection of an alternative forum, the federal district courts of the United States of America shall be the exclusive forum for the resolution of any complaint asserting a cause of action arising under the Securities Act.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 Further, in the event a court finds any such exclusive forum provision contained in our certificate of incorporation to be unenforceable or inapplicable in an action, we may incur additional costs associated with resolving such action in other jurisdictions, which could harm our business, operating results and financial condition. Our certificate of incorporation further provides that any person or entity purchasing or otherwise acquiring any interest in shares of our capital stock is deemed to have notice of and consented to the provisions of our certificate of incorporation described above. The forum selection clauses in our certificate of incorporation may have the effect of discouraging lawsuits against us or our directors and officers and may limit our shareholders’ ability to obtain a favorable judicial forum for disputes with us.</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09" w:lineRule="exact"/>
        <w:rPr>
          <w:sz w:val="20"/>
          <w:szCs w:val="20"/>
          <w:color w:val="auto"/>
        </w:rPr>
      </w:pPr>
    </w:p>
    <w:p>
      <w:pPr>
        <w:ind w:left="1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downturn or unstable market and economic conditions, including rising rates of inflation, may have serious adverse consequences on our business, financial condition and share price.</w:t>
      </w:r>
    </w:p>
    <w:p>
      <w:pPr>
        <w:spacing w:after="0" w:line="146" w:lineRule="exact"/>
        <w:rPr>
          <w:sz w:val="20"/>
          <w:szCs w:val="20"/>
          <w:color w:val="auto"/>
        </w:rPr>
      </w:pPr>
    </w:p>
    <w:p>
      <w:pPr>
        <w:ind w:left="10" w:right="80"/>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Any such volatility and disruptions, or a general sustained economic downturn, may have adverse consequences on us or the third parties on whom we rely. Increased inflation rates, for example, have previously and may in the future adversely affect us by increasing our costs, including interest rates applicable to outstanding indebtedness, labor and employee benefit costs and increasing medical expenses. Additionally, if the equity and credit markets deteriorate, including as a result of natural disaster or due to political unrest or war, it may make any necessary debt or equity financing more difficult to obtain in a timely manner or on favorable terms, more costly or more dilutive. During periods of economic downturn or high unemployment, governmental entities often experience budget deficits as a result of increased costs and lower than expected tax collections. Budget deficits at federal, state and local government entities have decreased, and may continue to decrease, spending for health and human service programs, including Medicare and similar programs, which represents the most significant revenue source for us. Any of these negative economic conditions could have a material adverse effect on our business, results of operations and financial condition.</w:t>
      </w:r>
    </w:p>
    <w:p>
      <w:pPr>
        <w:spacing w:after="0" w:line="164" w:lineRule="exact"/>
        <w:rPr>
          <w:sz w:val="20"/>
          <w:szCs w:val="20"/>
          <w:color w:val="auto"/>
        </w:rPr>
      </w:pPr>
    </w:p>
    <w:p>
      <w:pPr>
        <w:ind w:left="1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46" w:lineRule="exact"/>
        <w:rPr>
          <w:sz w:val="20"/>
          <w:szCs w:val="20"/>
          <w:color w:val="auto"/>
        </w:rPr>
      </w:pPr>
    </w:p>
    <w:p>
      <w:pPr>
        <w:ind w:left="10" w:right="120"/>
        <w:spacing w:after="0" w:line="273" w:lineRule="auto"/>
        <w:rPr>
          <w:sz w:val="20"/>
          <w:szCs w:val="20"/>
          <w:color w:val="auto"/>
        </w:rPr>
      </w:pPr>
      <w:r>
        <w:rPr>
          <w:rFonts w:ascii="Times New Roman" w:cs="Times New Roman" w:eastAsia="Times New Roman" w:hAnsi="Times New Roman"/>
          <w:sz w:val="17"/>
          <w:szCs w:val="17"/>
          <w:color w:val="auto"/>
        </w:rPr>
        <w:t>We believe that our culture has been and will continue to be a critical contributor to our differentiated model. We expect to continue to hire aggressively as we expand, and we believe our corporate culture has been crucial in our success and our ability to attract highly skilled personnel. If we do not continue to develop our corporate culture or maintain and preserve our core values of always putting the senior first, supporting doctors, using data and technology to revolutionize healthcare and acting with a serving heart, as we grow and evolve, we may be unable to foster the innovation, curiosity, creativity, focus on execution, teamwork and the facilitation of critical knowledge transfer and knowledge sharing we believe we need to support our growth. Our anticipated headcount growth and our transition from a private company to a public company may result in a change to our corporate culture, which could harm our business.</w:t>
      </w:r>
    </w:p>
    <w:p>
      <w:pPr>
        <w:sectPr>
          <w:pgSz w:w="12240" w:h="15840" w:orient="portrait"/>
          <w:cols w:equalWidth="0" w:num="1">
            <w:col w:w="9870"/>
          </w:cols>
          <w:pgMar w:left="1170" w:top="304" w:right="1200" w:bottom="0" w:gutter="0" w:footer="0" w:header="0"/>
        </w:sectPr>
      </w:pPr>
    </w:p>
    <w:p>
      <w:pPr>
        <w:spacing w:after="0" w:line="28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45</w:t>
      </w:r>
    </w:p>
    <w:p>
      <w:pPr>
        <w:sectPr>
          <w:pgSz w:w="12240" w:h="15840" w:orient="portrait"/>
          <w:cols w:equalWidth="0" w:num="1">
            <w:col w:w="9870"/>
          </w:cols>
          <w:pgMar w:left="1170" w:top="304" w:right="120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w:t>
      </w:r>
    </w:p>
    <w:p>
      <w:pPr>
        <w:spacing w:after="0" w:line="1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we incur legal, accounting and other expenses that we did not previously incur. We are subject to the reporting requirements of the Exchange Act and the Sarbanes-Oxley Act of 2002 (the “Sarbanes-Oxley Act”), the listing requirements of and other applicable securities rules and regulations. Compliance with these rules and regulations will continue to increase our legal and financial compliance costs, make some activities more difficult, time-consuming or costly and increase demand on our systems and resources.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as discussed further below.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and results of operations.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and will continue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becoming a public company, we are obligated to develop and maintain proper and effective internal control over financial reporting in order to comply with Section 404 of the Sarbanes-Oxley Act.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These internal controls may not be determined to be effective, which may adversely affect investor confidence in us and, as a result, the value of our common stock.</w:t>
      </w:r>
    </w:p>
    <w:p>
      <w:pPr>
        <w:spacing w:after="0" w:line="17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are required by Section 404 of the Sarbanes-Oxley Act to furnish a report by management on, among other things, the effectiveness of our internal control over financial reporting. If during the evaluation and testing process we identify one or more material weaknesses or significant deficiencies in our internal control over financial reporting, our management may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our independent registered public accounting firm is required to formally attest to the effectiveness of our internal control over financial reporting. 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w:t>
      </w:r>
    </w:p>
    <w:p>
      <w:pPr>
        <w:spacing w:after="0" w:line="16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2240" w:h="15840" w:orient="portrait"/>
          <w:cols w:equalWidth="0" w:num="1">
            <w:col w:w="9880"/>
          </w:cols>
          <w:pgMar w:left="1180" w:top="304" w:right="11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 financial condition and results of operations.</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commercial success depends on our ability to develop and commercialize our products and services and use our internally developed technology without infringing the intellectual property or proprietary rights of third parties. Intellectual property disputes can be costly to defend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in order to continue our operations as currently or in the future contemplated. Whether merited or not, we may face allegations that we, our partners or parties indemnified by us have infringed, misappropriated or otherwise violated the patents, trademarks, copyrights, trade secrets or other intellectual property rights of third parties. Such claims may be made by competitors seeking to obtain a competitive advantage or by other parties. Additionally, in recent years, individuals and groups have begun purchasing intellectual property assets for the purpose of making such claims and attempting to extract settlements from companies like ours. We may also face allegations that our employees have misappropriated the trade secrets or other intellectual property or proprietary rights of their former employers or other third parties.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It may be necessary for us to initiate litigation to defend ourselves in order to determine the scope, enforceability, validity or ownership of third-party intellectual property or proprietary rights, or to establish our respective rights. We may not be able to successfully settle or otherwise resolve such adversarial proceedings or litigation. If we are unable to successfully settle future claims on terms acceptable to us we may be required to engage in or to continue claims, regardless of whether such claims have merit, that can be time-consuming, divert management’s attention and financial resources and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and upfront or ongoing fees, or grant cross-licenses to our own intellectual property rights. Such licenses may also be non-exclusive, which could allow competitors and other parties to use the subject technology in competition with us. We may also have to redesign our services so they do not infringe, misappropriate or otherwise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1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Any of the foregoing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1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w:t>
      </w:r>
    </w:p>
    <w:p>
      <w:pPr>
        <w:spacing w:after="0" w:line="164"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We have designed and deployed a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2240" w:h="15840" w:orient="portrait"/>
          <w:cols w:equalWidth="0" w:num="1">
            <w:col w:w="9880"/>
          </w:cols>
          <w:pgMar w:left="1180" w:top="304" w:right="11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technologies (such as artificial intelligence) to help inform our defensive tactics. Our team also regularly reviews emerging product technology to improve our capabilities.</w:t>
      </w:r>
    </w:p>
    <w:p>
      <w:pPr>
        <w:spacing w:after="0" w:line="14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2021, we received the externally validated HITRUST certification, the gold standard compliance framework in the health care industry. Through our data security and privacy program and policies, we adhere to the requirements of the Health Insurance Portability and Accountability Act of 1996 (HIPAA), other federal regulations and best-practices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w:t>
      </w:r>
    </w:p>
    <w:p>
      <w:pPr>
        <w:spacing w:after="0" w:line="1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strict protection and security measures have resulted in zero security incident-related disruptions or downtime to our business continuity. However, there is no guarantee that a future security incident would not materially affect our business strategy, results of operations or financial condition. See “Risk Factors” beginning on page 1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p>
    <w:p>
      <w:pPr>
        <w:spacing w:after="0" w:line="2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information security program is under nearly constant third-party review as part of Sarbanes-Oxley compliance and the HITRUST certification process, including independent third-party penetration testing of all information technology assets at least annually and assessment of our vulnerability to ransomware. Multiple industry-standard third-party tools are utilized to detect vulnerabilities. Alignment is a member of the Healthcare Information Sharing and Analysis Center (Health-ISAC) operated by the U.S. Department of Health and Human Services and the Department of Homeland Security and is affiliated with the FBI InfraGard program, providing deep, actionable intelligence regarding healthcare security and privacy threats and countermeasures. We continuously monitor the Health-ISAC reporting to anticipate and respond to potential threats.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Third-Party Cyber-Risk</w:t>
      </w:r>
    </w:p>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rely on third-party vendors to provide supplemental benefits to our members and for a variety of other key business functions. Accordingly, our vendor onboarding process includes a comprehensive security assessment. Moreover, at least quarterly, we assess the risks from cybersecurity threats relating to each of our member-facing and other key third-party service providers with whom we share protected health information, personal identifying information and confidential information. We generally require our suppliers to adopt security-control principles based on industry-recognized standards and we seek audit rights over their security protocols.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component of its general oversight over key risks to our business, our Board of Directors has established robust oversight mechanisms designed to ensure effective governance in managing risks associated with cybersecurity threats. As a technology-enabled Medicare Advantage platform, we have selected directors with backgrounds in technology and expertise in data privacy and cybersecurity matters, which represent important elements of our risk management strategy.</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Audit Committee is responsible for the direct oversight of risks from cybersecurity threats. Members of the Audit Committee receive updates on at least a quarterly basis from senior management, including leaders from our information security, compliance and legal teams regarding matters of cybersecurity. Reports by management to the Audit Committee include existing and new cybersecurity risks, status updates regarding how management is addressing and/or mitigating those risks, cybersecurity and data privacy incidents (if any) and status on key information security initiatives. The Audit Committee’s involvement ensures that cybersecurity considerations are integrated into the Company’s broader strategic objectives. The Audit Committee conducts an annual review of the company’s cybersecurity posture and the effectiveness of its risk management strategies. This review helps in identifying areas for improvement and ensuring the alignment of cybersecurity efforts with the overall risk management framework. As needed, this framework also includes consultations with our enterprise risk management committee, led by our Chief Compliance and Privacy Officer.</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Alignment’s cybersecurity organization is led by David MacLeod, our Chief Information Security Officer, who is responsible for the prevention, detection, mitigation, and remediation of cybersecurity incidents and reports to our Chief Digital Officer, as well as to the Audit Committee. Mr. MacLeod has served as our CISO since December 2022, has over 26 years of diverse leadership experience in the healthcare information space (including over 20 years as a certified information systems security professional and chief information security officer) and holds advanced degrees in information technology management and computer science.</w:t>
      </w:r>
    </w:p>
    <w:p>
      <w:pPr>
        <w:spacing w:after="0" w:line="16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CISO is continually informed about the latest developments in cybersecurity, including potential threats and innovative risk management techniques.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corporate headquarters are located in Orange, California at 1100 W. Town and Country Rd, Suite 1600, where we lease approximately 47,321 square feet of office space under a lease that terminates in May 2030. We also have offices located in New York, New York; Las Vegas, Nevada; El Paso, Texas; Sahuarita, and Tucson, Arizona; and Venice, Florida. We also have small clinics located in Milpitas, Modesto and Downey, California; and Raleigh, North Carolina. We believe that our properties are generally suitable to meet</w:t>
      </w:r>
    </w:p>
    <w:p>
      <w:pPr>
        <w:sectPr>
          <w:pgSz w:w="12240" w:h="15840" w:orient="portrait"/>
          <w:cols w:equalWidth="0" w:num="1">
            <w:col w:w="9880"/>
          </w:cols>
          <w:pgMar w:left="1180" w:top="304" w:right="1180"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9880"/>
          </w:cols>
          <w:pgMar w:left="1180" w:top="304" w:right="11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needs for the foreseeable future. In addition, to the extent we require additional space in the future, we believe that it would be readily available on commercially reasonable terms.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and are presently involved in, litigation and other legal proceedings. We believe that there are no pending lawsuits or claims that, individually or in the aggregate, may have a material effect on our business, financial condition or operating results. The results of any future claims or proceedings cannot be predicted with certainty, and regardless of the outcome, litigation can have an adverse impact on us because of defense and litigation costs, diversion of management resources, and other factors. For a discussion of our material legal actions, including those not in the ordinary course of business, see "Legal Proceedings" in Note 14 to the audited Consolidated Financial Statements included in Item 8. Financial Statements and Supplementary Data.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2240" w:h="15840" w:orient="portrait"/>
          <w:cols w:equalWidth="0" w:num="1">
            <w:col w:w="9900"/>
          </w:cols>
          <w:pgMar w:left="1180" w:top="304" w:right="116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common stock has been traded under the symbol “ALHC” on the Nasdaq Global Select Market since our initial public offering on March 26, 2021. Prior to that time, there was no public market for our common stock. As of February 24, 2026, there were approximately 44 holders of record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and to potentially repay any indebtedness and, therefore, we do not anticipate paying any cash dividends in the foreseeable future. Additionally, because we are a holding company, our ability to pay dividends on our common stock may be limited by restrictions on the ability of our regulated insurance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 Our outstanding term loan restricts our ability to pay dividends. See the discussion of our term loan in “</w:t>
      </w:r>
      <w:r>
        <w:rPr>
          <w:rFonts w:ascii="Times New Roman" w:cs="Times New Roman" w:eastAsia="Times New Roman" w:hAnsi="Times New Roman"/>
          <w:sz w:val="17"/>
          <w:szCs w:val="17"/>
          <w:b w:val="1"/>
          <w:bCs w:val="1"/>
          <w:i w:val="1"/>
          <w:iCs w:val="1"/>
          <w:color w:val="auto"/>
        </w:rPr>
        <w:t>Item 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Operations—Liquidity and Capital Resources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1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authorized for issuance under our equity compensation plans, see Part III, Item 12, “Security Ownership of Certain Beneficial Owners and Management and Related Stockholder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This performance graph below shall not be deemed “soliciting material” or to be “filed” with the SEC for purposes of Section 18 of the Exchange Act, or otherwise subject to the liabilities under that Section, and shall not be deemed to be incorporated by reference into this Annual Report on Form 10-K or any other filing of Alignment Healthcare, Inc. under the Exchange Act or the Securities Act, whether made before or after the date hereof and irrespective of any general incorporation language in any such filing, except to the extent that we specifically incorporate this information by reference therein.</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March 26, 2021 (the date our common stock commenced trading on the Nasdaq Global Select Market) and December 31, 2025, with the cumulative total return of (a) the Nasdaq Healthcare Index and (b) the S&amp;P 500, over the same period. This graph assumes the investment of $100 on March 26, 2021 in our common stock, the Nasdaq Healthcare Index, and the Nasdaq S&amp;P 500 and assumes the reinvestment of dividends, if any. The graph assumes our closing sales price on March 26, 2021 of $17.31 per share as the initial value of our common stock and not the initial offering price to the public of $18.00 per share.</w:t>
      </w:r>
    </w:p>
    <w:p>
      <w:pPr>
        <w:sectPr>
          <w:pgSz w:w="12240" w:h="15840" w:orient="portrait"/>
          <w:cols w:equalWidth="0" w:num="1">
            <w:col w:w="9860"/>
          </w:cols>
          <w:pgMar w:left="1180" w:top="30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2240" w:h="15840" w:orient="portrait"/>
          <w:cols w:equalWidth="0" w:num="1">
            <w:col w:w="9860"/>
          </w:cols>
          <w:pgMar w:left="1180" w:top="304" w:right="12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Alignment Healthcare, Inc., the NASDAQ Healthcare Index and the S&amp;P 500</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595959"/>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-64135</wp:posOffset>
            </wp:positionV>
            <wp:extent cx="4939030" cy="1200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4939030" cy="1200785"/>
                    </a:xfrm>
                    <a:prstGeom prst="rect">
                      <a:avLst/>
                    </a:prstGeom>
                    <a:noFill/>
                  </pic:spPr>
                </pic:pic>
              </a:graphicData>
            </a:graphic>
          </wp:anchor>
        </w:drawing>
      </w:r>
    </w:p>
    <w:p>
      <w:pPr>
        <w:spacing w:after="0" w:line="2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595959"/>
        </w:rPr>
        <w:t>140</w:t>
      </w:r>
    </w:p>
    <w:p>
      <w:pPr>
        <w:spacing w:after="0" w:line="2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595959"/>
        </w:rPr>
        <w:t>120</w:t>
      </w:r>
    </w:p>
    <w:p>
      <w:pPr>
        <w:spacing w:after="0" w:line="2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595959"/>
        </w:rPr>
        <w:t>100</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595959"/>
        </w:rPr>
        <w:t>80</w:t>
      </w:r>
    </w:p>
    <w:p>
      <w:pPr>
        <w:spacing w:after="0" w:line="28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595959"/>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-54610</wp:posOffset>
            </wp:positionV>
            <wp:extent cx="49390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4939030" cy="9525"/>
                    </a:xfrm>
                    <a:prstGeom prst="rect">
                      <a:avLst/>
                    </a:prstGeom>
                    <a:noFill/>
                  </pic:spPr>
                </pic:pic>
              </a:graphicData>
            </a:graphic>
          </wp:anchor>
        </w:drawing>
      </w:r>
    </w:p>
    <w:p>
      <w:pPr>
        <w:spacing w:after="0" w:line="2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595959"/>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-54610</wp:posOffset>
            </wp:positionV>
            <wp:extent cx="49390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4939030" cy="9525"/>
                    </a:xfrm>
                    <a:prstGeom prst="rect">
                      <a:avLst/>
                    </a:prstGeom>
                    <a:noFill/>
                  </pic:spPr>
                </pic:pic>
              </a:graphicData>
            </a:graphic>
          </wp:anchor>
        </w:drawing>
      </w:r>
    </w:p>
    <w:p>
      <w:pPr>
        <w:spacing w:after="0" w:line="2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595959"/>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-54610</wp:posOffset>
            </wp:positionV>
            <wp:extent cx="493903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4939030" cy="9525"/>
                    </a:xfrm>
                    <a:prstGeom prst="rect">
                      <a:avLst/>
                    </a:prstGeom>
                    <a:noFill/>
                  </pic:spPr>
                </pic:pic>
              </a:graphicData>
            </a:graphic>
          </wp:anchor>
        </w:drawing>
      </w:r>
    </w:p>
    <w:p>
      <w:pPr>
        <w:spacing w:after="0" w:line="262" w:lineRule="exact"/>
        <w:rPr>
          <w:sz w:val="20"/>
          <w:szCs w:val="20"/>
          <w:color w:val="auto"/>
        </w:rPr>
      </w:pPr>
    </w:p>
    <w:tbl>
      <w:tblPr>
        <w:tblLayout w:type="fixed"/>
        <w:tblInd w:w="960" w:type="dxa"/>
        <w:tblCellMar>
          <w:top w:w="0" w:type="dxa"/>
          <w:left w:w="0" w:type="dxa"/>
          <w:bottom w:w="0" w:type="dxa"/>
          <w:right w:w="0" w:type="dxa"/>
        </w:tblCellMar>
      </w:tblPr>
      <w:tr>
        <w:trPr>
          <w:trHeight w:val="51"/>
        </w:trPr>
        <w:tc>
          <w:tcPr>
            <w:tcW w:w="30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color w:val="595959"/>
                <w:w w:val="71"/>
              </w:rPr>
              <w:t>0</w:t>
            </w:r>
          </w:p>
        </w:tc>
        <w:tc>
          <w:tcPr>
            <w:tcW w:w="740" w:type="dxa"/>
            <w:vAlign w:val="bottom"/>
            <w:tcBorders>
              <w:bottom w:val="single" w:sz="8" w:color="E6E6E6"/>
            </w:tcBorders>
          </w:tcPr>
          <w:p>
            <w:pPr>
              <w:spacing w:after="0"/>
              <w:rPr>
                <w:sz w:val="4"/>
                <w:szCs w:val="4"/>
                <w:color w:val="auto"/>
              </w:rPr>
            </w:pPr>
          </w:p>
        </w:tc>
        <w:tc>
          <w:tcPr>
            <w:tcW w:w="110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540" w:type="dxa"/>
            <w:vAlign w:val="bottom"/>
            <w:tcBorders>
              <w:bottom w:val="single" w:sz="8" w:color="E6E6E6"/>
            </w:tcBorders>
          </w:tcPr>
          <w:p>
            <w:pPr>
              <w:spacing w:after="0"/>
              <w:rPr>
                <w:sz w:val="4"/>
                <w:szCs w:val="4"/>
                <w:color w:val="auto"/>
              </w:rPr>
            </w:pPr>
          </w:p>
        </w:tc>
        <w:tc>
          <w:tcPr>
            <w:tcW w:w="16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800" w:type="dxa"/>
            <w:vAlign w:val="bottom"/>
            <w:tcBorders>
              <w:bottom w:val="single" w:sz="8" w:color="E6E6E6"/>
            </w:tcBorders>
          </w:tcPr>
          <w:p>
            <w:pPr>
              <w:spacing w:after="0"/>
              <w:rPr>
                <w:sz w:val="4"/>
                <w:szCs w:val="4"/>
                <w:color w:val="auto"/>
              </w:rPr>
            </w:pPr>
          </w:p>
        </w:tc>
        <w:tc>
          <w:tcPr>
            <w:tcW w:w="300" w:type="dxa"/>
            <w:vAlign w:val="bottom"/>
            <w:tcBorders>
              <w:bottom w:val="single" w:sz="8" w:color="E6E6E6"/>
            </w:tcBorders>
          </w:tcPr>
          <w:p>
            <w:pPr>
              <w:spacing w:after="0"/>
              <w:rPr>
                <w:sz w:val="4"/>
                <w:szCs w:val="4"/>
                <w:color w:val="auto"/>
              </w:rPr>
            </w:pPr>
          </w:p>
        </w:tc>
        <w:tc>
          <w:tcPr>
            <w:tcW w:w="1480" w:type="dxa"/>
            <w:vAlign w:val="bottom"/>
            <w:tcBorders>
              <w:bottom w:val="single" w:sz="8" w:color="E6E6E6"/>
            </w:tcBorders>
          </w:tcPr>
          <w:p>
            <w:pPr>
              <w:spacing w:after="0"/>
              <w:rPr>
                <w:sz w:val="4"/>
                <w:szCs w:val="4"/>
                <w:color w:val="auto"/>
              </w:rPr>
            </w:pPr>
          </w:p>
        </w:tc>
        <w:tc>
          <w:tcPr>
            <w:tcW w:w="1260" w:type="dxa"/>
            <w:vAlign w:val="bottom"/>
            <w:tcBorders>
              <w:bottom w:val="single" w:sz="8" w:color="E6E6E6"/>
            </w:tcBorders>
          </w:tcPr>
          <w:p>
            <w:pPr>
              <w:spacing w:after="0"/>
              <w:rPr>
                <w:sz w:val="4"/>
                <w:szCs w:val="4"/>
                <w:color w:val="auto"/>
              </w:rPr>
            </w:pPr>
          </w:p>
        </w:tc>
        <w:tc>
          <w:tcPr>
            <w:tcW w:w="800" w:type="dxa"/>
            <w:vAlign w:val="bottom"/>
            <w:tcBorders>
              <w:bottom w:val="single" w:sz="8" w:color="E6E6E6"/>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595959"/>
              </w:rPr>
              <w:t>3/26/2021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595959"/>
              </w:rPr>
              <w:t>12/31/2021</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595959"/>
              </w:rPr>
              <w:t>12/31/2022</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color w:val="595959"/>
              </w:rPr>
              <w:t>12/31/2023</w:t>
            </w:r>
          </w:p>
        </w:tc>
        <w:tc>
          <w:tcPr>
            <w:tcW w:w="12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595959"/>
              </w:rPr>
              <w:t>12/31/2024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595959"/>
              </w:rPr>
              <w:t>12/31/2025</w:t>
            </w:r>
          </w:p>
        </w:tc>
        <w:tc>
          <w:tcPr>
            <w:tcW w:w="0" w:type="dxa"/>
            <w:vAlign w:val="bottom"/>
          </w:tcPr>
          <w:p>
            <w:pPr>
              <w:spacing w:after="0"/>
              <w:rPr>
                <w:sz w:val="1"/>
                <w:szCs w:val="1"/>
                <w:color w:val="auto"/>
              </w:rPr>
            </w:pPr>
          </w:p>
        </w:tc>
      </w:tr>
      <w:tr>
        <w:trPr>
          <w:trHeight w:val="311"/>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bottom w:val="single" w:sz="8" w:color="4F71B4"/>
            </w:tcBorders>
          </w:tcPr>
          <w:p>
            <w:pPr>
              <w:spacing w:after="0"/>
              <w:rPr>
                <w:sz w:val="24"/>
                <w:szCs w:val="24"/>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595959"/>
              </w:rPr>
              <w:t>ALHC</w:t>
            </w:r>
          </w:p>
        </w:tc>
        <w:tc>
          <w:tcPr>
            <w:tcW w:w="160" w:type="dxa"/>
            <w:vAlign w:val="bottom"/>
            <w:vMerge w:val="restart"/>
          </w:tcPr>
          <w:p>
            <w:pPr>
              <w:spacing w:after="0"/>
              <w:rPr>
                <w:sz w:val="24"/>
                <w:szCs w:val="24"/>
                <w:color w:val="auto"/>
              </w:rPr>
            </w:pPr>
          </w:p>
        </w:tc>
        <w:tc>
          <w:tcPr>
            <w:tcW w:w="300" w:type="dxa"/>
            <w:vAlign w:val="bottom"/>
            <w:tcBorders>
              <w:bottom w:val="single" w:sz="8" w:color="EB7D32"/>
            </w:tcBorders>
          </w:tcPr>
          <w:p>
            <w:pPr>
              <w:spacing w:after="0"/>
              <w:rPr>
                <w:sz w:val="24"/>
                <w:szCs w:val="24"/>
                <w:color w:val="auto"/>
              </w:rPr>
            </w:pPr>
          </w:p>
        </w:tc>
        <w:tc>
          <w:tcPr>
            <w:tcW w:w="80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595959"/>
              </w:rPr>
              <w:t>S&amp;P 500</w:t>
            </w:r>
          </w:p>
        </w:tc>
        <w:tc>
          <w:tcPr>
            <w:tcW w:w="300" w:type="dxa"/>
            <w:vAlign w:val="bottom"/>
            <w:tcBorders>
              <w:bottom w:val="single" w:sz="8" w:color="A4A4A4"/>
            </w:tcBorders>
          </w:tcPr>
          <w:p>
            <w:pPr>
              <w:spacing w:after="0"/>
              <w:rPr>
                <w:sz w:val="24"/>
                <w:szCs w:val="24"/>
                <w:color w:val="auto"/>
              </w:rPr>
            </w:pPr>
          </w:p>
        </w:tc>
        <w:tc>
          <w:tcPr>
            <w:tcW w:w="148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color w:val="595959"/>
              </w:rPr>
              <w:t>Nasdaq Healthcare Index</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280035</wp:posOffset>
            </wp:positionV>
            <wp:extent cx="6302375" cy="87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6302375" cy="87312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3/26/2021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12/31/2021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12/31/2022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12/31/2025</w:t>
            </w:r>
          </w:p>
        </w:tc>
      </w:tr>
      <w:tr>
        <w:trPr>
          <w:trHeight w:val="215"/>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Alignment Healthcare, Inc.</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(ALHC)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175.56</w:t>
            </w:r>
          </w:p>
        </w:tc>
      </w:tr>
      <w:tr>
        <w:trPr>
          <w:trHeight w:val="285"/>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Healthcare Index</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85"/>
        </w:trPr>
        <w:tc>
          <w:tcPr>
            <w:tcW w:w="2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Equity Securities by the Issuer and Affiliated Purchasers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2240" w:h="15840" w:orient="portrait"/>
          <w:cols w:equalWidth="0" w:num="1">
            <w:col w:w="9880"/>
          </w:cols>
          <w:pgMar w:left="1180" w:top="304" w:right="11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following discussion should be read in conjunction with the consolidated financial statements and accompanying notes, which appear elsewhere in this Annual Report on Form 10-K.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on Form 10-K. See Part I. Item 1A. Risk Factors and Cautionary Note Regarding Forward-Looking Statements. For discussion of 2023 items and year-over-year comparisons between 2024 and 2023 that are not included in this Form 10-K, refer to Item 7. "Management's Discussion and Analysis of Financial Condition and Results of Operations" found in our Annual Report on Form 10-K for the year ended December 31, 2024, filed with the Securities and Exchange Commission on February 27,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Alignment is a next generation, consumer-centric and clinically focused platform designed to improve the healthcare experience for seniors. We deliver this experience through our Medicare Advantage plans, which are customized to meet the needs of a diverse array of seniors. Our innovative model of consumer-centric healthcare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grown Health Plan Membership, which we define as members enrolled in our health maintenance organization ("HMO") and preferred provider organization ("PPO") contracts (the "Alignment Health Plan"), from approximately 13,000 at inception to 236,300 as of December 31, 2025, representing a 30% compound annual growth rate across 45 markets and 5 states. Our ultimate goal is to bring this differentiated, advocacy-driven healthcare experience to millions of senior consumers in the United States and to become the most trusted senior healthcare brand in the country.</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2025 plan year, Alignment offered plans in 45 markets across California (22 markets), North Carolina (16 markets), Nevada (2 markets), Arizona (3 markets) and Texas (2 markets). There are approximately 8.4 million Medicare-eligible seniors in our current markets.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unique clinical model, led by employed clinical teams known as Care Anywhere, acts upon insights derived from our proprietary technology platform, AVA. This integration between our technology and employed care model is a key element of our business with capabilities that we expect to impact our future performance. AVA’s data insights, combined with the clinical control of our care model, enable us to personalize and manage our member relationships, care quality, and to coordinate and manage risk with our provider partners. AVA’s unified platform, analytical tools and data across the healthcare ecosystem enable us to produce consistent outcomes, unit economics and support new member growth. Additionally, our historical financial performance has been, and we expect our financial performance in the future will be, driven by our ability to:</w:t>
      </w:r>
    </w:p>
    <w:p>
      <w:pPr>
        <w:spacing w:after="0" w:line="169" w:lineRule="exact"/>
        <w:rPr>
          <w:sz w:val="20"/>
          <w:szCs w:val="20"/>
          <w:color w:val="auto"/>
        </w:rPr>
      </w:pPr>
    </w:p>
    <w:p>
      <w:pPr>
        <w:ind w:left="1440" w:right="20" w:hanging="460"/>
        <w:spacing w:after="0" w:line="256" w:lineRule="auto"/>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Existing Market Growth Opportunity: </w:t>
      </w:r>
      <w:r>
        <w:rPr>
          <w:rFonts w:ascii="Times New Roman" w:cs="Times New Roman" w:eastAsia="Times New Roman" w:hAnsi="Times New Roman"/>
          <w:sz w:val="18"/>
          <w:szCs w:val="18"/>
          <w:color w:val="auto"/>
        </w:rPr>
        <w:t>Our ability to attract and retain members to grow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depends on our ability to offer a superior value proposition. We routinely take market share from large established players in highly competitive markets, a key source of our health plan membership growth in excess of the industry average. We believe that there are still significant opportunities for future growth even in some of our most mature markets where we have approximately 10-30% market share. As of January 1, 2026, we have approximately 275,300 Health Plan Members, which, according to CMS data, represent only 6% market share of Medicare Advantage enrollees in our markets.</w:t>
      </w:r>
    </w:p>
    <w:p>
      <w:pPr>
        <w:spacing w:after="0" w:line="166" w:lineRule="exact"/>
        <w:rPr>
          <w:rFonts w:ascii="Times New Roman" w:cs="Times New Roman" w:eastAsia="Times New Roman" w:hAnsi="Times New Roman"/>
          <w:sz w:val="18"/>
          <w:szCs w:val="18"/>
          <w:color w:val="auto"/>
        </w:rPr>
      </w:pPr>
    </w:p>
    <w:p>
      <w:pPr>
        <w:ind w:left="1440" w:hanging="460"/>
        <w:spacing w:after="0" w:line="257" w:lineRule="auto"/>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Growth and Consistent Outcomes Through New Market Expansion: </w:t>
      </w:r>
      <w:r>
        <w:rPr>
          <w:rFonts w:ascii="Times New Roman" w:cs="Times New Roman" w:eastAsia="Times New Roman" w:hAnsi="Times New Roman"/>
          <w:sz w:val="18"/>
          <w:szCs w:val="18"/>
          <w:color w:val="auto"/>
        </w:rPr>
        <w:t>As part of our long-term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we may enter new markets with the goal of building brand awareness across our key stakeholders to achieve meaningful market share over time. We intend to focus on markets with significant senior populations where we expect to be able to replicate our model most effectively. Our existing markets also feature a diverse array of membership profiles across ethnicities, income levels and acuity. Since 2020, we have expanded into 29 markets and four states.</w:t>
      </w:r>
    </w:p>
    <w:p>
      <w:pPr>
        <w:spacing w:after="0" w:line="166" w:lineRule="exact"/>
        <w:rPr>
          <w:rFonts w:ascii="Times New Roman" w:cs="Times New Roman" w:eastAsia="Times New Roman" w:hAnsi="Times New Roman"/>
          <w:sz w:val="18"/>
          <w:szCs w:val="18"/>
          <w:color w:val="auto"/>
        </w:rPr>
      </w:pPr>
    </w:p>
    <w:p>
      <w:pPr>
        <w:ind w:left="1440" w:right="40" w:hanging="460"/>
        <w:spacing w:after="0" w:line="254" w:lineRule="auto"/>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 Superior Service, Care and Consumer Satisfaction: </w:t>
      </w:r>
      <w:r>
        <w:rPr>
          <w:rFonts w:ascii="Times New Roman" w:cs="Times New Roman" w:eastAsia="Times New Roman" w:hAnsi="Times New Roman"/>
          <w:sz w:val="18"/>
          <w:szCs w:val="18"/>
          <w:color w:val="auto"/>
        </w:rPr>
        <w:t>We are highly focused on providing superior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care to our members and on maintaining high levels of consumer satisfaction, which are key to our financial performance and growth. The CMS Five Star Quality Rating System provides economic incentives to Medicare Advantage plans that achieve higher Star ratings by (i) meeting certain care criteria (such as completing particular preventative screening procedures or ensuring proper follow-up care is provided for specific conditions or episodes) and (ii) receiving high member satisfaction ratings. These incentives impact financial performance in the year following the CMS Rating Year (for example, CMS’s announcement of the 2026 Ratings occurred in the second half of 2025 and will impact our financial performance in 2027). One hundred percent of our health plan members are enrolled in plans rated 4 stars and above, meaning our members consistently receive a high-quality care experience, as defined under CMS star measurement criteria. The California HMO plan has achieved a 4 star or greater rating for nine consecutive years.</w:t>
      </w:r>
    </w:p>
    <w:p>
      <w:pPr>
        <w:sectPr>
          <w:pgSz w:w="12240" w:h="15840" w:orient="portrait"/>
          <w:cols w:equalWidth="0" w:num="1">
            <w:col w:w="9900"/>
          </w:cols>
          <w:pgMar w:left="1180" w:top="304" w:right="116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2240" w:h="15840" w:orient="portrait"/>
          <w:cols w:equalWidth="0" w:num="1">
            <w:col w:w="9900"/>
          </w:cols>
          <w:pgMar w:left="1180" w:top="304" w:right="116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ind w:left="1440" w:right="40" w:hanging="460"/>
        <w:spacing w:after="0" w:line="253" w:lineRule="auto"/>
        <w:tabs>
          <w:tab w:leader="none" w:pos="1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Effectively Manage the Quality of Care to Improve Member Outcomes: </w:t>
      </w:r>
      <w:r>
        <w:rPr>
          <w:rFonts w:ascii="Times New Roman" w:cs="Times New Roman" w:eastAsia="Times New Roman" w:hAnsi="Times New Roman"/>
          <w:sz w:val="18"/>
          <w:szCs w:val="18"/>
          <w:color w:val="auto"/>
        </w:rPr>
        <w:t>Our care delivery model is based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continuum through which we have created a highly personalized experience that is unique to each member depending on their personal health and circumstances. Utilizing data and predictive analytics generated by AVA, our clinical continuum separates seniors into four categories in order to provide optimized care for every stage of a senior’s life: healthy, healthy utilizer, pre-chronic and chronic. We partner with our broader network of community providers to service members in our non-chronic categories, and we have developed a Care Anywhere program implemented by our internal clinical teams to care for our higher risk and/or chronically ill members. By investing in our members’ care proactively, our model has consistently reduced unnecessary and costly care while improving the quality of our members’ lifestyle and healthcare experience. By delivering superior care and preventing avoidable utilization of the healthcare system, we are able to reduce our claims expenditures in some of our largest medical expense categories, which translates to superior medical benefits ratio (“MBR”) financial performance and ultimately the ability to offer richer products in the market.</w:t>
      </w:r>
    </w:p>
    <w:p>
      <w:pPr>
        <w:spacing w:after="0" w:line="173" w:lineRule="exact"/>
        <w:rPr>
          <w:rFonts w:ascii="Times New Roman" w:cs="Times New Roman" w:eastAsia="Times New Roman" w:hAnsi="Times New Roman"/>
          <w:sz w:val="18"/>
          <w:szCs w:val="18"/>
          <w:color w:val="auto"/>
        </w:rPr>
      </w:pPr>
    </w:p>
    <w:p>
      <w:pPr>
        <w:ind w:left="1440" w:hanging="460"/>
        <w:spacing w:after="0" w:line="253" w:lineRule="auto"/>
        <w:tabs>
          <w:tab w:leader="none" w:pos="1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Achieve Superior Unit Economics: </w:t>
      </w:r>
      <w:r>
        <w:rPr>
          <w:rFonts w:ascii="Times New Roman" w:cs="Times New Roman" w:eastAsia="Times New Roman" w:hAnsi="Times New Roman"/>
          <w:sz w:val="18"/>
          <w:szCs w:val="18"/>
          <w:color w:val="auto"/>
        </w:rPr>
        <w:t>As our senior population ages, their healthcare needs become more frequent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complex. To combat the healthcare cost increases that typically result, we proactively look to (i) connect with our population early in their enrollment with Alignment to assess their care needs, (ii) develop care plans and engage those members with more chronic, complex health challenges in our clinical model, and (iii) continue to monitor and evaluate our healthier members in a preventative fashion over time. Given the Medicare Advantage payment mechanism and the retention of the vast majority of our members who continue to choose Alignment after their initial selection year, we are able to focus our efforts on driving favorable long-term health outcomes for our entire population. As a result, our clinical model efforts have demonstrated the ability to lower the MBRs of our returning members. We believe this is evidence of our ability to manage the financial risk of our members as they age, and that these favorable underlying unit economic trends translate directly to our ability to continue to deliver a richer product to the marketplace. With this dynamic in mind, our consolidated MBR may be impacted year-to-year based on our pace of new member growth and mix of members by cohort. However, we believe our ability to sustain MBR performance improvement over time positions us well to invest in new member growth to drive long-term financial performance.</w:t>
      </w:r>
    </w:p>
    <w:p>
      <w:pPr>
        <w:spacing w:after="0" w:line="169" w:lineRule="exact"/>
        <w:rPr>
          <w:rFonts w:ascii="Times New Roman" w:cs="Times New Roman" w:eastAsia="Times New Roman" w:hAnsi="Times New Roman"/>
          <w:sz w:val="18"/>
          <w:szCs w:val="18"/>
          <w:color w:val="auto"/>
        </w:rPr>
      </w:pPr>
    </w:p>
    <w:p>
      <w:pPr>
        <w:ind w:left="1440" w:right="140" w:hanging="460"/>
        <w:spacing w:after="0" w:line="256" w:lineRule="auto"/>
        <w:tabs>
          <w:tab w:leader="none" w:pos="1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our Platform and Growth: </w:t>
      </w:r>
      <w:r>
        <w:rPr>
          <w:rFonts w:ascii="Times New Roman" w:cs="Times New Roman" w:eastAsia="Times New Roman" w:hAnsi="Times New Roman"/>
          <w:sz w:val="18"/>
          <w:szCs w:val="18"/>
          <w:color w:val="auto"/>
        </w:rPr>
        <w:t>We plan to continue to invest in our business in order to further develop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AVA platform, pursue new expansion opportunities and create innovative product offerings. In addition, in order to maintain a differentiated value proposition for our members, we continue to invest in innovative product offerings and supplemental benefits to meet the evolving needs of the senior consumer. We anticipate further investments in our business as we expand into new markets and pursue strategic acquisitions, which we expect will primarily be focused on healthcare delivery groups in key geographies, standalone and provider-sponsored Medicare Advantage plans and other complementary risk bearing assets.</w:t>
      </w:r>
    </w:p>
    <w:p>
      <w:pPr>
        <w:spacing w:after="0" w:line="166" w:lineRule="exact"/>
        <w:rPr>
          <w:rFonts w:ascii="Times New Roman" w:cs="Times New Roman" w:eastAsia="Times New Roman" w:hAnsi="Times New Roman"/>
          <w:sz w:val="18"/>
          <w:szCs w:val="18"/>
          <w:color w:val="auto"/>
        </w:rPr>
      </w:pPr>
    </w:p>
    <w:p>
      <w:pPr>
        <w:ind w:left="1440" w:right="20" w:hanging="460"/>
        <w:spacing w:after="0" w:line="252" w:lineRule="auto"/>
        <w:tabs>
          <w:tab w:leader="none" w:pos="1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Navigate Seasonality to our Business: </w:t>
      </w:r>
      <w:r>
        <w:rPr>
          <w:rFonts w:ascii="Times New Roman" w:cs="Times New Roman" w:eastAsia="Times New Roman" w:hAnsi="Times New Roman"/>
          <w:sz w:val="18"/>
          <w:szCs w:val="18"/>
          <w:color w:val="auto"/>
        </w:rPr>
        <w:t>Our operational and financial results will experience some variability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depending upon the time of year in which they are measured. We experience the largest portion of member growth during the first quarter, when plan enrollment selections made during the annual enrollment period ("AEP") from October 15th through December 7th of the prior year take effect. As a result, we expect to see a significant percentage of our member growth occur on January 1 of a given calendar year. As the year progresses, our per-member revenue often declines as new members join us, typically with less complete or accurate documentation (and therefore lower risk-adjustment scores), and senior mortality disproportionately impacts our higher-acuity (and therefore greater revenue) members. Medical costs will vary seasonally depending on a number of factors, but most significantly the seasons. Certain illnesses, such as the influenza virus, are far more prevalent during colder months of the year, which will result in an increase in medical expenses during these time periods. We therefore expect to see higher levels of per-member medical costs in the first and fourth quarters. The design of our prescription drug coverage (Medicare Part D) results in coverage that varies as a member’s cumulative out-of-pocket costs pass through successive stages of a member’s plan period, which begins annually on January 1 for renewals. Starting in 2025, the benefit redesign under the Inflation Reduction Act resulted in more moderate seasonality than we have experienced in past years. Members still pass through the benefit phases, but our share of the total liability is more consistent through each phase than it has been in the past. In addition, we expect our corporate, general and administrative expenses to increase in absolute dollars for the foreseeable future to support our growth. Due to the timing of many of these investments, including our primary sales and marketing season, we typically incur a greater level of investment in the second half of the year relative to the first half of the year.</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9900"/>
          </w:cols>
          <w:pgMar w:left="1180" w:top="304" w:right="1160" w:bottom="0" w:gutter="0" w:footer="0" w:header="0"/>
          <w:type w:val="continuous"/>
        </w:sectPr>
      </w:pPr>
    </w:p>
    <w:bookmarkStart w:id="57" w:name="page58"/>
    <w:bookmarkEnd w:id="57"/>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16"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18"/>
          <w:szCs w:val="18"/>
          <w:color w:val="auto"/>
        </w:rPr>
        <w:t>In addition to our financial information in accordance with accounting principles generally accepted in the United States of America (“U.S. GAAP”), we review a number of operating and financial metrics, including the following key metrics, to evaluate our business, measure our performance, identify trends affecting our business, formulate business plans and make strategic decisions.</w:t>
      </w:r>
    </w:p>
    <w:p>
      <w:pPr>
        <w:spacing w:after="0" w:line="243"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61"/>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'000's, except percentages)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Health plan membership (at period end)</w:t>
            </w:r>
          </w:p>
        </w:tc>
        <w:tc>
          <w:tcPr>
            <w:tcW w:w="240" w:type="dxa"/>
            <w:vAlign w:val="bottom"/>
          </w:tcPr>
          <w:p>
            <w:pPr>
              <w:spacing w:after="0"/>
              <w:rPr>
                <w:sz w:val="22"/>
                <w:szCs w:val="22"/>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236,300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Medical benefits ratio</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3,948,719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2,703,561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14,752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(101,555)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114.5 %</w:t>
            </w:r>
          </w:p>
        </w:tc>
      </w:tr>
      <w:tr>
        <w:trPr>
          <w:trHeight w:val="28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(978)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(128,071)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99.2 %</w:t>
            </w:r>
          </w:p>
        </w:tc>
      </w:tr>
      <w:tr>
        <w:trPr>
          <w:trHeight w:val="31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109,944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8111.1 %</w:t>
            </w:r>
          </w:p>
        </w:tc>
      </w:tr>
      <w:tr>
        <w:trPr>
          <w:trHeight w:val="315"/>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494,775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302,607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-1310005</wp:posOffset>
            </wp:positionV>
            <wp:extent cx="6350000" cy="129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6350000" cy="1292225"/>
                    </a:xfrm>
                    <a:prstGeom prst="rect">
                      <a:avLst/>
                    </a:prstGeom>
                    <a:noFill/>
                  </pic:spPr>
                </pic:pic>
              </a:graphicData>
            </a:graphic>
          </wp:anchor>
        </w:drawing>
      </w:r>
    </w:p>
    <w:p>
      <w:pPr>
        <w:spacing w:after="0" w:line="107" w:lineRule="exact"/>
        <w:rPr>
          <w:sz w:val="20"/>
          <w:szCs w:val="20"/>
          <w:color w:val="auto"/>
        </w:rPr>
      </w:pPr>
    </w:p>
    <w:p>
      <w:pPr>
        <w:ind w:left="190" w:right="220" w:hanging="190"/>
        <w:spacing w:after="0" w:line="282" w:lineRule="auto"/>
        <w:tabs>
          <w:tab w:leader="none" w:pos="19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and "Adjusted Gross Profit" below for reconciliation to the most directly comparable financial measure calculated in accordance with GAAP and related disclosures.</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Health Plan Membership</w:t>
      </w:r>
    </w:p>
    <w:p>
      <w:pPr>
        <w:spacing w:after="0" w:line="216"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18"/>
          <w:szCs w:val="18"/>
          <w:color w:val="auto"/>
        </w:rPr>
        <w:t>We define Health Plan Membership as the number of members enrolled in our HMO and PPO contracts as of the end of a reporting period. We believe this is an important metric to assess growth of our underlying business, which is indicative of our ability to consistently offer a superior value proposition to seniors. This metric excludes third-party payor members which we are at-risk for managing their healthcare expenditures, which represented approximately 300 and 400 members as of December 31, 2025 and December 31, 2024, respectively. It also excludes approximately 6,400 and 8,300 ACO REACH members as of December 31, 2025 and December 31, 2024, respectively. We discontinued our participation in the ACO REACH model as of December 31, 2025.</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Medical Benefits Ratio</w:t>
      </w:r>
    </w:p>
    <w:p>
      <w:pPr>
        <w:spacing w:after="0" w:line="216" w:lineRule="exact"/>
        <w:rPr>
          <w:sz w:val="20"/>
          <w:szCs w:val="20"/>
          <w:color w:val="auto"/>
        </w:rPr>
      </w:pPr>
    </w:p>
    <w:p>
      <w:pPr>
        <w:ind w:left="10" w:right="160"/>
        <w:spacing w:after="0" w:line="261" w:lineRule="auto"/>
        <w:rPr>
          <w:sz w:val="20"/>
          <w:szCs w:val="20"/>
          <w:color w:val="auto"/>
        </w:rPr>
      </w:pPr>
      <w:r>
        <w:rPr>
          <w:rFonts w:ascii="Times New Roman" w:cs="Times New Roman" w:eastAsia="Times New Roman" w:hAnsi="Times New Roman"/>
          <w:sz w:val="18"/>
          <w:szCs w:val="18"/>
          <w:color w:val="auto"/>
        </w:rPr>
        <w:t>Adjusted gross profit is a non-GAAP financial measure that we define as income (loss) from operations before depreciation and amortization, medical equity-based compensation expense, clinical restructuring costs and selling, general, and administrative expenses. Adjusted gross profit is a key measure used by our management and Board to understand and evaluate our operating performance and trends before the impact of our consolidated selling, general and administrative expenses.</w:t>
      </w:r>
    </w:p>
    <w:p>
      <w:pPr>
        <w:spacing w:after="0" w:line="164" w:lineRule="exact"/>
        <w:rPr>
          <w:sz w:val="20"/>
          <w:szCs w:val="20"/>
          <w:color w:val="auto"/>
        </w:rPr>
      </w:pPr>
    </w:p>
    <w:p>
      <w:pPr>
        <w:ind w:left="10" w:right="320"/>
        <w:spacing w:after="0" w:line="266" w:lineRule="auto"/>
        <w:rPr>
          <w:sz w:val="20"/>
          <w:szCs w:val="20"/>
          <w:color w:val="auto"/>
        </w:rPr>
      </w:pPr>
      <w:r>
        <w:rPr>
          <w:rFonts w:ascii="Times New Roman" w:cs="Times New Roman" w:eastAsia="Times New Roman" w:hAnsi="Times New Roman"/>
          <w:sz w:val="18"/>
          <w:szCs w:val="18"/>
          <w:color w:val="auto"/>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spacing w:after="0" w:line="160" w:lineRule="exact"/>
        <w:rPr>
          <w:sz w:val="20"/>
          <w:szCs w:val="20"/>
          <w:color w:val="auto"/>
        </w:rPr>
      </w:pPr>
    </w:p>
    <w:p>
      <w:pPr>
        <w:ind w:left="10" w:right="100"/>
        <w:spacing w:after="0" w:line="282" w:lineRule="auto"/>
        <w:rPr>
          <w:sz w:val="20"/>
          <w:szCs w:val="20"/>
          <w:color w:val="auto"/>
        </w:rPr>
      </w:pPr>
      <w:r>
        <w:rPr>
          <w:rFonts w:ascii="Times New Roman" w:cs="Times New Roman" w:eastAsia="Times New Roman" w:hAnsi="Times New Roman"/>
          <w:sz w:val="18"/>
          <w:szCs w:val="18"/>
          <w:color w:val="auto"/>
        </w:rPr>
        <w:t>Our use of the term adjusted gross profit may vary from the use of similar terms by other companies in our industry and accordingly may not be comparable to similarly titled measures used by other companies.</w:t>
      </w:r>
    </w:p>
    <w:p>
      <w:pPr>
        <w:sectPr>
          <w:pgSz w:w="12240" w:h="15840" w:orient="portrait"/>
          <w:cols w:equalWidth="0" w:num="1">
            <w:col w:w="9970"/>
          </w:cols>
          <w:pgMar w:left="1170" w:top="304" w:right="1100" w:bottom="0" w:gutter="0" w:footer="0" w:header="0"/>
        </w:sectPr>
      </w:pP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Adjusted gross profit is reconciled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479425</wp:posOffset>
            </wp:positionV>
            <wp:extent cx="6324600" cy="186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32460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p>
      <w:pPr>
        <w:spacing w:after="0" w:line="8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7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Add back:</w:t>
      </w:r>
    </w:p>
    <w:p>
      <w:pPr>
        <w:spacing w:after="0" w:line="7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7"/>
          <w:szCs w:val="17"/>
          <w:color w:val="auto"/>
        </w:rPr>
        <w:t>Equity-based compensation (medical expenses)</w:t>
      </w:r>
    </w:p>
    <w:p>
      <w:pPr>
        <w:spacing w:after="0" w:line="9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Depreciation (medical expenses)</w:t>
      </w:r>
    </w:p>
    <w:p>
      <w:pPr>
        <w:spacing w:after="0" w:line="7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Restructuring costs (medical expenses) </w:t>
      </w:r>
      <w:r>
        <w:rPr>
          <w:rFonts w:ascii="Times New Roman" w:cs="Times New Roman" w:eastAsia="Times New Roman" w:hAnsi="Times New Roman"/>
          <w:sz w:val="23"/>
          <w:szCs w:val="23"/>
          <w:color w:val="auto"/>
          <w:vertAlign w:val="superscript"/>
        </w:rPr>
        <w:t>(1)</w:t>
      </w:r>
    </w:p>
    <w:p>
      <w:pPr>
        <w:spacing w:after="0" w:line="4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(2)</w:t>
      </w:r>
    </w:p>
    <w:p>
      <w:pPr>
        <w:spacing w:after="0" w:line="2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5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Total add back</w:t>
      </w:r>
    </w:p>
    <w:p>
      <w:pPr>
        <w:spacing w:after="0" w:line="7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Adjusted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26670</wp:posOffset>
                </wp:positionV>
                <wp:extent cx="16954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pt" to="133.5pt,2.1pt" o:allowincell="f" strokecolor="#000000" strokeweight="1pt"/>
            </w:pict>
          </mc:Fallback>
        </mc:AlternateContent>
      </w:r>
    </w:p>
    <w:p>
      <w:pPr>
        <w:spacing w:after="0" w:line="51" w:lineRule="exact"/>
        <w:rPr>
          <w:sz w:val="20"/>
          <w:szCs w:val="20"/>
          <w:color w:val="auto"/>
        </w:rPr>
      </w:pPr>
    </w:p>
    <w:p>
      <w:pPr>
        <w:ind w:left="500"/>
        <w:spacing w:after="0"/>
        <w:tabs>
          <w:tab w:leader="none" w:pos="18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(101,555)</w:t>
            </w:r>
          </w:p>
        </w:tc>
      </w:tr>
      <w:tr>
        <w:trPr>
          <w:trHeight w:val="570"/>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85"/>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85"/>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85"/>
        </w:trPr>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26,872</w:t>
            </w:r>
          </w:p>
        </w:tc>
      </w:tr>
      <w:tr>
        <w:trPr>
          <w:trHeight w:val="290"/>
        </w:trPr>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443,407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371,374</w:t>
            </w:r>
          </w:p>
        </w:tc>
      </w:tr>
      <w:tr>
        <w:trPr>
          <w:trHeight w:val="265"/>
        </w:trPr>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480,023</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404,162</w:t>
            </w:r>
          </w:p>
        </w:tc>
      </w:tr>
      <w:tr>
        <w:trPr>
          <w:trHeight w:val="245"/>
        </w:trPr>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494,775</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302,607</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2240" w:h="15840" w:orient="portrait"/>
          <w:cols w:equalWidth="0" w:num="2">
            <w:col w:w="6510" w:space="720"/>
            <w:col w:w="2740"/>
          </w:cols>
          <w:pgMar w:left="1170" w:top="304" w:right="110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13"/>
          <w:szCs w:val="13"/>
          <w:color w:val="auto"/>
        </w:rPr>
        <w:t>(1) Represents severance and related costs incurred as part of a corporate restructuring designed to streamline our organizational structure and drive operational efficiencies</w:t>
      </w:r>
    </w:p>
    <w:p>
      <w:pPr>
        <w:sectPr>
          <w:pgSz w:w="12240" w:h="15840" w:orient="portrait"/>
          <w:cols w:equalWidth="0" w:num="1">
            <w:col w:w="9970"/>
          </w:cols>
          <w:pgMar w:left="1170" w:top="304"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color w:val="auto"/>
        </w:rPr>
        <w:t>54</w:t>
      </w:r>
    </w:p>
    <w:p>
      <w:pPr>
        <w:sectPr>
          <w:pgSz w:w="12240" w:h="15840" w:orient="portrait"/>
          <w:cols w:equalWidth="0" w:num="1">
            <w:col w:w="9970"/>
          </w:cols>
          <w:pgMar w:left="1170" w:top="304" w:right="1100" w:bottom="0" w:gutter="0" w:footer="0" w:header="0"/>
          <w:type w:val="continuous"/>
        </w:sectPr>
      </w:pPr>
    </w:p>
    <w:bookmarkStart w:id="58" w:name="page59"/>
    <w:bookmarkEnd w:id="58"/>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jc w:val="both"/>
        <w:ind w:left="190" w:right="140" w:hanging="190"/>
        <w:spacing w:after="0" w:line="266" w:lineRule="auto"/>
        <w:tabs>
          <w:tab w:leader="none" w:pos="19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the year ended December 31, 2025 includes $0.6 million in impairment expense related to the remeasurement of goodwill associated with one of our subsidiaries. Amortization expense for the year ended December 31, 2024 includes $0.6 million in impairment expense related to intangible assets that were written off during the year.</w:t>
      </w:r>
    </w:p>
    <w:p>
      <w:pPr>
        <w:spacing w:after="0" w:line="157" w:lineRule="exact"/>
        <w:rPr>
          <w:sz w:val="20"/>
          <w:szCs w:val="20"/>
          <w:color w:val="auto"/>
        </w:rPr>
      </w:pPr>
    </w:p>
    <w:p>
      <w:pPr>
        <w:ind w:left="10" w:right="80"/>
        <w:spacing w:after="0" w:line="274" w:lineRule="auto"/>
        <w:rPr>
          <w:sz w:val="20"/>
          <w:szCs w:val="20"/>
          <w:color w:val="auto"/>
        </w:rPr>
      </w:pPr>
      <w:r>
        <w:rPr>
          <w:rFonts w:ascii="Times New Roman" w:cs="Times New Roman" w:eastAsia="Times New Roman" w:hAnsi="Times New Roman"/>
          <w:sz w:val="17"/>
          <w:szCs w:val="17"/>
          <w:color w:val="auto"/>
        </w:rPr>
        <w:t>We calculate our MBR by dividing total medical expenses, excluding depreciation, medical equity-based compensation and clinical restructuring costs, by total revenues in a given period. We believe our MBR is an indicator of our gross profit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57" w:lineRule="exact"/>
        <w:rPr>
          <w:sz w:val="20"/>
          <w:szCs w:val="20"/>
          <w:color w:val="auto"/>
        </w:rPr>
      </w:pPr>
    </w:p>
    <w:p>
      <w:pPr>
        <w:jc w:val="both"/>
        <w:ind w:left="10" w:right="340"/>
        <w:spacing w:after="0" w:line="266" w:lineRule="auto"/>
        <w:rPr>
          <w:sz w:val="20"/>
          <w:szCs w:val="20"/>
          <w:color w:val="auto"/>
        </w:rPr>
      </w:pPr>
      <w:r>
        <w:rPr>
          <w:rFonts w:ascii="Times New Roman" w:cs="Times New Roman" w:eastAsia="Times New Roman" w:hAnsi="Times New Roman"/>
          <w:sz w:val="18"/>
          <w:szCs w:val="18"/>
          <w:color w:val="auto"/>
        </w:rPr>
        <w:t>When we determine, on an annual basis, whether we have satisfied the CMS minimum Medical Loss Ratio of 85%,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16"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income (loss) before interest expense, income taxes, depreciation and amortization expense, acquisition expenses, certain litigation costs, gains or losses on right of use ("ROU") assets, gains or losses on sale of property and equipment, restructuring costs, equity-based compensation expense, and loss on extinguishment of debt. Adjusted EBITDA is a key measure used by our management and our Board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as we do not consider the excluded items to be part of our ongoing results of operations. Given our intent to continue to invest in our platform and the scalability of our business in the short to medium-term, we believe Adjusted EBITDA over the long term will be an important indicator of value creation.</w:t>
      </w:r>
    </w:p>
    <w:p>
      <w:pPr>
        <w:spacing w:after="0" w:line="172"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18"/>
          <w:szCs w:val="18"/>
          <w:color w:val="auto"/>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spacing w:after="0" w:line="160" w:lineRule="exact"/>
        <w:rPr>
          <w:sz w:val="20"/>
          <w:szCs w:val="20"/>
          <w:color w:val="auto"/>
        </w:rPr>
      </w:pPr>
    </w:p>
    <w:p>
      <w:pPr>
        <w:ind w:left="10" w:right="140"/>
        <w:spacing w:after="0" w:line="282" w:lineRule="auto"/>
        <w:rPr>
          <w:sz w:val="20"/>
          <w:szCs w:val="20"/>
          <w:color w:val="auto"/>
        </w:rPr>
      </w:pPr>
      <w:r>
        <w:rPr>
          <w:rFonts w:ascii="Times New Roman" w:cs="Times New Roman" w:eastAsia="Times New Roman" w:hAnsi="Times New Roman"/>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Adjusted EBITDA is reconciled as follows:</w:t>
      </w:r>
    </w:p>
    <w:p>
      <w:pPr>
        <w:spacing w:after="0" w:line="293"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1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-716280</wp:posOffset>
            </wp:positionV>
            <wp:extent cx="6324600" cy="2765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324600" cy="2765425"/>
                    </a:xfrm>
                    <a:prstGeom prst="rect">
                      <a:avLst/>
                    </a:prstGeom>
                    <a:noFill/>
                  </pic:spPr>
                </pic:pic>
              </a:graphicData>
            </a:graphic>
          </wp:anchor>
        </w:drawing>
      </w:r>
    </w:p>
    <w:p>
      <w:pPr>
        <w:sectPr>
          <w:pgSz w:w="12240" w:h="15840" w:orient="portrait"/>
          <w:cols w:equalWidth="0" w:num="1">
            <w:col w:w="9910"/>
          </w:cols>
          <w:pgMar w:left="1170" w:top="304" w:right="1160" w:bottom="0" w:gutter="0" w:footer="0" w:header="0"/>
        </w:sectPr>
      </w:pPr>
    </w:p>
    <w:p>
      <w:pPr>
        <w:spacing w:after="0" w:line="5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(1)</w:t>
      </w:r>
    </w:p>
    <w:p>
      <w:pPr>
        <w:spacing w:after="0" w:line="4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3"/>
          <w:szCs w:val="23"/>
          <w:color w:val="auto"/>
          <w:vertAlign w:val="superscript"/>
        </w:rPr>
        <w:t>(2)</w:t>
      </w:r>
    </w:p>
    <w:p>
      <w:pPr>
        <w:spacing w:after="0" w:line="4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w:t>
      </w:r>
    </w:p>
    <w:p>
      <w:pPr>
        <w:spacing w:after="0" w:line="2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Litigation costs </w:t>
      </w:r>
      <w:r>
        <w:rPr>
          <w:rFonts w:ascii="Times New Roman" w:cs="Times New Roman" w:eastAsia="Times New Roman" w:hAnsi="Times New Roman"/>
          <w:sz w:val="23"/>
          <w:szCs w:val="23"/>
          <w:color w:val="auto"/>
          <w:vertAlign w:val="superscript"/>
        </w:rPr>
        <w:t>(4)</w:t>
      </w:r>
    </w:p>
    <w:p>
      <w:pPr>
        <w:spacing w:after="0" w:line="2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(Gain) loss on ROU assets </w:t>
      </w:r>
      <w:r>
        <w:rPr>
          <w:rFonts w:ascii="Times New Roman" w:cs="Times New Roman" w:eastAsia="Times New Roman" w:hAnsi="Times New Roman"/>
          <w:sz w:val="23"/>
          <w:szCs w:val="23"/>
          <w:color w:val="auto"/>
          <w:vertAlign w:val="superscript"/>
        </w:rPr>
        <w:t>(5)</w:t>
      </w:r>
    </w:p>
    <w:p>
      <w:pPr>
        <w:spacing w:after="0" w:line="2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Gain on sale of property and equipment</w:t>
      </w:r>
    </w:p>
    <w:p>
      <w:pPr>
        <w:spacing w:after="0" w:line="58"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(6)</w:t>
      </w:r>
    </w:p>
    <w:p>
      <w:pPr>
        <w:spacing w:after="0" w:line="4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5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680" w:type="dxa"/>
        <w:tblCellMar>
          <w:top w:w="0" w:type="dxa"/>
          <w:left w:w="0" w:type="dxa"/>
          <w:bottom w:w="0" w:type="dxa"/>
          <w:right w:w="0" w:type="dxa"/>
        </w:tblCellMar>
      </w:tblPr>
      <w:tr>
        <w:trPr>
          <w:trHeight w:val="234"/>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15,799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30,482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62,082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71,132</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85"/>
        </w:trPr>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51" w:lineRule="exact"/>
        <w:rPr>
          <w:sz w:val="20"/>
          <w:szCs w:val="20"/>
          <w:color w:val="auto"/>
        </w:rPr>
      </w:pPr>
    </w:p>
    <w:p>
      <w:pPr>
        <w:ind w:left="2380" w:hanging="1450"/>
        <w:spacing w:after="0"/>
        <w:tabs>
          <w:tab w:leader="none" w:pos="2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2,363</w:t>
      </w:r>
    </w:p>
    <w:p>
      <w:pPr>
        <w:spacing w:after="0" w:line="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3,020</w:t>
      </w:r>
    </w:p>
    <w:p>
      <w:pPr>
        <w:spacing w:after="0" w:line="78" w:lineRule="exact"/>
        <w:rPr>
          <w:sz w:val="20"/>
          <w:szCs w:val="20"/>
          <w:color w:val="auto"/>
        </w:rPr>
      </w:pPr>
    </w:p>
    <w:p>
      <w:pPr>
        <w:spacing w:after="0"/>
        <w:tabs>
          <w:tab w:leader="none" w:pos="560" w:val="left"/>
          <w:tab w:leader="none" w:pos="1340" w:val="left"/>
          <w:tab w:leader="none" w:pos="21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109,944</w:t>
        <w:tab/>
        <w:t>$</w:t>
      </w:r>
      <w:r>
        <w:rPr>
          <w:sz w:val="20"/>
          <w:szCs w:val="20"/>
          <w:color w:val="auto"/>
        </w:rPr>
        <w:tab/>
      </w:r>
      <w:r>
        <w:rPr>
          <w:rFonts w:ascii="Times New Roman" w:cs="Times New Roman" w:eastAsia="Times New Roman" w:hAnsi="Times New Roman"/>
          <w:sz w:val="17"/>
          <w:szCs w:val="17"/>
          <w:color w:val="auto"/>
        </w:rPr>
        <w:t>1,339</w:t>
      </w:r>
    </w:p>
    <w:p>
      <w:pPr>
        <w:spacing w:after="0" w:line="200" w:lineRule="exact"/>
        <w:rPr>
          <w:sz w:val="20"/>
          <w:szCs w:val="20"/>
          <w:color w:val="auto"/>
        </w:rPr>
      </w:pPr>
    </w:p>
    <w:p>
      <w:pPr>
        <w:sectPr>
          <w:pgSz w:w="12240" w:h="15840" w:orient="portrait"/>
          <w:cols w:equalWidth="0" w:num="2">
            <w:col w:w="6570" w:space="720"/>
            <w:col w:w="2620"/>
          </w:cols>
          <w:pgMar w:left="1170" w:top="304" w:right="1160" w:bottom="0" w:gutter="0" w:footer="0" w:header="0"/>
          <w:type w:val="continuous"/>
        </w:sectPr>
      </w:pPr>
    </w:p>
    <w:p>
      <w:pPr>
        <w:spacing w:after="0" w:line="18" w:lineRule="exact"/>
        <w:rPr>
          <w:sz w:val="20"/>
          <w:szCs w:val="20"/>
          <w:color w:val="auto"/>
        </w:rPr>
      </w:pPr>
    </w:p>
    <w:p>
      <w:pPr>
        <w:jc w:val="both"/>
        <w:ind w:left="190" w:right="140" w:hanging="190"/>
        <w:spacing w:after="0" w:line="266" w:lineRule="auto"/>
        <w:tabs>
          <w:tab w:leader="none" w:pos="19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for the year ended December 31, 2025 includes $0.6 million in impairment expense related to the remeasurement of goodwill associated with one of our subsidiaries. Amortization expense for the year ended December 31, 2024 includes $0.6 million in impairment expense related to intangible assets that were written off during the year.</w:t>
      </w:r>
    </w:p>
    <w:p>
      <w:pPr>
        <w:spacing w:after="0" w:line="88" w:lineRule="exact"/>
        <w:rPr>
          <w:rFonts w:ascii="Times New Roman" w:cs="Times New Roman" w:eastAsia="Times New Roman" w:hAnsi="Times New Roman"/>
          <w:sz w:val="14"/>
          <w:szCs w:val="14"/>
          <w:color w:val="auto"/>
        </w:rPr>
      </w:pPr>
    </w:p>
    <w:p>
      <w:pPr>
        <w:ind w:left="210" w:hanging="210"/>
        <w:spacing w:after="0"/>
        <w:tabs>
          <w:tab w:leader="none" w:pos="2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equity-based compensation related to grants made in the applicable year</w:t>
      </w:r>
    </w:p>
    <w:p>
      <w:pPr>
        <w:spacing w:after="0" w:line="127" w:lineRule="exact"/>
        <w:rPr>
          <w:rFonts w:ascii="Times New Roman" w:cs="Times New Roman" w:eastAsia="Times New Roman" w:hAnsi="Times New Roman"/>
          <w:sz w:val="14"/>
          <w:szCs w:val="14"/>
          <w:color w:val="auto"/>
        </w:rPr>
      </w:pPr>
    </w:p>
    <w:p>
      <w:pPr>
        <w:ind w:left="210" w:hanging="210"/>
        <w:spacing w:after="0"/>
        <w:tabs>
          <w:tab w:leader="none" w:pos="21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acquisition-related fees, such as legal and advisory fees, that are non-capitalizable</w:t>
      </w:r>
    </w:p>
    <w:p>
      <w:pPr>
        <w:sectPr>
          <w:pgSz w:w="12240" w:h="15840" w:orient="portrait"/>
          <w:cols w:equalWidth="0" w:num="1">
            <w:col w:w="9910"/>
          </w:cols>
          <w:pgMar w:left="1170" w:top="304"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9910"/>
          </w:cols>
          <w:pgMar w:left="1170" w:top="304" w:right="1160" w:bottom="0" w:gutter="0" w:footer="0" w:header="0"/>
          <w:type w:val="continuous"/>
        </w:sectPr>
      </w:pPr>
    </w:p>
    <w:bookmarkStart w:id="59" w:name="page60"/>
    <w:bookmarkEnd w:id="59"/>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5" w:lineRule="exact"/>
        <w:rPr>
          <w:sz w:val="20"/>
          <w:szCs w:val="20"/>
          <w:color w:val="auto"/>
        </w:rPr>
      </w:pPr>
    </w:p>
    <w:p>
      <w:pPr>
        <w:ind w:left="190" w:right="260" w:hanging="190"/>
        <w:spacing w:after="0" w:line="266" w:lineRule="auto"/>
        <w:tabs>
          <w:tab w:leader="none" w:pos="22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88" w:lineRule="exact"/>
        <w:rPr>
          <w:rFonts w:ascii="Times New Roman" w:cs="Times New Roman" w:eastAsia="Times New Roman" w:hAnsi="Times New Roman"/>
          <w:sz w:val="14"/>
          <w:szCs w:val="14"/>
          <w:color w:val="auto"/>
        </w:rPr>
      </w:pPr>
    </w:p>
    <w:p>
      <w:pPr>
        <w:ind w:left="210" w:hanging="210"/>
        <w:spacing w:after="0"/>
        <w:tabs>
          <w:tab w:leader="none" w:pos="21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gains or losses related to ROU assets that were terminated or subleased in the respective period</w:t>
      </w:r>
    </w:p>
    <w:p>
      <w:pPr>
        <w:spacing w:after="0" w:line="127" w:lineRule="exact"/>
        <w:rPr>
          <w:rFonts w:ascii="Times New Roman" w:cs="Times New Roman" w:eastAsia="Times New Roman" w:hAnsi="Times New Roman"/>
          <w:sz w:val="14"/>
          <w:szCs w:val="14"/>
          <w:color w:val="auto"/>
        </w:rPr>
      </w:pPr>
    </w:p>
    <w:p>
      <w:pPr>
        <w:ind w:left="210" w:hanging="210"/>
        <w:spacing w:after="0"/>
        <w:tabs>
          <w:tab w:leader="none" w:pos="21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and related costs incurred as part of a corporate restructuring designed to streamline our organizational structure and drive operational efficiencies</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We operate and manage our business as a single reporting and operating segment, which is to provide healthcare services to our seniors.</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components of our results of operations are as follows: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18"/>
          <w:szCs w:val="18"/>
          <w:color w:val="auto"/>
        </w:rPr>
        <w:t>Our revenue is comprised of earned premiums and other revenue. We receive and record premium revenue on a monthly basis from the federal government based on our contract with CMS. In accordance with this arrangement, we assume the responsibility for the outcomes and the economic risk of funding our members’ healthcare, supplemental benefits and related administration costs. We recognize premium revenue in the month that members are entitled to receive healthcare services, and premiums collected in advance are deferred. The monthly premium that we receive under our contract with CMS includes a PMPM which is adjusted based on certain risk factors derived from medical diagnoses for our members. The adjustments are estimated by projecting the ultimate annual premium and are recognized ratably during the year, with adjustments in each period to the amount of revenue recognized to reflect changes in the estimated ultimate premium. Premiums are also recorded net of estimated uncollectible amounts and retroactive membership adjustments.</w:t>
      </w:r>
    </w:p>
    <w:p>
      <w:pPr>
        <w:spacing w:after="0" w:line="172"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18"/>
          <w:szCs w:val="18"/>
          <w:color w:val="auto"/>
        </w:rPr>
        <w:t>Our recognized premium revenue for the Alignment Health Plan is subject to a minimum annual medical loss ratio (“MLR”) of 85%. The MLR represents medical costs as a percentage of premium revenue. The Code of Federal Regulations defines what specifically constitutes medical expenses and premium revenue for the MLR test, and if the minimum MLR is not met, we are required to remit a portion of the premiums back to the federal government. The amount remitted, if any, is recognized as an adjustment to premium revenues in the consolidated statement of operations. The amounts payable under this provision were immaterial at December 31, 2025 and December 31, 2024.</w:t>
      </w:r>
    </w:p>
    <w:p>
      <w:pPr>
        <w:spacing w:after="0" w:line="171" w:lineRule="exact"/>
        <w:rPr>
          <w:sz w:val="20"/>
          <w:szCs w:val="20"/>
          <w:color w:val="auto"/>
        </w:rPr>
      </w:pPr>
    </w:p>
    <w:p>
      <w:pPr>
        <w:ind w:left="10" w:right="100"/>
        <w:spacing w:after="0" w:line="255" w:lineRule="auto"/>
        <w:rPr>
          <w:sz w:val="20"/>
          <w:szCs w:val="20"/>
          <w:color w:val="auto"/>
        </w:rPr>
      </w:pPr>
      <w:r>
        <w:rPr>
          <w:rFonts w:ascii="Times New Roman" w:cs="Times New Roman" w:eastAsia="Times New Roman" w:hAnsi="Times New Roman"/>
          <w:sz w:val="18"/>
          <w:szCs w:val="18"/>
          <w:color w:val="auto"/>
        </w:rPr>
        <w:t>The premium and capitation payments we receive monthly from CMS for our members are based on the annual bid that we submit to CMS. These payments represent revenues for providing healthcare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 See “—</w:t>
      </w:r>
      <w:r>
        <w:rPr>
          <w:rFonts w:ascii="Times New Roman" w:cs="Times New Roman" w:eastAsia="Times New Roman" w:hAnsi="Times New Roman"/>
          <w:sz w:val="18"/>
          <w:szCs w:val="18"/>
          <w:b w:val="1"/>
          <w:bCs w:val="1"/>
          <w:i w:val="1"/>
          <w:iCs w:val="1"/>
          <w:color w:val="auto"/>
        </w:rPr>
        <w:t>Critical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b w:val="1"/>
          <w:bCs w:val="1"/>
          <w:i w:val="1"/>
          <w:iCs w:val="1"/>
          <w:color w:val="auto"/>
        </w:rPr>
        <w:t>.</w:t>
      </w:r>
    </w:p>
    <w:p>
      <w:pPr>
        <w:spacing w:after="0" w:line="173"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18"/>
          <w:szCs w:val="18"/>
          <w:color w:val="auto"/>
        </w:rPr>
        <w:t>We also participate in the CMS “ACO Realizing Equity, Access, and Community Health Model” or “ACO REACH” model, formerly the Direct Contracting Model ("DCE"). CMS serves as the claim adjudicator for institutional and specialists care, and directly pays for such fee for service claims. The ACO REACH entity ("ACO") is responsible for the cost of health care services related to the patient population attributed to the ACO by participating in 100% savings/losses via the risk share model and in some cases, are financially responsible for the supplemental benefits provided to the patients. In 2024, we entered into a management services and risk management agreement with a third-party healthcare company. The third-party is responsible for arranging and controlling the health care services provided to the ACO members, and for providing certain management and support services with respect to ACO operations. The third-party also assumes specified upside and downside financial risks relative to the ACO’s performance. As a result of this arrangement, revenue is recorded on a net basis within other revenue on the consolidated statement of operations for the years ended December 31, 2025 and 2024. On July 30, 2025, we notified CMS that we will discontinue our participation in the ACO REACH model as of December 31, 2025. We expect this to have an immaterial impact to our financial results.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14" w:lineRule="exact"/>
        <w:rPr>
          <w:sz w:val="20"/>
          <w:szCs w:val="20"/>
          <w:color w:val="auto"/>
        </w:rPr>
      </w:pPr>
    </w:p>
    <w:p>
      <w:pPr>
        <w:ind w:left="10" w:right="8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Medical Expenses. </w:t>
      </w:r>
      <w:r>
        <w:rPr>
          <w:rFonts w:ascii="Times New Roman" w:cs="Times New Roman" w:eastAsia="Times New Roman" w:hAnsi="Times New Roman"/>
          <w:sz w:val="18"/>
          <w:szCs w:val="18"/>
          <w:color w:val="auto"/>
        </w:rPr>
        <w:t>Medical expenses include claim payments, capitation payments, pharmacy costs net of rebates, allocations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centralized expenses, supplemental benefits, internal care delivery expenses and various other costs incurred to provide health insurance coverage to members, as well as estimates of future payments to hospitals and others for medical care previously provided to our members. Medical expenses also include clinical depreciation and restructuring costs, as discussed above.</w:t>
      </w:r>
    </w:p>
    <w:p>
      <w:pPr>
        <w:spacing w:after="0" w:line="166"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18"/>
          <w:szCs w:val="18"/>
          <w:color w:val="auto"/>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arrangements in which the provider is paid negotiated rates for specific services provided, or through capitation payments, which represent monthly contractual fees disbursed for each member regardless of medical services provided to the member. We are ultimately responsible for the entirety of the cost of healthcare services related to our member population, in addition to supplemental benefits that we provide to our seniors.</w:t>
      </w:r>
    </w:p>
    <w:p>
      <w:pPr>
        <w:spacing w:after="0" w:line="171" w:lineRule="exact"/>
        <w:rPr>
          <w:sz w:val="20"/>
          <w:szCs w:val="20"/>
          <w:color w:val="auto"/>
        </w:rPr>
      </w:pPr>
    </w:p>
    <w:p>
      <w:pPr>
        <w:ind w:left="10" w:right="20"/>
        <w:spacing w:after="0" w:line="282" w:lineRule="auto"/>
        <w:rPr>
          <w:sz w:val="20"/>
          <w:szCs w:val="20"/>
          <w:color w:val="auto"/>
        </w:rPr>
      </w:pPr>
      <w:r>
        <w:rPr>
          <w:rFonts w:ascii="Times New Roman" w:cs="Times New Roman" w:eastAsia="Times New Roman" w:hAnsi="Times New Roman"/>
          <w:sz w:val="18"/>
          <w:szCs w:val="18"/>
          <w:color w:val="auto"/>
        </w:rPr>
        <w:t>Capitation-related expenses are recorded on an accrual basis during the coverage period. Expenses related to fee-for-service contracts are recorded in the period in which the related services are dispensed.</w:t>
      </w:r>
    </w:p>
    <w:p>
      <w:pPr>
        <w:sectPr>
          <w:pgSz w:w="12240" w:h="15840" w:orient="portrait"/>
          <w:cols w:equalWidth="0" w:num="1">
            <w:col w:w="9890"/>
          </w:cols>
          <w:pgMar w:left="1170" w:top="304" w:right="1180" w:bottom="0" w:gutter="0" w:footer="0" w:header="0"/>
        </w:sectPr>
      </w:pPr>
    </w:p>
    <w:p>
      <w:pPr>
        <w:spacing w:after="0" w:line="10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56</w:t>
      </w:r>
    </w:p>
    <w:p>
      <w:pPr>
        <w:sectPr>
          <w:pgSz w:w="12240" w:h="15840" w:orient="portrait"/>
          <w:cols w:equalWidth="0" w:num="1">
            <w:col w:w="9890"/>
          </w:cols>
          <w:pgMar w:left="1170" w:top="304" w:right="11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Pharmacy costs represent payments for members’ prescription drug benefits, net of rebates from drug manufacturers. Receivables for such manufacturer rebates are included in accounts receivable in the consolidated balance sheet.</w:t>
      </w:r>
    </w:p>
    <w:p>
      <w:pPr>
        <w:spacing w:after="0" w:line="14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consist of (i) personnel expenses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bonuses, equity-based compensation expense and benefits for non-clinical employees; (ii) all corporate technology, occupancy costs and allocated overhead costs; (iii) professional and outside services, including external vendors and professional services; (iv) costs associated with administering our contracts with CMS, including claims adjudication, member and concierge services, provider engagement, and other health plan functions; and (v) central and community-based advertising costs to generate greater awareness, engagement and retention among our current and prospective members, as well as the infrastructure required to support all of our marketing efforts and ongoing commission payments. These expenses also include restructuring costs, as discussed above, and certain growth expenditures, including business development and various new market expansion activities. Our investments in our sales, marketing and other growth activities are an important component of our selling, general and administrative expenses in a typical year given our desire to continue to grow on an accelerated trajectory. We anticipate continuing to invest heavily in our growth efforts in the near future, which we believe will be an important driver of long-term value creation.</w:t>
      </w:r>
    </w:p>
    <w:p>
      <w:pPr>
        <w:spacing w:after="0" w:line="17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color w:val="auto"/>
        </w:rPr>
        <w:t>. Depreciation and amortization expenses are primarily attributable to our capital investment and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fixed asset depreciation, amortization of intangibles considered to have definite lives and amortization of capitalized internal-use software costs.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1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payments related to the convertible notes that were issued in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Expenses. </w:t>
      </w:r>
      <w:r>
        <w:rPr>
          <w:rFonts w:ascii="Times New Roman" w:cs="Times New Roman" w:eastAsia="Times New Roman" w:hAnsi="Times New Roman"/>
          <w:sz w:val="18"/>
          <w:szCs w:val="18"/>
          <w:color w:val="auto"/>
        </w:rPr>
        <w:t>Other (income) expenses consist primarily of gains or losses on the disposition of assets, as well as sublease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7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1"/>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premiums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2,671,931</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31,630</w:t>
            </w: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3,948,719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2,703,561</w:t>
            </w: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3,460,156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2,406,870</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371,374</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w:t>
            </w: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3,933,967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2,805,116</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(101,555)</w:t>
            </w: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-1983105</wp:posOffset>
            </wp:positionV>
            <wp:extent cx="6311900" cy="3644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311900" cy="3644900"/>
                    </a:xfrm>
                    <a:prstGeom prst="rect">
                      <a:avLst/>
                    </a:prstGeom>
                    <a:noFill/>
                  </pic:spPr>
                </pic:pic>
              </a:graphicData>
            </a:graphic>
          </wp:anchor>
        </w:drawing>
      </w:r>
    </w:p>
    <w:p>
      <w:pPr>
        <w:sectPr>
          <w:pgSz w:w="12240" w:h="15840" w:orient="portrait"/>
          <w:cols w:equalWidth="0" w:num="1">
            <w:col w:w="9900"/>
          </w:cols>
          <w:pgMar w:left="1180" w:top="304" w:right="1160" w:bottom="0" w:gutter="0" w:footer="0" w:header="0"/>
        </w:sectPr>
      </w:pP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other expenses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Provision for income tax expense</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loss</w:t>
      </w:r>
    </w:p>
    <w:p>
      <w:pPr>
        <w:spacing w:after="0" w:line="78" w:lineRule="exact"/>
        <w:rPr>
          <w:sz w:val="20"/>
          <w:szCs w:val="20"/>
          <w:color w:val="auto"/>
        </w:rPr>
      </w:pPr>
    </w:p>
    <w:p>
      <w:pPr>
        <w:ind w:left="40" w:right="2780"/>
        <w:spacing w:after="0" w:line="397" w:lineRule="auto"/>
        <w:rPr>
          <w:sz w:val="20"/>
          <w:szCs w:val="20"/>
          <w:color w:val="auto"/>
        </w:rPr>
      </w:pPr>
      <w:r>
        <w:rPr>
          <w:rFonts w:ascii="Times New Roman" w:cs="Times New Roman" w:eastAsia="Times New Roman" w:hAnsi="Times New Roman"/>
          <w:sz w:val="17"/>
          <w:szCs w:val="17"/>
          <w:color w:val="auto"/>
        </w:rPr>
        <w:t>Less: Net loss attributable to noncontrolling interest Net loss attributable to Alignment Healthcare, Inc.</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680"/>
        <w:spacing w:after="0"/>
        <w:tabs>
          <w:tab w:leader="none" w:pos="2020" w:val="left"/>
        </w:tabs>
        <w:rPr>
          <w:sz w:val="20"/>
          <w:szCs w:val="20"/>
          <w:color w:val="auto"/>
        </w:rPr>
      </w:pPr>
      <w:r>
        <w:rPr>
          <w:rFonts w:ascii="Times New Roman" w:cs="Times New Roman" w:eastAsia="Times New Roman" w:hAnsi="Times New Roman"/>
          <w:sz w:val="18"/>
          <w:szCs w:val="18"/>
          <w:color w:val="auto"/>
        </w:rPr>
        <w:t>15,799</w:t>
      </w:r>
      <w:r>
        <w:rPr>
          <w:sz w:val="20"/>
          <w:szCs w:val="20"/>
          <w:color w:val="auto"/>
        </w:rPr>
        <w:tab/>
      </w:r>
      <w:r>
        <w:rPr>
          <w:rFonts w:ascii="Times New Roman" w:cs="Times New Roman" w:eastAsia="Times New Roman" w:hAnsi="Times New Roman"/>
          <w:sz w:val="18"/>
          <w:szCs w:val="18"/>
          <w:color w:val="auto"/>
        </w:rPr>
        <w:t>23,547</w:t>
      </w:r>
    </w:p>
    <w:p>
      <w:pPr>
        <w:spacing w:after="0" w:line="78" w:lineRule="exact"/>
        <w:rPr>
          <w:sz w:val="20"/>
          <w:szCs w:val="20"/>
          <w:color w:val="auto"/>
        </w:rPr>
      </w:pPr>
    </w:p>
    <w:p>
      <w:pPr>
        <w:ind w:left="2300" w:hanging="1370"/>
        <w:spacing w:after="0"/>
        <w:tabs>
          <w:tab w:leader="none" w:pos="2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78"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3,020</w:t>
      </w:r>
    </w:p>
    <w:p>
      <w:pPr>
        <w:spacing w:after="0" w:line="78" w:lineRule="exact"/>
        <w:rPr>
          <w:sz w:val="20"/>
          <w:szCs w:val="20"/>
          <w:color w:val="auto"/>
        </w:rPr>
      </w:pPr>
    </w:p>
    <w:p>
      <w:pPr>
        <w:ind w:left="680"/>
        <w:spacing w:after="0"/>
        <w:tabs>
          <w:tab w:leader="none" w:pos="2020" w:val="left"/>
        </w:tabs>
        <w:rPr>
          <w:sz w:val="20"/>
          <w:szCs w:val="20"/>
          <w:color w:val="auto"/>
        </w:rPr>
      </w:pPr>
      <w:r>
        <w:rPr>
          <w:rFonts w:ascii="Times New Roman" w:cs="Times New Roman" w:eastAsia="Times New Roman" w:hAnsi="Times New Roman"/>
          <w:sz w:val="18"/>
          <w:szCs w:val="18"/>
          <w:color w:val="auto"/>
        </w:rPr>
        <w:t>15,710</w:t>
      </w:r>
      <w:r>
        <w:rPr>
          <w:sz w:val="20"/>
          <w:szCs w:val="20"/>
          <w:color w:val="auto"/>
        </w:rPr>
        <w:tab/>
      </w:r>
      <w:r>
        <w:rPr>
          <w:rFonts w:ascii="Times New Roman" w:cs="Times New Roman" w:eastAsia="Times New Roman" w:hAnsi="Times New Roman"/>
          <w:sz w:val="18"/>
          <w:szCs w:val="18"/>
          <w:color w:val="auto"/>
        </w:rPr>
        <w:t>26,495</w:t>
      </w:r>
    </w:p>
    <w:p>
      <w:pPr>
        <w:spacing w:after="0" w:line="78" w:lineRule="exact"/>
        <w:rPr>
          <w:sz w:val="20"/>
          <w:szCs w:val="20"/>
          <w:color w:val="auto"/>
        </w:rPr>
      </w:pPr>
    </w:p>
    <w:p>
      <w:pPr>
        <w:ind w:left="1900" w:hanging="1060"/>
        <w:spacing w:after="0"/>
        <w:tabs>
          <w:tab w:leader="none" w:pos="1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(128,050)</w:t>
      </w:r>
    </w:p>
    <w:p>
      <w:pPr>
        <w:spacing w:after="0" w:line="90" w:lineRule="exact"/>
        <w:rPr>
          <w:sz w:val="20"/>
          <w:szCs w:val="20"/>
          <w:color w:val="auto"/>
        </w:rPr>
      </w:pPr>
    </w:p>
    <w:p>
      <w:pPr>
        <w:ind w:left="1000"/>
        <w:spacing w:after="0"/>
        <w:tabs>
          <w:tab w:leader="none" w:pos="23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21</w:t>
      </w:r>
    </w:p>
    <w:p>
      <w:pPr>
        <w:spacing w:after="0" w:line="78" w:lineRule="exact"/>
        <w:rPr>
          <w:sz w:val="20"/>
          <w:szCs w:val="20"/>
          <w:color w:val="auto"/>
        </w:rPr>
      </w:pPr>
    </w:p>
    <w:p>
      <w:pPr>
        <w:spacing w:after="0"/>
        <w:tabs>
          <w:tab w:leader="none" w:pos="820" w:val="left"/>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(978)  $</w:t>
      </w:r>
      <w:r>
        <w:rPr>
          <w:sz w:val="20"/>
          <w:szCs w:val="20"/>
          <w:color w:val="auto"/>
        </w:rPr>
        <w:tab/>
      </w:r>
      <w:r>
        <w:rPr>
          <w:rFonts w:ascii="Times New Roman" w:cs="Times New Roman" w:eastAsia="Times New Roman" w:hAnsi="Times New Roman"/>
          <w:sz w:val="17"/>
          <w:szCs w:val="17"/>
          <w:color w:val="auto"/>
        </w:rPr>
        <w:t>(128,071)</w:t>
      </w:r>
    </w:p>
    <w:p>
      <w:pPr>
        <w:spacing w:after="0" w:line="78" w:lineRule="exact"/>
        <w:rPr>
          <w:sz w:val="20"/>
          <w:szCs w:val="20"/>
          <w:color w:val="auto"/>
        </w:rPr>
      </w:pPr>
    </w:p>
    <w:p>
      <w:pPr>
        <w:ind w:left="2300" w:hanging="1460"/>
        <w:spacing w:after="0"/>
        <w:tabs>
          <w:tab w:leader="none" w:pos="2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78" w:lineRule="exact"/>
        <w:rPr>
          <w:sz w:val="20"/>
          <w:szCs w:val="20"/>
          <w:color w:val="auto"/>
        </w:rPr>
      </w:pPr>
    </w:p>
    <w:p>
      <w:pPr>
        <w:spacing w:after="0"/>
        <w:tabs>
          <w:tab w:leader="none" w:pos="820" w:val="left"/>
          <w:tab w:leader="none" w:pos="1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(724)  $</w:t>
      </w:r>
      <w:r>
        <w:rPr>
          <w:sz w:val="20"/>
          <w:szCs w:val="20"/>
          <w:color w:val="auto"/>
        </w:rPr>
        <w:tab/>
      </w:r>
      <w:r>
        <w:rPr>
          <w:rFonts w:ascii="Times New Roman" w:cs="Times New Roman" w:eastAsia="Times New Roman" w:hAnsi="Times New Roman"/>
          <w:sz w:val="17"/>
          <w:szCs w:val="17"/>
          <w:color w:val="auto"/>
        </w:rPr>
        <w:t>(128,035)</w:t>
      </w:r>
    </w:p>
    <w:p>
      <w:pPr>
        <w:spacing w:after="0" w:line="338" w:lineRule="exact"/>
        <w:rPr>
          <w:sz w:val="20"/>
          <w:szCs w:val="20"/>
          <w:color w:val="auto"/>
        </w:rPr>
      </w:pPr>
    </w:p>
    <w:p>
      <w:pPr>
        <w:sectPr>
          <w:pgSz w:w="12240" w:h="15840" w:orient="portrait"/>
          <w:cols w:equalWidth="0" w:num="2">
            <w:col w:w="6560" w:space="720"/>
            <w:col w:w="2620"/>
          </w:cols>
          <w:pgMar w:left="1180" w:top="304"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2240" w:h="15840" w:orient="portrait"/>
          <w:cols w:equalWidth="0" w:num="1">
            <w:col w:w="9900"/>
          </w:cols>
          <w:pgMar w:left="1180" w:top="304" w:right="116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total revenues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1"/>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of revenue)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Earned premiums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0" w:type="dxa"/>
            <w:vAlign w:val="bottom"/>
          </w:tcPr>
          <w:p>
            <w:pPr>
              <w:spacing w:after="0"/>
              <w:rPr>
                <w:sz w:val="1"/>
                <w:szCs w:val="1"/>
                <w:color w:val="auto"/>
              </w:rPr>
            </w:pPr>
          </w:p>
        </w:tc>
      </w:tr>
      <w:tr>
        <w:trPr>
          <w:trHeight w:val="290"/>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5"/>
        </w:trPr>
        <w:tc>
          <w:tcPr>
            <w:tcW w:w="4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Medical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85"/>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90"/>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5"/>
        </w:trPr>
        <w:tc>
          <w:tcPr>
            <w:tcW w:w="4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6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9"/>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85"/>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5"/>
        </w:trPr>
        <w:tc>
          <w:tcPr>
            <w:tcW w:w="4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9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9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Alignment Healthcare, Inc.</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Pr>
          <w:p>
            <w:pPr>
              <w:spacing w:after="0"/>
              <w:rPr>
                <w:sz w:val="24"/>
                <w:szCs w:val="24"/>
                <w:color w:val="auto"/>
              </w:rPr>
            </w:pPr>
          </w:p>
        </w:tc>
        <w:tc>
          <w:tcPr>
            <w:tcW w:w="1420" w:type="dxa"/>
            <w:vAlign w:val="bottom"/>
            <w:gridSpan w:val="3"/>
          </w:tcPr>
          <w:p>
            <w:pPr>
              <w:jc w:val="center"/>
              <w:ind w:left="572"/>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1"/>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Earned premiums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2,671,931</w:t>
            </w:r>
          </w:p>
        </w:tc>
        <w:tc>
          <w:tcPr>
            <w:tcW w:w="6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1,239,787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r>
        <w:trPr>
          <w:trHeight w:val="290"/>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5"/>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2,703,561</w:t>
            </w:r>
          </w:p>
        </w:tc>
        <w:tc>
          <w:tcPr>
            <w:tcW w:w="6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1,245,158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-5334000</wp:posOffset>
            </wp:positionV>
            <wp:extent cx="6324600" cy="3670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324600" cy="36703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Earned Premiums. </w:t>
      </w:r>
      <w:r>
        <w:rPr>
          <w:rFonts w:ascii="Times New Roman" w:cs="Times New Roman" w:eastAsia="Times New Roman" w:hAnsi="Times New Roman"/>
          <w:sz w:val="18"/>
          <w:szCs w:val="18"/>
          <w:color w:val="auto"/>
        </w:rPr>
        <w:t>Earned premium revenues were $3,911.7 million and $2,671.9 million for the years ended December 31,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respectively, an increase of $1,239.8 million or 46.4%. The increase was primarily driven by growth in our Health Plan membership, which increased 25.0% between December 31, 2025 and December 31, 2024 and higher revenue per member per month. The increase in revenue per member per month is primarily attributable to an increase in the CMS benchmark rates and Part D revenue rates from changes arising from the Inflation Reduction Act.</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Other revenues increased $5.4 million for the year ended December 31, 2025 compared to the year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The increase is mainly attributable to an increase in the interest rate of our interest earning cash balances and current investments and an increase in revenue from services provided to third-party providers. Cash and cash equivalents, and other current investments were $604.2 million as of December 31, 2025 compared to $470.7 million as of December 31, 2024.</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9900"/>
          </w:cols>
          <w:pgMar w:left="1180" w:top="304" w:right="116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Medical expenses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3,460,156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2,406,870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1,053,286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45"/>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3,933,967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2,805,116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1,128,851</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4584700</wp:posOffset>
                </wp:positionH>
                <wp:positionV relativeFrom="paragraph">
                  <wp:posOffset>-1104900</wp:posOffset>
                </wp:positionV>
                <wp:extent cx="8667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87pt" to="429.25pt,-8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-200025</wp:posOffset>
                </wp:positionV>
                <wp:extent cx="8667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5.7499pt" to="429.25pt,-15.7499pt" o:allowincell="f" strokecolor="#00000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-1116965</wp:posOffset>
            </wp:positionV>
            <wp:extent cx="6324600" cy="1136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Medical Expenses. </w:t>
      </w:r>
      <w:r>
        <w:rPr>
          <w:rFonts w:ascii="Times New Roman" w:cs="Times New Roman" w:eastAsia="Times New Roman" w:hAnsi="Times New Roman"/>
          <w:sz w:val="18"/>
          <w:szCs w:val="18"/>
          <w:color w:val="auto"/>
        </w:rPr>
        <w:t>Medical expenses were $3,460.2 million and $2,406.9 million for the years ended December 31, 2025 and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 increase of $1,053.3 million, or 43.8%. The increase was driven primarily by the growth in Alignment Health Plan membership, which increased 25.0% between December 31, 2025 and December 31, 2024, an increase in unit costs and an increase to our Part D cost sharing due to changes arising from the Inflation Reduction Act. Overall, medical expenses for the year ended December 31, 2025 grew at a lower rate than earned premium revenues compared to the year ended December 31, 2024, primarily due to a higher percentage of new members relative to returning members in 2024 compared to 2025. The increase was offset by increases in unit costs.</w:t>
      </w:r>
    </w:p>
    <w:p>
      <w:pPr>
        <w:spacing w:after="0" w:line="3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$443.4 million and $371.4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years ended December 31, 2025 and 2024, respectively, an increase of $72.0 million, or 19.4%. The increase was primarily due to an increase in ongoing investments and expenditures in operations, network development and sales and marketing to support the growth of Alignment's Health Plan membership. Selling, general, and administrative expenses as a percentage of revenue decreased for the year ended December 31, 2025 compared to the year ended December 31, 2024 due to economies of scale gained from Alignment's membership growth.</w:t>
      </w:r>
    </w:p>
    <w:p>
      <w:pPr>
        <w:spacing w:after="0" w:line="166"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$30.4 million and $26.9 million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and 2024, respectively, an increase of $3.5 million, or 13.1%. The increase was primarily due to the amount and timing of our capital expenditures and the associated depreciation relative to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1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$15.8 million and $23.5 million for the years ended December 31, 2025 and 2024, respectively,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$7.7 million or 32.8%. The decrease in interest expense was mainly attributable to a decrease in the interest rate on our debt following refinancing in November 2024. The convertible notes have an interest rate of 4.25%, compared to our prior term loans which had an average interest rate of 11.77% for the year ended December 31, 2024. The decrease in interest rate was offset by an increase in our average long-term debt balance which was $330.0 million for the year ended December 31, 2025 compared to an average balance of $247.5 million for the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color w:val="auto"/>
        </w:rPr>
        <w:t>. Other income was $0.1 million and $0.1 million for the years ended December 31, 2025 and 2024.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1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our IPO, private placements of our equity securities, revenues, certain term loans and convertible notes (described below). As of December 31, 2025, we had $604.2 million in cash, cash equivalents and short-term investments.</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operate as a holding company in a highly regulated industry. Alignment Healthcare, Inc., our parent company, is dependent upon dividends and administrative expense reimbursements from our subsidiaries, most of which are subject to regulatory restrictions. We maintain significant levels of aggregate excess statutory capital and surplus in our state-regulated operating subsidiaries. As of December 31, 2025, our operating parent company (an indirect wholly owned subsidiary of our parent company) had $171.2 million in cash, cash equivalents and short-term investments.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incur operating losses in the future due to the investments we intend to continue to make in expanding our operations and sales and marketing, in further developing our technology and due to the general and administrative costs we expect to incur in connection with continuing to operate as a public company. As a result, we may require additional capital resources to execute strategic initiatives to grow our business.</w:t>
      </w:r>
    </w:p>
    <w:p>
      <w:pPr>
        <w:spacing w:after="0" w:line="20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7"/>
          <w:szCs w:val="17"/>
          <w:color w:val="auto"/>
        </w:rPr>
        <w:t>We believe that our liquid assets will be sufficient to fund our operating and organic capital needs for at least the next 12 months. Our assessment of the period of time through which our financial resources will be adequate to support our operations is a forward-looking statement and involves risks and uncertainties. Our actual results could vary because of, and our future capital requirements will depend</w:t>
      </w:r>
    </w:p>
    <w:p>
      <w:pPr>
        <w:sectPr>
          <w:pgSz w:w="12240" w:h="15840" w:orient="portrait"/>
          <w:cols w:equalWidth="0" w:num="1">
            <w:col w:w="9900"/>
          </w:cols>
          <w:pgMar w:left="1180" w:top="304" w:right="1160" w:bottom="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2240" w:h="15840" w:orient="portrait"/>
          <w:cols w:equalWidth="0" w:num="1">
            <w:col w:w="9900"/>
          </w:cols>
          <w:pgMar w:left="1180" w:top="304" w:right="116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many factors, including our growth rate, the timing and extent of spending to expand our presence in existing markets, expand into new markets, increase our sales and marketing activities and develop our technology. Additionally, in the future we may enter into arrangements to acquire or invest in complementary businesses, services and technologies, including intellectual property rights, which may also substantially increase our capital needs.</w:t>
      </w:r>
    </w:p>
    <w:p>
      <w:pPr>
        <w:spacing w:after="0" w:line="20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21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Certain states in which we operate as a CMS-licensed Medicare Advantage company may require us to meet certain capital adequacy performance standards and tests. The National Association of Insurance Commissioners has adopted rules which, if implemented by the states, set minimum capitalization requirements for insurance companies, HMOs, and other entities bearing risk for healthcare coverage. The requirements take the form of risk-based capital (“RBC”) rules, which may vary from state to state. Certain states in which our health plans or risk bearing entities operate have adopted the RBC rules. Other states in which our health plans or risk bearing entities operate have chosen not to adopt the RBC rules, but instead have designed and implemented their own rules regarding capital adequacy, such as the tangible net equity ("TNE") requirements for our health plans in California. As of December 31, 2025, our health plans or risk-bearing entities were in compliance with the minimum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Term Loan</w:t>
      </w:r>
    </w:p>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2, 2022 (the “Effective Date”), we, Alignment Healthcare USA, LLC, an indirect subsidiary of the Company (the “Borrower”) and certain of our other subsidiaries (together with the Company and the Borrower, the “Borrower Parties”) entered into a term loan agreement (the “Oxford Loan Agreement”) with Oxford Finance LLC (“Oxford”), as administrative agent, collateral agent and a lender, and the other lenders from time to time party thereto (collectively, the “Lenders”), pursuant to which the Lenders have agreed to lend the Borrower an aggregate principal amount of up to $250.0 million in a series of term loans (the “Term Loans”). Pursuant to the Oxford Loan Agreement, the Borrower received an initial Term Loan of $165.0 million on the Effective Date and had the option to borrow up to an additional $85.0 million of Term Loans (such additional Term Loans, the “Delayed Draw Term Loans”). On June 14, 2024, we borrowed $50.0 million in aggregate principal amount of the Delayed Draw Term Loans prior to the expiration date for such amount of the Delayed Draw Term Loans of June 30, 2024. Interest on the Term Loans was a variable rate equal to (i) the secured overnight financing rate administered by the Federal Reserve Bank of New York for a one-month tenor, subject to a floor of 1.00%, plus (ii) an applicable margin of 6.50%.</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as noted below, we repaid all amounts outstanding under the term loans with Oxford Finance on November 22,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22, 2024 (the "Effective Date"), Alignment Healthcare Inc. (the "Company") completed the sale of $330.0 million of its</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 million, after subtracting fees, discounts and estimated expenses in connection with the transaction.</w:t>
      </w:r>
    </w:p>
    <w:p>
      <w:pPr>
        <w:spacing w:after="0" w:line="1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spacing w:after="0" w:line="16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Notes have an initial conversion rate of 62.4 shares of Company common stock per $1,000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2240" w:h="15840" w:orient="portrait"/>
          <w:cols w:equalWidth="0" w:num="1">
            <w:col w:w="9900"/>
          </w:cols>
          <w:pgMar w:left="1180" w:top="304" w:right="116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has used the proceeds from the sale of the Notes to repay in full the $215.0 million aggregate principal amount, accrued interest and fees related to the Oxford term loans, as well as certain fees and expenses incurred in connection with the transaction.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spacing w:after="0" w:line="16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recognized the Notes in their entirety as a liability on the consolidated balance sheet and no portion of the proceeds from the issuance of the convertible debt instrument was accounted for separately as an embedded conversion feature within stockholders’ equity.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39,191</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156,028</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229,989</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434,943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204,954</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434,943</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operating activities was $139.9 million, an increase of $105.2 million compared to net cash provided by operating activities of $34.8 million for the year ended December 31, 2024. The increase is mainly attributable to an increase in membership and reduction of net loss, an increase in medical expense payables related to the timing of our payments, and changes to the Part D program related to the Inflation Reduction Act. This increase was partially offset by an increase in prepaid expenses and other current assets due to a change in our Part D balances arising from the Inflation Reduction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was $15.0 million, a decrease of $54.2 million compared to net cash provided by investing activities of $39.2 million for the year ended December 31, 2024. The increase in cash used primarily relates to reduced investment maturities during the year ended December 31, 2025 compared to the year ended December 31, 2024. The decrease in investment maturities was offset by a decrease in capital expenditures, which decreased $14.6 million for the year ended December 31, 2025 compared to the year ended December 31, 2024</w:t>
      </w:r>
      <w:r>
        <w:rPr>
          <w:rFonts w:ascii="Times New Roman" w:cs="Times New Roman" w:eastAsia="Times New Roman" w:hAnsi="Times New Roman"/>
          <w:sz w:val="18"/>
          <w:szCs w:val="18"/>
          <w:color w:val="EE2724"/>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For the year ended December 31, 2025, net cash provided by financing activities was $18.0 million, a decrease of $138.0 million compared to net cash provided by financing activities of $156.0 million for the year ended December 31, 2024. The decrease is primarily attributable to the convertible note refinance and the $50.0 million draw down of the Oxford Delayed Draw term loan that occurred during the year ended December 31, 2024. This decrease was offset by $18.1 million in proceeds from the exercise of stock options.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9900"/>
          </w:cols>
          <w:pgMar w:left="1180" w:top="304" w:right="1160" w:bottom="0" w:gutter="0" w:footer="0" w:header="0"/>
          <w:type w:val="continuous"/>
        </w:sectPr>
      </w:pPr>
    </w:p>
    <w:bookmarkStart w:id="65" w:name="page66"/>
    <w:bookmarkEnd w:id="65"/>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Material cash requirements from known contractual and other obligations</w:t>
      </w:r>
    </w:p>
    <w:p>
      <w:pPr>
        <w:spacing w:after="0" w:line="216" w:lineRule="exact"/>
        <w:rPr>
          <w:sz w:val="20"/>
          <w:szCs w:val="20"/>
          <w:color w:val="auto"/>
        </w:rPr>
      </w:pPr>
    </w:p>
    <w:p>
      <w:pPr>
        <w:ind w:left="10" w:right="280"/>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repayments of long-term debt, operating leases and certain purchase obligations. The following table summarizes our contractual and other obligations as of December 31, 2025:</w:t>
      </w:r>
    </w:p>
    <w:p>
      <w:pPr>
        <w:spacing w:after="0" w:line="22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6"/>
                <w:szCs w:val="16"/>
                <w:color w:val="auto"/>
              </w:rPr>
            </w:pPr>
          </w:p>
        </w:tc>
        <w:tc>
          <w:tcPr>
            <w:tcW w:w="13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1-3 year</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obligations</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387,779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-1116965</wp:posOffset>
            </wp:positionV>
            <wp:extent cx="6324600" cy="1136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126" w:lineRule="exact"/>
        <w:rPr>
          <w:sz w:val="20"/>
          <w:szCs w:val="20"/>
          <w:color w:val="auto"/>
        </w:rPr>
      </w:pPr>
    </w:p>
    <w:p>
      <w:pPr>
        <w:ind w:left="190" w:right="220" w:hanging="190"/>
        <w:spacing w:after="0" w:line="282" w:lineRule="auto"/>
        <w:tabs>
          <w:tab w:leader="none" w:pos="19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full cash repayment upon maturity of the Convertible Senior Notes in November 2029. As discussed above, the Convertible Senior Notes can be repurchased, redeemed, or converted prior to maturity in accordance with their terms.</w:t>
      </w:r>
    </w:p>
    <w:p>
      <w:pPr>
        <w:spacing w:after="0" w:line="77" w:lineRule="exact"/>
        <w:rPr>
          <w:rFonts w:ascii="Times New Roman" w:cs="Times New Roman" w:eastAsia="Times New Roman" w:hAnsi="Times New Roman"/>
          <w:sz w:val="14"/>
          <w:szCs w:val="14"/>
          <w:color w:val="auto"/>
        </w:rPr>
      </w:pPr>
    </w:p>
    <w:p>
      <w:pPr>
        <w:ind w:left="190" w:right="80" w:hanging="190"/>
        <w:spacing w:after="0" w:line="266" w:lineRule="auto"/>
        <w:tabs>
          <w:tab w:leader="none" w:pos="22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fixed, minimum and estimated payments under our existing contractual obligations that are legally enforceable and binding for goods and services. These obligations include agreements that are cancelable with the payment of an early termination penalty and other funding commitments that require fixed or minimum levels of service to be purchased with a specific timing established. Purchase obligations exclude agreements that are cancelable without penalty.</w:t>
      </w:r>
    </w:p>
    <w:p>
      <w:pPr>
        <w:spacing w:after="0" w:line="157" w:lineRule="exact"/>
        <w:rPr>
          <w:sz w:val="20"/>
          <w:szCs w:val="20"/>
          <w:color w:val="auto"/>
        </w:rPr>
      </w:pPr>
    </w:p>
    <w:p>
      <w:pPr>
        <w:ind w:left="10" w:right="60"/>
        <w:spacing w:after="0" w:line="282" w:lineRule="auto"/>
        <w:rPr>
          <w:sz w:val="20"/>
          <w:szCs w:val="20"/>
          <w:color w:val="auto"/>
        </w:rPr>
      </w:pPr>
      <w:r>
        <w:rPr>
          <w:rFonts w:ascii="Times New Roman" w:cs="Times New Roman" w:eastAsia="Times New Roman" w:hAnsi="Times New Roman"/>
          <w:sz w:val="18"/>
          <w:szCs w:val="18"/>
          <w:color w:val="auto"/>
        </w:rPr>
        <w:t>Not included in the table above are our medical expenses payable which are included within current liabilities in our financial statements included in this Annual Report on Form 10-K.</w:t>
      </w:r>
    </w:p>
    <w:p>
      <w:pPr>
        <w:spacing w:after="0" w:line="1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U.S. GAAP and include the accounts of our wholly owned subsidiaries and three variable interest entities (“VIEs”) in California and North Carolina that meet the consolidation requirements for accounting purposes. All intercompany transactions have been eliminated in consolidation. Noncontrolling interest is presented within the equity section of our consolidated balance sheets.</w:t>
      </w:r>
    </w:p>
    <w:p>
      <w:pPr>
        <w:spacing w:after="0" w:line="167"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18"/>
          <w:szCs w:val="18"/>
          <w:color w:val="auto"/>
        </w:rPr>
        <w:t>Certain accounting policies involve significant judgments and assumptions by management, which have a material impact on the carrying value of assets and liabilities and the recognition of income and expenses. Management considers these accounting policies to be critical accounting policies. The estimates and assumptions used by management are based on historical experience and other factors, which are believed to be reasonable under the circumstances. The significant accounting policies which we believe are the most critical to aid in fully understanding and evaluating our reported financial results are described below. Refer to Note 2 “</w:t>
      </w:r>
      <w:r>
        <w:rPr>
          <w:rFonts w:ascii="Times New Roman" w:cs="Times New Roman" w:eastAsia="Times New Roman" w:hAnsi="Times New Roman"/>
          <w:sz w:val="18"/>
          <w:szCs w:val="18"/>
          <w:b w:val="1"/>
          <w:bCs w:val="1"/>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Accounting Policie</w:t>
      </w:r>
      <w:r>
        <w:rPr>
          <w:rFonts w:ascii="Times New Roman" w:cs="Times New Roman" w:eastAsia="Times New Roman" w:hAnsi="Times New Roman"/>
          <w:sz w:val="18"/>
          <w:szCs w:val="18"/>
          <w:color w:val="auto"/>
        </w:rPr>
        <w:t>s” to our audited consolidated financial statements for more detailed information regarding our critical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policies.</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18"/>
          <w:szCs w:val="18"/>
          <w:color w:val="auto"/>
        </w:rPr>
        <w:t>Payments by CMS to health plans are determined through a competitive bidding process with CMS and are based on the cost of care in a local market and the average utilization of services by the member enrolled. These payments are subject to periodic adjustments under CMS’s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We and healthcare providers collect, capture, and submit the necessary and available diagnosis data to CMS within prescribed deadlines. Both premium and capitation revenue (including Medicare Part D) are subject to adjustments under the risk adjustment model.</w:t>
      </w:r>
    </w:p>
    <w:p>
      <w:pPr>
        <w:spacing w:after="0" w:line="176"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18"/>
          <w:szCs w:val="18"/>
          <w:color w:val="auto"/>
        </w:rPr>
        <w:t>Throughout the year, we estimate risk adjustment payments based upon the diagnosis data submitted and expected to be submitted to CMS. The risk adjustment payments are recorded as an adjustment to premium and capitation revenue. Our risk adjustment data is also subject to review by the government, including audit by regulators.</w:t>
      </w:r>
    </w:p>
    <w:p>
      <w:pPr>
        <w:spacing w:after="0" w:line="160" w:lineRule="exact"/>
        <w:rPr>
          <w:sz w:val="20"/>
          <w:szCs w:val="20"/>
          <w:color w:val="auto"/>
        </w:rPr>
      </w:pPr>
    </w:p>
    <w:p>
      <w:pPr>
        <w:ind w:left="10" w:right="480"/>
        <w:spacing w:after="0" w:line="282" w:lineRule="auto"/>
        <w:rPr>
          <w:sz w:val="20"/>
          <w:szCs w:val="20"/>
          <w:color w:val="auto"/>
        </w:rPr>
      </w:pPr>
      <w:r>
        <w:rPr>
          <w:rFonts w:ascii="Times New Roman" w:cs="Times New Roman" w:eastAsia="Times New Roman" w:hAnsi="Times New Roman"/>
          <w:sz w:val="18"/>
          <w:szCs w:val="18"/>
          <w:color w:val="auto"/>
        </w:rPr>
        <w:t>Receivables, including risk adjusted premium due from the government or through third-party payors, pharmacy rebates, and other receivables, are shown net of allowances for estimated uncollectible accounts and retroactive membership adjustments.</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Medical Expenses Payable</w:t>
      </w:r>
    </w:p>
    <w:p>
      <w:pPr>
        <w:spacing w:after="0" w:line="216" w:lineRule="exact"/>
        <w:rPr>
          <w:sz w:val="20"/>
          <w:szCs w:val="20"/>
          <w:color w:val="auto"/>
        </w:rPr>
      </w:pPr>
    </w:p>
    <w:p>
      <w:pPr>
        <w:ind w:left="10" w:right="300"/>
        <w:spacing w:after="0" w:line="261" w:lineRule="auto"/>
        <w:rPr>
          <w:sz w:val="20"/>
          <w:szCs w:val="20"/>
          <w:color w:val="auto"/>
        </w:rPr>
      </w:pPr>
      <w:r>
        <w:rPr>
          <w:rFonts w:ascii="Times New Roman" w:cs="Times New Roman" w:eastAsia="Times New Roman" w:hAnsi="Times New Roman"/>
          <w:sz w:val="18"/>
          <w:szCs w:val="18"/>
          <w:color w:val="auto"/>
        </w:rPr>
        <w:t>Medical expenses payable includes estimates of our obligations for medical care services that have been rendered on behalf of our members and the members of third-party payors, but for which claims have either not yet been received or processed, loss adjustment expense reserve for the expected costs of settling these claims, and for liabilities related to physician, hospital and other medical cost disputes.</w:t>
      </w:r>
    </w:p>
    <w:p>
      <w:pPr>
        <w:sectPr>
          <w:pgSz w:w="12240" w:h="15840" w:orient="portrait"/>
          <w:cols w:equalWidth="0" w:num="1">
            <w:col w:w="9910"/>
          </w:cols>
          <w:pgMar w:left="1170" w:top="304" w:right="1160" w:bottom="0" w:gutter="0" w:footer="0" w:header="0"/>
        </w:sectPr>
      </w:pPr>
    </w:p>
    <w:p>
      <w:pPr>
        <w:spacing w:after="0" w:line="2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62</w:t>
      </w:r>
    </w:p>
    <w:p>
      <w:pPr>
        <w:sectPr>
          <w:pgSz w:w="12240" w:h="15840" w:orient="portrait"/>
          <w:cols w:equalWidth="0" w:num="1">
            <w:col w:w="9910"/>
          </w:cols>
          <w:pgMar w:left="1170" w:top="304" w:right="116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We develop estimates for medical expenses incurred but not yet paid (“IBNP”) which includes an estimate for claims incurred but not reported (“IBNR”) and a payable for adjudicated claims. IBNR is estimated using an actuarial process that is consistently applied and centrally controlled. Medical expenses payable also includes an estimate for the costs necessary to process unpaid claims at the end of each period. We estimate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 Factors. </w:t>
      </w:r>
      <w:r>
        <w:rPr>
          <w:rFonts w:ascii="Times New Roman" w:cs="Times New Roman" w:eastAsia="Times New Roman" w:hAnsi="Times New Roman"/>
          <w:sz w:val="18"/>
          <w:szCs w:val="18"/>
          <w:color w:val="auto"/>
        </w:rPr>
        <w:t>A completion factor is an actuarial estimate, based upon historical experience and analysis of current trends,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of incurred claims during a given period adjudicated by us at the date of estimation. Completion factors are the most significant factors we use in developing our medical expenses payable estimates for periods prior to the most recent three months. Completion factors include judgments in relation to claim submissions such as the time from date of service to claim receipt, claim levels and processing cycles, as well as other factors. If actual claims submission rates from providers (which can be influenced by a number of factors, including provider mix and electronic versus manual submissions) or our claim processing patterns are different than estimated, our reserve estimates may be significantly impacted.</w:t>
      </w:r>
    </w:p>
    <w:p>
      <w:pPr>
        <w:spacing w:after="0" w:line="16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sensitivity of these factors and the estimated potential impact on our medical expenses payable estimates for those periods as of December 31, 2025:</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Completion Factors</w:t>
            </w:r>
          </w:p>
        </w:tc>
        <w:tc>
          <w:tcPr>
            <w:tcW w:w="160" w:type="dxa"/>
            <w:vAlign w:val="bottom"/>
          </w:tcPr>
          <w:p>
            <w:pPr>
              <w:spacing w:after="0"/>
              <w:rPr>
                <w:sz w:val="19"/>
                <w:szCs w:val="19"/>
                <w:color w:val="auto"/>
              </w:rPr>
            </w:pP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Increase (Decrease) in</w:t>
            </w:r>
          </w:p>
        </w:tc>
        <w:tc>
          <w:tcPr>
            <w:tcW w:w="0" w:type="dxa"/>
            <w:vAlign w:val="bottom"/>
          </w:tcPr>
          <w:p>
            <w:pPr>
              <w:spacing w:after="0"/>
              <w:rPr>
                <w:sz w:val="1"/>
                <w:szCs w:val="1"/>
                <w:color w:val="auto"/>
              </w:rPr>
            </w:pPr>
          </w:p>
        </w:tc>
      </w:tr>
      <w:tr>
        <w:trPr>
          <w:trHeight w:val="238"/>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Increase (Decrease) in Factors</w:t>
            </w:r>
          </w:p>
        </w:tc>
        <w:tc>
          <w:tcPr>
            <w:tcW w:w="160" w:type="dxa"/>
            <w:vAlign w:val="bottom"/>
          </w:tcPr>
          <w:p>
            <w:pPr>
              <w:spacing w:after="0"/>
              <w:rPr>
                <w:sz w:val="20"/>
                <w:szCs w:val="20"/>
                <w:color w:val="auto"/>
              </w:rPr>
            </w:pP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Medical Expenses Payable</w:t>
            </w:r>
          </w:p>
        </w:tc>
        <w:tc>
          <w:tcPr>
            <w:tcW w:w="0" w:type="dxa"/>
            <w:vAlign w:val="bottom"/>
          </w:tcPr>
          <w:p>
            <w:pPr>
              <w:spacing w:after="0"/>
              <w:rPr>
                <w:sz w:val="1"/>
                <w:szCs w:val="1"/>
                <w:color w:val="auto"/>
              </w:rPr>
            </w:pPr>
          </w:p>
        </w:tc>
      </w:tr>
      <w:tr>
        <w:trPr>
          <w:trHeight w:val="63"/>
        </w:trPr>
        <w:tc>
          <w:tcPr>
            <w:tcW w:w="74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7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i w:val="1"/>
                <w:iCs w:val="1"/>
                <w:color w:val="auto"/>
                <w:w w:val="96"/>
              </w:rPr>
              <w:t>(in thousands)</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85"/>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-1088390</wp:posOffset>
            </wp:positionV>
            <wp:extent cx="6311900" cy="1111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311900" cy="1111250"/>
                    </a:xfrm>
                    <a:prstGeom prst="rect">
                      <a:avLst/>
                    </a:prstGeom>
                    <a:noFill/>
                  </pic:spPr>
                </pic:pic>
              </a:graphicData>
            </a:graphic>
          </wp:anchor>
        </w:drawing>
      </w:r>
    </w:p>
    <w:p>
      <w:pPr>
        <w:spacing w:after="0" w:line="23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Medical Cost Per Member Per Month Trend Factors</w:t>
      </w:r>
      <w:r>
        <w:rPr>
          <w:rFonts w:ascii="Times New Roman" w:cs="Times New Roman" w:eastAsia="Times New Roman" w:hAnsi="Times New Roman"/>
          <w:sz w:val="17"/>
          <w:szCs w:val="17"/>
          <w:color w:val="auto"/>
        </w:rPr>
        <w:t>. Medical cost PMPM trend factors are significant factors we use in developing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medical expenses payable estimates for the most recent three months. Medical cost trend factors are developed through a comprehensive analysis of claims incurred in prior months, provider contracting and expected unit costs, benefit design and a review of a broad set of health care utilization indicators. These factors include but are not limited to pharmacy utilization trends and inpatient hospital authorization data. A large number of factors can cause the medical cost trend to vary from our estimates, including: our ability and practices to manage medical and pharmaceutical costs, changes in level and mix of services utilized; mix of benefits offered, including the impact of co-pays and deductibles; changes in medical practices; and catastrophes, epidemics and pandemics, such as COVID-19.</w:t>
      </w:r>
    </w:p>
    <w:p>
      <w:pPr>
        <w:spacing w:after="0" w:line="15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sensitivity of these factors and the estimated potential impact on our medical expenses payable estimates for the most recent two months as of December 31, 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Medical Cost PMPM Quarterly Trend</w:t>
            </w:r>
          </w:p>
        </w:tc>
        <w:tc>
          <w:tcPr>
            <w:tcW w:w="140" w:type="dxa"/>
            <w:vAlign w:val="bottom"/>
          </w:tcPr>
          <w:p>
            <w:pPr>
              <w:spacing w:after="0"/>
              <w:rPr>
                <w:sz w:val="18"/>
                <w:szCs w:val="18"/>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Increase (Decrease) in</w:t>
            </w:r>
          </w:p>
        </w:tc>
        <w:tc>
          <w:tcPr>
            <w:tcW w:w="0" w:type="dxa"/>
            <w:vAlign w:val="bottom"/>
          </w:tcPr>
          <w:p>
            <w:pPr>
              <w:spacing w:after="0"/>
              <w:rPr>
                <w:sz w:val="1"/>
                <w:szCs w:val="1"/>
                <w:color w:val="auto"/>
              </w:rPr>
            </w:pPr>
          </w:p>
        </w:tc>
      </w:tr>
      <w:tr>
        <w:trPr>
          <w:trHeight w:val="139"/>
        </w:trPr>
        <w:tc>
          <w:tcPr>
            <w:tcW w:w="7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vMerge w:val="restart"/>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Medical Expenses</w:t>
            </w:r>
          </w:p>
        </w:tc>
        <w:tc>
          <w:tcPr>
            <w:tcW w:w="0" w:type="dxa"/>
            <w:vAlign w:val="bottom"/>
          </w:tcPr>
          <w:p>
            <w:pPr>
              <w:spacing w:after="0"/>
              <w:rPr>
                <w:sz w:val="1"/>
                <w:szCs w:val="1"/>
                <w:color w:val="auto"/>
              </w:rPr>
            </w:pPr>
          </w:p>
        </w:tc>
      </w:tr>
      <w:tr>
        <w:trPr>
          <w:trHeight w:val="41"/>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Increase (Decrease) in Factors</w:t>
            </w:r>
          </w:p>
        </w:tc>
        <w:tc>
          <w:tcPr>
            <w:tcW w:w="14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782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Payable</w:t>
            </w:r>
          </w:p>
        </w:tc>
        <w:tc>
          <w:tcPr>
            <w:tcW w:w="0" w:type="dxa"/>
            <w:vAlign w:val="bottom"/>
          </w:tcPr>
          <w:p>
            <w:pPr>
              <w:spacing w:after="0"/>
              <w:rPr>
                <w:sz w:val="1"/>
                <w:szCs w:val="1"/>
                <w:color w:val="auto"/>
              </w:rPr>
            </w:pPr>
          </w:p>
        </w:tc>
      </w:tr>
      <w:tr>
        <w:trPr>
          <w:trHeight w:val="260"/>
        </w:trPr>
        <w:tc>
          <w:tcPr>
            <w:tcW w:w="7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w w:val="94"/>
              </w:rPr>
              <w:t>(in thousands)</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85"/>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-1088390</wp:posOffset>
            </wp:positionV>
            <wp:extent cx="6311900" cy="1111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311900" cy="1111250"/>
                    </a:xfrm>
                    <a:prstGeom prst="rect">
                      <a:avLst/>
                    </a:prstGeom>
                    <a:noFill/>
                  </pic:spPr>
                </pic:pic>
              </a:graphicData>
            </a:graphic>
          </wp:anchor>
        </w:drawing>
      </w:r>
    </w:p>
    <w:p>
      <w:pPr>
        <w:spacing w:after="0" w:line="2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spacing w:after="0" w:line="16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9900"/>
          </w:cols>
          <w:pgMar w:left="1180" w:top="304" w:right="11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its actuarial method of reserving.</w:t>
      </w:r>
    </w:p>
    <w:p>
      <w:pPr>
        <w:spacing w:after="0" w:line="1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that medical expenses payable is adequate to cover future claims payments required. However, such estimates are based on knowledge of current events and anticipated future events. Therefore, the actual liability could differ materially from the amounts provided. The following tables provide information about incurred and paid claims development as of December 31, 2025:</w:t>
      </w:r>
    </w:p>
    <w:p>
      <w:pPr>
        <w:spacing w:after="0" w:line="244"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Cumulative Incurred Claims, net of reinsurance for the</w:t>
      </w: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13970</wp:posOffset>
                </wp:positionV>
                <wp:extent cx="25622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1pt" to="494.5pt,1.1pt" o:allowincell="f" strokecolor="#000000" strokeweight="1pt"/>
            </w:pict>
          </mc:Fallback>
        </mc:AlternateConten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Claims Incurred Year</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4"/>
              </w:rPr>
              <w:t>(in thousands)</w:t>
            </w:r>
          </w:p>
        </w:tc>
        <w:tc>
          <w:tcPr>
            <w:tcW w:w="1160" w:type="dxa"/>
            <w:vAlign w:val="bottom"/>
          </w:tcPr>
          <w:p>
            <w:pPr>
              <w:spacing w:after="0"/>
              <w:rPr>
                <w:sz w:val="22"/>
                <w:szCs w:val="22"/>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492,315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480,412</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809,297</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1,136,448</w:t>
            </w: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2,426,157</w:t>
            </w: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4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Cumulative</w:t>
            </w:r>
          </w:p>
        </w:tc>
      </w:tr>
      <w:tr>
        <w:trPr>
          <w:trHeight w:val="186"/>
        </w:trPr>
        <w:tc>
          <w:tcPr>
            <w:tcW w:w="4460" w:type="dxa"/>
            <w:vAlign w:val="bottom"/>
          </w:tcPr>
          <w:p>
            <w:pPr>
              <w:spacing w:after="0"/>
              <w:rPr>
                <w:sz w:val="16"/>
                <w:szCs w:val="16"/>
                <w:color w:val="auto"/>
              </w:rPr>
            </w:pPr>
          </w:p>
        </w:tc>
        <w:tc>
          <w:tcPr>
            <w:tcW w:w="424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Cumulative Claims paid, net of reinsurance for the</w:t>
            </w: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14"/>
        </w:trPr>
        <w:tc>
          <w:tcPr>
            <w:tcW w:w="4460" w:type="dxa"/>
            <w:vAlign w:val="bottom"/>
          </w:tcPr>
          <w:p>
            <w:pPr>
              <w:spacing w:after="0"/>
              <w:rPr>
                <w:sz w:val="18"/>
                <w:szCs w:val="18"/>
                <w:color w:val="auto"/>
              </w:rPr>
            </w:pPr>
          </w:p>
        </w:tc>
        <w:tc>
          <w:tcPr>
            <w:tcW w:w="424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60" w:type="dxa"/>
            <w:vAlign w:val="bottom"/>
          </w:tcPr>
          <w:p>
            <w:pPr>
              <w:jc w:val="center"/>
              <w:ind w:right="74"/>
              <w:spacing w:after="0" w:line="214" w:lineRule="exact"/>
              <w:rPr>
                <w:sz w:val="20"/>
                <w:szCs w:val="20"/>
                <w:color w:val="auto"/>
              </w:rPr>
            </w:pPr>
            <w:r>
              <w:rPr>
                <w:rFonts w:ascii="Times New Roman" w:cs="Times New Roman" w:eastAsia="Times New Roman" w:hAnsi="Times New Roman"/>
                <w:sz w:val="16"/>
                <w:szCs w:val="16"/>
                <w:b w:val="1"/>
                <w:bCs w:val="1"/>
                <w:color w:val="auto"/>
                <w:w w:val="97"/>
              </w:rPr>
              <w:t>Paid Claims</w:t>
            </w:r>
            <w:r>
              <w:rPr>
                <w:rFonts w:ascii="Times New Roman" w:cs="Times New Roman" w:eastAsia="Times New Roman" w:hAnsi="Times New Roman"/>
                <w:sz w:val="20"/>
                <w:szCs w:val="20"/>
                <w:b w:val="1"/>
                <w:bCs w:val="1"/>
                <w:color w:val="auto"/>
                <w:w w:val="97"/>
                <w:vertAlign w:val="superscript"/>
              </w:rPr>
              <w:t>(1)</w:t>
            </w:r>
          </w:p>
        </w:tc>
      </w:tr>
      <w:tr>
        <w:trPr>
          <w:trHeight w:val="235"/>
        </w:trPr>
        <w:tc>
          <w:tcPr>
            <w:tcW w:w="446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Claims Incurred Year</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6"/>
              </w:rPr>
              <w:t>(in thousands)</w:t>
            </w: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400,465</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540,426</w:t>
            </w: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670,471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1,036,274</w:t>
            </w: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1,268,147</w:t>
            </w: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2,131,667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-2602865</wp:posOffset>
            </wp:positionV>
            <wp:extent cx="6324600" cy="955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324600" cy="9556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Cumulative number of paid claims are presented in whole amounts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claims incurred but not paid balance as of December 31, 2025 relate to the current year.</w:t>
      </w:r>
    </w:p>
    <w:p>
      <w:pPr>
        <w:spacing w:after="0" w:line="20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There is no single or common claim frequency metric used in the health care industry. We believe a relevant metric for our health insurance business is the cumulative number of claims paid for each incurred year. Claims that did not result in a liability are not included in the frequency metric.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4"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w:t>
      </w:r>
      <w:r>
        <w:rPr>
          <w:rFonts w:ascii="Times New Roman" w:cs="Times New Roman" w:eastAsia="Times New Roman" w:hAnsi="Times New Roman"/>
          <w:sz w:val="18"/>
          <w:szCs w:val="18"/>
          <w:b w:val="1"/>
          <w:bCs w:val="1"/>
          <w:i w:val="1"/>
          <w:iCs w:val="1"/>
          <w:color w:val="auto"/>
        </w:rPr>
        <w:t>Summary of Significant Accounting Policies—Recent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Pronouncements Adopted</w:t>
      </w:r>
      <w:r>
        <w:rPr>
          <w:rFonts w:ascii="Times New Roman" w:cs="Times New Roman" w:eastAsia="Times New Roman" w:hAnsi="Times New Roman"/>
          <w:sz w:val="18"/>
          <w:szCs w:val="18"/>
          <w:color w:val="auto"/>
        </w:rPr>
        <w:t>” for more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risk exposure is primarily a result of exposure due to potential changes in interest rates and inflation.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As of December 31, 2024, we had $29.5 million of U.S. Treasury bills which were classified as held to maturity and had maturities less than twelve months. Due to the short-term duration of our investment portfolio and the low risk profile of our investments, we believe that our exposure to interest rate risk on these investments is not significant. We do not enter into investments for trading purposes.</w:t>
      </w:r>
    </w:p>
    <w:p>
      <w:pPr>
        <w:spacing w:after="0" w:line="1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November 2024, we completed the sale of $330.0 million of 4.25% Convertible Senior Notes. Since the notes have a fixed annual interest rate, we have no financial or economic interest exposure associated with changes in interest rates. However, the fair value of fixed rate debt fluctuates when interest rates change. Additionally, the fair value of the Convertible Senior Notes can be impacted when the market price of our common stock fluctuates.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our analysis of the periods presented, although we have experienced modest increases in unit costs and labor expenses, we believe that inflation has not had a material effect on our operating results. Nonetheless, if our costs were to become subject to significant inflationary pressures, we may not be able to fully offset such higher costs through price increases. There can be no assurance that future inflation will not have an adverse impact on our operating results and financial condition.</w:t>
      </w:r>
    </w:p>
    <w:p>
      <w:pPr>
        <w:sectPr>
          <w:pgSz w:w="12240" w:h="15840" w:orient="portrait"/>
          <w:cols w:equalWidth="0" w:num="1">
            <w:col w:w="9900"/>
          </w:cols>
          <w:pgMar w:left="1180" w:top="304" w:right="1160" w:bottom="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2240" w:h="15840" w:orient="portrait"/>
          <w:cols w:equalWidth="0" w:num="1">
            <w:col w:w="9900"/>
          </w:cols>
          <w:pgMar w:left="1180" w:top="304" w:right="116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734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r>
      <w:tr>
        <w:trPr>
          <w:trHeight w:val="556"/>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00" w:type="dxa"/>
            <w:vAlign w:val="bottom"/>
          </w:tcPr>
          <w:p>
            <w:pPr>
              <w:spacing w:after="0"/>
              <w:rPr>
                <w:sz w:val="24"/>
                <w:szCs w:val="24"/>
                <w:color w:val="auto"/>
              </w:rPr>
            </w:pPr>
          </w:p>
        </w:tc>
      </w:tr>
      <w:tr>
        <w:trPr>
          <w:trHeight w:val="41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340" w:type="dxa"/>
            <w:vAlign w:val="bottom"/>
            <w:gridSpan w:val="6"/>
          </w:tcPr>
          <w:p>
            <w:pPr>
              <w:ind w:left="13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200" w:type="dxa"/>
            <w:vAlign w:val="bottom"/>
          </w:tcPr>
          <w:p>
            <w:pPr>
              <w:spacing w:after="0"/>
              <w:rPr>
                <w:sz w:val="24"/>
                <w:szCs w:val="24"/>
                <w:color w:val="auto"/>
              </w:rPr>
            </w:pPr>
          </w:p>
        </w:tc>
      </w:tr>
      <w:tr>
        <w:trPr>
          <w:trHeight w:val="477"/>
        </w:trPr>
        <w:tc>
          <w:tcPr>
            <w:tcW w:w="40" w:type="dxa"/>
            <w:vAlign w:val="bottom"/>
          </w:tcPr>
          <w:p>
            <w:pPr>
              <w:spacing w:after="0"/>
              <w:rPr>
                <w:sz w:val="24"/>
                <w:szCs w:val="24"/>
                <w:color w:val="auto"/>
              </w:rPr>
            </w:pPr>
          </w:p>
        </w:tc>
        <w:tc>
          <w:tcPr>
            <w:tcW w:w="85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No.34)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85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2025 and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for the Years ended December 31, 2025, 2024 and 2023</w:t>
            </w:r>
          </w:p>
        </w:tc>
        <w:tc>
          <w:tcPr>
            <w:tcW w:w="92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80"/>
        </w:trPr>
        <w:tc>
          <w:tcPr>
            <w:tcW w:w="40" w:type="dxa"/>
            <w:vAlign w:val="bottom"/>
          </w:tcPr>
          <w:p>
            <w:pPr>
              <w:spacing w:after="0"/>
              <w:rPr>
                <w:sz w:val="24"/>
                <w:szCs w:val="24"/>
                <w:color w:val="auto"/>
              </w:rPr>
            </w:pPr>
          </w:p>
        </w:tc>
        <w:tc>
          <w:tcPr>
            <w:tcW w:w="8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Stockholders’ Equity for the Years ended December 31, 2025, 2024, and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0"/>
        </w:trPr>
        <w:tc>
          <w:tcPr>
            <w:tcW w:w="40" w:type="dxa"/>
            <w:vAlign w:val="bottom"/>
          </w:tcPr>
          <w:p>
            <w:pPr>
              <w:spacing w:after="0"/>
              <w:rPr>
                <w:sz w:val="24"/>
                <w:szCs w:val="24"/>
                <w:color w:val="auto"/>
              </w:rPr>
            </w:pPr>
          </w:p>
        </w:tc>
        <w:tc>
          <w:tcPr>
            <w:tcW w:w="7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 for the Years ended December 31, 2025, 2024 and 2023</w:t>
            </w:r>
          </w:p>
        </w:tc>
        <w:tc>
          <w:tcPr>
            <w:tcW w:w="8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80"/>
        </w:trPr>
        <w:tc>
          <w:tcPr>
            <w:tcW w:w="40" w:type="dxa"/>
            <w:vAlign w:val="bottom"/>
          </w:tcPr>
          <w:p>
            <w:pPr>
              <w:spacing w:after="0"/>
              <w:rPr>
                <w:sz w:val="24"/>
                <w:szCs w:val="24"/>
                <w:color w:val="auto"/>
              </w:rPr>
            </w:pPr>
          </w:p>
        </w:tc>
        <w:tc>
          <w:tcPr>
            <w:tcW w:w="3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08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bl>
    <w:p>
      <w:pPr>
        <w:spacing w:after="0" w:line="200" w:lineRule="exact"/>
        <w:rPr>
          <w:sz w:val="20"/>
          <w:szCs w:val="20"/>
          <w:color w:val="auto"/>
        </w:rPr>
      </w:pPr>
    </w:p>
    <w:p>
      <w:pPr>
        <w:sectPr>
          <w:pgSz w:w="12240" w:h="15840" w:orient="portrait"/>
          <w:cols w:equalWidth="0" w:num="1">
            <w:col w:w="9820"/>
          </w:cols>
          <w:pgMar w:left="1180" w:top="292"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9820"/>
          </w:cols>
          <w:pgMar w:left="1180" w:top="292" w:right="124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Alignment Healthcare,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Alignment Healthcare, Inc. and subsidiaries (the “Company”) as of December 31, 2025 and 2024, the related consolidated statements of operations, changes in stockholders’ equity, and cash flows for each of the three years in the period ended December 31, 2025, and the related notes listed in the accompanying Index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b w:val="1"/>
          <w:bCs w:val="1"/>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26, 2026, expressed an unqualified opinion on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 on the critical audit matter or on the accounts or disclosures to which it relates.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expenses payable – Incurred but not paid claims - Refer to Notes 2 and 7 to the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 Description</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Medical expenses payable includes estimates of obligations for medical care services that have been rendered on behalf of Alignment's members and the members of contracted third party payors, but for which claims have either not yet been received or processed. These estimates are referred to as incurred but not yet paid (IBNP) claim liabilities, which totaled $297.4 million as of December 31, 2025, and includes an estimate for claims incurred but not reported (IBNR). The Company develops estimates for IBNR claim liability by using actuarial methods that requires management judgment in developing its estimates. These actuarial methods consider factors such as 1) historical data for payment patterns, 2) assumptions of cost trends related to the medical cost per member per month, and 3) completion factors to account for the time from date of service to claim receipt.</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identified the estimation of IBNR claim liability as a critical audit matter because of the significant assumptions made by management in estimating the liability. This required complex auditor judgment and an increased extent of effort, including the involvement of actuarial specialists in performing procedures to evaluate the reasonableness of management’s methods, assumptions and judgments in developing the estimate of the IBNR claim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the Critical Audit Matter Was Addressed in the Audit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IBNR claim liability included the following, among others:</w:t>
      </w:r>
    </w:p>
    <w:p>
      <w:pPr>
        <w:spacing w:after="0" w:line="215" w:lineRule="exact"/>
        <w:rPr>
          <w:sz w:val="20"/>
          <w:szCs w:val="20"/>
          <w:color w:val="auto"/>
        </w:rPr>
      </w:pPr>
    </w:p>
    <w:p>
      <w:pPr>
        <w:ind w:left="720" w:hanging="370"/>
        <w:spacing w:after="0"/>
        <w:tabs>
          <w:tab w:leader="none" w:pos="72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tested the effectiveness of controls over the Company’s actuarial process for estimating the IBNR claim liability..</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2240" w:h="15840" w:orient="portrait"/>
          <w:cols w:equalWidth="0" w:num="1">
            <w:col w:w="9880"/>
          </w:cols>
          <w:pgMar w:left="1180" w:top="304" w:right="11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9" w:lineRule="exact"/>
        <w:rPr>
          <w:sz w:val="20"/>
          <w:szCs w:val="20"/>
          <w:color w:val="auto"/>
        </w:rPr>
      </w:pPr>
    </w:p>
    <w:p>
      <w:pPr>
        <w:ind w:left="720" w:right="100" w:hanging="370"/>
        <w:spacing w:after="0" w:line="281" w:lineRule="auto"/>
        <w:tabs>
          <w:tab w:leader="none" w:pos="72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tested the underlying claims and membership data and other information that served as the basis for the actuarial analysis, to determine the inputs to the actuarial estimate were complete and accurate.</w:t>
      </w:r>
    </w:p>
    <w:p>
      <w:pPr>
        <w:spacing w:after="0" w:line="140" w:lineRule="exact"/>
        <w:rPr>
          <w:rFonts w:ascii="Arial" w:cs="Arial" w:eastAsia="Arial" w:hAnsi="Arial"/>
          <w:sz w:val="18"/>
          <w:szCs w:val="18"/>
          <w:b w:val="1"/>
          <w:bCs w:val="1"/>
          <w:color w:val="auto"/>
        </w:rPr>
      </w:pPr>
    </w:p>
    <w:p>
      <w:pPr>
        <w:ind w:left="720" w:right="100" w:hanging="370"/>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actuarial specialists, we evaluated the reasonableness of the actuarial methods and assumptions used by management to estimate the IBNR claim liability by:</w:t>
      </w:r>
    </w:p>
    <w:p>
      <w:pPr>
        <w:spacing w:after="0" w:line="189" w:lineRule="exact"/>
        <w:rPr>
          <w:rFonts w:ascii="Times New Roman" w:cs="Times New Roman" w:eastAsia="Times New Roman" w:hAnsi="Times New Roman"/>
          <w:sz w:val="18"/>
          <w:szCs w:val="18"/>
          <w:color w:val="auto"/>
        </w:rPr>
      </w:pPr>
    </w:p>
    <w:p>
      <w:pPr>
        <w:ind w:left="1440" w:right="240" w:hanging="370"/>
        <w:spacing w:after="0" w:line="281" w:lineRule="auto"/>
        <w:tabs>
          <w:tab w:leader="none" w:pos="1440" w:val="left"/>
        </w:tabs>
        <w:numPr>
          <w:ilvl w:val="1"/>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Performing an overlay of the historical claims data used in management’s actuarial model to the data used in prior periods to determine whether there were material changes to the claims data tested in prior periods.</w:t>
      </w:r>
    </w:p>
    <w:p>
      <w:pPr>
        <w:spacing w:after="0" w:line="146" w:lineRule="exact"/>
        <w:rPr>
          <w:rFonts w:ascii="Arial" w:cs="Arial" w:eastAsia="Arial" w:hAnsi="Arial"/>
          <w:sz w:val="18"/>
          <w:szCs w:val="18"/>
          <w:b w:val="1"/>
          <w:bCs w:val="1"/>
          <w:color w:val="auto"/>
        </w:rPr>
      </w:pPr>
    </w:p>
    <w:p>
      <w:pPr>
        <w:ind w:left="1440" w:hanging="370"/>
        <w:spacing w:after="0" w:line="281" w:lineRule="auto"/>
        <w:tabs>
          <w:tab w:leader="none" w:pos="1440" w:val="left"/>
        </w:tabs>
        <w:numPr>
          <w:ilvl w:val="1"/>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Performing a retrospective review comparing management’s prior year estimate of the IBNR claim liability to claims processed in 2025 with dates of service in 2024 and prior.</w:t>
      </w:r>
    </w:p>
    <w:p>
      <w:pPr>
        <w:spacing w:after="0" w:line="102" w:lineRule="exact"/>
        <w:rPr>
          <w:rFonts w:ascii="Arial" w:cs="Arial" w:eastAsia="Arial" w:hAnsi="Arial"/>
          <w:sz w:val="18"/>
          <w:szCs w:val="18"/>
          <w:b w:val="1"/>
          <w:bCs w:val="1"/>
          <w:color w:val="auto"/>
        </w:rPr>
      </w:pPr>
    </w:p>
    <w:p>
      <w:pPr>
        <w:ind w:left="1440" w:right="180" w:hanging="370"/>
        <w:spacing w:after="0" w:line="261" w:lineRule="auto"/>
        <w:tabs>
          <w:tab w:leader="none" w:pos="14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estimate of the IBNR claim liability and comparing our estimate to management’s estimate. Our independent estimate included development of per member per month claims cost trends and completion factors using management’s data, and comparison of these assumptions to current and historical claims trends and current industry benchmarks.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2240" w:h="15840" w:orient="portrait"/>
          <w:cols w:equalWidth="0" w:num="1">
            <w:col w:w="9880"/>
          </w:cols>
          <w:pgMar w:left="1180" w:top="304" w:right="11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145415</wp:posOffset>
            </wp:positionV>
            <wp:extent cx="6324600" cy="6651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6324600" cy="665162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1"/>
        </w:trPr>
        <w:tc>
          <w:tcPr>
            <w:tcW w:w="71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575,817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432,859</w:t>
            </w:r>
          </w:p>
        </w:tc>
        <w:tc>
          <w:tcPr>
            <w:tcW w:w="0" w:type="dxa"/>
            <w:vAlign w:val="bottom"/>
          </w:tcPr>
          <w:p>
            <w:pPr>
              <w:spacing w:after="0"/>
              <w:rPr>
                <w:sz w:val="1"/>
                <w:szCs w:val="1"/>
                <w:color w:val="auto"/>
              </w:rPr>
            </w:pPr>
          </w:p>
        </w:tc>
      </w:tr>
      <w:tr>
        <w:trPr>
          <w:trHeight w:val="239"/>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$833 at December 31, 2025 and $0 at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2024)</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153,904</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 current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0" w:type="dxa"/>
            <w:vAlign w:val="bottom"/>
          </w:tcPr>
          <w:p>
            <w:pPr>
              <w:spacing w:after="0"/>
              <w:rPr>
                <w:sz w:val="1"/>
                <w:szCs w:val="1"/>
                <w:color w:val="auto"/>
              </w:rPr>
            </w:pPr>
          </w:p>
        </w:tc>
      </w:tr>
      <w:tr>
        <w:trPr>
          <w:trHeight w:val="26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951,577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661,638</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67,139</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asset,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34,826</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4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1,065,786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782,063</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 payable</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474,569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0" w:type="dxa"/>
            <w:vAlign w:val="bottom"/>
          </w:tcPr>
          <w:p>
            <w:pPr>
              <w:spacing w:after="0"/>
              <w:rPr>
                <w:sz w:val="1"/>
                <w:szCs w:val="1"/>
                <w:color w:val="auto"/>
              </w:rPr>
            </w:pPr>
          </w:p>
        </w:tc>
      </w:tr>
      <w:tr>
        <w:trPr>
          <w:trHeight w:val="26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351,845</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886,509</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681,108</w:t>
            </w: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as of December 31, 2025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 no shares issued and outstanding as of December 31, 2025 and 2024</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 as of December 31, 2025 and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8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December 31, 2024; 204,153,619 and 191,778,639 shares issued and outstanding as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1,107,952</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(1,008,293)</w:t>
            </w:r>
          </w:p>
        </w:tc>
        <w:tc>
          <w:tcPr>
            <w:tcW w:w="0" w:type="dxa"/>
            <w:vAlign w:val="bottom"/>
          </w:tcPr>
          <w:p>
            <w:pPr>
              <w:spacing w:after="0"/>
              <w:rPr>
                <w:sz w:val="1"/>
                <w:szCs w:val="1"/>
                <w:color w:val="auto"/>
              </w:rPr>
            </w:pP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Alignment Healthcare, Inc. stockholders' equity</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99,851</w:t>
            </w:r>
          </w:p>
        </w:tc>
        <w:tc>
          <w:tcPr>
            <w:tcW w:w="0" w:type="dxa"/>
            <w:vAlign w:val="bottom"/>
          </w:tcPr>
          <w:p>
            <w:pPr>
              <w:spacing w:after="0"/>
              <w:rPr>
                <w:sz w:val="1"/>
                <w:szCs w:val="1"/>
                <w:color w:val="auto"/>
              </w:rPr>
            </w:pP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100,955</w:t>
            </w:r>
          </w:p>
        </w:tc>
        <w:tc>
          <w:tcPr>
            <w:tcW w:w="0" w:type="dxa"/>
            <w:vAlign w:val="bottom"/>
          </w:tcPr>
          <w:p>
            <w:pPr>
              <w:spacing w:after="0"/>
              <w:rPr>
                <w:sz w:val="1"/>
                <w:szCs w:val="1"/>
                <w:color w:val="auto"/>
              </w:rPr>
            </w:pPr>
          </w:p>
        </w:tc>
      </w:tr>
      <w:tr>
        <w:trPr>
          <w:trHeight w:val="245"/>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1,065,786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782,063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9900"/>
          </w:cols>
          <w:pgMar w:left="1180" w:top="304" w:right="116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145415</wp:posOffset>
            </wp:positionV>
            <wp:extent cx="6311900" cy="4368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6311900" cy="4368800"/>
                    </a:xfrm>
                    <a:prstGeom prst="rect">
                      <a:avLst/>
                    </a:prstGeom>
                    <a:noFill/>
                  </pic:spPr>
                </pic:pic>
              </a:graphicData>
            </a:graphic>
          </wp:anchor>
        </w:drawing>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5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65"/>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0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Earned premiums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2,671,931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1,800,933</w:t>
            </w: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22,697</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3,948,719</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2,703,561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1,823,630</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0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expenses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3,460,156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2,406,870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1,622,600</w:t>
            </w:r>
          </w:p>
        </w:tc>
      </w:tr>
      <w:tr>
        <w:trPr>
          <w:trHeight w:val="28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307,433</w:t>
            </w: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21,414</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3,933,967</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2,805,116</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1,951,447</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(127,817)</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0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r>
      <w:tr>
        <w:trPr>
          <w:trHeight w:val="28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(128,050)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(148,195)</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(148,173)</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Alignment Healthcare, Inc.</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(148,017)</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common shares outstanding - basic and diluted</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198,006,216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190,793,552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186,214,784</w:t>
            </w:r>
          </w:p>
        </w:tc>
      </w:tr>
      <w:tr>
        <w:trPr>
          <w:trHeight w:val="252"/>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Alignment Healthcare, Inc. - basic and diluted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2240" w:h="15840" w:orient="portrait"/>
          <w:cols w:equalWidth="0" w:num="1">
            <w:col w:w="9900"/>
          </w:cols>
          <w:pgMar w:left="1180" w:top="304" w:right="116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and share amounts)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60" w:type="dxa"/>
            <w:vAlign w:val="bottom"/>
          </w:tcPr>
          <w:p>
            <w:pPr>
              <w:spacing w:after="0"/>
              <w:rPr>
                <w:sz w:val="16"/>
                <w:szCs w:val="16"/>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6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187,280,015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970,180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(732,241)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239,302</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(148,017)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(148,173)</w:t>
            </w:r>
          </w:p>
        </w:tc>
        <w:tc>
          <w:tcPr>
            <w:tcW w:w="0" w:type="dxa"/>
            <w:vAlign w:val="bottom"/>
          </w:tcPr>
          <w:p>
            <w:pPr>
              <w:spacing w:after="0"/>
              <w:rPr>
                <w:sz w:val="1"/>
                <w:szCs w:val="1"/>
                <w:color w:val="auto"/>
              </w:rPr>
            </w:pPr>
          </w:p>
        </w:tc>
      </w:tr>
      <w:tr>
        <w:trPr>
          <w:trHeight w:val="212"/>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1,762,086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3480" w:type="dxa"/>
            <w:vAlign w:val="bottom"/>
          </w:tcPr>
          <w:p>
            <w:pPr>
              <w:jc w:val="center"/>
              <w:ind w:right="1360"/>
              <w:spacing w:after="0"/>
              <w:rPr>
                <w:sz w:val="20"/>
                <w:szCs w:val="20"/>
                <w:color w:val="auto"/>
              </w:rPr>
            </w:pPr>
            <w:r>
              <w:rPr>
                <w:rFonts w:ascii="Times New Roman" w:cs="Times New Roman" w:eastAsia="Times New Roman" w:hAnsi="Times New Roman"/>
                <w:sz w:val="16"/>
                <w:szCs w:val="16"/>
                <w:color w:val="auto"/>
                <w:w w:val="99"/>
              </w:rPr>
              <w:t>restricted stock units</w:t>
            </w: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(90,458)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66,835</w:t>
            </w:r>
          </w:p>
        </w:tc>
        <w:tc>
          <w:tcPr>
            <w:tcW w:w="0" w:type="dxa"/>
            <w:vAlign w:val="bottom"/>
          </w:tcPr>
          <w:p>
            <w:pPr>
              <w:spacing w:after="0"/>
              <w:rPr>
                <w:sz w:val="1"/>
                <w:szCs w:val="1"/>
                <w:color w:val="auto"/>
              </w:rPr>
            </w:pPr>
          </w:p>
        </w:tc>
      </w:tr>
      <w:tr>
        <w:trPr>
          <w:trHeight w:val="261"/>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 attributable to subsidiary</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29"/>
        </w:trPr>
        <w:tc>
          <w:tcPr>
            <w:tcW w:w="348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188,951,643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1,037,015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(880,258)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158,071</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(128,035)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(128,071)</w:t>
            </w:r>
          </w:p>
        </w:tc>
        <w:tc>
          <w:tcPr>
            <w:tcW w:w="0" w:type="dxa"/>
            <w:vAlign w:val="bottom"/>
          </w:tcPr>
          <w:p>
            <w:pPr>
              <w:spacing w:after="0"/>
              <w:rPr>
                <w:sz w:val="1"/>
                <w:szCs w:val="1"/>
                <w:color w:val="auto"/>
              </w:rPr>
            </w:pPr>
          </w:p>
        </w:tc>
      </w:tr>
      <w:tr>
        <w:trPr>
          <w:trHeight w:val="212"/>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2,885,424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stock units</w:t>
            </w: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withheld related to net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9"/>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w:t>
            </w: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61"/>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 attributable to subsidiary</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9"/>
        </w:trPr>
        <w:tc>
          <w:tcPr>
            <w:tcW w:w="348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191,778,639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1,107,952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(1,008,293)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100,955</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2"/>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11,277,430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stock units</w:t>
            </w: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62,070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62,082</w:t>
            </w:r>
          </w:p>
        </w:tc>
        <w:tc>
          <w:tcPr>
            <w:tcW w:w="0" w:type="dxa"/>
            <w:vAlign w:val="bottom"/>
          </w:tcPr>
          <w:p>
            <w:pPr>
              <w:spacing w:after="0"/>
              <w:rPr>
                <w:sz w:val="1"/>
                <w:szCs w:val="1"/>
                <w:color w:val="auto"/>
              </w:rPr>
            </w:pPr>
          </w:p>
        </w:tc>
      </w:tr>
      <w:tr>
        <w:trPr>
          <w:trHeight w:val="255"/>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1,097,827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18,068</w:t>
            </w:r>
          </w:p>
        </w:tc>
        <w:tc>
          <w:tcPr>
            <w:tcW w:w="0" w:type="dxa"/>
            <w:vAlign w:val="bottom"/>
          </w:tcPr>
          <w:p>
            <w:pPr>
              <w:spacing w:after="0"/>
              <w:rPr>
                <w:sz w:val="1"/>
                <w:szCs w:val="1"/>
                <w:color w:val="auto"/>
              </w:rPr>
            </w:pPr>
          </w:p>
        </w:tc>
      </w:tr>
      <w:tr>
        <w:trPr>
          <w:trHeight w:val="261"/>
        </w:trPr>
        <w:tc>
          <w:tcPr>
            <w:tcW w:w="3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consolidated subsidiary</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5"/>
        </w:trPr>
        <w:tc>
          <w:tcPr>
            <w:tcW w:w="348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204,153,619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(1,009,017)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179,277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-4012565</wp:posOffset>
            </wp:positionV>
            <wp:extent cx="6324600" cy="4032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6324600" cy="403225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2240" w:h="15840" w:orient="portrait"/>
          <w:cols w:equalWidth="0" w:num="1">
            <w:col w:w="9900"/>
          </w:cols>
          <w:pgMar w:left="1180" w:top="304" w:right="11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ectPr>
          <w:pgSz w:w="12240" w:h="15840" w:orient="portrait"/>
          <w:cols w:equalWidth="0" w:num="1">
            <w:col w:w="9620"/>
          </w:cols>
          <w:pgMar w:left="1180" w:top="3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71</w:t>
      </w:r>
    </w:p>
    <w:p>
      <w:pPr>
        <w:sectPr>
          <w:pgSz w:w="12240" w:h="15840" w:orient="portrait"/>
          <w:cols w:equalWidth="0" w:num="1">
            <w:col w:w="9620"/>
          </w:cols>
          <w:pgMar w:left="1180" w:top="304" w:right="14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234315</wp:posOffset>
            </wp:positionV>
            <wp:extent cx="6324600" cy="8474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6324600" cy="847407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(148,173)</w:t>
            </w:r>
          </w:p>
        </w:tc>
        <w:tc>
          <w:tcPr>
            <w:tcW w:w="0" w:type="dxa"/>
            <w:vAlign w:val="bottom"/>
          </w:tcPr>
          <w:p>
            <w:pPr>
              <w:spacing w:after="0"/>
              <w:rPr>
                <w:sz w:val="1"/>
                <w:szCs w:val="1"/>
                <w:color w:val="auto"/>
              </w:rPr>
            </w:pPr>
          </w:p>
        </w:tc>
      </w:tr>
      <w:tr>
        <w:trPr>
          <w:trHeight w:val="239"/>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right of use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Amortization-debt issuance costs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Amortization-investment discount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66,835</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0" w:type="dxa"/>
            <w:vAlign w:val="bottom"/>
          </w:tcPr>
          <w:p>
            <w:pPr>
              <w:spacing w:after="0"/>
              <w:rPr>
                <w:sz w:val="1"/>
                <w:szCs w:val="1"/>
                <w:color w:val="auto"/>
              </w:rPr>
            </w:pPr>
          </w:p>
        </w:tc>
      </w:tr>
      <w:tr>
        <w:trPr>
          <w:trHeight w:val="28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8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Medical expenses payable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0" w:type="dxa"/>
            <w:vAlign w:val="bottom"/>
          </w:tcPr>
          <w:p>
            <w:pPr>
              <w:spacing w:after="0"/>
              <w:rPr>
                <w:sz w:val="1"/>
                <w:szCs w:val="1"/>
                <w:color w:val="auto"/>
              </w:rPr>
            </w:pPr>
          </w:p>
        </w:tc>
      </w:tr>
      <w:tr>
        <w:trPr>
          <w:trHeight w:val="28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28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90"/>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65"/>
        </w:trPr>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139,927</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investments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(379,058)</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267,790</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 of business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 net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(35,995)</w:t>
            </w:r>
          </w:p>
        </w:tc>
        <w:tc>
          <w:tcPr>
            <w:tcW w:w="0" w:type="dxa"/>
            <w:vAlign w:val="bottom"/>
          </w:tcPr>
          <w:p>
            <w:pPr>
              <w:spacing w:after="0"/>
              <w:rPr>
                <w:sz w:val="1"/>
                <w:szCs w:val="1"/>
                <w:color w:val="auto"/>
              </w:rPr>
            </w:pPr>
          </w:p>
        </w:tc>
      </w:tr>
      <w:tr>
        <w:trPr>
          <w:trHeight w:val="265"/>
        </w:trPr>
        <w:tc>
          <w:tcPr>
            <w:tcW w:w="6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(147,263)</w:t>
            </w: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employment taxes related to release of restricted stock</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noncontrolling interest holders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5"/>
        </w:trPr>
        <w:tc>
          <w:tcPr>
            <w:tcW w:w="6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142,994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229,989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(206,345)</w:t>
            </w:r>
          </w:p>
        </w:tc>
        <w:tc>
          <w:tcPr>
            <w:tcW w:w="0" w:type="dxa"/>
            <w:vAlign w:val="bottom"/>
          </w:tcPr>
          <w:p>
            <w:pPr>
              <w:spacing w:after="0"/>
              <w:rPr>
                <w:sz w:val="1"/>
                <w:szCs w:val="1"/>
                <w:color w:val="auto"/>
              </w:rPr>
            </w:pPr>
          </w:p>
        </w:tc>
      </w:tr>
      <w:tr>
        <w:trPr>
          <w:trHeight w:val="29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434,943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204,954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411,299</w:t>
            </w:r>
          </w:p>
        </w:tc>
        <w:tc>
          <w:tcPr>
            <w:tcW w:w="0" w:type="dxa"/>
            <w:vAlign w:val="bottom"/>
          </w:tcPr>
          <w:p>
            <w:pPr>
              <w:spacing w:after="0"/>
              <w:rPr>
                <w:sz w:val="1"/>
                <w:szCs w:val="1"/>
                <w:color w:val="auto"/>
              </w:rPr>
            </w:pP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434,943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204,954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0" w:type="dxa"/>
            <w:vAlign w:val="bottom"/>
          </w:tcPr>
          <w:p>
            <w:pPr>
              <w:spacing w:after="0"/>
              <w:rPr>
                <w:sz w:val="1"/>
                <w:szCs w:val="1"/>
                <w:color w:val="auto"/>
              </w:rPr>
            </w:pPr>
          </w:p>
        </w:tc>
      </w:tr>
      <w:tr>
        <w:trPr>
          <w:trHeight w:val="266"/>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property in accounts payable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85"/>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 in accounts payable</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2240" w:h="15840" w:orient="portrait"/>
          <w:cols w:equalWidth="0" w:num="1">
            <w:col w:w="9900"/>
          </w:cols>
          <w:pgMar w:left="1180" w:top="304" w:right="116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324600" cy="869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6324600" cy="869950"/>
                    </a:xfrm>
                    <a:prstGeom prst="rect">
                      <a:avLst/>
                    </a:prstGeom>
                    <a:noFill/>
                  </pic:spPr>
                </pic:pic>
              </a:graphicData>
            </a:graphic>
          </wp:anchor>
        </w:drawing>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7"/>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202,904</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 other assets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204,954</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2240" w:h="15840" w:orient="portrait"/>
          <w:cols w:equalWidth="0" w:num="1">
            <w:col w:w="9900"/>
          </w:cols>
          <w:pgMar w:left="1180" w:top="304" w:right="116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Alignment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Alignment Healthcare, Inc. (collectively, “we” or “us” or “our” or the “Company”), is a next generation, consumer-centric and clinically focused platform designed to improve the healthcare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The Company’s operations primarily consist of Medicare Advantage Plans in the states of California, North Carolina, Nevada, Arizona and Texas.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and accompanying notes have been prepared in accordance with accounting principles generally accepted in the United States of America (“U.S. GAAP”). The consolidated financial statements include the accounts of the Company, our subsidiaries, and three immaterial variable interest entities in which we are the primary beneficiary. All intercompany transactions have been eliminated in consolidation. Noncontrolling interest is presented within the equity section of the consolidated balance sheets. As of December 31, 2025, the Company sold the subsidiary that included the noncontrolling interest. The gain/loss on the sale was immaterial.</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 components of other comprehensive income (loss), and accordingly, comprehensive income (loss) is the same as the net loss for all periods presented.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judgments that affect the amounts reported in the consolidated financial statements. Our significant estimates include, but are not limited to, the determination of medical expenses payable; the impact of risk adjustment provisions related to our Medicare contracts; collectability of receivables; valuation of related impairment recognition of long-lived assets, including goodwill and intangible assets; equity-based compensation expense; and contingent liabilities. Estimates and judgments are based upon historical information and on various other assumptions that are believed to be reasonable under the circumstances. Actual results could differ materially from those estimates and the impact of any change in estimates is included in earnings in the period in which the estimate is adjusted.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determined that our chief executive officer is the chief operating decision maker (“CODM”) who regularly reviews financial operating results on a consolidated basis for purposes of allocating resources and evaluating financial performance. We operate and manage the business as one reportable segment and one operating segment, which is to provide healthcare services to our seniors. Factors used in determining the reportable segment include the nature of operating activities, our organizational and reporting structure, and the type of information reviewed by the CODM to allocate resources and evaluate financial performance. All of our assets are located in the United States.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CODM assesses the Company's performance by using consolidated net loss which is reported on the consolidated statements of operations as net loss. This measure is used predominantly by the CODM in the annual budget and forecasting process. The CODM considers budget-to-actual variances on a quarterly basis when making decisions about the allocation of operating and capital resources for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net loss, the CODM is also provided information on certain significant segment expenses which are presented below:</w:t>
      </w:r>
    </w:p>
    <w:p>
      <w:pPr>
        <w:sectPr>
          <w:pgSz w:w="12240" w:h="15840" w:orient="portrait"/>
          <w:cols w:equalWidth="0" w:num="1">
            <w:col w:w="9860"/>
          </w:cols>
          <w:pgMar w:left="1180" w:top="30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2240" w:h="15840" w:orient="portrait"/>
          <w:cols w:equalWidth="0" w:num="1">
            <w:col w:w="9860"/>
          </w:cols>
          <w:pgMar w:left="1180" w:top="304" w:right="1200" w:bottom="0" w:gutter="0" w:footer="0" w:header="0"/>
          <w:type w:val="continuous"/>
        </w:sectPr>
      </w:pPr>
    </w:p>
    <w:bookmarkStart w:id="78" w:name="page79"/>
    <w:bookmarkEnd w:id="78"/>
    <w:tbl>
      <w:tblPr>
        <w:tblLayout w:type="fixed"/>
        <w:tblInd w:w="1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65"/>
        </w:trPr>
        <w:tc>
          <w:tcPr>
            <w:tcW w:w="12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3,948,719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2,703,561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1,823,630</w:t>
            </w:r>
          </w:p>
        </w:tc>
      </w:tr>
      <w:tr>
        <w:trPr>
          <w:trHeight w:val="269"/>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1"/>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Medical expenses (less depreciation and equity-based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3,453,944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2,401,750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1,614,805</w:t>
            </w:r>
          </w:p>
        </w:tc>
      </w:tr>
      <w:tr>
        <w:trPr>
          <w:trHeight w:val="239"/>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 (less equity-based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305,172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248,139</w:t>
            </w:r>
          </w:p>
        </w:tc>
      </w:tr>
      <w:tr>
        <w:trPr>
          <w:trHeight w:val="319"/>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87,628</w:t>
            </w:r>
          </w:p>
        </w:tc>
      </w:tr>
      <w:tr>
        <w:trPr>
          <w:trHeight w:val="256"/>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21,231</w:t>
            </w:r>
          </w:p>
        </w:tc>
      </w:tr>
      <w:tr>
        <w:trPr>
          <w:trHeight w:val="24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(148,173)</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-1783715</wp:posOffset>
            </wp:positionV>
            <wp:extent cx="6324600" cy="1803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6324600" cy="1803400"/>
                    </a:xfrm>
                    <a:prstGeom prst="rect">
                      <a:avLst/>
                    </a:prstGeom>
                    <a:noFill/>
                  </pic:spPr>
                </pic:pic>
              </a:graphicData>
            </a:graphic>
          </wp:anchor>
        </w:drawing>
      </w:r>
    </w:p>
    <w:p>
      <w:pPr>
        <w:spacing w:after="0" w:line="126" w:lineRule="exact"/>
        <w:rPr>
          <w:sz w:val="20"/>
          <w:szCs w:val="20"/>
          <w:color w:val="auto"/>
        </w:rPr>
      </w:pPr>
    </w:p>
    <w:p>
      <w:pPr>
        <w:ind w:left="10" w:right="200" w:hanging="10"/>
        <w:spacing w:after="0" w:line="282" w:lineRule="auto"/>
        <w:tabs>
          <w:tab w:leader="none" w:pos="20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net loss includes equity-based compensation, depreciation and amortization, other expenses (income), and provision for income tax expenses (benefit).</w:t>
      </w:r>
    </w:p>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16" w:lineRule="exact"/>
        <w:rPr>
          <w:sz w:val="20"/>
          <w:szCs w:val="20"/>
          <w:color w:val="auto"/>
        </w:rPr>
      </w:pPr>
    </w:p>
    <w:p>
      <w:pPr>
        <w:ind w:left="10" w:right="80"/>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Our current assets and current liabilities approximate fair value because of the short-term nature of these financial instruments. Financial instruments measured at fair value on a recurring basis were based upon a three-tier hierarchy as follows:</w:t>
      </w:r>
    </w:p>
    <w:p>
      <w:pPr>
        <w:spacing w:after="0" w:line="1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09" w:lineRule="exact"/>
        <w:rPr>
          <w:sz w:val="20"/>
          <w:szCs w:val="20"/>
          <w:color w:val="auto"/>
        </w:rPr>
      </w:pPr>
    </w:p>
    <w:p>
      <w:pPr>
        <w:ind w:left="1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w:t>
      </w:r>
      <w:r>
        <w:rPr>
          <w:rFonts w:ascii="Times New Roman" w:cs="Times New Roman" w:eastAsia="Times New Roman" w:hAnsi="Times New Roman"/>
          <w:sz w:val="18"/>
          <w:szCs w:val="18"/>
          <w:color w:val="auto"/>
        </w:rPr>
        <w:t>- Other inputs that are observable for the asset or liability, either directly or indirectly, for substantially the full term of the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liability</w:t>
      </w:r>
    </w:p>
    <w:p>
      <w:pPr>
        <w:spacing w:after="0" w:line="139" w:lineRule="exact"/>
        <w:rPr>
          <w:sz w:val="20"/>
          <w:szCs w:val="20"/>
          <w:color w:val="auto"/>
        </w:rPr>
      </w:pPr>
    </w:p>
    <w:p>
      <w:pPr>
        <w:ind w:left="1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3 </w:t>
      </w:r>
      <w:r>
        <w:rPr>
          <w:rFonts w:ascii="Times New Roman" w:cs="Times New Roman" w:eastAsia="Times New Roman" w:hAnsi="Times New Roman"/>
          <w:sz w:val="18"/>
          <w:szCs w:val="18"/>
          <w:color w:val="auto"/>
        </w:rPr>
        <w:t>- Unobservable inputs that reflect management’s best estimate of what market participants would use in pricing the asset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liability at the measurement date</w:t>
      </w:r>
    </w:p>
    <w:p>
      <w:pPr>
        <w:spacing w:after="0" w:line="143" w:lineRule="exact"/>
        <w:rPr>
          <w:sz w:val="20"/>
          <w:szCs w:val="20"/>
          <w:color w:val="auto"/>
        </w:rPr>
      </w:pPr>
    </w:p>
    <w:p>
      <w:pPr>
        <w:ind w:left="10" w:right="200"/>
        <w:spacing w:after="0" w:line="261" w:lineRule="auto"/>
        <w:rPr>
          <w:sz w:val="20"/>
          <w:szCs w:val="20"/>
          <w:color w:val="auto"/>
        </w:rPr>
      </w:pPr>
      <w:r>
        <w:rPr>
          <w:rFonts w:ascii="Times New Roman" w:cs="Times New Roman" w:eastAsia="Times New Roman" w:hAnsi="Times New Roman"/>
          <w:sz w:val="18"/>
          <w:szCs w:val="18"/>
          <w:color w:val="auto"/>
        </w:rPr>
        <w:t>The fair value of cash, cash equivalents, restricted cash and U.S. Treasury bills was determined based on Level 1 inputs. The fair value of the convertible senior notes and certificate of deposits, which are recorded in long-term debt and other assets in the consolidated balance sheets, respectively, were determined based on Level 2 inputs. There were no assets or liabilities measured at fair value using Level 3 inputs as of December 31, 2025 and December 31, 2024. Our long-term debt was reported at carrying value.</w:t>
      </w:r>
    </w:p>
    <w:p>
      <w:pPr>
        <w:spacing w:after="0" w:line="1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Revenue and Accounts Receivable</w:t>
      </w:r>
    </w:p>
    <w:p>
      <w:pPr>
        <w:spacing w:after="0" w:line="216" w:lineRule="exact"/>
        <w:rPr>
          <w:sz w:val="20"/>
          <w:szCs w:val="20"/>
          <w:color w:val="auto"/>
        </w:rPr>
      </w:pPr>
    </w:p>
    <w:p>
      <w:pPr>
        <w:ind w:left="10" w:right="60"/>
        <w:spacing w:after="0" w:line="282" w:lineRule="auto"/>
        <w:rPr>
          <w:sz w:val="20"/>
          <w:szCs w:val="20"/>
          <w:color w:val="auto"/>
        </w:rPr>
      </w:pPr>
      <w:r>
        <w:rPr>
          <w:rFonts w:ascii="Times New Roman" w:cs="Times New Roman" w:eastAsia="Times New Roman" w:hAnsi="Times New Roman"/>
          <w:sz w:val="18"/>
          <w:szCs w:val="18"/>
          <w:color w:val="auto"/>
        </w:rPr>
        <w:t>Earned premium revenue consisting of premium revenue and capitation revenue for the years ended December 31, 2025,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114935</wp:posOffset>
            </wp:positionV>
            <wp:extent cx="6324600" cy="917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6324600" cy="917575"/>
                    </a:xfrm>
                    <a:prstGeom prst="rect">
                      <a:avLst/>
                    </a:prstGeom>
                    <a:noFill/>
                  </pic:spPr>
                </pic:pic>
              </a:graphicData>
            </a:graphic>
          </wp:anchor>
        </w:drawing>
      </w:r>
    </w:p>
    <w:p>
      <w:pPr>
        <w:spacing w:after="0" w:line="20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Premium</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3,906,651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2,666,813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1,668,131</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Capitation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132,802</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2,671,931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1,800,933</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18"/>
          <w:szCs w:val="18"/>
          <w:color w:val="auto"/>
        </w:rPr>
        <w:t>Premium revenue is derived monthly from the federal government based on our contracts with the Centers for Medicare and Medicaid Services (“CMS”). In accordance with these arrangements, we assume the responsibility for the outcomes and the economic risk of funding our members’ health care, supplemental benefits and related administration costs. We recognize premium revenue in the month that members are entitled to receive health care services, and premiums collected in advance are deferred. The monthly reimbursement includes a fixed payment per member per month (“PMPM”), which is adjusted based on certain risk factors derived from medical diagnoses and conditions of our members. The adjustments are estimated by projecting the ultimate annual premium and are recognized ratably during the year, with adjustments each period to reflect changes in the estimated ultimate premium. Premiums are also recorded net of estimated uncollectible amounts and retroactive membership adjustments.</w:t>
      </w:r>
    </w:p>
    <w:p>
      <w:pPr>
        <w:spacing w:after="0" w:line="176" w:lineRule="exact"/>
        <w:rPr>
          <w:sz w:val="20"/>
          <w:szCs w:val="20"/>
          <w:color w:val="auto"/>
        </w:rPr>
      </w:pPr>
    </w:p>
    <w:p>
      <w:pPr>
        <w:ind w:left="10" w:right="380"/>
        <w:spacing w:after="0" w:line="282" w:lineRule="auto"/>
        <w:rPr>
          <w:sz w:val="20"/>
          <w:szCs w:val="20"/>
          <w:color w:val="auto"/>
        </w:rPr>
      </w:pPr>
      <w:r>
        <w:rPr>
          <w:rFonts w:ascii="Times New Roman" w:cs="Times New Roman" w:eastAsia="Times New Roman" w:hAnsi="Times New Roman"/>
          <w:sz w:val="18"/>
          <w:szCs w:val="18"/>
          <w:color w:val="auto"/>
        </w:rPr>
        <w:t>Capitation revenue consists primarily of capitated fees for medical care services provided by us under arrangements with third-party payors.</w:t>
      </w:r>
    </w:p>
    <w:p>
      <w:pPr>
        <w:spacing w:after="0" w:line="146" w:lineRule="exact"/>
        <w:rPr>
          <w:sz w:val="20"/>
          <w:szCs w:val="20"/>
          <w:color w:val="auto"/>
        </w:rPr>
      </w:pPr>
    </w:p>
    <w:p>
      <w:pPr>
        <w:ind w:left="10" w:right="140"/>
        <w:spacing w:after="0" w:line="289" w:lineRule="auto"/>
        <w:rPr>
          <w:sz w:val="20"/>
          <w:szCs w:val="20"/>
          <w:color w:val="auto"/>
        </w:rPr>
      </w:pPr>
      <w:r>
        <w:rPr>
          <w:rFonts w:ascii="Times New Roman" w:cs="Times New Roman" w:eastAsia="Times New Roman" w:hAnsi="Times New Roman"/>
          <w:sz w:val="17"/>
          <w:szCs w:val="17"/>
          <w:color w:val="auto"/>
        </w:rPr>
        <w:t>Under those arrangements with third-party payors, we receive a PMPM payment for a defined member population, and we are responsible for providing health care services to the member population over the contract period. We are solely responsible for the cost of health care services related to the member population and in some cases, we are financially responsible for the supplemental benefits</w:t>
      </w:r>
    </w:p>
    <w:p>
      <w:pPr>
        <w:sectPr>
          <w:pgSz w:w="12240" w:h="15840" w:orient="portrait"/>
          <w:cols w:equalWidth="0" w:num="1">
            <w:col w:w="9910"/>
          </w:cols>
          <w:pgMar w:left="1170" w:top="292" w:right="1160" w:bottom="0" w:gutter="0" w:footer="0" w:header="0"/>
        </w:sectPr>
      </w:pPr>
    </w:p>
    <w:p>
      <w:pPr>
        <w:spacing w:after="0" w:line="3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9910"/>
          </w:cols>
          <w:pgMar w:left="1170" w:top="292" w:right="11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provided by us to the members. We act as a principal in arranging for and controlling the services provided by our provider network and we are at risk for arranging and providing health care services.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premium and capitation payments we receive monthly from CMS for our members are determined from our annual bid or similarly from third-party payors under our capitation arrangement. These payments represent revenues for providing health care coverage, including Medicare Part D benefits. Under the Medicare Part D program, our members and the members of the third-party payors receive standard drug benefits. We may also provide enhanced benefits at our own expense. We recognize premium or capitation revenue for providing this insurance coverage in the month that members are entitled to receive health care services and any premium or capitation collected in advance is deferred. Our CMS payment related to Medicare Part D is subject to risk sharing through the Medicare Part D risk corridor provisions.</w:t>
      </w:r>
    </w:p>
    <w:p>
      <w:pPr>
        <w:spacing w:after="0" w:line="17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also participated in the CMS “ACO Realizing Equity, Access, and Community Health Model” or “ACO REACH” model, formerly the Direct Contracting Model ("DCE"). CMS serves as the claim adjudicator for institutional and specialists care, and directly pays for such fee for service claims. The ACO REACH entity ("ACO") is responsible for the cost of health care services related to the patient population attributed to the ACO by participating in 100% savings/losses via the risk share model and in some cases, are financially responsible for the supplemental benefits provided to the patients. In 2024, we entered into a management services and risk management agreement with a third-party healthcare company. The third-party is responsible for arranging and controlling the health care services provided to the ACO members, and for providing certain management and support services with respect to ACO operations. The third-party also assumes specified upside and downside financial risks relative to the ACO’s performance. As a result of this arrangement, revenue is recorded on a net basis within other revenue on the consolidated statement of operations. Revenue recognized by the ACO for the year ended December 31, 2025 and 2024 was $1,244 and $984, respectively. We discontinued our participation in the ACO REACH model as of December 31, 2025. We expect this to have an immaterial impact to our financial results.</w:t>
      </w:r>
    </w:p>
    <w:p>
      <w:pPr>
        <w:spacing w:after="0" w:line="176"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Interest income earned on our cash deposits and short-term investments is included within other revenue on the consolidated statements of operations. Interest income for the years ended December 31, 2025, 2024 and 2023 was $29,111, $23,986 and $19,586,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Adjustments</w:t>
      </w:r>
    </w:p>
    <w:p>
      <w:pPr>
        <w:spacing w:after="0" w:line="21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Payments by CMS to health plans are determined via a competitive bidding process with CMS and are based upon the cost of care in a local market and the average utilization of services by the member enrolled. These payments are subject to periodic adjustments under CMS’ “risk adjustment model,” which compensates health plans based on the health severity and certain demographic factors of each individual member. Members diagnosed with certain conditions are paid at a higher monthly payment than members who are healthier. Under this risk adjustment model, CMS calculates the risk adjustment payment using diagnosis data from hospital inpatient, hospital outpatient, and physician treatment settings. The Company and health care providers collect, capture, and submit the necessary and available diagnosis data to CMS within prescribed deadlines. Both premium and capitation revenues (including Medicare Part D) are subject to adjustments under the risk adjustment model.</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Throughout the year, we estimate risk adjustment payments based upon the diagnosis data submitted and expected to be submitted to CMS. Those estimated risk adjustment payments are recorded as an adjustment to premium and capitation revenue. Our risk adjustment data is also subject to review by the government, including audit by regulators.</w:t>
      </w:r>
    </w:p>
    <w:p>
      <w:pPr>
        <w:spacing w:after="0" w:line="16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recognized premium revenue for our Medicare Advantage Plans are each subject to a minimum annual medical loss ratio (“MLR”) of 85%. The MLR represents medical costs as a percentage of premium revenue. The Code of Federal Regulations defines what constitutes medical costs and premium revenue, including certain additional expenses related to improving the quality of care provided, and the exclusion of certain taxes and fees, in each case as permitted or required by CMS and applicable regulatory requirements. If the minimum MLR is not met, we are required to remit a portion of the premiums back to the federal government. The amount remitted, if any, is recognized as an adjustment to premium revenues in the consolidated statements of operations. The amounts payable under this provision were immaterial at December 31, 2025 and December 31, 2024.</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Medicare Part D payments are also subject to a federal risk corridor program, which limits a health plan’s overall losses or profit if actual spending for basic Medicare Part D benefits is much higher or lower than what was anticipated. Risk corridor adjustments are recorded within premium revenue. The risk corridor provisions compare costs targeted in our bids or third-party payors’ bids to actual prescription drug costs, limited to actual costs that would have been incurred under the standard coverage as defined by CMS. Variances exceeding certain thresholds may result in CMS or third-party payors making additional payments to us or require us to refund a portion of the premiums we received. We estimate and recognize an adjustment to premium revenue related to these provisions based upon pharmacy claims experience. We record a receivable or payable at the contract level and classify the amount as current or long-term in our consolidated balance sheets based on the timing of expected settlement.</w:t>
      </w:r>
    </w:p>
    <w:p>
      <w:pPr>
        <w:spacing w:after="0" w:line="176"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color w:val="auto"/>
        </w:rPr>
        <w:t>Receivables, including risk adjusted premium due from the government or through third-party payors, pharmacy rebates, and other receivables, are shown net of allowances for credit losses and retroactive membership adjustments.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includes currency on hand with banks and financial institutions. We consider short-term investments with an original maturity of three months or less at the date of purchase to be cash equivalents. Carrying value approximates fair value due to the short-term maturity of the investments.</w:t>
      </w:r>
    </w:p>
    <w:p>
      <w:pPr>
        <w:sectPr>
          <w:pgSz w:w="12240" w:h="15840" w:orient="portrait"/>
          <w:cols w:equalWidth="0" w:num="1">
            <w:col w:w="9900"/>
          </w:cols>
          <w:pgMar w:left="1180" w:top="304" w:right="1160" w:bottom="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2240" w:h="15840" w:orient="portrait"/>
          <w:cols w:equalWidth="0" w:num="1">
            <w:col w:w="9900"/>
          </w:cols>
          <w:pgMar w:left="1180" w:top="304" w:right="11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Investment securities are classified as held-to-maturity or available-for-sale at the time of purchase. Investment securities classified as held-to-maturity, which management has the positive intent and ability to hold to maturity, are reported at amortized cost. Investments with maturities of less than one year are classified as short-term.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Other Long-Term Assets</w:t>
      </w:r>
    </w:p>
    <w:p>
      <w:pPr>
        <w:spacing w:after="0" w:line="2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Restricted assets are composed of restricted cash and investments in US Treasury bills and certificate of deposits. The Company intends to hold its investments until maturity; therefore, these investments are stated at amortized cost. Premiums and discounts, if any, are amortized or accreted as interest expense or income over the life of the related asset using the effective interest method. As of December 31, 2025 and 2024, all investments had maturities with less than 12 months.</w:t>
      </w:r>
    </w:p>
    <w:p>
      <w:pPr>
        <w:spacing w:after="0" w:line="164"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Restricted assets are required to be maintained at a financial institution within certain states. Due to the nature of the state’s requirements, these assets are classified as noncurrent assets regardless of the contractual maturity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Equipment—Net</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net of accumulated depreciation. Expenditures for repairs and maintenance that do not improve or extend the life of the assets are expensed when incurred. Costs and the related accumulated depreciation are removed when property and equipment are sold or otherwise disposed of, and any resulting gains or losses are reflected in the consolidated statement of operations.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Software development activities typically consist of three phases: (1) planning, (2) application and infrastructure development, and (3) post implementation. Costs incurred in the planning and post implementation phases, including post-configuration training and repairs and maintenance, are expensed as incurred. Costs incurred in the application and infrastructure development phases, including significant enhancements and upgrades, are capitalized once the planning phase is completed and management authorizes the project to commence. Those costs include, but are not limited to, salaries and benefit expenses for employees who are directly associated with the development projects and outside contractor expenses. Software development costs that do not qualify for capitalization are expensed as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computed using the straight-line method generally based on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11900" cy="1149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6311900" cy="1149350"/>
                    </a:xfrm>
                    <a:prstGeom prst="rect">
                      <a:avLst/>
                    </a:prstGeom>
                    <a:noFill/>
                  </pic:spPr>
                </pic:pic>
              </a:graphicData>
            </a:graphic>
          </wp:anchor>
        </w:drawing>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6"/>
                <w:szCs w:val="16"/>
                <w:b w:val="1"/>
                <w:bCs w:val="1"/>
                <w:color w:val="auto"/>
              </w:rPr>
              <w:t>Estimated Service Lives</w:t>
            </w:r>
          </w:p>
        </w:tc>
        <w:tc>
          <w:tcPr>
            <w:tcW w:w="0" w:type="dxa"/>
            <w:vAlign w:val="bottom"/>
          </w:tcPr>
          <w:p>
            <w:pPr>
              <w:spacing w:after="0"/>
              <w:rPr>
                <w:sz w:val="1"/>
                <w:szCs w:val="1"/>
                <w:color w:val="auto"/>
              </w:rPr>
            </w:pPr>
          </w:p>
        </w:tc>
      </w:tr>
      <w:tr>
        <w:trPr>
          <w:trHeight w:val="212"/>
        </w:trPr>
        <w:tc>
          <w:tcPr>
            <w:tcW w:w="5120" w:type="dxa"/>
            <w:vAlign w:val="bottom"/>
            <w:vMerge w:val="continue"/>
          </w:tcPr>
          <w:p>
            <w:pPr>
              <w:spacing w:after="0"/>
              <w:rPr>
                <w:sz w:val="18"/>
                <w:szCs w:val="18"/>
                <w:color w:val="auto"/>
              </w:rPr>
            </w:pP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8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equipment</w:t>
            </w: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8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85"/>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20" w:type="dxa"/>
            <w:vAlign w:val="bottom"/>
          </w:tcPr>
          <w:p>
            <w:pPr>
              <w:jc w:val="center"/>
              <w:ind w:left="2813"/>
              <w:spacing w:after="0"/>
              <w:rPr>
                <w:sz w:val="20"/>
                <w:szCs w:val="20"/>
                <w:color w:val="auto"/>
              </w:rPr>
            </w:pPr>
            <w:r>
              <w:rPr>
                <w:rFonts w:ascii="Times New Roman" w:cs="Times New Roman" w:eastAsia="Times New Roman" w:hAnsi="Times New Roman"/>
                <w:sz w:val="18"/>
                <w:szCs w:val="18"/>
                <w:color w:val="auto"/>
              </w:rPr>
              <w:t>15 (or lease term, if</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4520" w:type="dxa"/>
            <w:vAlign w:val="bottom"/>
          </w:tcPr>
          <w:p>
            <w:pPr>
              <w:jc w:val="center"/>
              <w:ind w:left="2793"/>
              <w:spacing w:after="0"/>
              <w:rPr>
                <w:sz w:val="20"/>
                <w:szCs w:val="20"/>
                <w:color w:val="auto"/>
              </w:rPr>
            </w:pPr>
            <w:r>
              <w:rPr>
                <w:rFonts w:ascii="Times New Roman" w:cs="Times New Roman" w:eastAsia="Times New Roman" w:hAnsi="Times New Roman"/>
                <w:sz w:val="18"/>
                <w:szCs w:val="18"/>
                <w:color w:val="auto"/>
                <w:w w:val="99"/>
              </w:rPr>
              <w:t>shorter)</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used to service our members or at our clinics are included within medical expenses in the consolidated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evaluate each lease arrangement to determine whether the lease is an operating or financing lease. ROU assets and lease liabilities are recognized at commencement date based on the present value of the future minimum lease payments over the lease term. ROU assets include upfront payments, if any, and excludes lease incentives. The lease terms may include options to extend or terminate the lease when it is reasonably certain that we will exercise that option.</w:t>
      </w:r>
    </w:p>
    <w:p>
      <w:pPr>
        <w:spacing w:after="0" w:line="16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We utilize our incremental borrowing rate to determine the present value of the lease payments if an interest rate is not implicit in the lease. Expenses for our operating and finance leases are recognized on a straight-line basis over the lease term and are recorded as selling, general and administrative expenses for operating leases and as depreciation expense and interest expense for finance leases.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1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Intangible assets are classified into three categories: (1) goodwill, (2) indefinite-lived intangible assets, and (3) definite-lived intangible assets.</w:t>
      </w:r>
    </w:p>
    <w:p>
      <w:pPr>
        <w:spacing w:after="0" w:line="14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For definite-lived intangible assets, we determine the useful lives of intangible assets after considering each asset’s specific facts and circumstances. Intangible assets that are determined to have definite lives are amortized on a straight-line basis over their useful lives.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2240" w:h="15840" w:orient="portrait"/>
          <w:cols w:equalWidth="0" w:num="1">
            <w:col w:w="9900"/>
          </w:cols>
          <w:pgMar w:left="1180" w:top="304" w:right="116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Goodwill and indefinite-lived assets are tested for impairment on an annual basis and more frequently if indicators of impairment are present. Impairment tests are performed, at a minimum, in the fourth quarter of each year supported by our long-range business plan and annual planning process.</w:t>
      </w:r>
    </w:p>
    <w:p>
      <w:pPr>
        <w:spacing w:after="0" w:line="16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When testing goodwill for impairment, we first perform a qualitative assessment. If the qualitative assessment indicates that it is more likely than not that the carrying value of a reporting unit exceeds the estimated fair value, then a quantitative assessment is performed. We may elect to bypass the qualitative assessment and proceed directly to the quantitative assessment.</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quantitative test is needed, we determine an appropriate valuation technique to estimate the fair value of the reporting unit as of the testing date. We utilize the income approach and the market approach to assess the most appropriate fair value for the reporting unit. Changes in economic and operating conditions impacting assumptions used in our analyses could result in goodwill impairment in future periods.</w:t>
      </w:r>
    </w:p>
    <w:p>
      <w:pPr>
        <w:spacing w:after="0" w:line="16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When testing indefinite-lived intangible assets other than goodwill for impairment, we first perform a qualitative analysis to determine whether it is more likely than not that an asset has been impaired. If it is more likely than not that an asset has been impaired, an impairment is evaluated by comparing the estimated fair value of the asset to its carrying value. An impairment charge is recognized if the asset’s estimated fair value is less than its carrying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Long-lived assets consist of property and equipment and other finite-lived intangible assets. These assets are depreciated or amortized over their estimated useful life and are subject to impairment reviews. We periodically review long-lived assets whenever adverse events or changes in circumstances indicate the carrying value of the asset may not be recoverable.</w:t>
      </w:r>
    </w:p>
    <w:p>
      <w:pPr>
        <w:spacing w:after="0" w:line="16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review these assets for impairment by comparing the sum of the expected future cash flows (undiscounted and without interest charges) to the carry value. If the sum of the estimated undiscounted future cash flows is less than the carrying value, an impairment determination is required. The amount of impairment is calculated by subtracting the fair value of the asset from the carrying value. An impairment charge, if any, is recognized within earnings from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Expenses</w:t>
      </w:r>
    </w:p>
    <w:p>
      <w:pPr>
        <w:spacing w:after="0" w:line="2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Medical expenses include claim payments, capitation payments, pharmacy costs net of rebates, allocations of certain centralized expenses, internal care delivery expenses and various other costs incurred to provide health insurance coverage and care to members, as well as estimates of future payments to hospitals and others for medical care and other supplemental benefits provided.</w:t>
      </w:r>
    </w:p>
    <w:p>
      <w:pPr>
        <w:spacing w:after="0" w:line="16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have contracts with a network of hospitals, physicians, and other providers and compensate those providers and ancillary organizations based on contractual arrangements or CMS Medicare compensation guidelines. We pay these contracting providers either through fee-for-service arrangement in which the provider is paid negotiated rates for specific services provided or a capitation payment, which represent monthly contractual fees disbursed for each member regardless of medical services provided to the member. We are responsible for the entirety of the cost of health care services related to the member population, in addition to supplemental benefits provided by us to our seniors.</w:t>
      </w:r>
    </w:p>
    <w:p>
      <w:pPr>
        <w:spacing w:after="0" w:line="16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Capitation-related expenses are recorded on an accrual basis during the coverage period. Expenses related to fee-for-service contracts are recorded in the period in which the related services are dispensed.</w:t>
      </w:r>
    </w:p>
    <w:p>
      <w:pPr>
        <w:spacing w:after="0" w:line="14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Pharmacy costs represent payments for members’ prescription drug benefits, net of rebates from drug manufacturers. Receivables for such pharmacy rebates are included in accounts receivable in the consolidated balance sheet.</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("IRA") was signed into law. The law intends to increase tax revenue and reduce Medicare costs through lower prescription drug prices, inflation rebates, and increased financial responsibility for certain drug manufacturers. The provisions of the law are set to take effect over the next seven years. For the year ended December 31, 2025, we experienced an increase in both Part D premium revenues and medical expenses as a result of the IRA. Our 2025 bid pricing and budget reflect the expected impact the IRA will have on our business for fiscal year 2025. The impact of the IRA was immaterial for the year ended December 31, 2024</w:t>
      </w:r>
      <w:r>
        <w:rPr>
          <w:rFonts w:ascii="Arial" w:cs="Arial" w:eastAsia="Arial" w:hAnsi="Arial"/>
          <w:sz w:val="18"/>
          <w:szCs w:val="18"/>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Expenses Payable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Medical expenses payable includes estimates of our obligations for medical care services that have been rendered on behalf of our members and the members of the third-party payors, but for which claims have either not yet been received or processed, loss adjustment expense reserve for the expected costs of settling these claims, and for liabilities related to physician, hospital, and other medical cost disputes.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develop estimates for medical expenses incurred but not yet paid (“IBNP”), which includes an estimate for claims incurred but not reported (“IBNR”) and a payable for adjudicated claims. IBNR is estimated using an actuarial process that is consistently applied and</w:t>
      </w:r>
    </w:p>
    <w:p>
      <w:pPr>
        <w:sectPr>
          <w:pgSz w:w="12240" w:h="15840" w:orient="portrait"/>
          <w:cols w:equalWidth="0" w:num="1">
            <w:col w:w="9900"/>
          </w:cols>
          <w:pgMar w:left="1180" w:top="304" w:right="1160" w:bottom="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9900"/>
          </w:cols>
          <w:pgMar w:left="1180" w:top="304" w:right="11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centrally controlled. Medical expenses payable also includes an estimate for the costs necessary to process unpaid claims at the end of each period. We estimate the IBNR liability using actuarial methods that are commonly used by health insurance actuaries and meet Actuarial Standards of Practice. These actuarial methods consider factors, such as cost trends and completion factors that are assessed based on historical data for payment patterns, product mix, seasonality, utilization of health care services, and other relevant factors. Each period, we re-examine previously established IBNR estimates based on actual claim submissions and other changes in facts and circumstances. As the IBNR estimates recorded in prior periods develop, we adjust the amount of the estimates and include the changes in estimates in medical expenses in the period in which the change is identified.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Actuarial Standards of Practice generally require that the IBNP estimates be adequate to cover obligations under moderately adverse conditions. Moderately adverse conditions are situations in which the actual claims are expected to be higher than the otherwise estimated value of such claims at the time of estimate. In many situations, the claims amount ultimately settled will be different than the estimate that satisfies the Actuarial Standards of Practice. We include in our IBNP an estimate for medical claims liability under moderately adverse conditions, which represents the risk of adverse deviation of the estimates in our actuarial method of reserving. We believe that medical expenses payable is adequate to cover future claims payments required. However, such estimates are based on knowledge of current events and anticipated future events. Therefore, the actual liability could differ materially from the amounts provided.</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reassess the profitability of contracts for providing coverage to members when current operating results or forecasts indicate probable future losses. A premium deficiency reserve is established in current operations to the extent that the sum of expected future costs, claim adjustment expenses, and maintenance costs exceed related future premiums under contract and investment income. For purposes of determining premium deficiencies, contracts are grouped in a manner consistent with the method of acquiring, servicing, and measuring the profitability of such contracts. Losses recognized as a premium deficiency result in a beneficial effect in subsequent periods as operating losses under these contracts are charged to the liability previously established.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D Subsidies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receive advance payments each month from CMS related to Catastrophic Reinsurance, Manufacturer Discount Program, and the Low-Income Member Cost Sharing Subsidy (“Part D Subsidies”). Reinsurance subsidies represent funding from CMS for our portion of prescription drug costs that exceed the member’s out-of-pocket threshold or the catastrophic coverage level. Low-income cost sharing subsidies represent funding from CMS for all or a portion of the deductible, the coinsurance and co-payment for low-income beneficiaries. Additionally, the Inflation Reduction Act mandates consumer discounts on most brand-name prescription drugs for Part D plan participants in the initial coverage and catastrophic phases. These discounts are ultimately funded by the pharmaceutical manufacturers. In 2025, the IRA retired the Coverage Gap Discount Program, introduced the Manufacturer Discount Program, and change the members cost thresholds for the catastrophic phase. These program changes and the corresponding changes in prepayments are reflected in our 2025 experience.</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Part D Subsidies represent cost reimbursements under the Medicare Part D program and are recorded as deposits or payables. These Subsidies received in excess of, or less than, actual subsidized benefits paid are refundable to or recoverable from CMS through an annual reconciliation process following the end of the contract year.: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4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Risk Corridor</w:t>
            </w:r>
          </w:p>
        </w:tc>
        <w:tc>
          <w:tcPr>
            <w:tcW w:w="6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CMS Subsidies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Risk Corridor</w:t>
            </w:r>
          </w:p>
        </w:tc>
        <w:tc>
          <w:tcPr>
            <w:tcW w:w="6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CMS Subsidies</w:t>
            </w:r>
          </w:p>
        </w:tc>
      </w:tr>
      <w:tr>
        <w:trPr>
          <w:trHeight w:val="24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01"/>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25,782</w:t>
            </w:r>
          </w:p>
        </w:tc>
      </w:tr>
      <w:tr>
        <w:trPr>
          <w:trHeight w:val="26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301"/>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Medical expenses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-907415</wp:posOffset>
            </wp:positionV>
            <wp:extent cx="6311900" cy="930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6311900" cy="93027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Risk Reserve Arrangements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established a fund (also referred to as “a pool”) for risk and profit-sharing with various independent physician associations (“IPAs”). The pool enables us and our IPAs to share in the financial responsibility and/or upside associated with providing covered medical expenses to our members. The risk pool is based on a contractually agreed upon medical budget, typically based upon a percentage of revenue. If actual medical expenses are less than the budgeted amount, this results in a surplus. Conversely, if actual medical expenses are greater than the budgeted amount, this results in a deficit. We will distribute the surplus, or a portion thereof, to each IPA based upon contractual terms. Deficits are charged to shared risk providers’ risk pool as per the contractual term and evaluated for collectability at each reporting period.</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 risk-sharing receivables and payables on a gross basis on the consolidated balance sheets. Throughout the year, we evaluate expected losses on risk-sharing receivables and record the resulting expected losses to the reserve. We systematically build and release reserves based on adequacy and its assessment of expected losses on a monthly basis. Credit loss associated with risk share deficit</w:t>
      </w:r>
    </w:p>
    <w:p>
      <w:pPr>
        <w:sectPr>
          <w:pgSz w:w="12240" w:h="15840" w:orient="portrait"/>
          <w:cols w:equalWidth="0" w:num="1">
            <w:col w:w="9900"/>
          </w:cols>
          <w:pgMar w:left="1180" w:top="304" w:right="1160" w:bottom="0" w:gutter="0" w:footer="0" w:header="0"/>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2240" w:h="15840" w:orient="portrait"/>
          <w:cols w:equalWidth="0" w:num="1">
            <w:col w:w="9900"/>
          </w:cols>
          <w:pgMar w:left="1180" w:top="304" w:right="116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receivables are recorded within medical expense in the consolidated statements of operations. As of December 31, 2025 and December 31, 2024, we recorded an allowance for credit losses for substantially all of the risk-sharing receivable balance due to collection risk related to the balance. The risk-sharing payable is included within medical expenses payable on the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deposits and current and restricted investments with financial institutions. Accounts at each financial institution are insured by the Federal Deposit Insurance Corporation (“FDIC”) up to certain limits.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Deferred tax assets and liabilities are determined based on temporary differences between the bases used for financial reporting and income tax reporting purposes based on the enacted tax rates and laws that will be in effect at the time such temporary differences are expected to reverse.</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recognition of deferred tax assets requires an assessment to determine the realization of such assets. Realization refers to the incremental benefits achieved through the reductions in future taxes payable or refunds receivable from the deferred tax assets, assuming that the underlying deductible differences and carryforwards are the last items to enter into the determination of future taxable income. We establish a valuation allowance for tax assets when it is more likely than not that they will not be realized, based on all available positive and negative evidence.</w:t>
      </w:r>
    </w:p>
    <w:p>
      <w:pPr>
        <w:spacing w:after="0" w:line="16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account for uncertainty in income taxes using a “more-likely-than-not” recognition threshold. We consider many factors when evaluating and estimating our tax positions and tax benefits, which may require periodic adjustments, and which may not accurately reflect actual outcomes. Interest and penalties related to uncertain tax benefits are recognized as a component of interest expense and income tax expense, respectively, in the consolidated statement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Acquisition Costs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Member acquisition costs primarily relate to internal and external broker commission costs. These member acquisition costs related to our health services contract with our members are expensed as incurred and are recorded as selling, general and administrative expenses. The short-term health services contract typically have a one-year term and may be canceled by the member.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1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expenses were $8,037, $5,756, and $6,956, for the years ended December 31, 2025, 2024, and 2023, respectively, and were reported as selling, general and administrative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Equity-based compensation expense is measured and recognized based on the grant date fair value of the awards. The grant date fair value of stock options is estimated using the Black-Scholes option pricing model. The grant date fair value of restricted stock units (“RSUs”), performance stock units ("PSUs") and restricted stock awards (“RSAs”) is estimated based on the fair value of our underlying common stock on the date of grant.</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Black-Scholes option pricing model requires the use of highly subjective assumptions, including the award’s expected term, the fair value of the underlying common stock, the expected volatility of the price of the common stock, risk-free interest rates, and the expected dividend yield of the common stock. The assumptions used to determine the fair value of the stock-based awards are management’s best estimates and involve inherent uncertainties and the application of judgment. The expected term represents the period the stock-based awards are expected to be outstanding. As we do not have sufficient historical experience for determining the expected term of the stock option awards granted, we utilize the simplified method available under GAAP. As we do not have a substantial trading history, volatility assumptions were developed using a combination of the Company's historical volatility and the historical volatilities of a set of peer companies, adjusted for debt-equity leverage. Equity-based compensation expense for awards with service-based vesting only is recognized on a graded vesting schedule over the requisite service period of the awards, which is generally three or four years.</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Equity-based compensation expense for PSU awards with performance-based vesting is recognized over the requisite service period on a graded vesting schedule and is only recognized when the Company concludes that it is probable that the performance condition(s) will be achieved. At each reporting period, the Company reassesses the probability of achieving the performance criteria. Determining whether the performance criteria will be achieved involves judgment, and the estimate of share-based compensation expense may be revised periodically based on changes in the probability of achieving the performance criteria. Revisions are reflected in the period in which the estimate is changed. We account for forfeitures as they occur.</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Equity-based compensation is recorded within selling, general and administrative expenses, and medical expenses based on the function of the applicable employee and non-employee.</w:t>
      </w:r>
    </w:p>
    <w:p>
      <w:pPr>
        <w:sectPr>
          <w:pgSz w:w="12240" w:h="15840" w:orient="portrait"/>
          <w:cols w:equalWidth="0" w:num="1">
            <w:col w:w="9900"/>
          </w:cols>
          <w:pgMar w:left="1180" w:top="304" w:right="1160" w:bottom="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9900"/>
          </w:cols>
          <w:pgMar w:left="1180" w:top="304" w:right="11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or loss per share is calculated based on net income or loss attributable to Alignment Healthcare, Inc.'s stockholders. Potentially dilutive common stock equivalents for the Company include stock options, unvested RSUs, unvested PSUs, and convertible senior notes.</w:t>
      </w:r>
    </w:p>
    <w:p>
      <w:pPr>
        <w:spacing w:after="0" w:line="1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the years ended December 31, 2025, 2024, and 2023:</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65"/>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0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(148,173)</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Alignment Healthcare, Inc.</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(148,017)</w:t>
            </w:r>
          </w:p>
        </w:tc>
      </w:tr>
      <w:tr>
        <w:trPr>
          <w:trHeight w:val="26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0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common shares outstanding - basic and diluted</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198,017,704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191,150,693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188,420,487</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shares of common stock</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(357,141)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(2,205,703)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weighted-average common shares outstanding, net of restricted shares of</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198,006,216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190,793,552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186,214,784</w:t>
            </w:r>
          </w:p>
        </w:tc>
      </w:tr>
      <w:tr>
        <w:trPr>
          <w:trHeight w:val="58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311900" cy="2339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6311900" cy="2339975"/>
                    </a:xfrm>
                    <a:prstGeom prst="rect">
                      <a:avLst/>
                    </a:prstGeom>
                    <a:noFill/>
                  </pic:spPr>
                </pic:pic>
              </a:graphicData>
            </a:graphic>
          </wp:anchor>
        </w:drawing>
      </w:r>
    </w:p>
    <w:p>
      <w:pPr>
        <w:spacing w:after="0" w:line="2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Basic net loss per share is the same as diluted net loss per share for periods presented as the inclusion of all potentially dilutive shares would have been anti-dilutive.</w:t>
      </w:r>
    </w:p>
    <w:p>
      <w:pPr>
        <w:spacing w:after="0" w:line="1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restricted shares of common stock, we also excluded the following potential common shares, presented based on amounts outstanding at each period end, from the computation of diluted net loss per share as of December 31, 2025, 2024,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324600" cy="11366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6324600" cy="1136650"/>
                    </a:xfrm>
                    <a:prstGeom prst="rect">
                      <a:avLst/>
                    </a:prstGeom>
                    <a:noFill/>
                  </pic:spPr>
                </pic:pic>
              </a:graphicData>
            </a:graphic>
          </wp:anchor>
        </w:drawing>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7,408,212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8,762,481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9,135,879</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11,042,096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21,419,556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17,774,830</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25,720,959</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25,720,959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44,171,267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55,902,996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26,910,709</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entities,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The Company adopted the requirements of this ASU for the year ended December 31, 2025, and provided the revised disclosures for all previous periods presented within our income taxes disclosure in Note 9 Income Taxes. The adoption only impacted our disclosures with no impact to our results of operations, cash flows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removes the multi-stage model when determining internal-use software development cost capitalization. Under the new ASU, such software costs are capitalized when management has authorized and committed to funding the software project, and if it is probable that the project will be completed and the software will be used to perform the function intended. If a project is still subject to major uncertainty, capitalization is prohibited. ASU 2025-06 is effective for</w:t>
      </w:r>
    </w:p>
    <w:p>
      <w:pPr>
        <w:sectPr>
          <w:pgSz w:w="12240" w:h="15840" w:orient="portrait"/>
          <w:cols w:equalWidth="0" w:num="1">
            <w:col w:w="9900"/>
          </w:cols>
          <w:pgMar w:left="1180" w:top="304" w:right="1160" w:bottom="0" w:gutter="0" w:footer="0" w:header="0"/>
        </w:sect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9900"/>
          </w:cols>
          <w:pgMar w:left="1180" w:top="304"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periods beginning after December 15, 2027 (and interim reporting periods within those annual reporting periods). The Company is currently evaluating the impact of this ASU on its financial statements.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which improves and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The Company does not expect the adoption of this guidance to have a material impact on its financial statements.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improves income statement presentation and disclosures related to expenses. It requires a public entity to disaggregate key expense categories such as employee compensation, depreciation and intangible asset amortization within its financial statements. ASU 2024-03 is effective for annual periods beginning after December 15, 2026, and interim periods within the Company's fiscal year 2027, with early adoption permitted. The Company is currently evaluating the impact of this ASU on its disclosures of income statement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carrying value and fair value of these financial instruments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193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4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3"/>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rPr>
              <w:t>Carrying</w:t>
            </w:r>
          </w:p>
        </w:tc>
        <w:tc>
          <w:tcPr>
            <w:tcW w:w="3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w w:val="99"/>
              </w:rPr>
              <w:t>Value</w:t>
            </w:r>
          </w:p>
        </w:tc>
        <w:tc>
          <w:tcPr>
            <w:tcW w:w="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60" w:type="dxa"/>
            <w:vAlign w:val="bottom"/>
            <w:vMerge w:val="continue"/>
          </w:tcPr>
          <w:p>
            <w:pPr>
              <w:spacing w:after="0"/>
              <w:rPr>
                <w:sz w:val="22"/>
                <w:szCs w:val="22"/>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29,456</w:t>
            </w:r>
          </w:p>
        </w:tc>
        <w:tc>
          <w:tcPr>
            <w:tcW w:w="6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31,801</w:t>
            </w:r>
          </w:p>
        </w:tc>
        <w:tc>
          <w:tcPr>
            <w:tcW w:w="6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71,120</w:t>
            </w:r>
          </w:p>
        </w:tc>
        <w:tc>
          <w:tcPr>
            <w:tcW w:w="6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73,441</w:t>
            </w:r>
          </w:p>
        </w:tc>
        <w:tc>
          <w:tcPr>
            <w:tcW w:w="6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convertible senior notes based on valuations provided by third-party pricing services. Fair value of the long-term debt as of December 31, 2025 was approximately $514,164. The Company's fair value of long-term debt disclosure is classified within Level 2 of the valuation hierarchy. As of December 31, 2024, the fair value of our long-term debt approximated the carrying value.</w:t>
      </w:r>
    </w:p>
    <w:p>
      <w:pPr>
        <w:spacing w:after="0" w:line="16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carrying value of long-term debt represents the outstanding balance, net of unamortized debt issuance costs, which was $323,176 and $321,428 as of December 31, 2025 and 2024, respectively</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nonfinancial assets and liabilities, which include goodwill, intangible assets, property, and equipment, are not required to be measured at fair value on a recurring basis. However, on a periodic basis, or whenever events or changes in circumstances indicate that their carrying value may not be recoverable, we assess these assets for impairment. We recorded an impairment charge related to goodwill as of December 31, 2025 and December 31, 2024. No such impairment resulted during the year ended December 31, 2023. Please refer to Note 6 Goodwill and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Treasury Securities Investments</w:t>
      </w:r>
    </w:p>
    <w:p>
      <w:pPr>
        <w:spacing w:after="0" w:line="2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$28,413 and $37,791 of investments in U.S. Treasury bills which were classified as held to maturity and carried at amortized cost. These investments are included in short-term investments in the consolidated balance sheets as the original maturities are greater than three months and less than twelve months. The Company has the intent and ability to hold these securities to maturity and gross unrecognized gains and losses were immaterial.</w:t>
      </w:r>
    </w:p>
    <w:p>
      <w:pPr>
        <w:spacing w:after="0" w:line="16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$32,296 of investments in U.S. Treasury bills with an original maturity of less than three months. These investments are considered cash equivalents and are included in cash and cash equivalents in the consolidated balance sheets.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9900"/>
          </w:cols>
          <w:pgMar w:left="1180" w:top="304" w:right="11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Restricted investments are composed of investments in U.S. Treasury bills and certificates of deposits and are included within other assets in the consolidated balance sheets. As of December 31, 2025 and December 31, 2024, the Company had $1,043 and $1,033 of restricted investments in U.S. Treasury bills and $2,345 and $2,321 of restricted investments in certificates of deposits, respectively. The Company has the intent and ability to hold these investments until maturity; therefore, these investments are stated at amortized cost. Restricted investments are required to be maintained at a financial institution within certain states. As of December 31, 2025 and December 31, 2024, these investments had maturities with less than 12 months. Due to the nature of the state's requirements, these assets are classified as noncurrent assets regardless of the contractual maturity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$216,155 in money market funds, which are recorded at fair value and included in cash and cash equivalents in the consolidated balance sheet.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403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6324600" cy="140335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Government 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Pharmacy rebate receivables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111,813</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153,904</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153,904</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for expected credit losses for accounts receivable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We record pharmacy rebates and other receivables based on contractual terms and expected collections and our estimation process for contractual allowances for such balances generally results in an allowance for balances outstanding greater than 90 days or if expected credit risks are known.</w:t>
      </w:r>
    </w:p>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Receivables and any associated allowance are written off only when all collection attempts have failed and such amounts are determined unrecoverable. We regularly review the adequacy of these allowances based on a variety of factors, including age of the outstanding receivable and collection history. When circumstances related to specific collection patterns change, estimates of the recoverability of receivables are adjusted. Because substantially all of our receivable amounts are readily determinable and a large portion of our creditors are governmental authorities, our allowance for credit losses is insignificant.</w:t>
      </w:r>
    </w:p>
    <w:p>
      <w:pPr>
        <w:spacing w:after="0" w:line="1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recorded credit losses related to accounts receivable of $833, $123, and $91 during the years ended December 31, 2025, 2024, and 2023, respectively. The amounts were recorded in selling general, and administrative expenses in the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765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179,336</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14,049</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216,526</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(149,387)</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67,139</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2240" w:h="15840" w:orient="portrait"/>
          <w:cols w:equalWidth="0" w:num="1">
            <w:col w:w="9900"/>
          </w:cols>
          <w:pgMar w:left="1180" w:top="304" w:right="116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 ended December 31, 2025 was $29,848 of which $78 was included in medical expenses. Depreciation expense for the years ended December 31, 2024 and 2023 was $26,360 and $21,442, respectively, of which $190 and $254, respectively, was included in medical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11900" cy="1393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6311900" cy="139382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460" w:type="dxa"/>
            <w:vAlign w:val="bottom"/>
          </w:tcPr>
          <w:p>
            <w:pPr>
              <w:spacing w:after="0"/>
              <w:rPr>
                <w:sz w:val="5"/>
                <w:szCs w:val="5"/>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Net Carrying</w:t>
            </w:r>
          </w:p>
        </w:tc>
        <w:tc>
          <w:tcPr>
            <w:tcW w:w="60" w:type="dxa"/>
            <w:vAlign w:val="bottom"/>
            <w:vMerge w:val="restart"/>
          </w:tcPr>
          <w:p>
            <w:pPr>
              <w:spacing w:after="0"/>
              <w:rPr>
                <w:sz w:val="5"/>
                <w:szCs w:val="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line="143" w:lineRule="exact"/>
              <w:rPr>
                <w:sz w:val="20"/>
                <w:szCs w:val="20"/>
                <w:color w:val="auto"/>
              </w:rPr>
            </w:pPr>
            <w:r>
              <w:rPr>
                <w:rFonts w:ascii="Times New Roman" w:cs="Times New Roman" w:eastAsia="Times New Roman" w:hAnsi="Times New Roman"/>
                <w:sz w:val="16"/>
                <w:szCs w:val="16"/>
                <w:b w:val="1"/>
                <w:bCs w:val="1"/>
                <w:color w:val="auto"/>
                <w:highlight w:val="white"/>
              </w:rPr>
              <w:t>Accumulated</w:t>
            </w:r>
          </w:p>
        </w:tc>
        <w:tc>
          <w:tcPr>
            <w:tcW w:w="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vMerge w:val="restart"/>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Life</w:t>
            </w:r>
          </w:p>
        </w:tc>
        <w:tc>
          <w:tcPr>
            <w:tcW w:w="0" w:type="dxa"/>
            <w:vAlign w:val="bottom"/>
          </w:tcPr>
          <w:p>
            <w:pPr>
              <w:spacing w:after="0"/>
              <w:rPr>
                <w:sz w:val="1"/>
                <w:szCs w:val="1"/>
                <w:color w:val="auto"/>
              </w:rPr>
            </w:pPr>
          </w:p>
        </w:tc>
      </w:tr>
      <w:tr>
        <w:trPr>
          <w:trHeight w:val="145"/>
        </w:trPr>
        <w:tc>
          <w:tcPr>
            <w:tcW w:w="4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line="145" w:lineRule="exact"/>
              <w:rPr>
                <w:sz w:val="20"/>
                <w:szCs w:val="20"/>
                <w:color w:val="auto"/>
              </w:rPr>
            </w:pPr>
            <w:r>
              <w:rPr>
                <w:rFonts w:ascii="Times New Roman" w:cs="Times New Roman" w:eastAsia="Times New Roman" w:hAnsi="Times New Roman"/>
                <w:sz w:val="16"/>
                <w:szCs w:val="16"/>
                <w:b w:val="1"/>
                <w:bCs w:val="1"/>
                <w:color w:val="auto"/>
                <w:highlight w:val="white"/>
              </w:rPr>
              <w:t>Amortization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460" w:type="dxa"/>
            <w:vAlign w:val="bottom"/>
            <w:vMerge w:val="continue"/>
          </w:tcPr>
          <w:p>
            <w:pPr>
              <w:spacing w:after="0"/>
              <w:rPr>
                <w:sz w:val="22"/>
                <w:szCs w:val="22"/>
                <w:color w:val="auto"/>
              </w:rPr>
            </w:pP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32,060</w:t>
            </w:r>
          </w:p>
        </w:tc>
        <w:tc>
          <w:tcPr>
            <w:tcW w:w="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License (indefinite lived)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Plan member relationships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2 - 10 years</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(3,333)</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Net Carrying</w:t>
            </w:r>
          </w:p>
        </w:tc>
        <w:tc>
          <w:tcPr>
            <w:tcW w:w="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Life</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34,826</w:t>
            </w:r>
          </w:p>
        </w:tc>
        <w:tc>
          <w:tcPr>
            <w:tcW w:w="6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License (indefinite lived)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Plan member relationships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9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2- 10 years</w:t>
            </w:r>
          </w:p>
        </w:tc>
        <w:tc>
          <w:tcPr>
            <w:tcW w:w="0" w:type="dxa"/>
            <w:vAlign w:val="bottom"/>
          </w:tcPr>
          <w:p>
            <w:pPr>
              <w:spacing w:after="0"/>
              <w:rPr>
                <w:sz w:val="1"/>
                <w:szCs w:val="1"/>
                <w:color w:val="auto"/>
              </w:rPr>
            </w:pP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955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311900" cy="955675"/>
                    </a:xfrm>
                    <a:prstGeom prst="rect">
                      <a:avLst/>
                    </a:prstGeom>
                    <a:noFill/>
                  </pic:spPr>
                </pic:pic>
              </a:graphicData>
            </a:graphic>
          </wp:anchor>
        </w:drawing>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relating to intangible assets for the years ended December 31, 2025, 2024, and 2023, was $634, $702, and $226, respectively. Included within the amortization balance for the years ended December 31, 2025 was $634 in impairment charges related to intangible assets that were written off related to an inactive Medicare license that was terminated during the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derecognized goodwill of $2,132 related to the sale of a subsidiary.</w:t>
      </w:r>
    </w:p>
    <w:p>
      <w:pPr>
        <w:spacing w:after="0" w:line="20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$645 impairment charges related to goodwill and intangible assets for the year ended December 31, 2024 and no impairment charges related to goodwill and intangible assets for the year ended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Medical Expenses Payable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detail of medical expenses payable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041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6324600" cy="104140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Claims incurred but not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168,357</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Capitation and risk-sharing payable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69,415</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Medical expenses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289,788</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period, we re-examine previously established outstanding claims reserve estimates based on actual claims submissions and other changes in facts and circumstances. As more complete claim information becomes available, we adjust the amount of the estimates and include the changes in estimates in claim costs in the period in which the change is identified. Substantially, all of the total claims paid by us are known and settled within the first year from the date of service, and substantially, all remaining claim amounts are paid within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three-year period.</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2240" w:h="15840" w:orient="portrait"/>
          <w:cols w:equalWidth="0" w:num="1">
            <w:col w:w="9900"/>
          </w:cols>
          <w:pgMar w:left="1180" w:top="304" w:right="11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the change in medical expenses payable as of December 31, 2025, 2024, and 2023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248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6324600" cy="2489200"/>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Claims incurred but not paid - 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88,813</w:t>
            </w:r>
          </w:p>
        </w:tc>
      </w:tr>
      <w:tr>
        <w:trPr>
          <w:trHeight w:val="26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1,136,448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492,315</w:t>
            </w: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1,111,059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823,574</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477,760</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Payments related to:</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01"/>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year</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400,465</w:t>
            </w: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Prior years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70,444</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payments, net of reinsurance</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982,048</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750,881</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470,909</w:t>
            </w:r>
          </w:p>
        </w:tc>
      </w:tr>
      <w:tr>
        <w:trPr>
          <w:trHeight w:val="26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Claims incurred but not paid - ending balance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168,357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95,664</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Capitation payable, risk-sharing payable, and 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109,735</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medical expenses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205,399</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re-examine previously established outstanding claims reserve estimates based on actual claims submissions and other changes in facts and circumstances. We recognized a favorable prior year development, excluding provision for adverse deviation, of $20,243, $7,052, and $10,996 for the years ended December 31, 2025, 2024, and 2023, respectively. The favorable prior year development incurred in 2025, 2024 and 2023 was primarily due to better-than-expected claims recoveries and actual claims expense being less than expected.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incurred and paid claims development as of December 31, 2025:</w:t>
      </w:r>
    </w:p>
    <w:p>
      <w:pPr>
        <w:spacing w:after="0" w:line="290"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Cumulative Incurred Claims, Net of Reinsurance For the</w:t>
      </w:r>
    </w:p>
    <w:p>
      <w:pPr>
        <w:spacing w:after="0" w:line="1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1905</wp:posOffset>
            </wp:positionV>
            <wp:extent cx="6324600" cy="1117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6324600" cy="111760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87"/>
        </w:trPr>
        <w:tc>
          <w:tcPr>
            <w:tcW w:w="860" w:type="dxa"/>
            <w:vAlign w:val="bottom"/>
          </w:tcPr>
          <w:p>
            <w:pPr>
              <w:spacing w:after="0"/>
              <w:rPr>
                <w:sz w:val="24"/>
                <w:szCs w:val="24"/>
                <w:color w:val="auto"/>
              </w:rPr>
            </w:pPr>
          </w:p>
        </w:tc>
        <w:tc>
          <w:tcPr>
            <w:tcW w:w="3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4"/>
              </w:rPr>
              <w:t>(in thousands)</w:t>
            </w:r>
          </w:p>
        </w:tc>
        <w:tc>
          <w:tcPr>
            <w:tcW w:w="1160" w:type="dxa"/>
            <w:vAlign w:val="bottom"/>
          </w:tcPr>
          <w:p>
            <w:pPr>
              <w:spacing w:after="0"/>
              <w:rPr>
                <w:sz w:val="24"/>
                <w:szCs w:val="24"/>
                <w:color w:val="auto"/>
              </w:rPr>
            </w:pPr>
          </w:p>
        </w:tc>
      </w:tr>
      <w:tr>
        <w:trPr>
          <w:trHeight w:val="2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492,315</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480,412</w:t>
            </w:r>
          </w:p>
        </w:tc>
      </w:tr>
      <w:tr>
        <w:trPr>
          <w:trHeight w:val="2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809,297</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1,136,448</w:t>
            </w: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2,426,157</w:t>
            </w:r>
          </w:p>
        </w:tc>
      </w:tr>
      <w:tr>
        <w:trPr>
          <w:trHeight w:val="20"/>
        </w:trPr>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Cumulative</w:t>
            </w:r>
          </w:p>
        </w:tc>
      </w:tr>
      <w:tr>
        <w:trPr>
          <w:trHeight w:val="184"/>
        </w:trPr>
        <w:tc>
          <w:tcPr>
            <w:tcW w:w="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gridSpan w:val="7"/>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Cumulative Claims Paid, Net of Reinsurance For the</w:t>
            </w: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17"/>
        </w:trPr>
        <w:tc>
          <w:tcPr>
            <w:tcW w:w="8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60" w:type="dxa"/>
            <w:vAlign w:val="bottom"/>
          </w:tcPr>
          <w:p>
            <w:pPr>
              <w:jc w:val="center"/>
              <w:ind w:right="74"/>
              <w:spacing w:after="0" w:line="217" w:lineRule="exact"/>
              <w:rPr>
                <w:sz w:val="20"/>
                <w:szCs w:val="20"/>
                <w:color w:val="auto"/>
              </w:rPr>
            </w:pPr>
            <w:r>
              <w:rPr>
                <w:rFonts w:ascii="Times New Roman" w:cs="Times New Roman" w:eastAsia="Times New Roman" w:hAnsi="Times New Roman"/>
                <w:sz w:val="16"/>
                <w:szCs w:val="16"/>
                <w:b w:val="1"/>
                <w:bCs w:val="1"/>
                <w:color w:val="auto"/>
                <w:w w:val="97"/>
              </w:rPr>
              <w:t>Paid Claims</w:t>
            </w:r>
            <w:r>
              <w:rPr>
                <w:rFonts w:ascii="Times New Roman" w:cs="Times New Roman" w:eastAsia="Times New Roman" w:hAnsi="Times New Roman"/>
                <w:sz w:val="20"/>
                <w:szCs w:val="20"/>
                <w:b w:val="1"/>
                <w:bCs w:val="1"/>
                <w:color w:val="auto"/>
                <w:w w:val="97"/>
                <w:vertAlign w:val="superscript"/>
              </w:rPr>
              <w:t>(1)</w:t>
            </w:r>
          </w:p>
        </w:tc>
      </w:tr>
      <w:tr>
        <w:trPr>
          <w:trHeight w:val="229"/>
        </w:trPr>
        <w:tc>
          <w:tcPr>
            <w:tcW w:w="8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87"/>
        </w:trPr>
        <w:tc>
          <w:tcPr>
            <w:tcW w:w="860" w:type="dxa"/>
            <w:vAlign w:val="bottom"/>
          </w:tcPr>
          <w:p>
            <w:pPr>
              <w:spacing w:after="0"/>
              <w:rPr>
                <w:sz w:val="24"/>
                <w:szCs w:val="24"/>
                <w:color w:val="auto"/>
              </w:rPr>
            </w:pPr>
          </w:p>
        </w:tc>
        <w:tc>
          <w:tcPr>
            <w:tcW w:w="378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b w:val="1"/>
                <w:bCs w:val="1"/>
                <w:color w:val="auto"/>
              </w:rPr>
              <w:t>Claims Incurred Year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i w:val="1"/>
                <w:iCs w:val="1"/>
                <w:color w:val="auto"/>
                <w:w w:val="96"/>
              </w:rPr>
              <w:t>(in thousands)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400,465</w:t>
            </w:r>
          </w:p>
        </w:tc>
        <w:tc>
          <w:tcPr>
            <w:tcW w:w="18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479,148</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540,426</w:t>
            </w:r>
          </w:p>
        </w:tc>
      </w:tr>
      <w:tr>
        <w:trPr>
          <w:trHeight w:val="2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670,471</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804,462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1,036,274</w:t>
            </w:r>
          </w:p>
        </w:tc>
      </w:tr>
      <w:tr>
        <w:trPr>
          <w:trHeight w:val="29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1,268,147</w:t>
            </w:r>
          </w:p>
        </w:tc>
      </w:tr>
      <w:tr>
        <w:trPr>
          <w:trHeight w:val="24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2,131,667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0"/>
        </w:trPr>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-1097915</wp:posOffset>
            </wp:positionV>
            <wp:extent cx="6311900" cy="1117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6311900" cy="111760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Cumulative number of paid claims are presented in whole amounts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claims incurred but not paid as of December 31, 2025 relate to the current year.</w:t>
      </w:r>
    </w:p>
    <w:p>
      <w:pPr>
        <w:spacing w:after="0" w:line="20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There is no single or common claim frequency metric used in the health care industry. We believe a relevant metric for our health insurance business is the cumulative number of claims paid for each incurred year. Claims that did not result in a liability are not included in the frequency metric.</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9900"/>
          </w:cols>
          <w:pgMar w:left="1180" w:top="304" w:right="11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1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Long-term debt is recorded at carrying value in the consolidated balance sheets. The carrying value of long-term debt outstanding, net of unamortized debt issuance costs, consisted of the following as of December 31, 2025 and 2024:</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debt-net of amortization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w:t>
            </w: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 net of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-935990</wp:posOffset>
            </wp:positionV>
            <wp:extent cx="6324600" cy="955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6324600" cy="95567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Oxford Term Loan</w:t>
      </w:r>
    </w:p>
    <w:p>
      <w:pPr>
        <w:spacing w:after="0" w:line="2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On September 2, 2022 (the “Effective Date”), Alignment Healthcare USA, LLC, an indirect subsidiary of the Company (the “Borrower”) and certain of our other subsidiaries entered into a term loan agreement (the “Oxford Loan Agreement”) with Oxford Finance LLC, as administrative agent, collateral agent and a lender, and the other lenders from time to time party thereto (collectively, the “Lenders”), pursuant to which the Lenders have agreed to lend the Borrower an aggregate principal amount of up to $250,000 in a series of term loans (the “Term Loans”). Pursuant to the Oxford Loan Agreement, we received an initial Term Loan of $165,000 on the Effective Date and had the option to borrow up to an additional $85,000 of Term Loans. On June 14, 2024, we borrowed $50,000 in aggregate principal amount of the Delayed Draw Term Loans prior to the expiration date for such amount of the Delayed Draw Term Loans of June 30, 2024. Interest on the Term Loans was a variable rate equal to (i) the secured overnight financing rate (“SOFR”) administered by the Federal Reserve Bank of New York for a one-month tenor, subject to a floor of 1.00%, plus (ii) an applicable margin of 6.50%.</w:t>
      </w:r>
    </w:p>
    <w:p>
      <w:pPr>
        <w:spacing w:after="0" w:line="1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as noted below, we repaid all amounts outstanding under the terms loans with Oxford Finance on November 22,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22, 2024, the Company completed the sale of $330,000 of our 4.25% Convertible Senior Notes (the "Notes"). The Notes were issued pursuant to an indenture (the "Indenture"), dated as of November 22, 2024, between the Company and U.S. Bank Trust Company, National Association, as trustee (the "Trustee"). The Notes are senior, unsecured obligations of the Company, and interest will be payable semi-annually in arrears at a rate of 4.25% per annum beginning on May 15, 2025. The Notes will mature on November 15, 2029, unless earlier repurchased, redeemed or converted in accordance with their terms. The net cash proceeds from the sale of the Notes was approximately $321,100, after subtracting fees, discounts and estimated expenses in connection with the transaction.</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August 15, 2029, the Notes will be convertible at the option of holders during certain periods, upon satisfaction of certain conditions. On or after August 15, 2029, the Notes will be convertible at any time until the close of business on the second scheduled trading day immediately preceding the maturity date. Upon conversion, the Notes may be settled in shares of Company common stock, cash or a combination of cash and shares of Company common stock, at the Company's election.</w:t>
      </w:r>
    </w:p>
    <w:p>
      <w:pPr>
        <w:spacing w:after="0" w:line="1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Notes have an initial conversion rate of approximately 62.4 shares of Company common stock per $1 principal amount of the Notes. The conversion rate will be subject to adjustment in certain events, including adjustment in the event of certain significant corporate transactions. This represents an initial conversion price of approximately $16.04 per share. The initial conversion price of the Notes represents a premium of approximately 25% to the closing price of the Company's common stock on November 14, 2024. The Company has used the proceeds from the sale of the Notes to repay in full the $215,000 aggregate principal amount, accrued interest and fees related to the Oxford term loans, as well as certain fees and expenses incurred in connection with the transaction.</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occurring and continuing, either the Trustee or the holders of at least 25% in principal amount of the outstanding notes may declare 100% of the principal of, and accrued and unpaid special interest, if any, on, all the notes to be due and payable.</w:t>
      </w:r>
    </w:p>
    <w:p>
      <w:pPr>
        <w:spacing w:after="0" w:line="16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has recognized the Notes in their entirety as a liability on the consolidated balance sheet and no portion of the proceeds from the issuance of the convertible debt instrument was accounted for separately as an embedded conversion feature within stockholders’ equity.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1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Subsequent to the balance sheet date, 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$200,000</w:t>
      </w:r>
    </w:p>
    <w:p>
      <w:pPr>
        <w:sectPr>
          <w:pgSz w:w="12240" w:h="15840" w:orient="portrait"/>
          <w:cols w:equalWidth="0" w:num="1">
            <w:col w:w="9900"/>
          </w:cols>
          <w:pgMar w:left="1180" w:top="304" w:right="1160" w:bottom="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2240" w:h="15840" w:orient="portrait"/>
          <w:cols w:equalWidth="0" w:num="1">
            <w:col w:w="9900"/>
          </w:cols>
          <w:pgMar w:left="1180" w:top="304" w:right="116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senior secured revolving credit facility (the “Credit Facility”), with sublimits of up to $20,000 for the issuance of letters of credit and $5,000 for swingline loans. Subject to meeting certain customary conditions, the Borrower may increase the commitments under the Credit Facility or establish one or more new term loan facilities by up to an amount equal to the greater of $50,000 or 100% of the Borrower Parties’ Consolidated EBITDA (as defined in the Credit Agreement) for the most recently completed four fiscal quarters of the Borrower Parties for which financial statements have been delivered.</w:t>
      </w:r>
    </w:p>
    <w:p>
      <w:pPr>
        <w:spacing w:after="0" w:line="1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Loans under the Credit Facility will bear interest at a floating rate, which can be either, at the Borrower’s option, (a) Term SOFR (as defined in the Credit Agreement) plus an applicable margin that ranges from 2.00% to 2.5% per annum with respect to Term SOFR loans or (b) a Base Rate (as defined in the Credit Agreement) plus an applicable margin that ranges from 1.0% to 1.5% per annum with respect to Base Rate loans , based on the Borrower Parties’ consolidated senior secured leverage ratio,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the Borrower Parties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 to 1.0 and (ii) Consolidated EBITDA for the period of four consecutive fiscal quarters ended on such date, of amounts specified in the Credit Agreement starting from $60,000 as of June 30, 2026, increasing to $70,000 as of June 30, 2027, and $80,000 as of June 30, 2028 and each fiscal quarter thereafter.</w:t>
      </w:r>
    </w:p>
    <w:p>
      <w:pPr>
        <w:spacing w:after="0" w:line="17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maturities under the term loan as of December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29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6324600" cy="129857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Period Ending December 31,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6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45"/>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330,000</w:t>
            </w: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9900"/>
          </w:cols>
          <w:pgMar w:left="1180" w:top="304" w:right="116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1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 expense recorded in the consolidated statement of operations and amounts computed at the statutory federal income tax rate for the years ended December 31, 2025,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324600" cy="3679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6324600" cy="3679825"/>
                    </a:xfrm>
                    <a:prstGeom prst="rect">
                      <a:avLst/>
                    </a:prstGeom>
                    <a:noFill/>
                  </pic:spPr>
                </pic:pic>
              </a:graphicData>
            </a:graphic>
          </wp:anchor>
        </w:drawing>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740" w:type="dxa"/>
            <w:vAlign w:val="bottom"/>
            <w:gridSpan w:val="2"/>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740" w:type="dxa"/>
            <w:vAlign w:val="bottom"/>
            <w:gridSpan w:val="2"/>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740" w:type="dxa"/>
            <w:vAlign w:val="bottom"/>
            <w:gridSpan w:val="2"/>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highlight w:val="white"/>
              </w:rPr>
              <w:t>Amount</w:t>
            </w:r>
          </w:p>
        </w:tc>
        <w:tc>
          <w:tcPr>
            <w:tcW w:w="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highlight w:val="white"/>
              </w:rPr>
              <w:t>Amount</w:t>
            </w:r>
          </w:p>
        </w:tc>
        <w:tc>
          <w:tcPr>
            <w:tcW w:w="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highlight w:val="white"/>
              </w:rPr>
              <w:t>Amount</w:t>
            </w:r>
          </w:p>
        </w:tc>
        <w:tc>
          <w:tcPr>
            <w:tcW w:w="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highlight w:val="white"/>
              </w:rPr>
              <w:t>Percentage</w:t>
            </w:r>
          </w:p>
        </w:tc>
        <w:tc>
          <w:tcPr>
            <w:tcW w:w="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highlight w:val="white"/>
              </w:rPr>
              <w:t>Percentage</w:t>
            </w:r>
          </w:p>
        </w:tc>
        <w:tc>
          <w:tcPr>
            <w:tcW w:w="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highlight w:val="white"/>
              </w:rPr>
              <w:t>Percentage</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tax at statutory federal rate</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620" w:type="dxa"/>
            <w:vAlign w:val="bottom"/>
            <w:vMerge w:val="continue"/>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(26,891)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Enactment of new tax laws</w:t>
            </w: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17,107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Compensation</w:t>
            </w: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entertainment</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deferred tax adjustments</w:t>
            </w: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tax return true-up</w:t>
            </w: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3620" w:type="dxa"/>
            <w:vAlign w:val="bottom"/>
            <w:vMerge w:val="continue"/>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year, California comprised the majority of the state and local income taxes, net of federal effect.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paid for income taxes (net of refunds) during the year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841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6324600" cy="184150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6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8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Colorado</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Massachusetts</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Jersey</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state and local</w:t>
            </w:r>
          </w:p>
        </w:tc>
        <w:tc>
          <w:tcPr>
            <w:tcW w:w="6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5"/>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5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2240" w:h="15840" w:orient="portrait"/>
          <w:cols w:equalWidth="0" w:num="1">
            <w:col w:w="9900"/>
          </w:cols>
          <w:pgMar w:left="1180" w:top="304" w:right="11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taxes as of December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33940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6324600" cy="3394075"/>
                    </a:xfrm>
                    <a:prstGeom prst="rect">
                      <a:avLst/>
                    </a:prstGeom>
                    <a:noFill/>
                  </pic:spPr>
                </pic:pic>
              </a:graphicData>
            </a:graphic>
          </wp:anchor>
        </w:drawing>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169,044</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deduction limitation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 credits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 lease liabilities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48,416</w:t>
            </w: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248,973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243,175</w:t>
            </w:r>
          </w:p>
        </w:tc>
      </w:tr>
      <w:tr>
        <w:trPr>
          <w:trHeight w:val="24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0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ROU assets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5"/>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(239,363)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(239,421)</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Valuation allowances are provided when it is considered more likely than not that deferred tax assets will not be realized. The valuation allowances primarily relate to future tax benefits on certain federal and state net operating loss (“NOL”) carryforwards. For the years ended December 31, 2025 and 2024, federal NOL carryforwards were $617,001 and $565,838, respectively. For the years ended December 31, 2025 and 2024, state NOL carryforwards were $531,012 and $543,513, respectively, and $95,332 of the total federal net operating loss carryforwards have an indefinite life while the remaining federal and state net operating loss carryforwards begin to expire in 2033 if not utilized.</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the total NOL carryforwards, approximately $19,031 of federal and $13,221 of California NOL carryforwards relate to Alignment Health Plan, Inc. for which the utilization of the federal NOL carryforward is subject to a federal Section 382 limitation of $870 per year, and the utilization of the California NOL carryforwards is subject to a similar California annual limitation. In June 2024, California’s Governor signed into law Assembly Bill (“AB”) 167 suspending California NOL utilization for taxpayers with more than $1 million of taxable income, effective for tax years 2024, 2025, and 2026. AB 167 includes an extended carryover period for suspended NOLs that would have been utilized if not for AB 167.</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cumulative NOLs as of December 31, 2025 and 2024. Given the history of losses, and after consideration for the risk associated with estimates of future taxable income, we established a full valuation allowance against net deferred tax assets at December 31, 2025 and 2024. Under the Tax Cuts and Jobs Act (“TCJA”), federal NOLs generated after 2017 will be carried forward indefinitely but are limited to an 80% deduction of taxable income. NOLs generated prior to 2018 have a 20-year carryforward period and can be used to offset 100% of taxable income. An exception to the TCJA federal NOL rule applies to certain of our subsidiaries and requires all NOLs generated from those entities to have a 20-year carryforward period and offset 100% of taxable income.</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an “ownership change” as defined under Section 382 of the Internal Revenue Code, could potentially limit the ability to utilize certain tax attributes including the Company’s substantial NOLs. Ownership change is generally defined as any significant change in ownership of more than 50% of its stock over a three-year testing period. If, as a result of current or future transactions involving our common stock, we undergo cumulative ownership changes which exceed 50% over the testing period, our ability to utilize our NOL carryforwards would be subject to additional limitations under IRC Section 382. We continue to monitor changes in ownership with respect to these income tax provisions.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record uncertain tax positions in accordance with ASC 740, on the basis of a two-step process in which (i) we determine whether it is more likely than not a tax position will be sustained on the basis of the technical merits of such position and (ii) for those tax positions meeting the more-likely-than-not recognition threshold, we recognize the largest amount of tax benefit that is more than 50.0% likely to be realized upon ultimate settlement with the related tax authority. The following table summarizes the gross amount of our uncertain tax positions: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2240" w:h="15840" w:orient="portrait"/>
          <w:cols w:equalWidth="0" w:num="1">
            <w:col w:w="9900"/>
          </w:cols>
          <w:pgMar w:left="1180" w:top="304" w:right="116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6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at the beginning of the year</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9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Increases from tax positions taken in the current year</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5"/>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at the end of the year</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existence of the valuation allowance, future changes in our unrecognized tax benefits will not impact our effective tax rate.</w:t>
      </w:r>
    </w:p>
    <w:p>
      <w:pPr>
        <w:spacing w:after="0" w:line="20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as a component of income tax expense. As of December 31, 2025, no interest and penalties have been recognized.</w:t>
      </w:r>
    </w:p>
    <w:p>
      <w:pPr>
        <w:spacing w:after="0" w:line="14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One Big Beautiful Bill Act (“OBBB Act”) was enacted on July 4, 2025 in the United States. The OBBB Act includes several significant provisions, including re-establishing a 100% bonus depreciation deduction, re-establishing rules in calculating business interest expense limitations pursuant to §163(j), and removing the capitalization requirements for domestic research or experimental (“R&amp;E”) expenditures paid or incurred in tax years beginning after December 31, 2024. We have considered applicable tax impacts of the OBBB Act within the 2025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March 25, 2021, our Board of Directors adopted the 2021 Equity Incentive Plan (the “2021 Plan”). Under the 2021 Plan, employees, consultants and directors of our Company and our affiliates that perform services for us are eligible to receive awards. The 2021 Plan provides for the grant of incentive stock options (“ISOs”), non-statutory stock options (“NSOs”), stock appreciation rights, restricted shares, performance awards, other share based awards (including restricted stock units) and other cash-based awards. ISOs may be granted only to employees, including officers. All other awards may be granted to employees, including officers, non-employee directors and consultants. The maximum number of shares available for issuance under the 2021 Plan may not exceed 20,744,444 shares (subject to a discretionary annual increase of up to 4% effective as of January 1 of each year for 10 years).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December 22, 2025, we registered an additional 27,915,561 shares of common stock that can be issued under the 2021 Equity Incentive Plan to eligible participants, including employees, directors, and consultants.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outstanding stock options generally vest 25% annually over four years and generally expire 10 years from the date of the grant. The 2021 Equity Incentive Plan provides that stock option grants will be made with an exercise price at no less than the estimated fair value of common stock at the date of the grant.</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9900"/>
          </w:cols>
          <w:pgMar w:left="1180" w:top="304" w:right="116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transactions as of and for the years ended December 31, 2025, 2024 and 2023:</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Stock Options Outstanding</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Subject to</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60" w:type="dxa"/>
            <w:vAlign w:val="bottom"/>
          </w:tcPr>
          <w:p>
            <w:pPr>
              <w:spacing w:after="0"/>
              <w:rPr>
                <w:sz w:val="13"/>
                <w:szCs w:val="13"/>
                <w:color w:val="auto"/>
              </w:rPr>
            </w:pPr>
          </w:p>
        </w:tc>
        <w:tc>
          <w:tcPr>
            <w:tcW w:w="132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0"/>
        </w:trPr>
        <w:tc>
          <w:tcPr>
            <w:tcW w:w="44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60" w:type="dxa"/>
            <w:vAlign w:val="bottom"/>
          </w:tcPr>
          <w:p>
            <w:pPr>
              <w:spacing w:after="0"/>
              <w:rPr>
                <w:sz w:val="13"/>
                <w:szCs w:val="13"/>
                <w:color w:val="auto"/>
              </w:rPr>
            </w:pPr>
          </w:p>
        </w:tc>
        <w:tc>
          <w:tcPr>
            <w:tcW w:w="13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6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Terms</w:t>
            </w:r>
          </w:p>
        </w:tc>
        <w:tc>
          <w:tcPr>
            <w:tcW w:w="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60" w:type="dxa"/>
            <w:vAlign w:val="bottom"/>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Price per Option</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10,603,493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(1,467,614)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9,135,879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(355,736)</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8,762,481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 /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(256,442)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7,408,212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0" w:type="dxa"/>
            <w:vAlign w:val="bottom"/>
          </w:tcPr>
          <w:p>
            <w:pPr>
              <w:spacing w:after="0"/>
              <w:rPr>
                <w:sz w:val="1"/>
                <w:szCs w:val="1"/>
                <w:color w:val="auto"/>
              </w:rPr>
            </w:pPr>
          </w:p>
        </w:tc>
      </w:tr>
      <w:tr>
        <w:trPr>
          <w:trHeight w:val="285"/>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and Exercisable as of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6,997,173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-2536190</wp:posOffset>
            </wp:positionV>
            <wp:extent cx="6311900" cy="255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6311900" cy="255905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intrinsic value represents the difference between the exercise price of the option and the closing price of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options exercised for the years ended December 31, 2025 and 2024 was $3,616 and $39,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exercised during the year ended December 31,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2025,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outstanding RSAs generally vest 25% annually over four years. RSAs generally vest on the later of the fourth anniversary of the original vesting commencement date or 50% annually on the first and second anniversary of the initial public offering, which was effective March 25,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RSA transactions as of and for the years ended December 31, 2025, 2024 and 2023:</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7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7180" w:type="dxa"/>
            <w:vAlign w:val="bottom"/>
          </w:tcPr>
          <w:p>
            <w:pPr>
              <w:spacing w:after="0"/>
              <w:rPr>
                <w:sz w:val="18"/>
                <w:szCs w:val="18"/>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4,690,441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85"/>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(3,916,030)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9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6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(627,491)</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9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6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(49,915)</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9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-1828165</wp:posOffset>
            </wp:positionV>
            <wp:extent cx="6311900" cy="1835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6311900" cy="183515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Restricted Stock Units ("RSU") generally vest 33% annually over three years or 25% annually over four years.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RSU transactions as of and for the years ended December 31, 2025, 2024 and 2023:</w:t>
      </w:r>
    </w:p>
    <w:p>
      <w:pPr>
        <w:sectPr>
          <w:pgSz w:w="12240" w:h="15840" w:orient="portrait"/>
          <w:cols w:equalWidth="0" w:num="1">
            <w:col w:w="9900"/>
          </w:cols>
          <w:pgMar w:left="1180" w:top="304" w:right="1160" w:bottom="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2240" w:h="15840" w:orient="portrait"/>
          <w:cols w:equalWidth="0" w:num="1">
            <w:col w:w="9900"/>
          </w:cols>
          <w:pgMar w:left="1180" w:top="304" w:right="11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5"/>
        </w:trPr>
        <w:tc>
          <w:tcPr>
            <w:tcW w:w="7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6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14"/>
        </w:trPr>
        <w:tc>
          <w:tcPr>
            <w:tcW w:w="7180" w:type="dxa"/>
            <w:vAlign w:val="bottom"/>
          </w:tcPr>
          <w:p>
            <w:pPr>
              <w:spacing w:after="0"/>
              <w:rPr>
                <w:sz w:val="18"/>
                <w:szCs w:val="18"/>
                <w:color w:val="auto"/>
              </w:rPr>
            </w:pPr>
          </w:p>
        </w:tc>
        <w:tc>
          <w:tcPr>
            <w:tcW w:w="13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8,728,936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(1,875,329)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(737,753)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10,541,625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6,994,001</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(2,993,372)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(1,197,569)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13,344,685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2,987,921</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(5,527,208)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(1,448,709)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9,356,689</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-2371090</wp:posOffset>
            </wp:positionV>
            <wp:extent cx="6311900" cy="2378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6311900" cy="237807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 ("PSUs")</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14, 2023,the Board of Directors of the Company approved the grant of performance-based restricted stock units under the Company's 2021 Equity Incentive Plan to its executive management team and other key employees. Each grantee is eligible to vest in a number of PSUs ranging from 0% to 150% of the target number of PSUs granted, based on the aggregated achievement by the Company of certain performance metrics during the performance period beginning on January 1, 2024 and ending on December 31, 2024. The achievement of PSUs relative to the approved target is based on the following performance metrics and relative weighting: Health Plan Revenue Growth Percentage (60%), At-Risk Returning Member Medical Benefit Ratio (20%) and Adjusted EBITDA, less Capital Expenditures (20%).</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50% of the total number of earned PSUs vested upon certification of achievement of the performance metrics by the Compensation Committee in March 2025 and the remaining 50% of earned PSUs vested as of December 31, 2025.</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2024, the Compensation Committee of the Board of Directors of the Company approved additional grants of PSUs under the Company's 2021 Equity Incentive Plan. Each grantee is eligible to vest in a number of PSUs ranging from 0% to 200% of the target number of PSUs granted, based on the aggregated achievement by the Company of certain performance metrics during the performance period beginning on January 1, 2026 and ending on December 31, 2026.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 2027, subject to continued service to the Company through such date.</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2025, the Compensation Committee of the Board of Directors of the Company approved additional grants of PSUs under the Company's 2021 Equity Incentive Plan. Each grantee is eligible to vest in a number of PSUs ranging from 0% to 200% of the target number of PSUs granted, based on the aggregated achievement by the Company of certain performance metrics during the performance period beginning on January 1, 2027 and ending on December 31, 2027. The achievement of PSUs relative to the approved target is based on the following performance metrics and relative weighting: Revenue (50% weighting) and Adjusted EBITDA (50% weighting). 100% of the total number of earned PSUs will become vested upon certification of achievement of the performance metrics by the Compensation Committee on or about March 1, 2028, subject to continued service to the Company through such date.</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2240" w:h="15840" w:orient="portrait"/>
          <w:cols w:equalWidth="0" w:num="1">
            <w:col w:w="9900"/>
          </w:cols>
          <w:pgMar w:left="1180" w:top="304" w:right="11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PSU transactions for the year ended December 31, 2025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160020</wp:posOffset>
            </wp:positionV>
            <wp:extent cx="6311900" cy="2768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6311900" cy="276860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2"/>
        </w:trPr>
        <w:tc>
          <w:tcPr>
            <w:tcW w:w="718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based restricted</w:t>
            </w:r>
          </w:p>
        </w:tc>
        <w:tc>
          <w:tcPr>
            <w:tcW w:w="60" w:type="dxa"/>
            <w:vAlign w:val="bottom"/>
          </w:tcPr>
          <w:p>
            <w:pPr>
              <w:spacing w:after="0"/>
              <w:rPr>
                <w:sz w:val="15"/>
                <w:szCs w:val="15"/>
                <w:color w:val="auto"/>
              </w:rPr>
            </w:pPr>
          </w:p>
        </w:tc>
        <w:tc>
          <w:tcPr>
            <w:tcW w:w="13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17"/>
        </w:trPr>
        <w:tc>
          <w:tcPr>
            <w:tcW w:w="71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7,233,205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7,233,205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(318,334)</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8,074,871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6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795,786</w:t>
            </w: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(6,667,948)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(517,302)</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1,685,407</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Kao Equity Award</w:t>
      </w:r>
    </w:p>
    <w:p>
      <w:pPr>
        <w:spacing w:after="0" w:line="21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Subsequent to the balance sheet date, on February 24, 2026 (the “Grant Date”), the Board of Directors of the Company approved the grant of certain performance share units (“PSUs”) to John Kao, the Company’s Chief Executive Officer (the “PSU Award”), under the Company’s 2021 Equity Incentive Plan (the “Plan”). The PSU Award supplements the annual equity awards that Mr. Kao will continue to be eligible for in the future. In approving the award, the Board, with input from the Compensation Committee and its independent compensation consultant, considered the importance of retaining Mr. Kao, a recognized industry leader, while incentivizing long-term, sustained business performance and alignment with stockholder interests. The material terms of the PSU Award are described below. Capitalized terms that are not otherwise defined have the meanings set forth in the Plan.</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Except as set forth below, 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to (the “Service Requirement”).</w:t>
      </w:r>
    </w:p>
    <w:p>
      <w:pPr>
        <w:spacing w:after="0" w:line="16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PSUs will become earned (“Earned PSUs”) in three tranches based on the achievement of the following volume-weighted average price per share goals during the Measurement Period (the “Stock Price Hurdles”):</w:t>
      </w:r>
    </w:p>
    <w:p>
      <w:pPr>
        <w:spacing w:after="0" w:line="214" w:lineRule="exact"/>
        <w:rPr>
          <w:sz w:val="20"/>
          <w:szCs w:val="20"/>
          <w:color w:val="auto"/>
        </w:rPr>
      </w:pPr>
    </w:p>
    <w:tbl>
      <w:tblPr>
        <w:tblLayout w:type="fixed"/>
        <w:tblInd w:w="103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Goals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Earned PSUs</w:t>
            </w:r>
          </w:p>
        </w:tc>
      </w:tr>
      <w:tr>
        <w:trPr>
          <w:trHeight w:val="24"/>
        </w:trPr>
        <w:tc>
          <w:tcPr>
            <w:tcW w:w="3340" w:type="dxa"/>
            <w:vAlign w:val="bottom"/>
            <w:tcBorders>
              <w:bottom w:val="single" w:sz="8" w:color="45B0E1"/>
            </w:tcBorders>
          </w:tcPr>
          <w:p>
            <w:pPr>
              <w:spacing w:after="0"/>
              <w:rPr>
                <w:sz w:val="2"/>
                <w:szCs w:val="2"/>
                <w:color w:val="auto"/>
              </w:rPr>
            </w:pPr>
          </w:p>
        </w:tc>
        <w:tc>
          <w:tcPr>
            <w:tcW w:w="2260" w:type="dxa"/>
            <w:vAlign w:val="bottom"/>
            <w:tcBorders>
              <w:bottom w:val="single" w:sz="8" w:color="45B0E1"/>
            </w:tcBorders>
          </w:tcPr>
          <w:p>
            <w:pPr>
              <w:spacing w:after="0"/>
              <w:rPr>
                <w:sz w:val="2"/>
                <w:szCs w:val="2"/>
                <w:color w:val="auto"/>
              </w:rPr>
            </w:pPr>
          </w:p>
        </w:tc>
        <w:tc>
          <w:tcPr>
            <w:tcW w:w="2240" w:type="dxa"/>
            <w:vAlign w:val="bottom"/>
            <w:tcBorders>
              <w:bottom w:val="single" w:sz="8" w:color="45B0E1"/>
            </w:tcBorders>
          </w:tcPr>
          <w:p>
            <w:pPr>
              <w:spacing w:after="0"/>
              <w:rPr>
                <w:sz w:val="2"/>
                <w:szCs w:val="2"/>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First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$33.75</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Second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$44.00</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Third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$55.25</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333,334</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-561340</wp:posOffset>
            </wp:positionV>
            <wp:extent cx="4997450" cy="206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4997450" cy="20637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-199390</wp:posOffset>
            </wp:positionV>
            <wp:extent cx="499745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49974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650875</wp:posOffset>
                </wp:positionH>
                <wp:positionV relativeFrom="paragraph">
                  <wp:posOffset>-549275</wp:posOffset>
                </wp:positionV>
                <wp:extent cx="0" cy="54292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43.2499pt" to="51.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2765425</wp:posOffset>
                </wp:positionH>
                <wp:positionV relativeFrom="paragraph">
                  <wp:posOffset>-549275</wp:posOffset>
                </wp:positionV>
                <wp:extent cx="0" cy="54292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75pt,-43.2499pt" to="217.7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4194175</wp:posOffset>
                </wp:positionH>
                <wp:positionV relativeFrom="paragraph">
                  <wp:posOffset>-549275</wp:posOffset>
                </wp:positionV>
                <wp:extent cx="0" cy="54292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25pt,-43.2499pt" to="330.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-549275</wp:posOffset>
                </wp:positionV>
                <wp:extent cx="0" cy="54292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43.2499pt" to="442.7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-549275</wp:posOffset>
                </wp:positionV>
                <wp:extent cx="497205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43.2499pt" to="442.7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-368300</wp:posOffset>
                </wp:positionV>
                <wp:extent cx="497205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29pt" to="442.75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-187325</wp:posOffset>
                </wp:positionV>
                <wp:extent cx="497205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4.7499pt" to="442.7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-6350</wp:posOffset>
                </wp:positionV>
                <wp:extent cx="497205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0.4999pt" to="442.75pt,-0.4999pt" o:allowincell="f" strokecolor="#000000" strokeweight="0pt"/>
            </w:pict>
          </mc:Fallback>
        </mc:AlternateContent>
      </w:r>
    </w:p>
    <w:p>
      <w:pPr>
        <w:spacing w:after="0" w:line="2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though such later date. Except as described below, PSUs for which the relevant Stock Price Hurdle has not been achieved by the end of the Measurement Period will be forfeited.</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2240" w:h="15840" w:orient="portrait"/>
          <w:cols w:equalWidth="0" w:num="1">
            <w:col w:w="9900"/>
          </w:cols>
          <w:pgMar w:left="1180" w:top="304" w:right="116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equity-based compensation expense was presented on the statement of operations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11900" cy="892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2">
                      <a:extLst>
                        <a:ext uri="{28A0092B-C50C-407E-A947-70E740481C1C}"/>
                      </a:extLst>
                    </a:blip>
                    <a:srcRect/>
                    <a:stretch>
                      <a:fillRect/>
                    </a:stretch>
                  </pic:blipFill>
                  <pic:spPr bwMode="auto">
                    <a:xfrm>
                      <a:off x="0" y="0"/>
                      <a:ext cx="6311900" cy="892175"/>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59,294</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Medical expenses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71,132</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-549275</wp:posOffset>
                </wp:positionV>
                <wp:extent cx="173355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3.2499pt" to="429.2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-187325</wp:posOffset>
                </wp:positionV>
                <wp:extent cx="173355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7499pt" to="429.2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-6350</wp:posOffset>
                </wp:positionV>
                <wp:extent cx="173355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0.4999pt" to="429.25pt,-0.4999pt" o:allowincell="f" strokecolor="#000000" strokeweight="0pt"/>
            </w:pict>
          </mc:Fallback>
        </mc:AlternateContent>
      </w:r>
    </w:p>
    <w:p>
      <w:pPr>
        <w:spacing w:after="0" w:line="214"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$46,535 in unrecognized compensation expense related to all non-vested awards (Options, RSUs and PSUs) that will be recognized over the weighted-average period of 1.51 years. As of December 31, 2024 and December 31, 2023, there was $61,809 and $98,004, respectively, in unrecognized compensation expense related to all non-vested awards (Options, RSUs and PSUs) that will be recognized over the weighted-average period of 1.55 and 1.88 years,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Regulatory Requirements and Restricted Funds</w:t>
      </w:r>
    </w:p>
    <w:p>
      <w:pPr>
        <w:spacing w:after="0" w:line="21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health plans or risk-bearing entities are required to maintain minimum capital requirements prescribed by various regulatory authorities in each of the states in which it operates.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Risk-Based Capital</w:t>
      </w:r>
    </w:p>
    <w:p>
      <w:pPr>
        <w:spacing w:after="0" w:line="2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National Association of Insurance Commissioners has adopted rules, which, if implemented by the states, set minimum capitalization requirements for insurance companies, health maintenance organizations ("HMOs"), and other entities bearing risk for health care coverage. The requirements take the form of risk-based capital (“RBC”) rules, which may vary from state to state. Certain states in which our health plans or risk bearing entities operate in have adopted the RBC rules. Our health plans or risk-bearing entities were in compliance with the minimum capital requirements for all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Net Equity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health plans in California are required to comply with the tangible net equity ("TNE") requirements. The required amount is 150% of the larger of: (1) $1,000; (2) the sum of 2% of the first $150,000 of annualized premium revenue and 1% of annualized premium revenue in excess of $150,000; or (3) 8% of the first $150,000 of annualized health care expenditures except those paid on a capitated or managed hospital payment basis, plus 4% of the annualized health care expenditures in excess of $150,000, except those paid on a capitated or managed hospital payment basis, plus 4% of annualized hospital expenditures paid on a managed hospital payment basis. For newer health plans, through the first three years immediately following the health plan’s operational start date, the required amount is 200% of the larger of the TNE calculation described above. We were in compliance with the TNE requirements as of December 31, 2025.</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regulate the payment of dividends, loans, or other cash transfers from our regulated subsidiaries to our non-regulated subsidiaries and parent company. Such payments may require approval by state regulatory authorities and are limited based on certain financial criteria, such as the entity’s level of statutory income and statutory capital and surplus, or the entity’s level of tangible net equity or net worth, amongst other measures. These regulations vary by state. Our state regulated subsidiaries had aggregate regulatory capital of approximately $268,515 and $156,167 as of December 31, 2025 and 2024, respectively, which exceeded aggregate minimum regulatory requirements of $116,090 and $75,212, respectively. The amount of undistributed dividends from our regulated subsidiaries that may be paid out to our parent without regulatory approval was $72,869 and $46,785 as of December 31, 2025 and 2024, respectively. We were in compliance with the RBC and TNE requirements as of December 31, 2025.</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the ability to provide additional capital to each of our health plans or risk-bearing entities when necessary to ensure that the RBC and TNE requirements are met.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regulations governing our subsidiaries, we maintain certain deposits required by the government authorities in the form of cash, certificate of deposit and Treasury bills as protection in the event of insolvency. The use of funds from these investments is limited as required by regulation in the various states in which we operate, or as needed in the event of insolvency. Therefore, these deposits are reported within other assets on the consolidated balance sheets.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hold these assets until maturity, at which time these assets will renew or are invested in a similar type of investment instrument. Given the regulatory requirements, we expect to hold these investments for long-term. As a result, we do not expect the value of these investments to decline significantly due to a sudden change in market interest rates. These investments are carried at amortized cost, which approximates fair value. See Note 3, Fair Value, for further discussion.</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2240" w:h="15840" w:orient="portrait"/>
          <w:cols w:equalWidth="0" w:num="1">
            <w:col w:w="9900"/>
          </w:cols>
          <w:pgMar w:left="1180" w:top="304" w:right="116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leases are primarily for our corporate office, including parking spaces, and healthcare services operating facilities and expire at various intervals up through 2030. The majority of our leases contain renewal options, some of which include options to extend the lease for up to five years per option.</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majority of our leases are comprised of fixed payments. When certain portions of the lease payments are not fixed, we consider those payments to be variable in nature. These variable lease payments include, but are not limited to, common area maintenance, parking, taxes and insurance. These variable payments are not included in the ROU asset or lease liability and are recorded within selling, general and administrative expenses in the consolidated statement of operations and are recorded based upon actual costs in the period incurred.</w:t>
      </w:r>
    </w:p>
    <w:p>
      <w:pPr>
        <w:spacing w:after="0" w:line="1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leases also contain rent escalation clauses that require additional rental amounts in the later years of the term. Rent expense for leases with rent escalation is recognized on a straight-line basis over the minimum lease term. The lease agreements do not contain any material residual value guarantees or material restrictive covenants.</w:t>
      </w:r>
    </w:p>
    <w:p>
      <w:pPr>
        <w:spacing w:after="0" w:line="160"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At December 31, 2025, $7,019 of operating ROU assets were recorded as right of use assets on the consolidated balance sheets. Lease liabilities of $1,958 and $6,467 were included in accounts payable and accrued expenses and long-term lease liabilities, respectively.</w:t>
      </w:r>
    </w:p>
    <w:p>
      <w:pPr>
        <w:spacing w:after="0" w:line="124"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At December 31, 2024, $7,818 of operating ROU assets were recorded as right of use assets on the consolidated balance sheets. Lease liabilities of $1,212 and $7,835 were included in accounts payable and accrued expenses and long-term lease liabilities, respectively.</w:t>
      </w:r>
    </w:p>
    <w:p>
      <w:pPr>
        <w:spacing w:after="0" w:line="12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fixed operating lease costs and variable operating lease cost, excluding short-term lease and finance lease costs,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114935</wp:posOffset>
            </wp:positionV>
            <wp:extent cx="6311900" cy="892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3">
                      <a:extLst>
                        <a:ext uri="{28A0092B-C50C-407E-A947-70E740481C1C}"/>
                      </a:extLst>
                    </a:blip>
                    <a:srcRect/>
                    <a:stretch>
                      <a:fillRect/>
                    </a:stretch>
                  </pic:blipFill>
                  <pic:spPr bwMode="auto">
                    <a:xfrm>
                      <a:off x="0" y="0"/>
                      <a:ext cx="6311900" cy="892175"/>
                    </a:xfrm>
                    <a:prstGeom prst="rect">
                      <a:avLst/>
                    </a:prstGeom>
                    <a:noFill/>
                  </pic:spPr>
                </pic:pic>
              </a:graphicData>
            </a:graphic>
          </wp:anchor>
        </w:drawing>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Fixed operating lease costs</w:t>
            </w:r>
          </w:p>
        </w:tc>
        <w:tc>
          <w:tcPr>
            <w:tcW w:w="82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2,661</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 costs</w:t>
            </w: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leases costs</w:t>
            </w:r>
          </w:p>
        </w:tc>
        <w:tc>
          <w:tcPr>
            <w:tcW w:w="8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2,895</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r>
    </w:tbl>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Fixed and variable operating leases costs are included within selling, general and administrative expenses in the consolidated statement of operations. Short term and finance lease costs were immaterial. For the year-ended December 31, 2025, 2024 and 2023, cash paid for amounts included in the measurement of lease liabilities included within our operating cash flows was $1,504, $1,525 and $3,510, respectively.</w:t>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Lease liabilities are based on the net present value of the remaining lease payments over the remaining lease term. In determining the present value of lease payments, the Company used its incremental borrowing rate based on the information available at the lease commencement date.</w:t>
      </w:r>
    </w:p>
    <w:p>
      <w:pPr>
        <w:spacing w:after="0" w:line="16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3.9 years with a weighted average discount rate 11.6% at December 31, 2025.</w:t>
      </w:r>
    </w:p>
    <w:p>
      <w:pPr>
        <w:spacing w:after="0" w:line="14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4.40 years with a weighted average discount rate 12.0% at December 31, 2024</w:t>
      </w:r>
    </w:p>
    <w:p>
      <w:pPr>
        <w:spacing w:after="0" w:line="14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finance leases is 3.3 years with a weighted average discount rate 4.3% at December 31, 2025.</w:t>
      </w:r>
    </w:p>
    <w:p>
      <w:pPr>
        <w:spacing w:after="0" w:line="14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$213 and $0 of operating lease and finance lease assets, respectively, were exchanged for lease liabilities related to newly commenced leases.</w:t>
      </w:r>
    </w:p>
    <w:p>
      <w:pPr>
        <w:spacing w:after="0" w:line="15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In the year ended December 31, 2024, $26 and $0 of operating lease and finance lease assets, respectively, were exchanged for lease liabilities related to newly commenced leases</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2240" w:h="15840" w:orient="portrait"/>
          <w:cols w:equalWidth="0" w:num="1">
            <w:col w:w="9900"/>
          </w:cols>
          <w:pgMar w:left="1180" w:top="304" w:right="116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lease assets and liabilities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429260</wp:posOffset>
            </wp:positionV>
            <wp:extent cx="6324600" cy="2222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4">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assets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 assets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Non-current</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under operating leases by fiscal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324600" cy="1774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5">
                      <a:extLst>
                        <a:ext uri="{28A0092B-C50C-407E-A947-70E740481C1C}"/>
                      </a:extLst>
                    </a:blip>
                    <a:srcRect/>
                    <a:stretch>
                      <a:fillRect/>
                    </a:stretch>
                  </pic:blipFill>
                  <pic:spPr bwMode="auto">
                    <a:xfrm>
                      <a:off x="0" y="0"/>
                      <a:ext cx="6324600" cy="1774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54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90"/>
        </w:trPr>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810"/>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85"/>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70"/>
        </w:trPr>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r>
      <w:tr>
        <w:trPr>
          <w:trHeight w:val="290"/>
        </w:trPr>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18"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42" w:lineRule="exact"/>
        <w:rPr>
          <w:sz w:val="20"/>
          <w:szCs w:val="20"/>
          <w:color w:val="auto"/>
        </w:rPr>
      </w:pPr>
    </w:p>
    <w:p>
      <w:pPr>
        <w:sectPr>
          <w:pgSz w:w="12240" w:h="15840" w:orient="portrait"/>
          <w:cols w:equalWidth="0" w:num="2">
            <w:col w:w="7100" w:space="120"/>
            <w:col w:w="2680"/>
          </w:cols>
          <w:pgMar w:left="1180" w:top="304" w:right="1160" w:bottom="0" w:gutter="0" w:footer="0" w:header="0"/>
        </w:sectPr>
      </w:pPr>
    </w:p>
    <w:tbl>
      <w:tblPr>
        <w:tblLayout w:type="fixed"/>
        <w:tblInd w:w="0" w:type="dxa"/>
        <w:tblCellMar>
          <w:top w:w="0" w:type="dxa"/>
          <w:left w:w="0" w:type="dxa"/>
          <w:bottom w:w="0" w:type="dxa"/>
          <w:right w:w="0" w:type="dxa"/>
        </w:tblCellMar>
      </w:tblPr>
      <w:tr>
        <w:trPr>
          <w:trHeight w:val="251"/>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0" w:type="dxa"/>
            <w:vAlign w:val="bottom"/>
          </w:tcPr>
          <w:p>
            <w:pPr>
              <w:spacing w:after="0"/>
              <w:rPr>
                <w:sz w:val="1"/>
                <w:szCs w:val="1"/>
                <w:color w:val="auto"/>
              </w:rPr>
            </w:pPr>
          </w:p>
        </w:tc>
      </w:tr>
      <w:tr>
        <w:trPr>
          <w:trHeight w:val="29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 and thereafter</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6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0" w:type="dxa"/>
            <w:vAlign w:val="bottom"/>
          </w:tcPr>
          <w:p>
            <w:pPr>
              <w:spacing w:after="0"/>
              <w:rPr>
                <w:sz w:val="1"/>
                <w:szCs w:val="1"/>
                <w:color w:val="auto"/>
              </w:rPr>
            </w:pPr>
          </w:p>
        </w:tc>
      </w:tr>
      <w:tr>
        <w:trPr>
          <w:trHeight w:val="29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under finance leases by fiscal year are as follows:</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8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w w:val="98"/>
              </w:rPr>
              <w:t>As of December 31,</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6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2030 and thereafter</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90"/>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5"/>
        </w:trPr>
        <w:tc>
          <w:tcPr>
            <w:tcW w:w="8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6">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pacing w:after="0" w:line="19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sublease space not used in our operations. For the years ended December 31, 2025, 2024 and 2023, sublease income was $16, $206, and $565, respectively. For the year ended December 31, 2025, no ROU asset impairment was recorded. We recorded $143 ROU asset impairment for the year ended December 31, 2024, and there was no ROU asset impairment recorded for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All full-time employees are eligible to participate in a 401(k) plan that we sponsor upon completing 90 days of services. Eligible employees are permitted to contribute up to the maximum amount allowed by law. We match 100% of contributions not exceeding 4% of the employee's compensation. We made matching contributions of $4,157, $3,798, and $3,471 during 2025, 2024, and 2023, respectively, and were included within medical expenses and selling, general, and administrative expenses in the consolidated statement of operations.</w:t>
      </w:r>
    </w:p>
    <w:p>
      <w:pPr>
        <w:sectPr>
          <w:pgSz w:w="12240" w:h="15840" w:orient="portrait"/>
          <w:cols w:equalWidth="0" w:num="1">
            <w:col w:w="9900"/>
          </w:cols>
          <w:pgMar w:left="1180" w:top="304" w:right="1160" w:bottom="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2240" w:h="15840" w:orient="portrait"/>
          <w:cols w:equalWidth="0" w:num="1">
            <w:col w:w="9900"/>
          </w:cols>
          <w:pgMar w:left="1180" w:top="304"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 a liability and accrue the costs for a loss when an unfavorable outcome is probable and the amount of the loss can be reasonably estimated. In some cases, no estimate of the possible loss or range of loss in excess of amounts accrued, if any, can be made because of the inherently unpredictable nature of legal and regulatory proceedings. While the liability and accrued costs reflect our best estimate, the actual amounts may materially be different.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2022, a former employee of the Company filed a purported class action lawsuit (Dabney v. Alignment Healthcare USA,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Orange County Superior Court) alleging that the Company failed to provide hourly employees with required meal and rest breaks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pay such workers a premium equal to an hour of pay for missed meal or rest breaks. Discovery in the matter commenced on June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On September 2, 2022, the court granted a stay of proceedings and discovery in anticipation of mediation scheduled for August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On August 15, 2023, the Company entered into a tentative settlement of the action in consideration of an aggregate payment of</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$913. As a result of the tentative settlement, the Company has accrued for a potential liability of $913 as of December 31, 2025 for this matter, which was recorded within accounts payable and accrued expenses on the consolidated balance sheet and selling, general and administrative expenses on the consolidated statement of operations. Subsequent to period end, the settlement was approved by the court and the Company made payment in January 2026.</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7, 2023, a stockholder of Alignment filed a purported class action lawsuit (Maglione v. Alignment Healthcare, Inc., et al, Delaware Chancery Court). The plaintiff alleged that certain provisions of Alignment’s stockholder agreement with General Atlantic (“GA”) and Warburg Pincus violate Delaware law. On April 30, 2024, the Company agreed to amend the stockholder agreement to eliminate the provisions challenged by the Maglione plaintiff. On May 24, 2024, the parties filed a stipulation and proposed order voluntarily dismissing the action as moot, which the court granted. Pursuant to the order, the court retained jurisdiction regarding attorneys’ fees.The Company entered into discussions with plaintiffs’ counsel to negotiate with respect to attorney’s fees. In March 2025 the parties reached an agreement on settlement fees in the amount of $950. The settlement was paid in April 2025.</w:t>
      </w:r>
    </w:p>
    <w:p>
      <w:pPr>
        <w:spacing w:after="0" w:line="17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be involved in various litigation matters in the ordinary course of business. In the opinion of management, the ultimate resolution of legal proceedings is not expected to have a material adverse effect on the consolidated financial statements. Amounts accrued for legal proceedings were not material as of December 31, 2025 and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Adjustment Data Validation Audit</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25, 2025, the Company was notified that its California HMO plan had been selected for an audit of Medicare Advantage contract-specific risk adjustment data validation (“RADV”) with respect to payment year 2019. CMS conducts RADV audits in order to validate the coding practices of and supporting documentation maintained by health care providers and such audits may result in retrospective adjustments to payments made to the Company’s health plans. Under CMS’s final rule issued in 2023, CMS announced its intent to apply a revised methodology, including extrapolated audit findings to estimate contract-wide overpayments and without application of the previously employed “fee-for-service adjuster” that accounted for the error rate in the original Medicare data that CMS used to develop the risk adjustment model. Additionally, in May 2025, CMS announced a significant expansion to its RADV audit program, stating, among other things, that it intended to conduct RADV audits with extrapolation on all eligible MA plans on an annual basis and that it would accelerate the timetable for clearing its backlog of audits with respect to payment years 2018-24. However, on September 25, 2025, a Federal District Court in Texas vacated CMS’s final rule regarding extrapolation of results of RADV audits for payment years beginning with payment year 2018. As of December 31, 2025, the Company is in the process of collecting and reviewing medical records with respect to the member cohort selected for the RADV audit. The Company is continuing to monitor developments with respect to these audits and continuing to assess their potential impact.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agreements for goods and services which include fixed, minimum and estimated payments under existing contractual obligations that are legally enforceable and binding. These obligations include agreements that are cancellable with the payment of an early termination penalty and other funding commitments that require fixed or minimum levels of service to be purchased with a specific timing established.We have purchase obligation commitments of $14,253 in 2026, $13,585 in 2027, $12,975 in 2028, $6,075 in 2029, and $1,478 in 2030. Purchase obligations exclude agreements that are cancellable without penalty.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 Insurance</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maintain coverage for professional liability, errors and omissions, directors and officers, employment practices liability insurance, and worker’s compensation. The professional liability insurance policy is claims based while the other insurance policies are occurrence based. Such policies provide coverage for our employees, certain covered physicians, loss of income due to potential business interruption, and possible destruction or theft of assets. There have not been any reductions in coverage nor have there been any claims, which have exceeded such coverage(s) for the year ended December 31, 2025 and 2024.</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2240" w:h="15840" w:orient="portrait"/>
          <w:cols w:equalWidth="0" w:num="1">
            <w:col w:w="9900"/>
          </w:cols>
          <w:pgMar w:left="1180" w:top="304"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Reinsurance (Stop-Loss insurance)</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utilize medical insurance (or stop-loss agreements) to limit excess losses on individual members. Under the terms of the stop-loss agreements, we are reimbursed for certain proportions of the cost of each member’s medical expenses in excess of a specified deductible in a coverage period, limited to $2,000 in aggregate per member per coverage period. In 2025, all of our markets were covered by stop-loss agreements which included dates of service prior to October 1, 2025, and we have until November 1, 2026, to submit claims to the reinsurance carrier for reimbursement.</w:t>
      </w:r>
    </w:p>
    <w:p>
      <w:pPr>
        <w:spacing w:after="0" w:line="1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began a new policy on October 1, 2025, which will cover dates of service through September 30, 2026, and will allow us to submit claims for reimbursement until November 1, 2027.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premiums are included in medical costs in the consolidated statement of operations.</w:t>
      </w:r>
    </w:p>
    <w:p>
      <w:pPr>
        <w:spacing w:after="0" w:line="20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event that the third-party with whom we have contracted is unable to meet its obligations under the stop-loss agreement, we remain 100% liable for paying such claim amounts submitted.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Joseph Konowiecki currently serves as Chairman of the Board and previously served in an executive role with the Company. Mr. Konowiecki’s son is a partner in the law firm of McDermott Will &amp; Emery LLP (“MWE”), which provided legal services to the Company and our subsidiaries during the fiscal years ended December 31, 2025, 2024 and 2023 and continues to do so. For providing these services, MWE received fees related to the fiscal years ended December 31, 2025, 2024 and 2023 of approximately $429, $272 and $518, respectively. Mr. Konowiecki’s son does not receive any direct compensation from the fees paid to MWE by us, and the fees paid by us to MWE in fiscal 2025 were considered immaterial to the service provider.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Condensed Financial Information (Parent Company Only)</w:t>
      </w:r>
    </w:p>
    <w:p>
      <w:pPr>
        <w:spacing w:after="0" w:line="21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Certain subsidiaries are subject to state regulatory restrictions which set minimum capitalization requirements and require us to maintain certain deposits in the form of cash, certificates of deposit and Treasury bills as protection in the event of insolvency. Refer to Note 11 Regulatory Requirements and Restricted Funds for more information. Since the restricted net assets of our subsidiaries exceed 25% of our consolidated net assets, the accompanying condensed parent company financial statements have been prepared in accordance with Rule 12-04, Schedule 1 of Regulation S-X. This information should be read in conjunction with our consolidated financial statements.</w:t>
      </w:r>
    </w:p>
    <w:p>
      <w:pPr>
        <w:sectPr>
          <w:pgSz w:w="12240" w:h="15840" w:orient="portrait"/>
          <w:cols w:equalWidth="0" w:num="1">
            <w:col w:w="9880"/>
          </w:cols>
          <w:pgMar w:left="1180" w:top="30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2240" w:h="15840" w:orient="portrait"/>
          <w:cols w:equalWidth="0" w:num="1">
            <w:col w:w="9880"/>
          </w:cols>
          <w:pgMar w:left="1180" w:top="304" w:right="11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Alignment Healthcare,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Only)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149225</wp:posOffset>
            </wp:positionV>
            <wp:extent cx="6324600" cy="3603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7">
                      <a:extLst>
                        <a:ext uri="{28A0092B-C50C-407E-A947-70E740481C1C}"/>
                      </a:extLst>
                    </a:blip>
                    <a:srcRect/>
                    <a:stretch>
                      <a:fillRect/>
                    </a:stretch>
                  </pic:blipFill>
                  <pic:spPr bwMode="auto">
                    <a:xfrm>
                      <a:off x="0" y="0"/>
                      <a:ext cx="6324600" cy="3603625"/>
                    </a:xfrm>
                    <a:prstGeom prst="rect">
                      <a:avLst/>
                    </a:prstGeom>
                    <a:noFill/>
                  </pic:spPr>
                </pic:pic>
              </a:graphicData>
            </a:graphic>
          </wp:anchor>
        </w:drawing>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1"/>
        </w:trPr>
        <w:tc>
          <w:tcPr>
            <w:tcW w:w="718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520,283</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425,033</w:t>
            </w:r>
          </w:p>
        </w:tc>
        <w:tc>
          <w:tcPr>
            <w:tcW w:w="0" w:type="dxa"/>
            <w:vAlign w:val="bottom"/>
          </w:tcPr>
          <w:p>
            <w:pPr>
              <w:spacing w:after="0"/>
              <w:rPr>
                <w:sz w:val="1"/>
                <w:szCs w:val="1"/>
                <w:color w:val="auto"/>
              </w:rPr>
            </w:pPr>
          </w:p>
        </w:tc>
      </w:tr>
      <w:tr>
        <w:trPr>
          <w:trHeight w:val="24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425,033</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Due to subsidiary</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9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323,176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321,428</w:t>
            </w:r>
          </w:p>
        </w:tc>
        <w:tc>
          <w:tcPr>
            <w:tcW w:w="0" w:type="dxa"/>
            <w:vAlign w:val="bottom"/>
          </w:tcPr>
          <w:p>
            <w:pPr>
              <w:spacing w:after="0"/>
              <w:rPr>
                <w:sz w:val="1"/>
                <w:szCs w:val="1"/>
                <w:color w:val="auto"/>
              </w:rPr>
            </w:pPr>
          </w:p>
        </w:tc>
      </w:tr>
      <w:tr>
        <w:trPr>
          <w:trHeight w:val="24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as of December 31, 2025 and</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respectively; no shares issued and outstanding as of December 31, 2025 and 2024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1,000,000,000 shares authorized as of December 31, 2025 and</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December 31, 2024; 204,153,619 and 191,778,639 shares issued and outstanding as of</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85"/>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1,107,952</w:t>
            </w:r>
          </w:p>
        </w:tc>
        <w:tc>
          <w:tcPr>
            <w:tcW w:w="0" w:type="dxa"/>
            <w:vAlign w:val="bottom"/>
          </w:tcPr>
          <w:p>
            <w:pPr>
              <w:spacing w:after="0"/>
              <w:rPr>
                <w:sz w:val="1"/>
                <w:szCs w:val="1"/>
                <w:color w:val="auto"/>
              </w:rPr>
            </w:pPr>
          </w:p>
        </w:tc>
      </w:tr>
      <w:tr>
        <w:trPr>
          <w:trHeight w:val="290"/>
        </w:trPr>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(1,009,017)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(1,008,293)</w:t>
            </w:r>
          </w:p>
        </w:tc>
        <w:tc>
          <w:tcPr>
            <w:tcW w:w="0" w:type="dxa"/>
            <w:vAlign w:val="bottom"/>
          </w:tcPr>
          <w:p>
            <w:pPr>
              <w:spacing w:after="0"/>
              <w:rPr>
                <w:sz w:val="1"/>
                <w:szCs w:val="1"/>
                <w:color w:val="auto"/>
              </w:rPr>
            </w:pPr>
          </w:p>
        </w:tc>
      </w:tr>
      <w:tr>
        <w:trPr>
          <w:trHeight w:val="26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Alignment Healthcare, Inc. stockholders' equity</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179,277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99,851</w:t>
            </w:r>
          </w:p>
        </w:tc>
        <w:tc>
          <w:tcPr>
            <w:tcW w:w="0" w:type="dxa"/>
            <w:vAlign w:val="bottom"/>
          </w:tcPr>
          <w:p>
            <w:pPr>
              <w:spacing w:after="0"/>
              <w:rPr>
                <w:sz w:val="1"/>
                <w:szCs w:val="1"/>
                <w:color w:val="auto"/>
              </w:rPr>
            </w:pPr>
          </w:p>
        </w:tc>
      </w:tr>
      <w:tr>
        <w:trPr>
          <w:trHeight w:val="270"/>
        </w:trPr>
        <w:tc>
          <w:tcPr>
            <w:tcW w:w="7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Alignment Healthcare,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Only)</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149225</wp:posOffset>
            </wp:positionV>
            <wp:extent cx="6311900" cy="3244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8">
                      <a:extLst>
                        <a:ext uri="{28A0092B-C50C-407E-A947-70E740481C1C}"/>
                      </a:extLst>
                    </a:blip>
                    <a:srcRect/>
                    <a:stretch>
                      <a:fillRect/>
                    </a:stretch>
                  </pic:blipFill>
                  <pic:spPr bwMode="auto">
                    <a:xfrm>
                      <a:off x="0" y="0"/>
                      <a:ext cx="6311900" cy="3244850"/>
                    </a:xfrm>
                    <a:prstGeom prst="rect">
                      <a:avLst/>
                    </a:prstGeom>
                    <a:noFill/>
                  </pic:spPr>
                </pic:pic>
              </a:graphicData>
            </a:graphic>
          </wp:anchor>
        </w:drawing>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0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30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4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06"/>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of Parent Company</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Subsidiary's Net income (loss)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(125,928)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(147,685)</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(128,071)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(148,173)</w:t>
            </w: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Alignment Healthcare, Inc.</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(128,035)</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(148,017)</w:t>
            </w: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2240" w:h="15840" w:orient="portrait"/>
          <w:cols w:equalWidth="0" w:num="1">
            <w:col w:w="9900"/>
          </w:cols>
          <w:pgMar w:left="1180" w:top="304" w:right="11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Alignment Healthcare,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(Parent Company Only)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149225</wp:posOffset>
            </wp:positionV>
            <wp:extent cx="6324600"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9">
                      <a:extLst>
                        <a:ext uri="{28A0092B-C50C-407E-A947-70E740481C1C}"/>
                      </a:extLst>
                    </a:blip>
                    <a:srcRect/>
                    <a:stretch>
                      <a:fillRect/>
                    </a:stretch>
                  </pic:blipFill>
                  <pic:spPr bwMode="auto">
                    <a:xfrm>
                      <a:off x="0" y="0"/>
                      <a:ext cx="6324600" cy="4330700"/>
                    </a:xfrm>
                    <a:prstGeom prst="rect">
                      <a:avLst/>
                    </a:prstGeom>
                    <a:noFill/>
                  </pic:spPr>
                </pic:pic>
              </a:graphicData>
            </a:graphic>
          </wp:anchor>
        </w:drawing>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attributable to Alignment Healthcare, Inc.</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(128,035)</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(148,017)</w:t>
            </w:r>
          </w:p>
        </w:tc>
        <w:tc>
          <w:tcPr>
            <w:tcW w:w="0" w:type="dxa"/>
            <w:vAlign w:val="bottom"/>
          </w:tcPr>
          <w:p>
            <w:pPr>
              <w:spacing w:after="0"/>
              <w:rPr>
                <w:sz w:val="1"/>
                <w:szCs w:val="1"/>
                <w:color w:val="auto"/>
              </w:rPr>
            </w:pPr>
          </w:p>
        </w:tc>
      </w:tr>
      <w:tr>
        <w:trPr>
          <w:trHeight w:val="269"/>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loss of subsidiary</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147,529</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Due to subsidiary</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65"/>
        </w:trPr>
        <w:tc>
          <w:tcPr>
            <w:tcW w:w="5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Subsidiary</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58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withheld net of restricted stock</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 exercised</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321,525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financing and investing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 of equity to subsidiary related to equity-based compensation</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66,835</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 in accounts payable</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Alignment Healthcare, Inc's. (the "Parent") parent company financial information has been derived from our consolidated financial statements and have been presented on a "parent-only" basis. Under a parent-only presentation, the investment in subsidiaries is presented under the equity method of accounting. The accounting policies for the parent company are the same as those described in Note 2 Summary of Significant Accounting Policies. The Parent is a holding company with no material operations of its own that conducts substantially all of its activities through its subsidiaries. The Parent has no cash and, as a result, expenses and obligations of the Parent are allocated to and paid by its subsidiaries. The accompanying condensed financial information of the Parent should be read in conjunction with the consolidated financial statements and accompanying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Subsidiary</w:t>
      </w:r>
    </w:p>
    <w:p>
      <w:pPr>
        <w:spacing w:after="0" w:line="21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For purposes of these condensed financial statements, our wholly owned subsidiaries are recorded using the equity method of accounting. Investment in subsidiary represents capital contributions to subsidiaries and return of capital from our subsidiaries to us.</w:t>
      </w:r>
    </w:p>
    <w:p>
      <w:pPr>
        <w:spacing w:after="0" w:line="12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Parent and its subsidiaries are included in the consolidated federal and state income tax returns filed by the Parent. Income taxes are allocated to each subsidiary in an amount equivalent to the amount which would be recognized by the subsidiary if it filed a separate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Alignment Healthcare, Inc., along with certain other subsidiaries, is a guarantor of the Term Loans discussed in Note 8 Long-Term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Loans were repaid in full in November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summary of additional commitments and contingencies, see Note 14 Commitments and Contingencies.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9900"/>
          </w:cols>
          <w:pgMar w:left="1180" w:top="304" w:right="116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November 22, 2024, Alignment Healthcare Inc. completed the sale of $330,000 of its 4.25% Convertible Senior Notes. See Note 8 Long-Term Debt for further discussion.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at the reasonable assurance level as of December 31, 2025.</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or that the degree of compliance with the policies or procedures may deteriorate.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internal control over financial reporting as of December 31, 2025 based on criteria established in Internal Control-Integrated Framework issued by the Committee of Sponsoring Organizations of the Treadway Commission in 2013. Based on the results of this evaluation, our management concluded that our internal control over financial reporting was effective as of December 31, 2025.</w:t>
      </w:r>
    </w:p>
    <w:p>
      <w:pPr>
        <w:spacing w:after="0" w:line="16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our independent registered public accounting firm, as stated in their attestation report, which is included herein.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our Internal Controls over Financial Reporting:</w:t>
      </w:r>
    </w:p>
    <w:p>
      <w:pPr>
        <w:spacing w:after="0" w:line="2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year ended December 31, 2025 that have materially affected, or are reasonably likely to materially affect, our internal control over financial reporting. The majority of our work force works in a hybrid-remote fashion. We have not identified any impact in our internal control over financial reporting as a result of this working environment, in part because our internal control over financial reporting was designed to operate in a remote working environment. We are continually monitoring and assessing our remote working arrangements to determine any potential impact on the design and operating effectiveness of our internal controls over financial reporting</w:t>
      </w:r>
    </w:p>
    <w:p>
      <w:pPr>
        <w:spacing w:after="0" w:line="200" w:lineRule="exact"/>
        <w:rPr>
          <w:sz w:val="20"/>
          <w:szCs w:val="20"/>
          <w:color w:val="auto"/>
        </w:rPr>
      </w:pPr>
    </w:p>
    <w:p>
      <w:pPr>
        <w:spacing w:after="0" w:line="38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Alignment Healthcare,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Alignment Healthcare, Inc. and subsidiaries (the "Company") as of December 31, 2025, based on criteria established in </w:t>
      </w:r>
      <w:r>
        <w:rPr>
          <w:rFonts w:ascii="Times New Roman" w:cs="Times New Roman" w:eastAsia="Times New Roman" w:hAnsi="Times New Roman"/>
          <w:sz w:val="18"/>
          <w:szCs w:val="18"/>
          <w:b w:val="1"/>
          <w:bCs w:val="1"/>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b w:val="1"/>
          <w:bCs w:val="1"/>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Integrated Framework (2013) </w:t>
      </w:r>
      <w:r>
        <w:rPr>
          <w:rFonts w:ascii="Times New Roman" w:cs="Times New Roman" w:eastAsia="Times New Roman" w:hAnsi="Times New Roman"/>
          <w:sz w:val="18"/>
          <w:szCs w:val="18"/>
          <w:color w:val="auto"/>
        </w:rPr>
        <w:t>issued by COSO.</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ectPr>
          <w:pgSz w:w="12240" w:h="15840" w:orient="portrait"/>
          <w:cols w:equalWidth="0" w:num="1">
            <w:col w:w="9860"/>
          </w:cols>
          <w:pgMar w:left="1180" w:top="304" w:right="120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9860"/>
          </w:cols>
          <w:pgMar w:left="1180" w:top="304" w:right="120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26, 2026, (the “Effective Date”), the Company, Alignment Healthcare USA, LLC, an indirect wholly owned subsidiary of the Company (the “Borrower”) and certain other subsidiaries of the Company (together with the Company and the Borrower, the “Borrower Parties”) entered into a Credit Agreement with Citibank, N.A., as administrative agent, and the lenders party thereto (the “Credit Agreement”). The Credit Agreement matures on February 26, 2029, and provides for a $200 million senior secured revolving credit facility (the “Credit Facility”), with sublimits of up to $20 million for the issuance of letters of credit and $5 million for swingline loans. Subject to meeting certain customary conditions, the Borrower may increase the commitments under the Credit Facility or establish one or more new term loan facilities by up to an amount equal to the greater of $50 million or 100% of the Borrower Parties’ Consolidated EBITDA (as defined in the Credit Agreement) for the most recently completed four fiscal quarters of the Borrower Parties for which financial statements have been delivered.</w:t>
      </w:r>
    </w:p>
    <w:p>
      <w:pPr>
        <w:spacing w:after="0" w:line="1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permitted acquisitions, working capital, the payment of fees, costs and expenses incurred in connection with the Credit Agreement and other general corporate purposes. The Borrower did not borrow any amounts under the Credit Facility as of the Effective Date.</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Loans under the Credit Facility will bear interest at a floating rate, which can be either, at the Borrower’s option, (a) Term SOFR (as defined in the Credit Agreement) plus an applicable margin that ranges from 2.00% to 2.50% per annum with respect to Term SOFR loans or (b) a Base Rate (as defined in the Credit Agreement) plus an applicable margin that ranges from 1.00% to 1.50% per annum with respect to Base Rate loans, based on the Borrower Parties’ consolidated senior secured leverage ratio, as calculated in accordance with the Credit Agreement. The Borrower is also required to pay certain fees in connection with the Credit Agreement, including commitment fees on a quarterly basis in respect of the unutilized portion of the commitments under the Credit Agreement and certain fees to each of the lenders upon the effectiveness of the Credit Agreement. The Borrower may voluntarily repay outstanding borrowings under the Credit Facility at any time, without premium or penalty.</w:t>
      </w:r>
    </w:p>
    <w:p>
      <w:pPr>
        <w:spacing w:after="0" w:line="176"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 Credit Agreement includes financial covenants that require the Borrower Parties to maintain, as of the last day of each fiscal quarter (commencing with the fiscal quarter ending June 30, 2026), (i) a ratio of senior secured indebtedness that is not subordinated in right of payment to the obligations under the Credit Agreement to Consolidated EBITDA (as defined in the Credit Agreement) for the period of four consecutive fiscal quarters ended on such date, of not more than 2.50 to 1.00 and (ii) Consolidated EBITDA for the period of four</w:t>
      </w:r>
    </w:p>
    <w:p>
      <w:pPr>
        <w:sectPr>
          <w:pgSz w:w="12240" w:h="15840" w:orient="portrait"/>
          <w:cols w:equalWidth="0" w:num="1">
            <w:col w:w="9860"/>
          </w:cols>
          <w:pgMar w:left="1180" w:top="304" w:right="120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9860"/>
          </w:cols>
          <w:pgMar w:left="1180" w:top="304" w:right="120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consecutive fiscal quarters ended on such date, of amounts specified in the Credit Agreement starting from $60 million as of June 30, 2026, increasing to $70 million as of June 30, 2027, and $80 million as of June 30, 2028 and each fiscal quarter thereafter.</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Borrower’s obligations under the Credit Agreement are guaranteed by the Company and certain subsidiaries of the Company and secured by substantially all of the assets of the Borrower, the Company and such subsidiaries of the Company, subject to customary exceptions. None of the Company’s health plan subsidiaries or other regulated entities are guarantors under the Credit Agreement and the equity in such subsidiaries was not pledged. The Credit Agreement contains customary representations and warranties, as well as affirmative and negative covenants. Negative covenants include, among others, customary covenants that restrict the ability of the Company and its subsidiaries, without the approval of requisite lenders, to engage in certain fundamental transactions, incur debt and liens, enter into transactions with affiliates and make certain restricted payments and restricted investments, in each case, as set forth in the Credit Agreement and subject to certain thresholds and exceptions. The Credit Agreement also contains other customary covenants and events of default for secured credit facilities of this type. Upon an event of default that is not cured or waived within any applicable cure periods, in addition to other remedies that may be available to the lenders, the obligations under the Credit Agreement may be accelerated.</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does not constitute a complete summary of the terms of the Credit Agreement. The description of the terms of the Credit Agreement is qualified in its entirety by reference to such agreement, attached hereto as Exhibit 10.21 and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Kao Equity Award</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24, 2026 (the “Grant Date”), the Board of Directors of the Company approved the grant of certain performance share units (“PSUs”) to John Kao, the Company’s Chief Executive Officer (the “PSU Award”), under the Company’s 2021 Equity Incentive Plan (the “Plan”). The PSU Award supplements the annual equity awards that Mr. Kao will continue to be eligible for in the future. In approving the award, the Board, with input from the Compensation Committee and its independent compensation consultant, considered the importance of retaining Mr. Kao, a recognized industry leader, while incentivizing long-term, sustained business performance and alignment with stockholder interests. The material terms of the PSU Award are described below. Capitalized terms that are not otherwise defined have the meanings set forth in the Plan.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set forth below, tranches of the PSU Award will be earned and vest only upon both (i) the achievement of pre-determined price per share goals (described below) over the period commencing on the Grant Date and ending on the fifth anniversary of the Grant Date (the “Measurement Period”); and (ii) Mr. Kao’s continued employment or service as the Company’s Chief Executive Officer through the third anniversary of the Grant Date, unless otherwise agreed upon (the “Service Requirement”).</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PSUs will become earned (“Earned PSUs”) in three tranches based on the achievement of the following volume-weighted average price per share goals during the Measurement Period (the “Stock Price Hurdles”):</w:t>
      </w:r>
    </w:p>
    <w:p>
      <w:pPr>
        <w:spacing w:after="0" w:line="214" w:lineRule="exact"/>
        <w:rPr>
          <w:sz w:val="20"/>
          <w:szCs w:val="20"/>
          <w:color w:val="auto"/>
        </w:rPr>
      </w:pPr>
    </w:p>
    <w:tbl>
      <w:tblPr>
        <w:tblLayout w:type="fixed"/>
        <w:tblInd w:w="103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Share Goals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Earned PSUs</w:t>
            </w:r>
          </w:p>
        </w:tc>
      </w:tr>
      <w:tr>
        <w:trPr>
          <w:trHeight w:val="24"/>
        </w:trPr>
        <w:tc>
          <w:tcPr>
            <w:tcW w:w="3340" w:type="dxa"/>
            <w:vAlign w:val="bottom"/>
            <w:tcBorders>
              <w:bottom w:val="single" w:sz="8" w:color="45B0E1"/>
            </w:tcBorders>
          </w:tcPr>
          <w:p>
            <w:pPr>
              <w:spacing w:after="0"/>
              <w:rPr>
                <w:sz w:val="2"/>
                <w:szCs w:val="2"/>
                <w:color w:val="auto"/>
              </w:rPr>
            </w:pPr>
          </w:p>
        </w:tc>
        <w:tc>
          <w:tcPr>
            <w:tcW w:w="2260" w:type="dxa"/>
            <w:vAlign w:val="bottom"/>
            <w:tcBorders>
              <w:bottom w:val="single" w:sz="8" w:color="45B0E1"/>
            </w:tcBorders>
          </w:tcPr>
          <w:p>
            <w:pPr>
              <w:spacing w:after="0"/>
              <w:rPr>
                <w:sz w:val="2"/>
                <w:szCs w:val="2"/>
                <w:color w:val="auto"/>
              </w:rPr>
            </w:pPr>
          </w:p>
        </w:tc>
        <w:tc>
          <w:tcPr>
            <w:tcW w:w="2240" w:type="dxa"/>
            <w:vAlign w:val="bottom"/>
            <w:tcBorders>
              <w:bottom w:val="single" w:sz="8" w:color="45B0E1"/>
            </w:tcBorders>
          </w:tcPr>
          <w:p>
            <w:pPr>
              <w:spacing w:after="0"/>
              <w:rPr>
                <w:sz w:val="2"/>
                <w:szCs w:val="2"/>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First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$33.75</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Second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$44.00</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333,333</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r>
        <w:trPr>
          <w:trHeight w:val="244"/>
        </w:trPr>
        <w:tc>
          <w:tcPr>
            <w:tcW w:w="3340" w:type="dxa"/>
            <w:vAlign w:val="bottom"/>
            <w:tcBorders>
              <w:left w:val="single" w:sz="8" w:color="45B0E1"/>
              <w:right w:val="single" w:sz="8" w:color="45B0E1"/>
            </w:tcBorders>
          </w:tcPr>
          <w:p>
            <w:pPr>
              <w:ind w:left="60"/>
              <w:spacing w:after="0"/>
              <w:rPr>
                <w:sz w:val="20"/>
                <w:szCs w:val="20"/>
                <w:color w:val="auto"/>
              </w:rPr>
            </w:pPr>
            <w:r>
              <w:rPr>
                <w:rFonts w:ascii="Times New Roman" w:cs="Times New Roman" w:eastAsia="Times New Roman" w:hAnsi="Times New Roman"/>
                <w:sz w:val="18"/>
                <w:szCs w:val="18"/>
                <w:color w:val="auto"/>
              </w:rPr>
              <w:t>Third Stock Price Hurdle</w:t>
            </w:r>
          </w:p>
        </w:tc>
        <w:tc>
          <w:tcPr>
            <w:tcW w:w="226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6"/>
              </w:rPr>
              <w:t>$55.25</w:t>
            </w:r>
          </w:p>
        </w:tc>
        <w:tc>
          <w:tcPr>
            <w:tcW w:w="2240" w:type="dxa"/>
            <w:vAlign w:val="bottom"/>
            <w:tcBorders>
              <w:right w:val="single" w:sz="8" w:color="45B0E1"/>
            </w:tcBorders>
          </w:tcPr>
          <w:p>
            <w:pPr>
              <w:jc w:val="center"/>
              <w:spacing w:after="0"/>
              <w:rPr>
                <w:sz w:val="20"/>
                <w:szCs w:val="20"/>
                <w:color w:val="auto"/>
              </w:rPr>
            </w:pPr>
            <w:r>
              <w:rPr>
                <w:rFonts w:ascii="Times New Roman" w:cs="Times New Roman" w:eastAsia="Times New Roman" w:hAnsi="Times New Roman"/>
                <w:sz w:val="18"/>
                <w:szCs w:val="18"/>
                <w:color w:val="auto"/>
                <w:w w:val="99"/>
              </w:rPr>
              <w:t>333,334</w:t>
            </w:r>
          </w:p>
        </w:tc>
      </w:tr>
      <w:tr>
        <w:trPr>
          <w:trHeight w:val="21"/>
        </w:trPr>
        <w:tc>
          <w:tcPr>
            <w:tcW w:w="3340" w:type="dxa"/>
            <w:vAlign w:val="bottom"/>
            <w:tcBorders>
              <w:left w:val="single" w:sz="8" w:color="45B0E1"/>
              <w:bottom w:val="single" w:sz="8" w:color="45B0E1"/>
              <w:right w:val="single" w:sz="8" w:color="45B0E1"/>
            </w:tcBorders>
          </w:tcPr>
          <w:p>
            <w:pPr>
              <w:spacing w:after="0" w:line="20" w:lineRule="exact"/>
              <w:rPr>
                <w:sz w:val="1"/>
                <w:szCs w:val="1"/>
                <w:color w:val="auto"/>
              </w:rPr>
            </w:pPr>
          </w:p>
        </w:tc>
        <w:tc>
          <w:tcPr>
            <w:tcW w:w="2260" w:type="dxa"/>
            <w:vAlign w:val="bottom"/>
            <w:tcBorders>
              <w:bottom w:val="single" w:sz="8" w:color="45B0E1"/>
              <w:right w:val="single" w:sz="8" w:color="45B0E1"/>
            </w:tcBorders>
          </w:tcPr>
          <w:p>
            <w:pPr>
              <w:spacing w:after="0" w:line="20" w:lineRule="exact"/>
              <w:rPr>
                <w:sz w:val="1"/>
                <w:szCs w:val="1"/>
                <w:color w:val="auto"/>
              </w:rPr>
            </w:pPr>
          </w:p>
        </w:tc>
        <w:tc>
          <w:tcPr>
            <w:tcW w:w="2240" w:type="dxa"/>
            <w:vAlign w:val="bottom"/>
            <w:tcBorders>
              <w:bottom w:val="single" w:sz="8" w:color="45B0E1"/>
              <w:right w:val="single" w:sz="8" w:color="45B0E1"/>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-561340</wp:posOffset>
            </wp:positionV>
            <wp:extent cx="4997450" cy="206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
                      <a:extLst>
                        <a:ext uri="{28A0092B-C50C-407E-A947-70E740481C1C}"/>
                      </a:extLst>
                    </a:blip>
                    <a:srcRect/>
                    <a:stretch>
                      <a:fillRect/>
                    </a:stretch>
                  </pic:blipFill>
                  <pic:spPr bwMode="auto">
                    <a:xfrm>
                      <a:off x="0" y="0"/>
                      <a:ext cx="4997450" cy="20637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-199390</wp:posOffset>
            </wp:positionV>
            <wp:extent cx="4997450"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1">
                      <a:extLst>
                        <a:ext uri="{28A0092B-C50C-407E-A947-70E740481C1C}"/>
                      </a:extLst>
                    </a:blip>
                    <a:srcRect/>
                    <a:stretch>
                      <a:fillRect/>
                    </a:stretch>
                  </pic:blipFill>
                  <pic:spPr bwMode="auto">
                    <a:xfrm>
                      <a:off x="0" y="0"/>
                      <a:ext cx="49974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650875</wp:posOffset>
                </wp:positionH>
                <wp:positionV relativeFrom="paragraph">
                  <wp:posOffset>-549275</wp:posOffset>
                </wp:positionV>
                <wp:extent cx="0" cy="54292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43.2499pt" to="51.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2765425</wp:posOffset>
                </wp:positionH>
                <wp:positionV relativeFrom="paragraph">
                  <wp:posOffset>-549275</wp:posOffset>
                </wp:positionV>
                <wp:extent cx="0" cy="54292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75pt,-43.2499pt" to="217.7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4194175</wp:posOffset>
                </wp:positionH>
                <wp:positionV relativeFrom="paragraph">
                  <wp:posOffset>-549275</wp:posOffset>
                </wp:positionV>
                <wp:extent cx="0" cy="54292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25pt,-43.2499pt" to="330.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5622925</wp:posOffset>
                </wp:positionH>
                <wp:positionV relativeFrom="paragraph">
                  <wp:posOffset>-549275</wp:posOffset>
                </wp:positionV>
                <wp:extent cx="0" cy="54292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2925"/>
                        </a:xfrm>
                        <a:prstGeom prst="line">
                          <a:avLst/>
                        </a:prstGeom>
                        <a:solidFill>
                          <a:srgbClr val="FFFFFF"/>
                        </a:solidFill>
                        <a:ln w="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5pt,-43.2499pt" to="442.7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-549275</wp:posOffset>
                </wp:positionV>
                <wp:extent cx="497205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43.2499pt" to="442.7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-368300</wp:posOffset>
                </wp:positionV>
                <wp:extent cx="497205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29pt" to="442.75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-187325</wp:posOffset>
                </wp:positionV>
                <wp:extent cx="497205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14.7499pt" to="442.7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650875</wp:posOffset>
                </wp:positionH>
                <wp:positionV relativeFrom="paragraph">
                  <wp:posOffset>-6350</wp:posOffset>
                </wp:positionV>
                <wp:extent cx="497205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2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25pt,-0.4999pt" to="442.75pt,-0.4999pt" o:allowincell="f" strokecolor="#000000" strokeweight="0pt"/>
            </w:pict>
          </mc:Fallback>
        </mc:AlternateConten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Stock Price Hurdle is achieved if the volume-weighted average price per share over any 30-consecutive-trading-day period during the Measurement Period equals or exceeds the applicable price. Any tranche of PSUs that Mr. Kao has earned will become vested upon the later of (i) the date on which the applicable Stock Price Hurdle has been achieved or (ii) the date on which the Service Requirement has been met, subject to his continued service though such later date. Except as described below, PSUs for which the relevant Stock Price Hurdle has not been achieved by the end of the Measurement Period will be forfeited.</w:t>
      </w:r>
    </w:p>
    <w:p>
      <w:pPr>
        <w:spacing w:after="0" w:line="1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during the Measurement Period, Mr. Kao’s employment is terminated by the Company other than for Cause or is terminated by Mr. Kao for Good Reason (each a “Qualifying Termination”), or in the event of Mr. Kao’s death or permanent disability during the Measurement Period, certain additional provisions shall apply as follows:</w:t>
      </w:r>
    </w:p>
    <w:p>
      <w:pPr>
        <w:spacing w:after="0" w:line="160" w:lineRule="exact"/>
        <w:rPr>
          <w:sz w:val="20"/>
          <w:szCs w:val="20"/>
          <w:color w:val="auto"/>
        </w:rPr>
      </w:pPr>
    </w:p>
    <w:p>
      <w:pPr>
        <w:ind w:left="720" w:right="240" w:hanging="370"/>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tranche of PSUs for which the applicable Stock Price Hurdle has been achieved shall be deemed Earned PSUs (i.e., the Service Requirement shall be waived).</w:t>
      </w:r>
    </w:p>
    <w:p>
      <w:pPr>
        <w:spacing w:after="0" w:line="145" w:lineRule="exact"/>
        <w:rPr>
          <w:rFonts w:ascii="Times New Roman" w:cs="Times New Roman" w:eastAsia="Times New Roman" w:hAnsi="Times New Roman"/>
          <w:sz w:val="18"/>
          <w:szCs w:val="18"/>
          <w:color w:val="auto"/>
        </w:rPr>
      </w:pPr>
    </w:p>
    <w:p>
      <w:pPr>
        <w:ind w:left="720" w:hanging="370"/>
        <w:spacing w:after="0" w:line="258"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Kao’s employment has terminated due to his death or permanent disability and the First Stock Price Hurdle has previously been achieved, Mr. Kao will receive additional Earned PSUs equal to the prorated level of achievement of the Second Stock Price Hurdle and/or Third Stock Price Hurdle, as applicable, calculated by straight-line interpolation between the highest previously achieved Stock Price Hurdle and the 30-day volume-weighted average stock price as of immediately prior to the date of death or permanent disability.</w:t>
      </w:r>
    </w:p>
    <w:p>
      <w:pPr>
        <w:spacing w:after="0" w:line="167" w:lineRule="exact"/>
        <w:rPr>
          <w:rFonts w:ascii="Times New Roman" w:cs="Times New Roman" w:eastAsia="Times New Roman" w:hAnsi="Times New Roman"/>
          <w:sz w:val="18"/>
          <w:szCs w:val="18"/>
          <w:color w:val="auto"/>
        </w:rPr>
      </w:pPr>
    </w:p>
    <w:p>
      <w:pPr>
        <w:ind w:left="720" w:right="460" w:hanging="370"/>
        <w:spacing w:after="0" w:line="289" w:lineRule="auto"/>
        <w:tabs>
          <w:tab w:leader="none" w:pos="7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Qualifying Termination (but not upon death or permanent disability), the PSU Award shall remain outstanding for an applicable “tail period” during which Stock Price Hurdles may be achieved, as follows: (a) If Mr. Kao terminates his employment for Good Reason, the tail period will run from the date of termination to the later of (i) the</w:t>
      </w:r>
    </w:p>
    <w:p>
      <w:pPr>
        <w:sectPr>
          <w:pgSz w:w="12240" w:h="15840" w:orient="portrait"/>
          <w:cols w:equalWidth="0" w:num="1">
            <w:col w:w="9880"/>
          </w:cols>
          <w:pgMar w:left="1180" w:top="304" w:right="1180" w:bottom="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9880"/>
          </w:cols>
          <w:pgMar w:left="1180" w:top="304" w:right="1180" w:bottom="0" w:gutter="0" w:footer="0" w:header="0"/>
          <w:type w:val="continuous"/>
        </w:sectPr>
      </w:pPr>
    </w:p>
    <w:bookmarkStart w:id="107" w:name="page108"/>
    <w:bookmarkEnd w:id="10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33" w:lineRule="exact"/>
        <w:rPr>
          <w:sz w:val="20"/>
          <w:szCs w:val="20"/>
          <w:color w:val="auto"/>
        </w:rPr>
      </w:pPr>
    </w:p>
    <w:p>
      <w:pPr>
        <w:ind w:left="740" w:right="80"/>
        <w:spacing w:after="0" w:line="229" w:lineRule="auto"/>
        <w:rPr>
          <w:sz w:val="20"/>
          <w:szCs w:val="20"/>
          <w:color w:val="auto"/>
        </w:rPr>
      </w:pPr>
      <w:r>
        <w:rPr>
          <w:rFonts w:ascii="Times New Roman" w:cs="Times New Roman" w:eastAsia="Times New Roman" w:hAnsi="Times New Roman"/>
          <w:sz w:val="18"/>
          <w:szCs w:val="18"/>
          <w:color w:val="auto"/>
        </w:rPr>
        <w:t>expiration of the six-month period following termination or (ii) the first July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that occurs following the termination; and (b) if the Company terminates Mr. Kao’s employment other than for Cause, the tail period will run from the date of termination to the second July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that occurs following the termination; provided, however, that the tail period may not run beyond the expiration of the Measurement Period. Any unearned PSUs at the expiration of the tail period shall be forfeited. If Change of Control occurs during the tail period, the treatment described below shall apply.</w:t>
      </w:r>
    </w:p>
    <w:p>
      <w:pPr>
        <w:spacing w:after="0" w:line="183"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Except as set forth above, any Separation of Service, including in the event of any termination that is not a Qualifying Termination (such as termination for Cause), shall result in the forfeiture of any unearned PSUs.</w:t>
      </w:r>
    </w:p>
    <w:p>
      <w:pPr>
        <w:spacing w:after="0" w:line="146" w:lineRule="exact"/>
        <w:rPr>
          <w:sz w:val="20"/>
          <w:szCs w:val="20"/>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In the event of the closing of a Change in Control prior to the end of the Measurement Period (including during any applicable tail period), the Service Requirement shall be waived (if then applicable) and the following terms will apply:</w:t>
      </w:r>
    </w:p>
    <w:p>
      <w:pPr>
        <w:spacing w:after="0" w:line="146" w:lineRule="exact"/>
        <w:rPr>
          <w:sz w:val="20"/>
          <w:szCs w:val="20"/>
          <w:color w:val="auto"/>
        </w:rPr>
      </w:pPr>
    </w:p>
    <w:p>
      <w:pPr>
        <w:ind w:left="740" w:right="80" w:hanging="370"/>
        <w:spacing w:after="0" w:line="266"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Stock Price Hurdle has not yet been achieved upon or in connection with the Change in Control, but the stock price at or implied by the Change in Control exceeds the Company’s closing stock price on Grant Date, then the tranche of PSUs associated with the First Stock Price Hurdle will vest. The remaining tranches shall be forfeited.</w:t>
      </w:r>
    </w:p>
    <w:p>
      <w:pPr>
        <w:spacing w:after="0" w:line="159" w:lineRule="exact"/>
        <w:rPr>
          <w:rFonts w:ascii="Times New Roman" w:cs="Times New Roman" w:eastAsia="Times New Roman" w:hAnsi="Times New Roman"/>
          <w:sz w:val="18"/>
          <w:szCs w:val="18"/>
          <w:color w:val="auto"/>
        </w:rPr>
      </w:pPr>
    </w:p>
    <w:p>
      <w:pPr>
        <w:ind w:left="740" w:right="140" w:hanging="370"/>
        <w:spacing w:after="0" w:line="261"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Stock Price Hurdle and/or Second Stock Price Hurdle has been achieved upon or in connection with the Change in Control, then Mr. Kao will receive additional Earned PSUs equal to the prorated level achievement of the next applicable Stock Price Hurdle, calculated by straight-line interpolation between the highest previously achieved Stock Price Hurdle and the stock price at or implied by the Change in Control. Any remaining portion of the PSU Award will be forfeited.</w:t>
      </w:r>
    </w:p>
    <w:p>
      <w:pPr>
        <w:spacing w:after="0" w:line="163" w:lineRule="exact"/>
        <w:rPr>
          <w:rFonts w:ascii="Times New Roman" w:cs="Times New Roman" w:eastAsia="Times New Roman" w:hAnsi="Times New Roman"/>
          <w:sz w:val="18"/>
          <w:szCs w:val="18"/>
          <w:color w:val="auto"/>
        </w:rPr>
      </w:pPr>
    </w:p>
    <w:p>
      <w:pPr>
        <w:ind w:left="740" w:right="20" w:hanging="370"/>
        <w:spacing w:after="0" w:line="282"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Stock Price Hurdles have been achieved upon or in connection with the Change in Control, the PSU Award will fully vest upon the closing date.</w:t>
      </w:r>
    </w:p>
    <w:p>
      <w:pPr>
        <w:spacing w:after="0" w:line="146" w:lineRule="exact"/>
        <w:rPr>
          <w:sz w:val="20"/>
          <w:szCs w:val="20"/>
          <w:color w:val="auto"/>
        </w:rPr>
      </w:pP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The following summary of the PSU Award is not a complete description of all of the terms and conditions of the PSUs, and is qualified in its entirety by reference to the full text of the grant agreement for the PSU Award, a copy of which is filed as Exhibit 10.18 and is incorporated by reference in this Annual Report on Form 10-K.</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196" w:lineRule="exact"/>
        <w:rPr>
          <w:sz w:val="20"/>
          <w:szCs w:val="20"/>
          <w:color w:val="auto"/>
        </w:rPr>
      </w:pPr>
    </w:p>
    <w:p>
      <w:pPr>
        <w:ind w:left="20" w:right="60"/>
        <w:spacing w:after="0" w:line="271" w:lineRule="auto"/>
        <w:rPr>
          <w:sz w:val="20"/>
          <w:szCs w:val="20"/>
          <w:color w:val="auto"/>
        </w:rPr>
      </w:pPr>
      <w:r>
        <w:rPr>
          <w:rFonts w:ascii="Times New Roman" w:cs="Times New Roman" w:eastAsia="Times New Roman" w:hAnsi="Times New Roman"/>
          <w:sz w:val="18"/>
          <w:szCs w:val="18"/>
          <w:color w:val="auto"/>
        </w:rPr>
        <w:t>During the fiscal quarter ended December 31, 2025, our executive officers and directors adopted the following trading arrangements that are intended to satisfy the affirmative defense of Rule 10b5-1(c):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126365</wp:posOffset>
                </wp:positionV>
                <wp:extent cx="0" cy="101282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95pt" to="0.5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1263650</wp:posOffset>
                </wp:positionH>
                <wp:positionV relativeFrom="paragraph">
                  <wp:posOffset>126365</wp:posOffset>
                </wp:positionV>
                <wp:extent cx="0" cy="101282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5pt,9.95pt" to="99.5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2520950</wp:posOffset>
                </wp:positionH>
                <wp:positionV relativeFrom="paragraph">
                  <wp:posOffset>126365</wp:posOffset>
                </wp:positionV>
                <wp:extent cx="0" cy="101282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9.95pt" to="198.5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3778250</wp:posOffset>
                </wp:positionH>
                <wp:positionV relativeFrom="paragraph">
                  <wp:posOffset>126365</wp:posOffset>
                </wp:positionV>
                <wp:extent cx="0" cy="101282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5pt,9.95pt" to="297.5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5035550</wp:posOffset>
                </wp:positionH>
                <wp:positionV relativeFrom="paragraph">
                  <wp:posOffset>126365</wp:posOffset>
                </wp:positionV>
                <wp:extent cx="0" cy="101282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6.5pt,9.95pt" to="396.5pt,8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6292850</wp:posOffset>
                </wp:positionH>
                <wp:positionV relativeFrom="paragraph">
                  <wp:posOffset>126365</wp:posOffset>
                </wp:positionV>
                <wp:extent cx="0" cy="101282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12825"/>
                        </a:xfrm>
                        <a:prstGeom prst="line">
                          <a:avLst/>
                        </a:prstGeom>
                        <a:solidFill>
                          <a:srgbClr val="FFFFFF"/>
                        </a:solidFill>
                        <a:ln w="0">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5pt,9.95pt" to="495.5pt,89.7pt" o:allowincell="f" strokecolor="#000000" strokeweight="0pt"/>
            </w:pict>
          </mc:Fallback>
        </mc:AlternateConten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00" w:type="dxa"/>
            <w:vAlign w:val="bottom"/>
            <w:tcBorders>
              <w:top w:val="single" w:sz="8" w:color="auto"/>
              <w:left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Termination</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of Trading</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0" w:type="dxa"/>
            <w:vAlign w:val="bottom"/>
          </w:tcPr>
          <w:p>
            <w:pPr>
              <w:spacing w:after="0"/>
              <w:rPr>
                <w:sz w:val="1"/>
                <w:szCs w:val="1"/>
                <w:color w:val="auto"/>
              </w:rPr>
            </w:pPr>
          </w:p>
        </w:tc>
      </w:tr>
      <w:tr>
        <w:trPr>
          <w:trHeight w:val="249"/>
        </w:trPr>
        <w:tc>
          <w:tcPr>
            <w:tcW w:w="20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980" w:type="dxa"/>
            <w:vAlign w:val="bottom"/>
            <w:tcBorders>
              <w:bottom w:val="single" w:sz="8" w:color="auto"/>
              <w:right w:val="single" w:sz="8" w:color="auto"/>
            </w:tcBorders>
          </w:tcPr>
          <w:p>
            <w:pPr>
              <w:jc w:val="center"/>
              <w:spacing w:after="0" w:line="248" w:lineRule="exact"/>
              <w:rPr>
                <w:sz w:val="20"/>
                <w:szCs w:val="20"/>
                <w:color w:val="auto"/>
              </w:rPr>
            </w:pPr>
            <w:r>
              <w:rPr>
                <w:rFonts w:ascii="Times New Roman" w:cs="Times New Roman" w:eastAsia="Times New Roman" w:hAnsi="Times New Roman"/>
                <w:sz w:val="18"/>
                <w:szCs w:val="18"/>
                <w:b w:val="1"/>
                <w:bCs w:val="1"/>
                <w:color w:val="auto"/>
                <w:w w:val="96"/>
              </w:rPr>
              <w:t>be Sold</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198"/>
        </w:trPr>
        <w:tc>
          <w:tcPr>
            <w:tcW w:w="2000" w:type="dxa"/>
            <w:vAlign w:val="bottom"/>
            <w:tcBorders>
              <w:left w:val="single" w:sz="8" w:color="auto"/>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John Kao,</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11/21/2025</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3/23/2026 - 8/21/2026</w:t>
            </w:r>
          </w:p>
        </w:tc>
        <w:tc>
          <w:tcPr>
            <w:tcW w:w="1980" w:type="dxa"/>
            <w:vAlign w:val="bottom"/>
            <w:tcBorders>
              <w:right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1,858,000</w:t>
            </w:r>
          </w:p>
        </w:tc>
        <w:tc>
          <w:tcPr>
            <w:tcW w:w="0" w:type="dxa"/>
            <w:vAlign w:val="bottom"/>
          </w:tcPr>
          <w:p>
            <w:pPr>
              <w:spacing w:after="0"/>
              <w:rPr>
                <w:sz w:val="1"/>
                <w:szCs w:val="1"/>
                <w:color w:val="auto"/>
              </w:rPr>
            </w:pPr>
          </w:p>
        </w:tc>
      </w:tr>
      <w:tr>
        <w:trPr>
          <w:trHeight w:val="247"/>
        </w:trPr>
        <w:tc>
          <w:tcPr>
            <w:tcW w:w="2000" w:type="dxa"/>
            <w:vAlign w:val="bottom"/>
            <w:tcBorders>
              <w:left w:val="single" w:sz="8" w:color="auto"/>
              <w:bottom w:val="single" w:sz="8" w:color="auto"/>
              <w:right w:val="single" w:sz="8" w:color="auto"/>
            </w:tcBorders>
          </w:tcPr>
          <w:p>
            <w:pPr>
              <w:ind w:left="60"/>
              <w:spacing w:after="0" w:line="247" w:lineRule="exact"/>
              <w:rPr>
                <w:sz w:val="20"/>
                <w:szCs w:val="20"/>
                <w:color w:val="auto"/>
              </w:rPr>
            </w:pPr>
            <w:r>
              <w:rPr>
                <w:rFonts w:ascii="Times New Roman" w:cs="Times New Roman" w:eastAsia="Times New Roman" w:hAnsi="Times New Roman"/>
                <w:sz w:val="18"/>
                <w:szCs w:val="18"/>
                <w:color w:val="auto"/>
                <w:w w:val="99"/>
              </w:rPr>
              <w:t>Chief Executive Officer</w:t>
            </w:r>
            <w:r>
              <w:rPr>
                <w:rFonts w:ascii="Times New Roman" w:cs="Times New Roman" w:eastAsia="Times New Roman" w:hAnsi="Times New Roman"/>
                <w:sz w:val="23"/>
                <w:szCs w:val="23"/>
                <w:color w:val="auto"/>
                <w:w w:val="99"/>
                <w:vertAlign w:val="superscript"/>
              </w:rPr>
              <w:t>(2)</w:t>
            </w: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00" w:type="dxa"/>
            <w:vAlign w:val="bottom"/>
            <w:tcBorders>
              <w:left w:val="single" w:sz="8" w:color="auto"/>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Andreas Wagner,</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11/21/2025</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98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2/20/2026 - 11/20/2026</w:t>
            </w:r>
          </w:p>
        </w:tc>
        <w:tc>
          <w:tcPr>
            <w:tcW w:w="19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66,958</w:t>
            </w:r>
          </w:p>
        </w:tc>
        <w:tc>
          <w:tcPr>
            <w:tcW w:w="0" w:type="dxa"/>
            <w:vAlign w:val="bottom"/>
          </w:tcPr>
          <w:p>
            <w:pPr>
              <w:spacing w:after="0"/>
              <w:rPr>
                <w:sz w:val="1"/>
                <w:szCs w:val="1"/>
                <w:color w:val="auto"/>
              </w:rPr>
            </w:pPr>
          </w:p>
        </w:tc>
      </w:tr>
      <w:tr>
        <w:trPr>
          <w:trHeight w:val="180"/>
        </w:trPr>
        <w:tc>
          <w:tcPr>
            <w:tcW w:w="2000" w:type="dxa"/>
            <w:vAlign w:val="bottom"/>
            <w:tcBorders>
              <w:left w:val="single" w:sz="8" w:color="auto"/>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8"/>
                <w:szCs w:val="18"/>
                <w:color w:val="auto"/>
              </w:rPr>
              <w:t>Chief Human Resources</w:t>
            </w:r>
          </w:p>
        </w:tc>
        <w:tc>
          <w:tcPr>
            <w:tcW w:w="198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Officer</w:t>
            </w: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0" w:right="260" w:hanging="10"/>
        <w:spacing w:after="0" w:line="266" w:lineRule="auto"/>
        <w:tabs>
          <w:tab w:leader="none" w:pos="2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reported in this column include securities subject to limit orders and such orders may not fill if limit order conditions are not met. The actual number of shares sold under the plan will depend on the vesting of certain performance-based equity awards and the number of shares withheld or sold satisfy our income tax withholding obligations and may vary from the number provided herein. Number of performance share units included in plans assumes earned at target.</w:t>
      </w:r>
    </w:p>
    <w:p>
      <w:pPr>
        <w:spacing w:after="0" w:line="168" w:lineRule="exact"/>
        <w:rPr>
          <w:rFonts w:ascii="Times New Roman" w:cs="Times New Roman" w:eastAsia="Times New Roman" w:hAnsi="Times New Roman"/>
          <w:sz w:val="14"/>
          <w:szCs w:val="14"/>
          <w:color w:val="auto"/>
        </w:rPr>
      </w:pPr>
    </w:p>
    <w:p>
      <w:pPr>
        <w:ind w:left="240" w:hanging="230"/>
        <w:spacing w:after="0"/>
        <w:tabs>
          <w:tab w:leader="none" w:pos="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securities held by JEK Trust, dated February 8, 2021, of which Mr. Kao is the trustee.</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ectPr>
          <w:pgSz w:w="12240" w:h="15840" w:orient="portrait"/>
          <w:cols w:equalWidth="0" w:num="1">
            <w:col w:w="9920"/>
          </w:cols>
          <w:pgMar w:left="116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9920"/>
          </w:cols>
          <w:pgMar w:left="1160" w:top="304" w:right="116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under the headings “Election of Directors,” “Executive Officers,” “Commonly Asked Questions and Answers About the Annual Meeting,” and “Corporate Governance," and is incorporated herein by reference.</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and business conduct that applies to all employees, including our Chief Executive Officer (our principal executive officer) and Chief Financial Officer (our principal financial officer), and employees, as well as each member of our Board of Directors. The code of ethics and business conduct is available on our website at www.alignmenthealth.com under the Investor Relations section. We intend to satisfy any disclosure requirement under Item 5.05 of Form 8-K regarding an amendment to, or waiver from, a provision of the code of ethics by posting such information on our website, at the address specified above.</w:t>
      </w:r>
    </w:p>
    <w:p>
      <w:pPr>
        <w:spacing w:after="0" w:line="167"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employees and other covered persons that we believe are reasonably designed to promote compliance with insider trading laws, rules, and regulations, as well as Nasdaq listing standards. A copy of our insider trading policy is filed as Exhibit 19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under the headings "Compensation Discussion and Analysis" and "Executive and Director Compensation,"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definitive proxy statement for the 2026 Annual Meeting of Stockholders under the heading "Security Ownership of Certain Beneficial Owners and Management,"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under the headings "Certain Relationships and Related Party Transactions" and "Corporate Governance"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under the heading "Ratification of Appointment of Independent Registered Public Accounting Firm," and is incorporated herein by reference.</w:t>
      </w:r>
    </w:p>
    <w:p>
      <w:pPr>
        <w:sectPr>
          <w:pgSz w:w="12240" w:h="15840" w:orient="portrait"/>
          <w:cols w:equalWidth="0" w:num="1">
            <w:col w:w="9840"/>
          </w:cols>
          <w:pgMar w:left="1180" w:top="304"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9840"/>
          </w:cols>
          <w:pgMar w:left="1180" w:top="304" w:right="1220" w:bottom="0" w:gutter="0" w:footer="0" w:header="0"/>
          <w:type w:val="continuous"/>
        </w:sectPr>
      </w:pPr>
    </w:p>
    <w:bookmarkStart w:id="109" w:name="page110"/>
    <w:bookmarkEnd w:id="109"/>
    <w:p>
      <w:pPr>
        <w:ind w:left="1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07" w:lineRule="exact"/>
        <w:rPr>
          <w:sz w:val="20"/>
          <w:szCs w:val="20"/>
          <w:color w:val="auto"/>
        </w:rPr>
      </w:pPr>
    </w:p>
    <w:p>
      <w:pPr>
        <w:ind w:left="10" w:right="420" w:hanging="10"/>
        <w:spacing w:after="0" w:line="284"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xml:space="preserve"> The Financial Statements described in Part II. Item 8 and beginning on page 67 are filed as part of this Annual Report on Form 10-K.</w:t>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(a) (3) </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 xml:space="preserve"> The following exhibits are filed or furnished with or incorporated by reference this Annual Report on Form 10-K.</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2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5"/>
        </w:trPr>
        <w:tc>
          <w:tcPr>
            <w:tcW w:w="1300" w:type="dxa"/>
            <w:vAlign w:val="bottom"/>
            <w:tcBorders>
              <w:top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80" w:type="dxa"/>
            <w:vAlign w:val="bottom"/>
            <w:tcBorders>
              <w:top w:val="single" w:sz="8" w:color="auto"/>
              <w:bottom w:val="single" w:sz="8" w:color="0000FF"/>
            </w:tcBorders>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Amended and Restated Certificate of Incorporation of Alignment Healthcare, Inc. (incorporated by reference to</w:t>
            </w:r>
          </w:p>
        </w:tc>
        <w:tc>
          <w:tcPr>
            <w:tcW w:w="340" w:type="dxa"/>
            <w:vAlign w:val="bottom"/>
            <w:tcBorders>
              <w:top w:val="single" w:sz="8" w:color="auto"/>
            </w:tcBorders>
            <w:gridSpan w:val="9"/>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Exhibit 3.1 to the Company’s Form 8-K filed on March 30,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Certificate of Amendment to Amended and Restated Certificate of Incorporation dated June 11, 2024 (incorporated</w:t>
            </w: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FF"/>
            </w:tcBorders>
            <w:gridSpan w:val="17"/>
          </w:tcPr>
          <w:p>
            <w:pPr>
              <w:spacing w:after="0" w:line="187" w:lineRule="exact"/>
              <w:rPr>
                <w:sz w:val="20"/>
                <w:szCs w:val="20"/>
                <w:color w:val="auto"/>
              </w:rPr>
            </w:pPr>
            <w:r>
              <w:rPr>
                <w:rFonts w:ascii="Times New Roman" w:cs="Times New Roman" w:eastAsia="Times New Roman" w:hAnsi="Times New Roman"/>
                <w:sz w:val="18"/>
                <w:szCs w:val="18"/>
                <w:color w:val="0000FF"/>
                <w:w w:val="99"/>
              </w:rPr>
              <w:t>by reference to Exhibit 99.1 to the Company’s Form 8-K filed on June 13, 2024)</w:t>
            </w:r>
          </w:p>
        </w:tc>
        <w:tc>
          <w:tcPr>
            <w:tcW w:w="260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Amended and Restated Bylaws of Alignment Healthcare, Inc. (incorporated by reference to Exhibit 3.2 to the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6"/>
        </w:trPr>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Company's Form 10-K filed on February 27, 2024).</w:t>
            </w:r>
          </w:p>
        </w:tc>
        <w:tc>
          <w:tcPr>
            <w:tcW w:w="392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9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Registration Rights Agreement, dated as of March 30, 2021, among Alignment Healthcare, Inc. and the other</w:t>
            </w:r>
          </w:p>
        </w:tc>
        <w:tc>
          <w:tcPr>
            <w:tcW w:w="500" w:type="dxa"/>
            <w:vAlign w:val="bottom"/>
            <w:gridSpan w:val="10"/>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signatories party thereto (incorporated by reference to Exhibit 4.1 to the Company’s Form 8-K filed on March 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Borders>
              <w:top w:val="single" w:sz="8" w:color="0000FF"/>
              <w:bottom w:val="single" w:sz="8" w:color="0000FF"/>
            </w:tcBorders>
          </w:tcPr>
          <w:p>
            <w:pPr>
              <w:spacing w:after="0" w:line="187" w:lineRule="exact"/>
              <w:rPr>
                <w:sz w:val="20"/>
                <w:szCs w:val="20"/>
                <w:color w:val="auto"/>
              </w:rPr>
            </w:pPr>
            <w:r>
              <w:rPr>
                <w:rFonts w:ascii="Times New Roman" w:cs="Times New Roman" w:eastAsia="Times New Roman" w:hAnsi="Times New Roman"/>
                <w:sz w:val="18"/>
                <w:szCs w:val="18"/>
                <w:color w:val="0000FF"/>
                <w:w w:val="98"/>
              </w:rPr>
              <w:t>2021).</w:t>
            </w:r>
          </w:p>
        </w:tc>
        <w:tc>
          <w:tcPr>
            <w:tcW w:w="18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9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1"/>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Description of Capital Stock (incorporated by reference to Exhibit 4.2 to the Company’s Form 10-K filed on March</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0000FF"/>
              <w:bottom w:val="single" w:sz="8" w:color="0000FF"/>
            </w:tcBorders>
            <w:gridSpan w:val="2"/>
          </w:tcPr>
          <w:p>
            <w:pPr>
              <w:spacing w:after="0" w:line="187" w:lineRule="exact"/>
              <w:rPr>
                <w:sz w:val="20"/>
                <w:szCs w:val="20"/>
                <w:color w:val="auto"/>
              </w:rPr>
            </w:pPr>
            <w:r>
              <w:rPr>
                <w:rFonts w:ascii="Times New Roman" w:cs="Times New Roman" w:eastAsia="Times New Roman" w:hAnsi="Times New Roman"/>
                <w:sz w:val="18"/>
                <w:szCs w:val="18"/>
                <w:color w:val="0000FF"/>
                <w:w w:val="99"/>
              </w:rPr>
              <w:t>3, 2022).</w:t>
            </w:r>
          </w:p>
        </w:tc>
        <w:tc>
          <w:tcPr>
            <w:tcW w:w="600" w:type="dxa"/>
            <w:vAlign w:val="bottom"/>
            <w:tcBorders>
              <w:top w:val="single" w:sz="8" w:color="0000FF"/>
            </w:tcBorders>
          </w:tcPr>
          <w:p>
            <w:pPr>
              <w:spacing w:after="0"/>
              <w:rPr>
                <w:sz w:val="16"/>
                <w:szCs w:val="16"/>
                <w:color w:val="auto"/>
              </w:rPr>
            </w:pPr>
          </w:p>
        </w:tc>
        <w:tc>
          <w:tcPr>
            <w:tcW w:w="9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7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Indenture dated November 22, 2024, by and among the Company, U.S. Bank Trust Company, National Association,</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340" w:type="dxa"/>
            <w:vAlign w:val="bottom"/>
            <w:tcBorders>
              <w:bottom w:val="single" w:sz="8" w:color="0000FF"/>
            </w:tcBorders>
            <w:gridSpan w:val="31"/>
          </w:tcPr>
          <w:p>
            <w:pPr>
              <w:spacing w:after="0" w:line="187" w:lineRule="exact"/>
              <w:rPr>
                <w:sz w:val="20"/>
                <w:szCs w:val="20"/>
                <w:color w:val="auto"/>
              </w:rPr>
            </w:pPr>
            <w:r>
              <w:rPr>
                <w:rFonts w:ascii="Times New Roman" w:cs="Times New Roman" w:eastAsia="Times New Roman" w:hAnsi="Times New Roman"/>
                <w:sz w:val="18"/>
                <w:szCs w:val="18"/>
                <w:color w:val="0000FF"/>
              </w:rPr>
              <w:t>as trustee, governing the 4.25% Convertible Senior Notes due 2029 (incorporated by reference to Exhibit 4.1 to the</w:t>
            </w: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60" w:type="dxa"/>
            <w:vAlign w:val="bottom"/>
            <w:tcBorders>
              <w:bottom w:val="single" w:sz="8" w:color="0000FF"/>
            </w:tcBorders>
            <w:gridSpan w:val="10"/>
          </w:tcPr>
          <w:p>
            <w:pPr>
              <w:spacing w:after="0" w:line="187" w:lineRule="exact"/>
              <w:rPr>
                <w:sz w:val="20"/>
                <w:szCs w:val="20"/>
                <w:color w:val="auto"/>
              </w:rPr>
            </w:pPr>
            <w:r>
              <w:rPr>
                <w:rFonts w:ascii="Times New Roman" w:cs="Times New Roman" w:eastAsia="Times New Roman" w:hAnsi="Times New Roman"/>
                <w:sz w:val="18"/>
                <w:szCs w:val="18"/>
                <w:color w:val="0000FF"/>
                <w:w w:val="99"/>
              </w:rPr>
              <w:t>Company's Form 8-K filed on November 25, 2024).</w:t>
            </w:r>
          </w:p>
        </w:tc>
        <w:tc>
          <w:tcPr>
            <w:tcW w:w="4660" w:type="dxa"/>
            <w:vAlign w:val="bottom"/>
            <w:gridSpan w:val="2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1"/>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7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Form of Director and Officer Indemnification Agreement (incorporated by reference to Exhibit 10.6 to the</w:t>
            </w:r>
          </w:p>
        </w:tc>
        <w:tc>
          <w:tcPr>
            <w:tcW w:w="720" w:type="dxa"/>
            <w:vAlign w:val="bottom"/>
            <w:gridSpan w:val="14"/>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Company’s Form S-1 filed on March 23,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Alignment Healthcare Holdings, LLC Stock Appreciation Rights Plan (incorporated by reference to Exhibit 10.7 to</w:t>
            </w: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40" w:type="dxa"/>
            <w:vAlign w:val="bottom"/>
            <w:tcBorders>
              <w:bottom w:val="single" w:sz="8" w:color="0000FF"/>
            </w:tcBorders>
            <w:gridSpan w:val="9"/>
          </w:tcPr>
          <w:p>
            <w:pPr>
              <w:spacing w:after="0" w:line="187" w:lineRule="exact"/>
              <w:rPr>
                <w:sz w:val="20"/>
                <w:szCs w:val="20"/>
                <w:color w:val="auto"/>
              </w:rPr>
            </w:pPr>
            <w:r>
              <w:rPr>
                <w:rFonts w:ascii="Times New Roman" w:cs="Times New Roman" w:eastAsia="Times New Roman" w:hAnsi="Times New Roman"/>
                <w:sz w:val="18"/>
                <w:szCs w:val="18"/>
                <w:color w:val="0000FF"/>
                <w:w w:val="99"/>
              </w:rPr>
              <w:t>the Company’s Form S-1 filed on March 3, 2021).</w:t>
            </w:r>
          </w:p>
        </w:tc>
        <w:tc>
          <w:tcPr>
            <w:tcW w:w="4780" w:type="dxa"/>
            <w:vAlign w:val="bottom"/>
            <w:gridSpan w:val="25"/>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Alignment Healthcare, Inc. 2021 Equity Incentive Plan (incorporated by reference to Exhibit 10.2 to the Company’s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tcBorders>
              <w:bottom w:val="single" w:sz="8" w:color="0000FF"/>
            </w:tcBorders>
            <w:gridSpan w:val="6"/>
          </w:tcPr>
          <w:p>
            <w:pPr>
              <w:spacing w:after="0" w:line="187" w:lineRule="exact"/>
              <w:rPr>
                <w:sz w:val="20"/>
                <w:szCs w:val="20"/>
                <w:color w:val="auto"/>
              </w:rPr>
            </w:pPr>
            <w:r>
              <w:rPr>
                <w:rFonts w:ascii="Times New Roman" w:cs="Times New Roman" w:eastAsia="Times New Roman" w:hAnsi="Times New Roman"/>
                <w:sz w:val="18"/>
                <w:szCs w:val="18"/>
                <w:color w:val="0000FF"/>
                <w:w w:val="99"/>
              </w:rPr>
              <w:t>Form 8-K filed on March 30, 2021).</w:t>
            </w:r>
          </w:p>
        </w:tc>
        <w:tc>
          <w:tcPr>
            <w:tcW w:w="5800" w:type="dxa"/>
            <w:vAlign w:val="bottom"/>
            <w:gridSpan w:val="28"/>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Amended &amp; Restated Employment Agreement of John E. Kao dated March 26, 2021 (incorporated by reference to</w:t>
            </w:r>
          </w:p>
        </w:tc>
        <w:tc>
          <w:tcPr>
            <w:tcW w:w="100" w:type="dxa"/>
            <w:vAlign w:val="bottom"/>
            <w:gridSpan w:val="4"/>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0" w:type="dxa"/>
            <w:vAlign w:val="bottom"/>
            <w:tcBorders>
              <w:bottom w:val="single" w:sz="8" w:color="0000FF"/>
            </w:tcBorders>
            <w:gridSpan w:val="13"/>
          </w:tcPr>
          <w:p>
            <w:pPr>
              <w:spacing w:after="0" w:line="187" w:lineRule="exact"/>
              <w:rPr>
                <w:sz w:val="20"/>
                <w:szCs w:val="20"/>
                <w:color w:val="auto"/>
              </w:rPr>
            </w:pPr>
            <w:r>
              <w:rPr>
                <w:rFonts w:ascii="Times New Roman" w:cs="Times New Roman" w:eastAsia="Times New Roman" w:hAnsi="Times New Roman"/>
                <w:sz w:val="18"/>
                <w:szCs w:val="18"/>
                <w:color w:val="0000FF"/>
                <w:w w:val="99"/>
              </w:rPr>
              <w:t>Exhibit 10.9 to the Company's Form 10-Q filed on May 17, 2021).</w:t>
            </w:r>
          </w:p>
        </w:tc>
        <w:tc>
          <w:tcPr>
            <w:tcW w:w="3620" w:type="dxa"/>
            <w:vAlign w:val="bottom"/>
            <w:gridSpan w:val="21"/>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Amended &amp; Restated Employment Agreement of Dawn Maroney dated March 26, 2021 (incorporated by reference</w:t>
            </w: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80" w:type="dxa"/>
            <w:vAlign w:val="bottom"/>
            <w:tcBorders>
              <w:bottom w:val="single" w:sz="8" w:color="0000FF"/>
            </w:tcBorders>
            <w:gridSpan w:val="14"/>
          </w:tcPr>
          <w:p>
            <w:pPr>
              <w:spacing w:after="0" w:line="187" w:lineRule="exact"/>
              <w:rPr>
                <w:sz w:val="20"/>
                <w:szCs w:val="20"/>
                <w:color w:val="auto"/>
              </w:rPr>
            </w:pPr>
            <w:r>
              <w:rPr>
                <w:rFonts w:ascii="Times New Roman" w:cs="Times New Roman" w:eastAsia="Times New Roman" w:hAnsi="Times New Roman"/>
                <w:sz w:val="18"/>
                <w:szCs w:val="18"/>
                <w:color w:val="0000FF"/>
                <w:w w:val="99"/>
              </w:rPr>
              <w:t>to Exhibit 10.10 to the Company's Form 10-Q filed on May 17, 2021).</w:t>
            </w:r>
          </w:p>
        </w:tc>
        <w:tc>
          <w:tcPr>
            <w:tcW w:w="3340" w:type="dxa"/>
            <w:vAlign w:val="bottom"/>
            <w:gridSpan w:val="20"/>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Employment Agreement of James Head dated May 2, 2025 (incorporated by reference to Exhibit 10.1 to the</w:t>
            </w:r>
          </w:p>
        </w:tc>
        <w:tc>
          <w:tcPr>
            <w:tcW w:w="580" w:type="dxa"/>
            <w:vAlign w:val="bottom"/>
            <w:gridSpan w:val="11"/>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Company's Form 10-Q filed on May 1, 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7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Amended &amp; Restated Employment Agreement of Thomas Freeman dated March 26, 2021 (incorporated by</w:t>
            </w:r>
          </w:p>
        </w:tc>
        <w:tc>
          <w:tcPr>
            <w:tcW w:w="640" w:type="dxa"/>
            <w:vAlign w:val="bottom"/>
            <w:gridSpan w:val="1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reference to Exhibit 10.11 to the Company's Form 10-Q filed on May 17,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Amendment to Amended &amp; Restated Employment Agreement of Thomas Freeman dated May 2, 2025 (incorporated</w:t>
            </w:r>
          </w:p>
        </w:tc>
        <w:tc>
          <w:tcPr>
            <w:tcW w:w="20" w:type="dxa"/>
            <w:vAlign w:val="bottom"/>
            <w:tcBorders>
              <w:bottom w:val="single" w:sz="8" w:color="0000FF"/>
            </w:tcBorders>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40" w:type="dxa"/>
            <w:vAlign w:val="bottom"/>
            <w:tcBorders>
              <w:bottom w:val="single" w:sz="8" w:color="0000FF"/>
            </w:tcBorders>
            <w:gridSpan w:val="18"/>
          </w:tcPr>
          <w:p>
            <w:pPr>
              <w:spacing w:after="0" w:line="187" w:lineRule="exact"/>
              <w:rPr>
                <w:sz w:val="20"/>
                <w:szCs w:val="20"/>
                <w:color w:val="auto"/>
              </w:rPr>
            </w:pPr>
            <w:r>
              <w:rPr>
                <w:rFonts w:ascii="Times New Roman" w:cs="Times New Roman" w:eastAsia="Times New Roman" w:hAnsi="Times New Roman"/>
                <w:sz w:val="18"/>
                <w:szCs w:val="18"/>
                <w:color w:val="0000FF"/>
                <w:w w:val="99"/>
              </w:rPr>
              <w:t>by reference to Exhibit 10.2 to the Company's Form 10-Q filed on May 1, 2025).</w:t>
            </w:r>
          </w:p>
        </w:tc>
        <w:tc>
          <w:tcPr>
            <w:tcW w:w="2580" w:type="dxa"/>
            <w:vAlign w:val="bottom"/>
            <w:gridSpan w:val="16"/>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Employment Agreement of Hyong (Ken) Kim, M.D. dated as of September 25, 2023 (incorporated by reference to</w:t>
            </w:r>
          </w:p>
        </w:tc>
        <w:tc>
          <w:tcPr>
            <w:tcW w:w="1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Exhibit 10.1 to the Company’s Form 8-K filed on September 6, 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00" w:type="dxa"/>
            <w:vAlign w:val="bottom"/>
            <w:gridSpan w:val="9"/>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Employment Agreement of Christopher Joyce dated as of August 1, 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760" w:type="dxa"/>
            <w:vAlign w:val="bottom"/>
            <w:gridSpan w:val="10"/>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3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Consulting Agreement by and between Alignment Healthcare USA, LLC and Jeffrey Margolis, dated as of August</w:t>
            </w:r>
          </w:p>
        </w:tc>
        <w:tc>
          <w:tcPr>
            <w:tcW w:w="100" w:type="dxa"/>
            <w:vAlign w:val="bottom"/>
            <w:gridSpan w:val="4"/>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720" w:type="dxa"/>
            <w:vAlign w:val="bottom"/>
            <w:tcBorders>
              <w:bottom w:val="single" w:sz="8" w:color="0000FF"/>
            </w:tcBorders>
            <w:gridSpan w:val="21"/>
          </w:tcPr>
          <w:p>
            <w:pPr>
              <w:spacing w:after="0" w:line="187" w:lineRule="exact"/>
              <w:rPr>
                <w:sz w:val="20"/>
                <w:szCs w:val="20"/>
                <w:color w:val="auto"/>
              </w:rPr>
            </w:pPr>
            <w:r>
              <w:rPr>
                <w:rFonts w:ascii="Times New Roman" w:cs="Times New Roman" w:eastAsia="Times New Roman" w:hAnsi="Times New Roman"/>
                <w:sz w:val="18"/>
                <w:szCs w:val="18"/>
                <w:color w:val="0000FF"/>
                <w:w w:val="99"/>
              </w:rPr>
              <w:t>13, 2024 (incorporated by reference to Exhibit 10.1 to the Company's Form 8-K filed on August 16, 2024).</w:t>
            </w:r>
          </w:p>
        </w:tc>
        <w:tc>
          <w:tcPr>
            <w:tcW w:w="70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Form of Option Award Agreement (incorporated by reference to Exhibit 10.16 to the Company’s Form S-1 filed on</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0000FF"/>
            </w:tcBorders>
            <w:gridSpan w:val="3"/>
          </w:tcPr>
          <w:p>
            <w:pPr>
              <w:spacing w:after="0" w:line="187" w:lineRule="exact"/>
              <w:rPr>
                <w:sz w:val="20"/>
                <w:szCs w:val="20"/>
                <w:color w:val="auto"/>
              </w:rPr>
            </w:pPr>
            <w:r>
              <w:rPr>
                <w:rFonts w:ascii="Times New Roman" w:cs="Times New Roman" w:eastAsia="Times New Roman" w:hAnsi="Times New Roman"/>
                <w:sz w:val="18"/>
                <w:szCs w:val="18"/>
                <w:color w:val="0000FF"/>
                <w:w w:val="99"/>
              </w:rPr>
              <w:t>March 23, 2021).</w:t>
            </w:r>
          </w:p>
        </w:tc>
        <w:tc>
          <w:tcPr>
            <w:tcW w:w="7160" w:type="dxa"/>
            <w:vAlign w:val="bottom"/>
            <w:gridSpan w:val="31"/>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Form of Restricted Shares Award Agreement (incorporated by reference to Exhibit 10.17 to the Company’s Form</w:t>
            </w:r>
          </w:p>
        </w:tc>
        <w:tc>
          <w:tcPr>
            <w:tcW w:w="180" w:type="dxa"/>
            <w:vAlign w:val="bottom"/>
            <w:gridSpan w:val="7"/>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tcBorders>
              <w:bottom w:val="single" w:sz="8" w:color="0000FF"/>
            </w:tcBorders>
            <w:gridSpan w:val="4"/>
          </w:tcPr>
          <w:p>
            <w:pPr>
              <w:spacing w:after="0" w:line="187" w:lineRule="exact"/>
              <w:rPr>
                <w:sz w:val="20"/>
                <w:szCs w:val="20"/>
                <w:color w:val="auto"/>
              </w:rPr>
            </w:pPr>
            <w:r>
              <w:rPr>
                <w:rFonts w:ascii="Times New Roman" w:cs="Times New Roman" w:eastAsia="Times New Roman" w:hAnsi="Times New Roman"/>
                <w:sz w:val="18"/>
                <w:szCs w:val="18"/>
                <w:color w:val="0000FF"/>
                <w:w w:val="99"/>
              </w:rPr>
              <w:t>S-1 filed on March 23, 2021).</w:t>
            </w:r>
          </w:p>
        </w:tc>
        <w:tc>
          <w:tcPr>
            <w:tcW w:w="6260" w:type="dxa"/>
            <w:vAlign w:val="bottom"/>
            <w:gridSpan w:val="30"/>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Form of RSU Award Agreement (incorporated by reference to Exhibit 10.18 to the Company’s Form S-1 filed on</w:t>
            </w:r>
          </w:p>
        </w:tc>
        <w:tc>
          <w:tcPr>
            <w:tcW w:w="200" w:type="dxa"/>
            <w:vAlign w:val="bottom"/>
            <w:gridSpan w:val="8"/>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Borders>
              <w:bottom w:val="single" w:sz="8" w:color="0000FF"/>
            </w:tcBorders>
            <w:gridSpan w:val="3"/>
          </w:tcPr>
          <w:p>
            <w:pPr>
              <w:spacing w:after="0" w:line="187" w:lineRule="exact"/>
              <w:rPr>
                <w:sz w:val="20"/>
                <w:szCs w:val="20"/>
                <w:color w:val="auto"/>
              </w:rPr>
            </w:pPr>
            <w:r>
              <w:rPr>
                <w:rFonts w:ascii="Times New Roman" w:cs="Times New Roman" w:eastAsia="Times New Roman" w:hAnsi="Times New Roman"/>
                <w:sz w:val="18"/>
                <w:szCs w:val="18"/>
                <w:color w:val="0000FF"/>
                <w:w w:val="99"/>
              </w:rPr>
              <w:t>March 23, 2021).</w:t>
            </w:r>
          </w:p>
        </w:tc>
        <w:tc>
          <w:tcPr>
            <w:tcW w:w="7160" w:type="dxa"/>
            <w:vAlign w:val="bottom"/>
            <w:gridSpan w:val="31"/>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Form of Option Award Agreement (Senior Executives) (incorporated by reference to Exhibit 10.19 to the</w:t>
            </w:r>
          </w:p>
        </w:tc>
        <w:tc>
          <w:tcPr>
            <w:tcW w:w="780" w:type="dxa"/>
            <w:vAlign w:val="bottom"/>
            <w:gridSpan w:val="15"/>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Company’s Form S-1 filed on March 23,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900" w:type="dxa"/>
            <w:vAlign w:val="bottom"/>
            <w:gridSpan w:val="2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3"/>
        </w:trPr>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3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Form of RSU Award Agreement (Senior Executives) (incorporated by reference to Exhibit 10.20 to the Company’s</w:t>
            </w: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87"/>
        </w:trPr>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20" w:type="dxa"/>
            <w:vAlign w:val="bottom"/>
            <w:gridSpan w:val="34"/>
          </w:tcPr>
          <w:p>
            <w:pPr>
              <w:spacing w:after="0" w:line="187" w:lineRule="exact"/>
              <w:rPr>
                <w:sz w:val="20"/>
                <w:szCs w:val="20"/>
                <w:color w:val="auto"/>
              </w:rPr>
            </w:pPr>
            <w:r>
              <w:rPr>
                <w:rFonts w:ascii="Times New Roman" w:cs="Times New Roman" w:eastAsia="Times New Roman" w:hAnsi="Times New Roman"/>
                <w:sz w:val="18"/>
                <w:szCs w:val="18"/>
                <w:color w:val="0000FF"/>
              </w:rPr>
              <w:t>Form S-1 filed on March 23, 2021).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-6835775</wp:posOffset>
                </wp:positionV>
                <wp:extent cx="8667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67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8.2499pt" to="68.25pt,-53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828675</wp:posOffset>
                </wp:positionH>
                <wp:positionV relativeFrom="paragraph">
                  <wp:posOffset>-6835775</wp:posOffset>
                </wp:positionV>
                <wp:extent cx="381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25pt,-538.2499pt" to="68.25pt,-538.2499pt" o:allowincell="f" strokecolor="#FFFFFF" strokeweight="0.25pt"/>
            </w:pict>
          </mc:Fallback>
        </mc:AlternateContent>
      </w:r>
    </w:p>
    <w:p>
      <w:pPr>
        <w:sectPr>
          <w:pgSz w:w="12240" w:h="15840" w:orient="portrait"/>
          <w:cols w:equalWidth="0" w:num="1">
            <w:col w:w="9910"/>
          </w:cols>
          <w:pgMar w:left="117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9910"/>
          </w:cols>
          <w:pgMar w:left="1170" w:top="304" w:right="1160" w:bottom="0" w:gutter="0" w:footer="0" w:header="0"/>
          <w:type w:val="continuous"/>
        </w:sectPr>
      </w:pPr>
    </w:p>
    <w:bookmarkStart w:id="110" w:name="page111"/>
    <w:bookmarkEnd w:id="110"/>
    <w:tbl>
      <w:tblPr>
        <w:tblLayout w:type="fixed"/>
        <w:tblInd w:w="1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95"/>
        </w:trPr>
        <w:tc>
          <w:tcPr>
            <w:tcW w:w="1280" w:type="dxa"/>
            <w:vAlign w:val="bottom"/>
            <w:tcBorders>
              <w:top w:val="single" w:sz="8" w:color="0000FF"/>
            </w:tcBorders>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82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Form of Performance Share Unit Award Agreement (incorporated by reference to Exhibit 10.1 to the Company’s</w:t>
            </w:r>
          </w:p>
        </w:tc>
        <w:tc>
          <w:tcPr>
            <w:tcW w:w="280" w:type="dxa"/>
            <w:vAlign w:val="bottom"/>
            <w:gridSpan w:val="8"/>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9"/>
              </w:rPr>
              <w:t>Form 8-K filed on September 15, 2023).</w:t>
            </w:r>
          </w:p>
        </w:tc>
        <w:tc>
          <w:tcPr>
            <w:tcW w:w="5560" w:type="dxa"/>
            <w:vAlign w:val="bottom"/>
            <w:gridSpan w:val="16"/>
          </w:tcPr>
          <w:p>
            <w:pPr>
              <w:spacing w:after="0"/>
              <w:rPr>
                <w:sz w:val="16"/>
                <w:szCs w:val="16"/>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2"/>
                <w:szCs w:val="22"/>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Performance Share Unit Award Agreement dated as of February 24, 2026, by and between the Company and John</w:t>
            </w:r>
          </w:p>
        </w:tc>
      </w:tr>
      <w:tr>
        <w:trPr>
          <w:trHeight w:val="160"/>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60" w:lineRule="exact"/>
              <w:rPr>
                <w:sz w:val="20"/>
                <w:szCs w:val="20"/>
                <w:color w:val="auto"/>
              </w:rPr>
            </w:pPr>
            <w:r>
              <w:rPr>
                <w:rFonts w:ascii="Times New Roman" w:cs="Times New Roman" w:eastAsia="Times New Roman" w:hAnsi="Times New Roman"/>
                <w:sz w:val="18"/>
                <w:szCs w:val="18"/>
                <w:color w:val="0000FF"/>
                <w:w w:val="98"/>
              </w:rPr>
              <w:t>Kao.</w:t>
            </w:r>
          </w:p>
        </w:tc>
        <w:tc>
          <w:tcPr>
            <w:tcW w:w="79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3"/>
                <w:szCs w:val="23"/>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CMS Agreement (incorporated by reference to Exhibit 10.14 to the Company’s Form S-1 filed on March 3,</w:t>
            </w: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0000FF"/>
              <w:bottom w:val="single" w:sz="8" w:color="0000FF"/>
            </w:tcBorders>
            <w:gridSpan w:val="2"/>
          </w:tcPr>
          <w:p>
            <w:pPr>
              <w:spacing w:after="0" w:line="187" w:lineRule="exact"/>
              <w:rPr>
                <w:sz w:val="20"/>
                <w:szCs w:val="20"/>
                <w:color w:val="auto"/>
              </w:rPr>
            </w:pPr>
            <w:r>
              <w:rPr>
                <w:rFonts w:ascii="Times New Roman" w:cs="Times New Roman" w:eastAsia="Times New Roman" w:hAnsi="Times New Roman"/>
                <w:sz w:val="18"/>
                <w:szCs w:val="18"/>
                <w:color w:val="0000FF"/>
                <w:w w:val="98"/>
              </w:rPr>
              <w:t>2021).</w:t>
            </w: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02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8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2"/>
                <w:szCs w:val="22"/>
                <w:color w:val="auto"/>
              </w:rPr>
            </w:pPr>
          </w:p>
        </w:tc>
        <w:tc>
          <w:tcPr>
            <w:tcW w:w="8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Amended &amp; Restated Stockholders Agreement, dated as of April 30, 2024, among Alignment Healthcare, Inc. and</w:t>
            </w:r>
          </w:p>
        </w:tc>
        <w:tc>
          <w:tcPr>
            <w:tcW w:w="180" w:type="dxa"/>
            <w:vAlign w:val="bottom"/>
            <w:gridSpan w:val="6"/>
          </w:tcPr>
          <w:p>
            <w:pPr>
              <w:spacing w:after="0"/>
              <w:rPr>
                <w:sz w:val="22"/>
                <w:szCs w:val="22"/>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20" w:type="dxa"/>
            <w:vAlign w:val="bottom"/>
            <w:tcBorders>
              <w:bottom w:val="single" w:sz="8" w:color="0000FF"/>
            </w:tcBorders>
            <w:gridSpan w:val="18"/>
          </w:tcPr>
          <w:p>
            <w:pPr>
              <w:spacing w:after="0" w:line="187" w:lineRule="exact"/>
              <w:rPr>
                <w:sz w:val="20"/>
                <w:szCs w:val="20"/>
                <w:color w:val="auto"/>
              </w:rPr>
            </w:pPr>
            <w:r>
              <w:rPr>
                <w:rFonts w:ascii="Times New Roman" w:cs="Times New Roman" w:eastAsia="Times New Roman" w:hAnsi="Times New Roman"/>
                <w:sz w:val="18"/>
                <w:szCs w:val="18"/>
                <w:color w:val="0000FF"/>
              </w:rPr>
              <w:t>the other signatories party thereto (incorporated by reference to Exhibit 10.1 to the Company’s Form 10-Q filed on</w:t>
            </w:r>
          </w:p>
        </w:tc>
        <w:tc>
          <w:tcPr>
            <w:tcW w:w="160" w:type="dxa"/>
            <w:vAlign w:val="bottom"/>
            <w:gridSpan w:val="5"/>
          </w:tcPr>
          <w:p>
            <w:pPr>
              <w:spacing w:after="0"/>
              <w:rPr>
                <w:sz w:val="16"/>
                <w:szCs w:val="16"/>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80" w:type="dxa"/>
            <w:vAlign w:val="bottom"/>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May 2, 2024).</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3"/>
                <w:szCs w:val="23"/>
                <w:color w:val="auto"/>
              </w:rPr>
            </w:pPr>
          </w:p>
        </w:tc>
        <w:tc>
          <w:tcPr>
            <w:tcW w:w="7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Credit Agreement dated as of February 26, 2026, among Alignment Healthcare USA, LLC, as borrower, the</w:t>
            </w:r>
          </w:p>
        </w:tc>
        <w:tc>
          <w:tcPr>
            <w:tcW w:w="640" w:type="dxa"/>
            <w:vAlign w:val="bottom"/>
            <w:gridSpan w:val="9"/>
          </w:tcPr>
          <w:p>
            <w:pPr>
              <w:spacing w:after="0"/>
              <w:rPr>
                <w:sz w:val="23"/>
                <w:szCs w:val="23"/>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0" w:type="dxa"/>
            <w:vAlign w:val="bottom"/>
            <w:tcBorders>
              <w:bottom w:val="single" w:sz="8" w:color="0000FF"/>
            </w:tcBorders>
            <w:gridSpan w:val="20"/>
          </w:tcPr>
          <w:p>
            <w:pPr>
              <w:spacing w:after="0" w:line="187" w:lineRule="exact"/>
              <w:rPr>
                <w:sz w:val="20"/>
                <w:szCs w:val="20"/>
                <w:color w:val="auto"/>
              </w:rPr>
            </w:pPr>
            <w:r>
              <w:rPr>
                <w:rFonts w:ascii="Times New Roman" w:cs="Times New Roman" w:eastAsia="Times New Roman" w:hAnsi="Times New Roman"/>
                <w:sz w:val="18"/>
                <w:szCs w:val="18"/>
                <w:color w:val="0000FF"/>
              </w:rPr>
              <w:t>Company, certain subsidiaries of the Company, Citibank, N.A., as administrative agent, and the other Lenders party</w:t>
            </w:r>
          </w:p>
        </w:tc>
        <w:tc>
          <w:tcPr>
            <w:tcW w:w="80" w:type="dxa"/>
            <w:vAlign w:val="bottom"/>
            <w:gridSpan w:val="3"/>
          </w:tcPr>
          <w:p>
            <w:pPr>
              <w:spacing w:after="0"/>
              <w:rPr>
                <w:sz w:val="16"/>
                <w:szCs w:val="16"/>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0000FF"/>
            </w:tcBorders>
            <w:gridSpan w:val="3"/>
          </w:tcPr>
          <w:p>
            <w:pPr>
              <w:spacing w:after="0" w:line="187" w:lineRule="exact"/>
              <w:rPr>
                <w:sz w:val="20"/>
                <w:szCs w:val="20"/>
                <w:color w:val="auto"/>
              </w:rPr>
            </w:pPr>
            <w:r>
              <w:rPr>
                <w:rFonts w:ascii="Times New Roman" w:cs="Times New Roman" w:eastAsia="Times New Roman" w:hAnsi="Times New Roman"/>
                <w:sz w:val="18"/>
                <w:szCs w:val="18"/>
                <w:color w:val="0000FF"/>
                <w:w w:val="99"/>
              </w:rPr>
              <w:t>thereto.</w:t>
            </w:r>
          </w:p>
        </w:tc>
        <w:tc>
          <w:tcPr>
            <w:tcW w:w="7920" w:type="dxa"/>
            <w:vAlign w:val="bottom"/>
            <w:gridSpan w:val="20"/>
          </w:tcPr>
          <w:p>
            <w:pPr>
              <w:spacing w:after="0"/>
              <w:rPr>
                <w:sz w:val="16"/>
                <w:szCs w:val="16"/>
                <w:color w:val="auto"/>
              </w:rPr>
            </w:pPr>
          </w:p>
        </w:tc>
      </w:tr>
      <w:tr>
        <w:trPr>
          <w:trHeight w:val="271"/>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3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Alignment Healthcare, Inc. Insider Trading Policy.</w:t>
            </w:r>
          </w:p>
        </w:tc>
        <w:tc>
          <w:tcPr>
            <w:tcW w:w="4760" w:type="dxa"/>
            <w:vAlign w:val="bottom"/>
            <w:gridSpan w:val="14"/>
          </w:tcPr>
          <w:p>
            <w:pPr>
              <w:spacing w:after="0"/>
              <w:rPr>
                <w:sz w:val="23"/>
                <w:szCs w:val="23"/>
                <w:color w:val="auto"/>
              </w:rPr>
            </w:pPr>
          </w:p>
        </w:tc>
      </w:tr>
      <w:tr>
        <w:trPr>
          <w:trHeight w:val="26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3"/>
                <w:szCs w:val="23"/>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List of Subsidiaries of Alignment Healthcare, Inc.</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7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w:t>
            </w:r>
          </w:p>
        </w:tc>
        <w:tc>
          <w:tcPr>
            <w:tcW w:w="720" w:type="dxa"/>
            <w:vAlign w:val="bottom"/>
            <w:gridSpan w:val="10"/>
          </w:tcPr>
          <w:p>
            <w:pPr>
              <w:spacing w:after="0"/>
              <w:rPr>
                <w:sz w:val="23"/>
                <w:szCs w:val="23"/>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00" w:type="dxa"/>
            <w:vAlign w:val="bottom"/>
            <w:tcBorders>
              <w:bottom w:val="single" w:sz="8" w:color="0000FF"/>
            </w:tcBorders>
            <w:gridSpan w:val="12"/>
          </w:tcPr>
          <w:p>
            <w:pPr>
              <w:spacing w:after="0" w:line="187"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1580" w:type="dxa"/>
            <w:vAlign w:val="bottom"/>
            <w:gridSpan w:val="11"/>
          </w:tcPr>
          <w:p>
            <w:pPr>
              <w:spacing w:after="0"/>
              <w:rPr>
                <w:sz w:val="16"/>
                <w:szCs w:val="16"/>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2"/>
                <w:szCs w:val="22"/>
                <w:color w:val="auto"/>
              </w:rPr>
            </w:pPr>
          </w:p>
        </w:tc>
        <w:tc>
          <w:tcPr>
            <w:tcW w:w="8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w:t>
            </w: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40" w:type="dxa"/>
            <w:vAlign w:val="bottom"/>
            <w:tcBorders>
              <w:bottom w:val="single" w:sz="8" w:color="0000FF"/>
            </w:tcBorders>
            <w:gridSpan w:val="11"/>
          </w:tcPr>
          <w:p>
            <w:pPr>
              <w:spacing w:after="0" w:line="187" w:lineRule="exact"/>
              <w:rPr>
                <w:sz w:val="20"/>
                <w:szCs w:val="20"/>
                <w:color w:val="auto"/>
              </w:rPr>
            </w:pPr>
            <w:r>
              <w:rPr>
                <w:rFonts w:ascii="Times New Roman" w:cs="Times New Roman" w:eastAsia="Times New Roman" w:hAnsi="Times New Roman"/>
                <w:sz w:val="18"/>
                <w:szCs w:val="18"/>
                <w:color w:val="0000FF"/>
                <w:w w:val="99"/>
              </w:rPr>
              <w:t>Act of 1934, as Adopted Pursuant to Section 302 of the Sarbanes-Oxley Act of 2002.</w:t>
            </w:r>
          </w:p>
        </w:tc>
        <w:tc>
          <w:tcPr>
            <w:tcW w:w="2340" w:type="dxa"/>
            <w:vAlign w:val="bottom"/>
            <w:gridSpan w:val="12"/>
          </w:tcPr>
          <w:p>
            <w:pPr>
              <w:spacing w:after="0"/>
              <w:rPr>
                <w:sz w:val="16"/>
                <w:szCs w:val="16"/>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2"/>
                <w:szCs w:val="22"/>
                <w:color w:val="auto"/>
              </w:rPr>
            </w:pPr>
          </w:p>
        </w:tc>
        <w:tc>
          <w:tcPr>
            <w:tcW w:w="84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w:t>
            </w:r>
          </w:p>
        </w:tc>
        <w:tc>
          <w:tcPr>
            <w:tcW w:w="40" w:type="dxa"/>
            <w:vAlign w:val="bottom"/>
          </w:tcPr>
          <w:p>
            <w:pPr>
              <w:spacing w:after="0"/>
              <w:rPr>
                <w:sz w:val="22"/>
                <w:szCs w:val="22"/>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80" w:type="dxa"/>
            <w:vAlign w:val="bottom"/>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2"/>
                <w:szCs w:val="22"/>
                <w:color w:val="auto"/>
              </w:rPr>
            </w:pPr>
          </w:p>
        </w:tc>
        <w:tc>
          <w:tcPr>
            <w:tcW w:w="84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w:t>
            </w:r>
          </w:p>
        </w:tc>
        <w:tc>
          <w:tcPr>
            <w:tcW w:w="80" w:type="dxa"/>
            <w:vAlign w:val="bottom"/>
            <w:gridSpan w:val="3"/>
          </w:tcPr>
          <w:p>
            <w:pPr>
              <w:spacing w:after="0"/>
              <w:rPr>
                <w:sz w:val="22"/>
                <w:szCs w:val="22"/>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80" w:type="dxa"/>
            <w:vAlign w:val="bottom"/>
            <w:gridSpan w:val="23"/>
          </w:tcPr>
          <w:p>
            <w:pPr>
              <w:spacing w:after="0" w:line="187"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3"/>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2"/>
                <w:szCs w:val="22"/>
                <w:color w:val="auto"/>
              </w:rPr>
            </w:pPr>
          </w:p>
        </w:tc>
        <w:tc>
          <w:tcPr>
            <w:tcW w:w="8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Alignment Healthcare, Inc. Clawback Policy (incorporated by reference to Exhibit 97 to the Company's Form 10-K</w:t>
            </w:r>
          </w:p>
        </w:tc>
        <w:tc>
          <w:tcPr>
            <w:tcW w:w="120" w:type="dxa"/>
            <w:vAlign w:val="bottom"/>
            <w:gridSpan w:val="4"/>
          </w:tcPr>
          <w:p>
            <w:pPr>
              <w:spacing w:after="0"/>
              <w:rPr>
                <w:sz w:val="22"/>
                <w:szCs w:val="22"/>
                <w:color w:val="auto"/>
              </w:rPr>
            </w:pPr>
          </w:p>
        </w:tc>
      </w:tr>
      <w:tr>
        <w:trPr>
          <w:trHeight w:val="187"/>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bottom w:val="single" w:sz="8" w:color="0000FF"/>
            </w:tcBorders>
            <w:gridSpan w:val="5"/>
          </w:tcPr>
          <w:p>
            <w:pPr>
              <w:spacing w:after="0" w:line="187" w:lineRule="exact"/>
              <w:rPr>
                <w:sz w:val="20"/>
                <w:szCs w:val="20"/>
                <w:color w:val="auto"/>
              </w:rPr>
            </w:pPr>
            <w:r>
              <w:rPr>
                <w:rFonts w:ascii="Times New Roman" w:cs="Times New Roman" w:eastAsia="Times New Roman" w:hAnsi="Times New Roman"/>
                <w:sz w:val="18"/>
                <w:szCs w:val="18"/>
                <w:color w:val="0000FF"/>
                <w:w w:val="99"/>
              </w:rPr>
              <w:t>filed on February 27, 2024).</w:t>
            </w:r>
          </w:p>
        </w:tc>
        <w:tc>
          <w:tcPr>
            <w:tcW w:w="6440" w:type="dxa"/>
            <w:vAlign w:val="bottom"/>
            <w:gridSpan w:val="18"/>
          </w:tcPr>
          <w:p>
            <w:pPr>
              <w:spacing w:after="0"/>
              <w:rPr>
                <w:sz w:val="16"/>
                <w:szCs w:val="16"/>
                <w:color w:val="auto"/>
              </w:rPr>
            </w:pPr>
          </w:p>
        </w:tc>
      </w:tr>
      <w:tr>
        <w:trPr>
          <w:trHeight w:val="263"/>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r>
      <w:tr>
        <w:trPr>
          <w:trHeight w:val="234"/>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75"/>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5"/>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5"/>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5"/>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5"/>
        </w:trPr>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5"/>
        </w:trPr>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4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136" w:lineRule="exact"/>
        <w:rPr>
          <w:sz w:val="20"/>
          <w:szCs w:val="20"/>
          <w:color w:val="auto"/>
        </w:rPr>
      </w:pPr>
    </w:p>
    <w:p>
      <w:pPr>
        <w:ind w:left="630" w:hanging="630"/>
        <w:spacing w:after="0"/>
        <w:tabs>
          <w:tab w:leader="none" w:pos="6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29" w:lineRule="exact"/>
        <w:rPr>
          <w:sz w:val="20"/>
          <w:szCs w:val="20"/>
          <w:color w:val="auto"/>
        </w:rPr>
      </w:pPr>
    </w:p>
    <w:p>
      <w:pPr>
        <w:ind w:left="630" w:hanging="630"/>
        <w:spacing w:after="0"/>
        <w:tabs>
          <w:tab w:leader="none" w:pos="63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29" w:lineRule="exact"/>
        <w:rPr>
          <w:sz w:val="20"/>
          <w:szCs w:val="20"/>
          <w:color w:val="auto"/>
        </w:rPr>
      </w:pPr>
    </w:p>
    <w:p>
      <w:pPr>
        <w:ind w:left="630" w:hanging="630"/>
        <w:spacing w:after="0"/>
        <w:tabs>
          <w:tab w:leader="none" w:pos="6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None.</w:t>
      </w:r>
    </w:p>
    <w:p>
      <w:pPr>
        <w:sectPr>
          <w:pgSz w:w="12240" w:h="15840" w:orient="portrait"/>
          <w:cols w:equalWidth="0" w:num="1">
            <w:col w:w="9890"/>
          </w:cols>
          <w:pgMar w:left="1170" w:top="29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9890"/>
          </w:cols>
          <w:pgMar w:left="1170" w:top="292" w:right="11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3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Alignment Healthcare, Inc.</w:t>
      </w:r>
    </w:p>
    <w:p>
      <w:pPr>
        <w:spacing w:after="0" w:line="242" w:lineRule="exact"/>
        <w:rPr>
          <w:sz w:val="20"/>
          <w:szCs w:val="20"/>
          <w:color w:val="auto"/>
        </w:rPr>
      </w:pPr>
    </w:p>
    <w:p>
      <w:pPr>
        <w:ind w:left="40"/>
        <w:spacing w:after="0"/>
        <w:tabs>
          <w:tab w:leader="none" w:pos="4420" w:val="left"/>
          <w:tab w:leader="none" w:pos="74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Kao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3765550</wp:posOffset>
                </wp:positionH>
                <wp:positionV relativeFrom="paragraph">
                  <wp:posOffset>36830</wp:posOffset>
                </wp:positionV>
                <wp:extent cx="25146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5pt,2.9pt" to="494.5pt,2.9pt" o:allowincell="f" strokecolor="#000000" strokeweight="1pt"/>
            </w:pict>
          </mc:Fallback>
        </mc:AlternateContent>
      </w:r>
    </w:p>
    <w:p>
      <w:pPr>
        <w:spacing w:after="0" w:line="7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John Kao</w:t>
      </w:r>
    </w:p>
    <w:p>
      <w:pPr>
        <w:spacing w:after="0" w:line="7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9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0" w:type="dxa"/>
            <w:vAlign w:val="bottom"/>
          </w:tcPr>
          <w:p>
            <w:pPr>
              <w:spacing w:after="0"/>
              <w:rPr>
                <w:sz w:val="21"/>
                <w:szCs w:val="21"/>
                <w:color w:val="auto"/>
              </w:rPr>
            </w:pPr>
          </w:p>
        </w:tc>
        <w:tc>
          <w:tcPr>
            <w:tcW w:w="48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0" w:type="dxa"/>
            <w:vAlign w:val="bottom"/>
          </w:tcPr>
          <w:p>
            <w:pPr>
              <w:spacing w:after="0"/>
              <w:rPr>
                <w:sz w:val="21"/>
                <w:szCs w:val="21"/>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1"/>
        </w:trPr>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9"/>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Kao</w:t>
            </w:r>
          </w:p>
        </w:tc>
        <w:tc>
          <w:tcPr>
            <w:tcW w:w="60" w:type="dxa"/>
            <w:vAlign w:val="bottom"/>
          </w:tcPr>
          <w:p>
            <w:pPr>
              <w:spacing w:after="0"/>
              <w:rPr>
                <w:sz w:val="20"/>
                <w:szCs w:val="20"/>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Kao</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M. Head</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James M. Head</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Konowiecki</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Konowiecki</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Jody Bilney</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Jody Bilney</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Hodgson</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David Hodgson</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Yon Jorden</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Yon Jorden</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Jacqueline Kosecoff</w:t>
            </w:r>
          </w:p>
        </w:tc>
        <w:tc>
          <w:tcPr>
            <w:tcW w:w="6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Jacqueline Kosecoff</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Margaret McCarthy</w:t>
            </w:r>
          </w:p>
        </w:tc>
        <w:tc>
          <w:tcPr>
            <w:tcW w:w="60" w:type="dxa"/>
            <w:vAlign w:val="bottom"/>
          </w:tcPr>
          <w:p>
            <w:pPr>
              <w:spacing w:after="0"/>
              <w:rPr>
                <w:sz w:val="24"/>
                <w:szCs w:val="24"/>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Margaret McCarthy</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McClellan</w:t>
            </w:r>
          </w:p>
        </w:tc>
        <w:tc>
          <w:tcPr>
            <w:tcW w:w="60" w:type="dxa"/>
            <w:vAlign w:val="bottom"/>
          </w:tcPr>
          <w:p>
            <w:pPr>
              <w:spacing w:after="0"/>
              <w:rPr>
                <w:sz w:val="24"/>
                <w:szCs w:val="24"/>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McClellan</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45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/s/ </w:t>
            </w:r>
            <w:r>
              <w:rPr>
                <w:rFonts w:ascii="Times New Roman" w:cs="Times New Roman" w:eastAsia="Times New Roman" w:hAnsi="Times New Roman"/>
                <w:sz w:val="18"/>
                <w:szCs w:val="18"/>
                <w:color w:val="auto"/>
                <w:w w:val="99"/>
              </w:rPr>
              <w:t>Robbert Vorhoff</w:t>
            </w:r>
          </w:p>
        </w:tc>
        <w:tc>
          <w:tcPr>
            <w:tcW w:w="60" w:type="dxa"/>
            <w:vAlign w:val="bottom"/>
          </w:tcPr>
          <w:p>
            <w:pPr>
              <w:spacing w:after="0"/>
              <w:rPr>
                <w:sz w:val="24"/>
                <w:szCs w:val="24"/>
                <w:color w:val="auto"/>
              </w:rPr>
            </w:pPr>
          </w:p>
        </w:tc>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60"/>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Robbert Vorhoff</w:t>
            </w:r>
          </w:p>
        </w:tc>
        <w:tc>
          <w:tcPr>
            <w:tcW w:w="6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8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900"/>
          </w:cols>
          <w:pgMar w:left="1180" w:top="30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9900"/>
          </w:cols>
          <w:pgMar w:left="1180" w:top="304" w:right="1160" w:bottom="0" w:gutter="0" w:footer="0" w:header="0"/>
          <w:type w:val="continuous"/>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844"/>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2"/>
    </w:lvl>
  </w:abstractNum>
  <w:abstractNum w:abstractNumId="37">
    <w:nsid w:val="542289EC"/>
    <w:multiLevelType w:val="hybridMultilevel"/>
    <w:lvl w:ilvl="0">
      <w:lvlJc w:val="left"/>
      <w:lvlText w:val="(%1)"/>
      <w:numFmt w:val="decimal"/>
      <w:start w:val="72"/>
    </w:lvl>
  </w:abstractNum>
  <w:abstractNum w:abstractNumId="38">
    <w:nsid w:val="6DE91B18"/>
    <w:multiLevelType w:val="hybridMultilevel"/>
    <w:lvl w:ilvl="0">
      <w:lvlJc w:val="left"/>
      <w:lvlText w:val="\emdash "/>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4"/>
    </w:lvl>
  </w:abstractNum>
  <w:abstractNum w:abstractNumId="41">
    <w:nsid w:val="32FFF902"/>
    <w:multiLevelType w:val="hybridMultilevel"/>
    <w:lvl w:ilvl="0">
      <w:lvlJc w:val="left"/>
      <w:lvlText w:val="(%1)"/>
      <w:numFmt w:val="decimal"/>
      <w:start w:val="89"/>
    </w:lvl>
  </w:abstractNum>
  <w:abstractNum w:abstractNumId="42">
    <w:nsid w:val="684A481A"/>
    <w:multiLevelType w:val="hybridMultilevel"/>
    <w:lvl w:ilvl="0">
      <w:lvlJc w:val="left"/>
      <w:lvlText w:val="(%1)"/>
      <w:numFmt w:val="decimal"/>
      <w:start w:val="958"/>
    </w:lvl>
  </w:abstractNum>
  <w:abstractNum w:abstractNumId="43">
    <w:nsid w:val="579478FE"/>
    <w:multiLevelType w:val="hybridMultilevel"/>
    <w:lvl w:ilvl="0">
      <w:lvlJc w:val="left"/>
      <w:lvlText w:val="(%1)"/>
      <w:numFmt w:val="decimal"/>
      <w:start w:val="254"/>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lvl w:ilvl="1">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2026-04-24T22:20:11Z</dcterms:created>
  <dcterms:modified xsi:type="dcterms:W3CDTF">2026-04-24T22:20:11Z</dcterms:modified>
</cp:coreProperties>
</file>