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73026.htm"/>
      <w:bookmarkStart w:id="1" w:name="ksf8k_0730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July 30, 2026</w:t>
      </w:r>
    </w:p>
    <w:p>
      <w:pPr>
        <w:pStyle w:val="TextBody"/>
        <w:bidi w:val="0"/>
        <w:jc w:val="center"/>
        <w:rPr/>
      </w:pPr>
      <w:r>
        <w:rPr/>
        <w:t>_______________________________</w:t>
      </w:r>
    </w:p>
    <w:p>
      <w:pPr>
        <w:pStyle w:val="TextBody"/>
        <w:bidi w:val="0"/>
        <w:spacing w:before="120" w:after="283"/>
        <w:jc w:val="center"/>
        <w:rPr>
          <w:b/>
          <w:caps/>
          <w:sz w:val="24"/>
        </w:rPr>
      </w:pPr>
      <w:r>
        <w:rPr>
          <w:b/>
          <w:caps/>
          <w:sz w:val="24"/>
        </w:rPr>
        <w:t>Alignment Healthcare,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001-40295</w:t>
            </w:r>
          </w:p>
        </w:tc>
        <w:tc>
          <w:tcPr>
            <w:tcW w:w="2900" w:type="dxa"/>
            <w:tcBorders/>
            <w:vAlign w:val="center"/>
          </w:tcPr>
          <w:p>
            <w:pPr>
              <w:pStyle w:val="TableContents"/>
              <w:bidi w:val="0"/>
              <w:spacing w:before="0" w:after="283"/>
              <w:jc w:val="center"/>
              <w:rPr>
                <w:b/>
                <w:sz w:val="20"/>
              </w:rPr>
            </w:pPr>
            <w:r>
              <w:rPr>
                <w:b/>
                <w:sz w:val="20"/>
              </w:rPr>
              <w:t>46-5596242</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1100 W. Town and Country Road, Suite 1600</w:t>
      </w:r>
    </w:p>
    <w:p>
      <w:pPr>
        <w:pStyle w:val="TextBody"/>
        <w:bidi w:val="0"/>
        <w:spacing w:before="0" w:after="0"/>
        <w:jc w:val="center"/>
        <w:rPr>
          <w:b/>
          <w:sz w:val="20"/>
        </w:rPr>
      </w:pPr>
      <w:r>
        <w:rPr>
          <w:b/>
          <w:sz w:val="20"/>
        </w:rPr>
        <w:t>Orange, California 92868</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(844) 310-2247</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b/>
          <w:sz w:val="20"/>
        </w:rPr>
      </w:pPr>
      <w:r>
        <w:rPr>
          <w:b/>
          <w:sz w:val="20"/>
        </w:rPr>
        <w:t>N/A</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500" w:type="dxa"/>
            <w:tcBorders/>
            <w:tcMar>
              <w:bottom w:w="0" w:type="dxa"/>
            </w:tcMar>
            <w:vAlign w:val="center"/>
          </w:tcPr>
          <w:p>
            <w:pPr>
              <w:pStyle w:val="TableContents"/>
              <w:bidi w:val="0"/>
              <w:spacing w:before="0" w:after="283"/>
              <w:jc w:val="center"/>
              <w:rPr>
                <w:sz w:val="20"/>
              </w:rPr>
            </w:pPr>
            <w:r>
              <w:rPr>
                <w:sz w:val="20"/>
              </w:rPr>
              <w:t>Common Stock, par value $0.001 per share</w:t>
            </w:r>
          </w:p>
        </w:tc>
        <w:tc>
          <w:tcPr>
            <w:tcW w:w="1535" w:type="dxa"/>
            <w:tcBorders/>
            <w:tcMar>
              <w:bottom w:w="0" w:type="dxa"/>
            </w:tcMar>
            <w:vAlign w:val="center"/>
          </w:tcPr>
          <w:p>
            <w:pPr>
              <w:pStyle w:val="TableContents"/>
              <w:bidi w:val="0"/>
              <w:spacing w:before="0" w:after="283"/>
              <w:jc w:val="center"/>
              <w:rPr>
                <w:sz w:val="20"/>
              </w:rPr>
            </w:pPr>
            <w:r>
              <w:rPr>
                <w:sz w:val="20"/>
              </w:rPr>
              <w:t>ALHC</w:t>
            </w:r>
          </w:p>
        </w:tc>
        <w:tc>
          <w:tcPr>
            <w:tcW w:w="3575" w:type="dxa"/>
            <w:tcBorders/>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283"/>
        <w:jc w:val="left"/>
        <w:rPr/>
      </w:pPr>
      <w:r>
        <w:rPr/>
        <w:t> </w:t>
      </w:r>
    </w:p>
    <w:p>
      <w:pPr>
        <w:pStyle w:val="TextBody"/>
        <w:bidi w:val="0"/>
        <w:jc w:val="left"/>
        <w:rPr>
          <w:sz w:val="20"/>
        </w:rPr>
      </w:pPr>
      <w:r>
        <w:rPr>
          <w:sz w:val="20"/>
        </w:rPr>
        <w:t>On July 30, 2026, Alignment Healthcare, Inc. issued a press release announcing its financial results for its second quarter ended June 30, 2026. A copy of the press release is furnished herewith as Exhibit 99.1 and incorporated herein by reference.</w:t>
      </w:r>
    </w:p>
    <w:p>
      <w:pPr>
        <w:pStyle w:val="TextBody"/>
        <w:bidi w:val="0"/>
        <w:spacing w:before="0" w:after="283"/>
        <w:jc w:val="left"/>
        <w:rPr/>
      </w:pPr>
      <w:r>
        <w:rPr/>
        <w:t> </w:t>
      </w:r>
    </w:p>
    <w:p>
      <w:pPr>
        <w:pStyle w:val="TextBody"/>
        <w:bidi w:val="0"/>
        <w:jc w:val="left"/>
        <w:rPr>
          <w:sz w:val="20"/>
        </w:rPr>
      </w:pPr>
      <w:r>
        <w:rPr>
          <w:sz w:val="20"/>
        </w:rPr>
        <w:t>The information contained in this Current Report on Form 8-K and in the accompanying exhibit are “furnished” and shall not be deemed “filed” for purposes of Section 18 of the Securities Exchange Act of 1934, as amended (the “Exchange Act”), or otherwise subject to the liabilities of that section, and shall not be incorporated by reference in any filing under the Securities Act of 1933, as amended, or the Exchange Act regardless of any general incorporation language in such filing, unless expressly incorporated by specific reference in such filing.</w:t>
      </w:r>
    </w:p>
    <w:p>
      <w:pPr>
        <w:pStyle w:val="TextBody"/>
        <w:bidi w:val="0"/>
        <w:spacing w:before="0" w:after="283"/>
        <w:jc w:val="left"/>
        <w:rPr/>
      </w:pPr>
      <w:r>
        <w:rPr/>
        <w:t> </w:t>
      </w:r>
    </w:p>
    <w:p>
      <w:pPr>
        <w:pStyle w:val="TextBody"/>
        <w:bidi w:val="0"/>
        <w:spacing w:before="0" w:after="283"/>
        <w:jc w:val="left"/>
        <w:rPr/>
      </w:pPr>
      <w:r>
        <w:rPr>
          <w:rStyle w:val="StrongEmphasis"/>
          <w:sz w:val="20"/>
        </w:rPr>
        <w:t>Item 9.01. Financial Statements and Exhibits.</w:t>
      </w:r>
    </w:p>
    <w:p>
      <w:pPr>
        <w:pStyle w:val="TextBody"/>
        <w:bidi w:val="0"/>
        <w:spacing w:before="0" w:after="283"/>
        <w:jc w:val="left"/>
        <w:rPr/>
      </w:pPr>
      <w:r>
        <w:rPr/>
        <w:t> </w:t>
      </w:r>
    </w:p>
    <w:p>
      <w:pPr>
        <w:pStyle w:val="TextBody"/>
        <w:bidi w:val="0"/>
        <w:jc w:val="left"/>
        <w:rPr>
          <w:sz w:val="20"/>
        </w:rPr>
      </w:pPr>
      <w:r>
        <w:rPr>
          <w:sz w:val="20"/>
        </w:rPr>
        <w:t>(d) Exhibits</w:t>
      </w:r>
    </w:p>
    <w:p>
      <w:pPr>
        <w:pStyle w:val="TextBody"/>
        <w:bidi w:val="0"/>
        <w:spacing w:before="0" w:after="283"/>
        <w:jc w:val="left"/>
        <w:rPr/>
      </w:pPr>
      <w:r>
        <w:rPr/>
        <w:t> </w:t>
      </w:r>
    </w:p>
    <w:tbl>
      <w:tblPr>
        <w:tblW w:w="7915" w:type="dxa"/>
        <w:jc w:val="left"/>
        <w:tblInd w:w="0" w:type="dxa"/>
        <w:tblLayout w:type="fixed"/>
        <w:tblCellMar>
          <w:top w:w="0" w:type="dxa"/>
          <w:left w:w="0" w:type="dxa"/>
          <w:bottom w:w="0" w:type="dxa"/>
          <w:right w:w="0" w:type="dxa"/>
        </w:tblCellMar>
      </w:tblPr>
      <w:tblGrid>
        <w:gridCol w:w="1385"/>
        <w:gridCol w:w="60"/>
        <w:gridCol w:w="6470"/>
      </w:tblGrid>
      <w:tr>
        <w:trPr/>
        <w:tc>
          <w:tcPr>
            <w:tcW w:w="1385" w:type="dxa"/>
            <w:tcBorders/>
            <w:vAlign w:val="bottom"/>
          </w:tcPr>
          <w:p>
            <w:pPr>
              <w:pStyle w:val="TableContents"/>
              <w:bidi w:val="0"/>
              <w:spacing w:before="0" w:after="283"/>
              <w:jc w:val="left"/>
              <w:rPr>
                <w:b/>
                <w:sz w:val="20"/>
                <w:u w:val="single"/>
              </w:rPr>
            </w:pPr>
            <w:r>
              <w:rPr>
                <w:b/>
                <w:sz w:val="20"/>
                <w:u w:val="single"/>
              </w:rPr>
              <w:t>Exhibit Number</w:t>
            </w:r>
          </w:p>
        </w:tc>
        <w:tc>
          <w:tcPr>
            <w:tcW w:w="60" w:type="dxa"/>
            <w:tcBorders/>
            <w:vAlign w:val="center"/>
          </w:tcPr>
          <w:p>
            <w:pPr>
              <w:pStyle w:val="TableContents"/>
              <w:bidi w:val="0"/>
              <w:spacing w:before="0" w:after="283"/>
              <w:jc w:val="left"/>
              <w:rPr/>
            </w:pPr>
            <w:r>
              <w:rPr/>
              <w:t> </w:t>
            </w:r>
          </w:p>
        </w:tc>
        <w:tc>
          <w:tcPr>
            <w:tcW w:w="6470" w:type="dxa"/>
            <w:tcBorders/>
            <w:vAlign w:val="bottom"/>
          </w:tcPr>
          <w:p>
            <w:pPr>
              <w:pStyle w:val="TableContents"/>
              <w:bidi w:val="0"/>
              <w:spacing w:before="0" w:after="283"/>
              <w:jc w:val="left"/>
              <w:rPr>
                <w:b/>
                <w:sz w:val="20"/>
                <w:u w:val="single"/>
              </w:rPr>
            </w:pPr>
            <w:r>
              <w:rPr>
                <w:b/>
                <w:sz w:val="20"/>
                <w:u w:val="single"/>
              </w:rPr>
              <w:t>Description</w:t>
            </w:r>
          </w:p>
        </w:tc>
      </w:tr>
      <w:tr>
        <w:trPr/>
        <w:tc>
          <w:tcPr>
            <w:tcW w:w="13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July 30, 2026</w:t>
              </w:r>
            </w:hyperlink>
          </w:p>
        </w:tc>
      </w:tr>
      <w:tr>
        <w:trPr/>
        <w:tc>
          <w:tcPr>
            <w:tcW w:w="1385"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tbl>
      <w:tblPr>
        <w:tblW w:w="3909" w:type="dxa"/>
        <w:jc w:val="left"/>
        <w:tblInd w:w="0" w:type="dxa"/>
        <w:tblLayout w:type="fixed"/>
        <w:tblCellMar>
          <w:top w:w="0" w:type="dxa"/>
          <w:left w:w="0" w:type="dxa"/>
          <w:bottom w:w="0" w:type="dxa"/>
          <w:right w:w="0" w:type="dxa"/>
        </w:tblCellMar>
      </w:tblPr>
      <w:tblGrid>
        <w:gridCol w:w="1610"/>
        <w:gridCol w:w="373"/>
        <w:gridCol w:w="1926"/>
      </w:tblGrid>
      <w:tr>
        <w:trPr/>
        <w:tc>
          <w:tcPr>
            <w:tcW w:w="1610"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bidi w:val="0"/>
              <w:spacing w:before="0" w:after="283"/>
              <w:jc w:val="left"/>
              <w:rPr>
                <w:b/>
                <w:sz w:val="20"/>
              </w:rPr>
            </w:pPr>
            <w:r>
              <w:rPr>
                <w:b/>
                <w:sz w:val="20"/>
              </w:rPr>
              <w:t>Alignment Healthcare, Inc.</w:t>
            </w:r>
          </w:p>
        </w:tc>
      </w:tr>
      <w:tr>
        <w:trPr/>
        <w:tc>
          <w:tcPr>
            <w:tcW w:w="161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left"/>
              <w:rPr>
                <w:sz w:val="4"/>
                <w:szCs w:val="4"/>
              </w:rPr>
            </w:pPr>
            <w:r>
              <w:rPr>
                <w:sz w:val="4"/>
                <w:szCs w:val="4"/>
              </w:rPr>
            </w:r>
          </w:p>
        </w:tc>
      </w:tr>
      <w:tr>
        <w:trPr/>
        <w:tc>
          <w:tcPr>
            <w:tcW w:w="1610" w:type="dxa"/>
            <w:tcBorders/>
            <w:vAlign w:val="center"/>
          </w:tcPr>
          <w:p>
            <w:pPr>
              <w:pStyle w:val="TableContents"/>
              <w:bidi w:val="0"/>
              <w:spacing w:before="0" w:after="283"/>
              <w:jc w:val="left"/>
              <w:rPr>
                <w:sz w:val="20"/>
              </w:rPr>
            </w:pPr>
            <w:r>
              <w:rPr>
                <w:sz w:val="20"/>
              </w:rPr>
              <w:t>Date: July 30, 2026</w:t>
            </w:r>
          </w:p>
        </w:tc>
        <w:tc>
          <w:tcPr>
            <w:tcW w:w="373" w:type="dxa"/>
            <w:tcBorders/>
            <w:vAlign w:val="center"/>
          </w:tcPr>
          <w:p>
            <w:pPr>
              <w:pStyle w:val="TableContents"/>
              <w:bidi w:val="0"/>
              <w:spacing w:before="0" w:after="283"/>
              <w:jc w:val="left"/>
              <w:rPr>
                <w:sz w:val="20"/>
              </w:rPr>
            </w:pPr>
            <w:r>
              <w:rPr>
                <w:sz w:val="20"/>
              </w:rPr>
              <w:t>By: </w:t>
            </w:r>
          </w:p>
        </w:tc>
        <w:tc>
          <w:tcPr>
            <w:tcW w:w="1926" w:type="dxa"/>
            <w:tcBorders/>
            <w:vAlign w:val="center"/>
          </w:tcPr>
          <w:p>
            <w:pPr>
              <w:pStyle w:val="TableContents"/>
              <w:bidi w:val="0"/>
              <w:spacing w:before="0" w:after="283"/>
              <w:jc w:val="left"/>
              <w:rPr>
                <w:sz w:val="20"/>
                <w:u w:val="single"/>
              </w:rPr>
            </w:pPr>
            <w:r>
              <w:rPr>
                <w:sz w:val="20"/>
                <w:u w:val="single"/>
              </w:rPr>
              <w:t>/s/ James M. Head        </w:t>
            </w:r>
          </w:p>
        </w:tc>
      </w:tr>
      <w:tr>
        <w:trPr/>
        <w:tc>
          <w:tcPr>
            <w:tcW w:w="161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left"/>
              <w:rPr>
                <w:sz w:val="20"/>
              </w:rPr>
            </w:pPr>
            <w:r>
              <w:rPr>
                <w:sz w:val="20"/>
              </w:rPr>
              <w:t>James M. Head</w:t>
            </w:r>
          </w:p>
        </w:tc>
      </w:tr>
      <w:tr>
        <w:trPr/>
        <w:tc>
          <w:tcPr>
            <w:tcW w:w="161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left"/>
              <w:rPr>
                <w:sz w:val="20"/>
              </w:rPr>
            </w:pPr>
            <w:r>
              <w:rPr>
                <w:sz w:val="20"/>
              </w:rPr>
              <w:t>Chief Financial Officer</w:t>
            </w:r>
          </w:p>
        </w:tc>
      </w:tr>
      <w:tr>
        <w:trPr/>
        <w:tc>
          <w:tcPr>
            <w:tcW w:w="1610" w:type="dxa"/>
            <w:tcBorders/>
            <w:vAlign w:val="center"/>
          </w:tcPr>
          <w:p>
            <w:pPr>
              <w:pStyle w:val="TableContents"/>
              <w:bidi w:val="0"/>
              <w:spacing w:before="0" w:after="283"/>
              <w:jc w:val="left"/>
              <w:rPr/>
            </w:pPr>
            <w:r>
              <w:rPr/>
              <w:t> </w:t>
            </w:r>
          </w:p>
        </w:tc>
        <w:tc>
          <w:tcPr>
            <w:tcW w:w="373" w:type="dxa"/>
            <w:tcBorders/>
            <w:vAlign w:val="center"/>
          </w:tcPr>
          <w:p>
            <w:pPr>
              <w:pStyle w:val="TableContents"/>
              <w:bidi w:val="0"/>
              <w:spacing w:before="0" w:after="283"/>
              <w:jc w:val="left"/>
              <w:rPr/>
            </w:pPr>
            <w:r>
              <w:rPr/>
              <w:t> </w:t>
            </w:r>
          </w:p>
        </w:tc>
        <w:tc>
          <w:tcPr>
            <w:tcW w:w="19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Alignment Healthcare Reports Second Quarter 2026 Results, Surpassing High End of Guidance Across All Key Metrics</w:t>
      </w:r>
    </w:p>
    <w:p>
      <w:pPr>
        <w:pStyle w:val="TextBody"/>
        <w:numPr>
          <w:ilvl w:val="0"/>
          <w:numId w:val="2"/>
        </w:numPr>
        <w:tabs>
          <w:tab w:val="clear" w:pos="1134"/>
          <w:tab w:val="left" w:pos="709" w:leader="none"/>
        </w:tabs>
        <w:bidi w:val="0"/>
        <w:spacing w:before="0" w:after="0"/>
        <w:ind w:left="709" w:hanging="283"/>
        <w:jc w:val="left"/>
        <w:rPr/>
      </w:pPr>
      <w:r>
        <w:rPr>
          <w:rStyle w:val="Emphasis"/>
        </w:rPr>
        <w:t xml:space="preserve">Generates $1.3 billion in total revenue, representing 31.6% growth year-over-year </w:t>
      </w:r>
    </w:p>
    <w:p>
      <w:pPr>
        <w:pStyle w:val="TextBody"/>
        <w:numPr>
          <w:ilvl w:val="0"/>
          <w:numId w:val="2"/>
        </w:numPr>
        <w:tabs>
          <w:tab w:val="clear" w:pos="1134"/>
          <w:tab w:val="left" w:pos="709" w:leader="none"/>
        </w:tabs>
        <w:bidi w:val="0"/>
        <w:spacing w:before="0" w:after="0"/>
        <w:ind w:left="709" w:hanging="283"/>
        <w:jc w:val="left"/>
        <w:rPr/>
      </w:pPr>
      <w:r>
        <w:rPr>
          <w:rStyle w:val="Emphasis"/>
        </w:rPr>
        <w:t>Grows Medicare Advantage membership 31.5% year-over-year to approximately 294,100 members</w:t>
      </w:r>
    </w:p>
    <w:p>
      <w:pPr>
        <w:pStyle w:val="TextBody"/>
        <w:numPr>
          <w:ilvl w:val="0"/>
          <w:numId w:val="2"/>
        </w:numPr>
        <w:tabs>
          <w:tab w:val="clear" w:pos="1134"/>
          <w:tab w:val="left" w:pos="709" w:leader="none"/>
        </w:tabs>
        <w:bidi w:val="0"/>
        <w:ind w:left="709" w:hanging="283"/>
        <w:jc w:val="left"/>
        <w:rPr/>
      </w:pPr>
      <w:r>
        <w:rPr>
          <w:rStyle w:val="Emphasis"/>
        </w:rPr>
        <w:t>Raises the midpoint of all full-year guidance metrics: membership, revenue, adjusted gross profit and adjusted EBITDA</w:t>
      </w:r>
    </w:p>
    <w:p>
      <w:pPr>
        <w:pStyle w:val="TextBody"/>
        <w:bidi w:val="0"/>
        <w:spacing w:before="0" w:after="283"/>
        <w:jc w:val="left"/>
        <w:rPr/>
      </w:pPr>
      <w:r>
        <w:rPr/>
        <w:t>ORANGE, Calif., July 30, 2026 (GLOBE NEWSWIRE) -- Alignment Healthcare, Inc. (NASDAQ: ALHC), today reported financial results for its second quarter ended June 30, 2026.</w:t>
      </w:r>
    </w:p>
    <w:p>
      <w:pPr>
        <w:pStyle w:val="TextBody"/>
        <w:bidi w:val="0"/>
        <w:spacing w:before="0" w:after="283"/>
        <w:jc w:val="left"/>
        <w:rPr/>
      </w:pPr>
      <w:r>
        <w:rPr/>
        <w:t>“</w:t>
      </w:r>
      <w:r>
        <w:rPr/>
        <w:t>Our second quarter results underscore the strength of our purpose-built Medicare Advantage platform and place us in a strong position to deliver upon our full-year objectives," said John Kao, chairman and CEO. “We are continuing to realize the benefits of ongoing investments we have made across our clinical model, AI-enabled capabilities and operational infrastructure. These financial results are a reflection of how we are delivering for our seniors and demonstrate that better outcomes, stronger member experiences and sustainable profitable growth can all go hand in hand."</w:t>
      </w:r>
    </w:p>
    <w:p>
      <w:pPr>
        <w:pStyle w:val="TextBody"/>
        <w:bidi w:val="0"/>
        <w:spacing w:before="0" w:after="283"/>
        <w:jc w:val="left"/>
        <w:rPr/>
      </w:pPr>
      <w:r>
        <w:rPr>
          <w:rStyle w:val="StrongEmphasis"/>
          <w:u w:val="single"/>
        </w:rPr>
        <w:t>Second Quarter 2026 Financial Highlights</w:t>
        <w:br/>
      </w:r>
      <w:r>
        <w:rPr>
          <w:rStyle w:val="Emphasis"/>
        </w:rPr>
        <w:t>All comparisons, unless otherwise noted, are to the three months ended June 30, 2025.</w:t>
      </w:r>
    </w:p>
    <w:p>
      <w:pPr>
        <w:pStyle w:val="TextBody"/>
        <w:numPr>
          <w:ilvl w:val="0"/>
          <w:numId w:val="3"/>
        </w:numPr>
        <w:tabs>
          <w:tab w:val="clear" w:pos="1134"/>
          <w:tab w:val="left" w:pos="709" w:leader="none"/>
        </w:tabs>
        <w:bidi w:val="0"/>
        <w:spacing w:before="0" w:after="0"/>
        <w:ind w:left="709" w:hanging="283"/>
        <w:jc w:val="left"/>
        <w:rPr/>
      </w:pPr>
      <w:r>
        <w:rPr/>
        <w:t>Health plan membership at the end of the quarter was approximately 294,100, up 31.5% year-over-year</w:t>
      </w:r>
    </w:p>
    <w:p>
      <w:pPr>
        <w:pStyle w:val="TextBody"/>
        <w:numPr>
          <w:ilvl w:val="0"/>
          <w:numId w:val="3"/>
        </w:numPr>
        <w:tabs>
          <w:tab w:val="clear" w:pos="1134"/>
          <w:tab w:val="left" w:pos="709" w:leader="none"/>
        </w:tabs>
        <w:bidi w:val="0"/>
        <w:spacing w:before="0" w:after="0"/>
        <w:ind w:left="709" w:hanging="283"/>
        <w:jc w:val="left"/>
        <w:rPr/>
      </w:pPr>
      <w:r>
        <w:rPr/>
        <w:t>Total revenue was $1,335.6 million, up 31.6% year-over-year</w:t>
      </w:r>
    </w:p>
    <w:p>
      <w:pPr>
        <w:pStyle w:val="TextBody"/>
        <w:numPr>
          <w:ilvl w:val="0"/>
          <w:numId w:val="3"/>
        </w:numPr>
        <w:tabs>
          <w:tab w:val="clear" w:pos="1134"/>
          <w:tab w:val="left" w:pos="709" w:leader="none"/>
        </w:tabs>
        <w:bidi w:val="0"/>
        <w:spacing w:before="0" w:after="0"/>
        <w:ind w:left="709" w:hanging="283"/>
        <w:jc w:val="left"/>
        <w:rPr/>
      </w:pPr>
      <w:r>
        <w:rPr/>
        <w:t xml:space="preserve">Adjusted gross profit* was $182.9 million, up 35.3% year-over-year, and income from operations was $42.1 million </w:t>
      </w:r>
    </w:p>
    <w:p>
      <w:pPr>
        <w:pStyle w:val="TextBody"/>
        <w:numPr>
          <w:ilvl w:val="1"/>
          <w:numId w:val="3"/>
        </w:numPr>
        <w:tabs>
          <w:tab w:val="clear" w:pos="1134"/>
          <w:tab w:val="left" w:pos="1418" w:leader="none"/>
        </w:tabs>
        <w:bidi w:val="0"/>
        <w:spacing w:before="0" w:after="0"/>
        <w:ind w:left="1418" w:hanging="283"/>
        <w:jc w:val="left"/>
        <w:rPr/>
      </w:pPr>
      <w:r>
        <w:rPr/>
        <w:t>Adjusted gross profit excludes depreciation and amortization of $7.9 million and selling, general, and administrative expenses of $131.0 million (which includes $16.3 million of equity-based compensation). Adjusted gross profit also excludes $1.9 million of equity-based compensation recorded within medical expenses</w:t>
      </w:r>
    </w:p>
    <w:p>
      <w:pPr>
        <w:pStyle w:val="TextBody"/>
        <w:numPr>
          <w:ilvl w:val="1"/>
          <w:numId w:val="3"/>
        </w:numPr>
        <w:tabs>
          <w:tab w:val="clear" w:pos="1134"/>
          <w:tab w:val="left" w:pos="1418" w:leader="none"/>
        </w:tabs>
        <w:bidi w:val="0"/>
        <w:spacing w:before="0" w:after="0"/>
        <w:ind w:left="1418" w:hanging="283"/>
        <w:jc w:val="left"/>
        <w:rPr/>
      </w:pPr>
      <w:r>
        <w:rPr/>
        <w:t>Medical benefits ratio based on adjusted gross profit was 86.3%, an improvement of approximately 40 basis points year-over-year</w:t>
      </w:r>
    </w:p>
    <w:p>
      <w:pPr>
        <w:pStyle w:val="TextBody"/>
        <w:numPr>
          <w:ilvl w:val="0"/>
          <w:numId w:val="3"/>
        </w:numPr>
        <w:tabs>
          <w:tab w:val="clear" w:pos="1134"/>
          <w:tab w:val="left" w:pos="709" w:leader="none"/>
        </w:tabs>
        <w:bidi w:val="0"/>
        <w:ind w:left="709" w:hanging="283"/>
        <w:jc w:val="left"/>
        <w:rPr/>
      </w:pPr>
      <w:r>
        <w:rPr/>
        <w:t>Adjusted EBITDA* of $68.1 million represented an adjusted EBITDA margin of 5.1% and grew 48.4% year-over-year, while net income was $36.6 million, compared to $15.7 million the year prior</w:t>
      </w:r>
    </w:p>
    <w:p>
      <w:pPr>
        <w:pStyle w:val="TextBody"/>
        <w:bidi w:val="0"/>
        <w:jc w:val="left"/>
        <w:rPr>
          <w:position w:val="8"/>
          <w:sz w:val="19"/>
        </w:rPr>
      </w:pPr>
      <w:r>
        <w:rPr>
          <w:position w:val="8"/>
          <w:sz w:val="19"/>
        </w:rPr>
        <w:t>* Please see "Second Quarter 2026 Non-GAAP Reconciliation Tables" below for more information on the non-GAAP financial measures reported here as supplemental information.</w:t>
      </w:r>
    </w:p>
    <w:p>
      <w:pPr>
        <w:pStyle w:val="TextBody"/>
        <w:bidi w:val="0"/>
        <w:spacing w:before="0" w:after="283"/>
        <w:jc w:val="left"/>
        <w:rPr/>
      </w:pPr>
      <w:r>
        <w:rPr>
          <w:rStyle w:val="StrongEmphasis"/>
          <w:u w:val="single"/>
        </w:rPr>
        <w:t>Outlook for Third Quarter and Fiscal Year 2026</w:t>
      </w:r>
    </w:p>
    <w:tbl>
      <w:tblPr>
        <w:tblW w:w="10205" w:type="dxa"/>
        <w:jc w:val="left"/>
        <w:tblInd w:w="0" w:type="dxa"/>
        <w:tblLayout w:type="fixed"/>
        <w:tblCellMar>
          <w:top w:w="28" w:type="dxa"/>
          <w:left w:w="28" w:type="dxa"/>
          <w:bottom w:w="28" w:type="dxa"/>
          <w:right w:w="28" w:type="dxa"/>
        </w:tblCellMar>
      </w:tblPr>
      <w:tblGrid>
        <w:gridCol w:w="2286"/>
        <w:gridCol w:w="195"/>
        <w:gridCol w:w="1718"/>
        <w:gridCol w:w="282"/>
        <w:gridCol w:w="1718"/>
        <w:gridCol w:w="195"/>
        <w:gridCol w:w="1718"/>
        <w:gridCol w:w="282"/>
        <w:gridCol w:w="1811"/>
      </w:tblGrid>
      <w:tr>
        <w:trPr/>
        <w:tc>
          <w:tcPr>
            <w:tcW w:w="2286"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3718" w:type="dxa"/>
            <w:gridSpan w:val="3"/>
            <w:tcBorders/>
            <w:vAlign w:val="center"/>
          </w:tcPr>
          <w:p>
            <w:pPr>
              <w:pStyle w:val="TableContents"/>
              <w:bidi w:val="0"/>
              <w:spacing w:before="0" w:after="283"/>
              <w:jc w:val="center"/>
              <w:rPr/>
            </w:pPr>
            <w:r>
              <w:rPr>
                <w:rStyle w:val="StrongEmphasis"/>
              </w:rPr>
              <w:t>Three Months Ending September 30, 2026</w:t>
            </w:r>
          </w:p>
        </w:tc>
        <w:tc>
          <w:tcPr>
            <w:tcW w:w="195" w:type="dxa"/>
            <w:tcBorders/>
            <w:vAlign w:val="center"/>
          </w:tcPr>
          <w:p>
            <w:pPr>
              <w:pStyle w:val="TableContents"/>
              <w:bidi w:val="0"/>
              <w:spacing w:before="0" w:after="283"/>
              <w:jc w:val="left"/>
              <w:rPr/>
            </w:pPr>
            <w:r>
              <w:rPr/>
              <w:t> </w:t>
            </w:r>
          </w:p>
        </w:tc>
        <w:tc>
          <w:tcPr>
            <w:tcW w:w="3811" w:type="dxa"/>
            <w:gridSpan w:val="3"/>
            <w:tcBorders/>
            <w:vAlign w:val="center"/>
          </w:tcPr>
          <w:p>
            <w:pPr>
              <w:pStyle w:val="TableContents"/>
              <w:bidi w:val="0"/>
              <w:spacing w:before="0" w:after="283"/>
              <w:jc w:val="center"/>
              <w:rPr/>
            </w:pPr>
            <w:r>
              <w:rPr>
                <w:rStyle w:val="StrongEmphasis"/>
              </w:rPr>
              <w:t>Twelve Months Ending December 31, 2026</w:t>
            </w:r>
          </w:p>
        </w:tc>
      </w:tr>
      <w:tr>
        <w:trPr/>
        <w:tc>
          <w:tcPr>
            <w:tcW w:w="2286" w:type="dxa"/>
            <w:tcBorders/>
            <w:vAlign w:val="center"/>
          </w:tcPr>
          <w:p>
            <w:pPr>
              <w:pStyle w:val="TableContents"/>
              <w:bidi w:val="0"/>
              <w:spacing w:before="0" w:after="283"/>
              <w:jc w:val="left"/>
              <w:rPr/>
            </w:pPr>
            <w:r>
              <w:rPr>
                <w:rStyle w:val="Emphasis"/>
                <w:u w:val="single"/>
              </w:rPr>
              <w:t>$ Millions</w:t>
            </w:r>
          </w:p>
        </w:tc>
        <w:tc>
          <w:tcPr>
            <w:tcW w:w="195" w:type="dxa"/>
            <w:tcBorders/>
            <w:vAlign w:val="center"/>
          </w:tcPr>
          <w:p>
            <w:pPr>
              <w:pStyle w:val="TableContents"/>
              <w:bidi w:val="0"/>
              <w:spacing w:before="0" w:after="283"/>
              <w:jc w:val="left"/>
              <w:rPr/>
            </w:pPr>
            <w:r>
              <w:rPr/>
              <w:t> </w:t>
            </w:r>
          </w:p>
        </w:tc>
        <w:tc>
          <w:tcPr>
            <w:tcW w:w="1718"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Low</w:t>
            </w:r>
          </w:p>
        </w:tc>
        <w:tc>
          <w:tcPr>
            <w:tcW w:w="2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718"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High</w:t>
            </w:r>
          </w:p>
        </w:tc>
        <w:tc>
          <w:tcPr>
            <w:tcW w:w="19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718"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Low</w:t>
            </w:r>
          </w:p>
        </w:tc>
        <w:tc>
          <w:tcPr>
            <w:tcW w:w="2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1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High</w:t>
            </w:r>
          </w:p>
        </w:tc>
      </w:tr>
      <w:tr>
        <w:trPr/>
        <w:tc>
          <w:tcPr>
            <w:tcW w:w="2286" w:type="dxa"/>
            <w:tcBorders/>
            <w:vAlign w:val="center"/>
          </w:tcPr>
          <w:p>
            <w:pPr>
              <w:pStyle w:val="TableContents"/>
              <w:bidi w:val="0"/>
              <w:spacing w:before="0" w:after="283"/>
              <w:jc w:val="left"/>
              <w:rPr/>
            </w:pPr>
            <w:r>
              <w:rPr/>
              <w:t>Health Plan Membership</w:t>
            </w:r>
          </w:p>
        </w:tc>
        <w:tc>
          <w:tcPr>
            <w:tcW w:w="195" w:type="dxa"/>
            <w:tcBorders/>
            <w:vAlign w:val="center"/>
          </w:tcPr>
          <w:p>
            <w:pPr>
              <w:pStyle w:val="TableContents"/>
              <w:bidi w:val="0"/>
              <w:spacing w:before="0" w:after="283"/>
              <w:jc w:val="left"/>
              <w:rPr/>
            </w:pPr>
            <w:r>
              <w:rPr/>
              <w:t> </w:t>
            </w:r>
          </w:p>
        </w:tc>
        <w:tc>
          <w:tcPr>
            <w:tcW w:w="1718"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295,500</w:t>
            </w:r>
          </w:p>
        </w:tc>
        <w:tc>
          <w:tcPr>
            <w:tcW w:w="282" w:type="dxa"/>
            <w:tcBorders/>
            <w:vAlign w:val="center"/>
          </w:tcPr>
          <w:p>
            <w:pPr>
              <w:pStyle w:val="TableContents"/>
              <w:bidi w:val="0"/>
              <w:spacing w:before="0" w:after="283"/>
              <w:jc w:val="center"/>
              <w:rPr/>
            </w:pPr>
            <w:r>
              <w:rPr/>
              <w:t> </w:t>
            </w:r>
          </w:p>
        </w:tc>
        <w:tc>
          <w:tcPr>
            <w:tcW w:w="1718"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297,500</w:t>
            </w:r>
          </w:p>
        </w:tc>
        <w:tc>
          <w:tcPr>
            <w:tcW w:w="195" w:type="dxa"/>
            <w:tcBorders/>
            <w:vAlign w:val="center"/>
          </w:tcPr>
          <w:p>
            <w:pPr>
              <w:pStyle w:val="TableContents"/>
              <w:bidi w:val="0"/>
              <w:spacing w:before="0" w:after="283"/>
              <w:jc w:val="center"/>
              <w:rPr/>
            </w:pPr>
            <w:r>
              <w:rPr/>
              <w:t> </w:t>
            </w:r>
          </w:p>
        </w:tc>
        <w:tc>
          <w:tcPr>
            <w:tcW w:w="1718"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298,000</w:t>
            </w:r>
          </w:p>
        </w:tc>
        <w:tc>
          <w:tcPr>
            <w:tcW w:w="282" w:type="dxa"/>
            <w:tcBorders/>
            <w:vAlign w:val="center"/>
          </w:tcPr>
          <w:p>
            <w:pPr>
              <w:pStyle w:val="TableContents"/>
              <w:bidi w:val="0"/>
              <w:spacing w:before="0" w:after="283"/>
              <w:jc w:val="center"/>
              <w:rPr/>
            </w:pPr>
            <w:r>
              <w:rPr/>
              <w:t> </w:t>
            </w:r>
          </w:p>
        </w:tc>
        <w:tc>
          <w:tcPr>
            <w:tcW w:w="1811"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301,000</w:t>
            </w:r>
          </w:p>
        </w:tc>
      </w:tr>
      <w:tr>
        <w:trPr/>
        <w:tc>
          <w:tcPr>
            <w:tcW w:w="2286" w:type="dxa"/>
            <w:tcBorders/>
            <w:vAlign w:val="center"/>
          </w:tcPr>
          <w:p>
            <w:pPr>
              <w:pStyle w:val="TableContents"/>
              <w:bidi w:val="0"/>
              <w:spacing w:before="0" w:after="283"/>
              <w:jc w:val="left"/>
              <w:rPr/>
            </w:pPr>
            <w:r>
              <w:rPr/>
              <w:t>Revenue</w:t>
            </w:r>
          </w:p>
        </w:tc>
        <w:tc>
          <w:tcPr>
            <w:tcW w:w="195" w:type="dxa"/>
            <w:tcBorders/>
            <w:vAlign w:val="center"/>
          </w:tcPr>
          <w:p>
            <w:pPr>
              <w:pStyle w:val="TableContents"/>
              <w:bidi w:val="0"/>
              <w:spacing w:before="0" w:after="283"/>
              <w:jc w:val="left"/>
              <w:rPr/>
            </w:pPr>
            <w:r>
              <w:rPr/>
              <w:t> </w:t>
            </w:r>
          </w:p>
        </w:tc>
        <w:tc>
          <w:tcPr>
            <w:tcW w:w="1718" w:type="dxa"/>
            <w:tcBorders/>
            <w:vAlign w:val="center"/>
          </w:tcPr>
          <w:p>
            <w:pPr>
              <w:pStyle w:val="TableContents"/>
              <w:bidi w:val="0"/>
              <w:spacing w:before="0" w:after="283"/>
              <w:jc w:val="center"/>
              <w:rPr/>
            </w:pPr>
            <w:r>
              <w:rPr/>
              <w:t>$1,300</w:t>
            </w:r>
          </w:p>
        </w:tc>
        <w:tc>
          <w:tcPr>
            <w:tcW w:w="282" w:type="dxa"/>
            <w:tcBorders/>
            <w:vAlign w:val="center"/>
          </w:tcPr>
          <w:p>
            <w:pPr>
              <w:pStyle w:val="TableContents"/>
              <w:bidi w:val="0"/>
              <w:spacing w:before="0" w:after="283"/>
              <w:jc w:val="center"/>
              <w:rPr/>
            </w:pPr>
            <w:r>
              <w:rPr/>
              <w:t> </w:t>
            </w:r>
          </w:p>
        </w:tc>
        <w:tc>
          <w:tcPr>
            <w:tcW w:w="1718" w:type="dxa"/>
            <w:tcBorders/>
            <w:vAlign w:val="center"/>
          </w:tcPr>
          <w:p>
            <w:pPr>
              <w:pStyle w:val="TableContents"/>
              <w:bidi w:val="0"/>
              <w:spacing w:before="0" w:after="283"/>
              <w:jc w:val="center"/>
              <w:rPr/>
            </w:pPr>
            <w:r>
              <w:rPr/>
              <w:t>$1,320</w:t>
            </w:r>
          </w:p>
        </w:tc>
        <w:tc>
          <w:tcPr>
            <w:tcW w:w="195" w:type="dxa"/>
            <w:tcBorders/>
            <w:vAlign w:val="center"/>
          </w:tcPr>
          <w:p>
            <w:pPr>
              <w:pStyle w:val="TableContents"/>
              <w:bidi w:val="0"/>
              <w:spacing w:before="0" w:after="283"/>
              <w:jc w:val="center"/>
              <w:rPr/>
            </w:pPr>
            <w:r>
              <w:rPr/>
              <w:t> </w:t>
            </w:r>
          </w:p>
        </w:tc>
        <w:tc>
          <w:tcPr>
            <w:tcW w:w="1718" w:type="dxa"/>
            <w:tcBorders/>
            <w:vAlign w:val="center"/>
          </w:tcPr>
          <w:p>
            <w:pPr>
              <w:pStyle w:val="TableContents"/>
              <w:bidi w:val="0"/>
              <w:spacing w:before="0" w:after="283"/>
              <w:jc w:val="center"/>
              <w:rPr/>
            </w:pPr>
            <w:r>
              <w:rPr/>
              <w:t>$5,195</w:t>
            </w:r>
          </w:p>
        </w:tc>
        <w:tc>
          <w:tcPr>
            <w:tcW w:w="282" w:type="dxa"/>
            <w:tcBorders/>
            <w:vAlign w:val="center"/>
          </w:tcPr>
          <w:p>
            <w:pPr>
              <w:pStyle w:val="TableContents"/>
              <w:bidi w:val="0"/>
              <w:spacing w:before="0" w:after="283"/>
              <w:jc w:val="center"/>
              <w:rPr/>
            </w:pPr>
            <w:r>
              <w:rPr/>
              <w:t> </w:t>
            </w:r>
          </w:p>
        </w:tc>
        <w:tc>
          <w:tcPr>
            <w:tcW w:w="1811" w:type="dxa"/>
            <w:tcBorders/>
            <w:vAlign w:val="center"/>
          </w:tcPr>
          <w:p>
            <w:pPr>
              <w:pStyle w:val="TableContents"/>
              <w:bidi w:val="0"/>
              <w:spacing w:before="0" w:after="283"/>
              <w:jc w:val="center"/>
              <w:rPr/>
            </w:pPr>
            <w:r>
              <w:rPr/>
              <w:t>$5,225</w:t>
            </w:r>
          </w:p>
        </w:tc>
      </w:tr>
      <w:tr>
        <w:trPr/>
        <w:tc>
          <w:tcPr>
            <w:tcW w:w="2286" w:type="dxa"/>
            <w:tcBorders/>
            <w:vAlign w:val="center"/>
          </w:tcPr>
          <w:p>
            <w:pPr>
              <w:pStyle w:val="TableContents"/>
              <w:bidi w:val="0"/>
              <w:spacing w:before="0" w:after="283"/>
              <w:jc w:val="left"/>
              <w:rPr/>
            </w:pPr>
            <w:r>
              <w:rPr/>
              <w:t>Adjusted Gross Profit</w:t>
            </w:r>
            <w:r>
              <w:rPr>
                <w:position w:val="8"/>
                <w:sz w:val="19"/>
              </w:rPr>
              <w:t>(1)</w:t>
            </w:r>
          </w:p>
        </w:tc>
        <w:tc>
          <w:tcPr>
            <w:tcW w:w="195" w:type="dxa"/>
            <w:tcBorders/>
            <w:vAlign w:val="center"/>
          </w:tcPr>
          <w:p>
            <w:pPr>
              <w:pStyle w:val="TableContents"/>
              <w:bidi w:val="0"/>
              <w:spacing w:before="0" w:after="283"/>
              <w:jc w:val="left"/>
              <w:rPr/>
            </w:pPr>
            <w:r>
              <w:rPr/>
              <w:t> </w:t>
            </w:r>
          </w:p>
        </w:tc>
        <w:tc>
          <w:tcPr>
            <w:tcW w:w="1718" w:type="dxa"/>
            <w:tcBorders/>
            <w:vAlign w:val="center"/>
          </w:tcPr>
          <w:p>
            <w:pPr>
              <w:pStyle w:val="TableContents"/>
              <w:bidi w:val="0"/>
              <w:spacing w:before="0" w:after="283"/>
              <w:jc w:val="center"/>
              <w:rPr/>
            </w:pPr>
            <w:r>
              <w:rPr/>
              <w:t>$148</w:t>
            </w:r>
          </w:p>
        </w:tc>
        <w:tc>
          <w:tcPr>
            <w:tcW w:w="282" w:type="dxa"/>
            <w:tcBorders/>
            <w:vAlign w:val="center"/>
          </w:tcPr>
          <w:p>
            <w:pPr>
              <w:pStyle w:val="TableContents"/>
              <w:bidi w:val="0"/>
              <w:spacing w:before="0" w:after="283"/>
              <w:jc w:val="center"/>
              <w:rPr/>
            </w:pPr>
            <w:r>
              <w:rPr/>
              <w:t> </w:t>
            </w:r>
          </w:p>
        </w:tc>
        <w:tc>
          <w:tcPr>
            <w:tcW w:w="1718" w:type="dxa"/>
            <w:tcBorders/>
            <w:vAlign w:val="center"/>
          </w:tcPr>
          <w:p>
            <w:pPr>
              <w:pStyle w:val="TableContents"/>
              <w:bidi w:val="0"/>
              <w:spacing w:before="0" w:after="283"/>
              <w:jc w:val="center"/>
              <w:rPr/>
            </w:pPr>
            <w:r>
              <w:rPr/>
              <w:t>$158</w:t>
            </w:r>
          </w:p>
        </w:tc>
        <w:tc>
          <w:tcPr>
            <w:tcW w:w="195" w:type="dxa"/>
            <w:tcBorders/>
            <w:vAlign w:val="center"/>
          </w:tcPr>
          <w:p>
            <w:pPr>
              <w:pStyle w:val="TableContents"/>
              <w:bidi w:val="0"/>
              <w:spacing w:before="0" w:after="283"/>
              <w:jc w:val="center"/>
              <w:rPr/>
            </w:pPr>
            <w:r>
              <w:rPr/>
              <w:t> </w:t>
            </w:r>
          </w:p>
        </w:tc>
        <w:tc>
          <w:tcPr>
            <w:tcW w:w="1718" w:type="dxa"/>
            <w:tcBorders/>
            <w:vAlign w:val="center"/>
          </w:tcPr>
          <w:p>
            <w:pPr>
              <w:pStyle w:val="TableContents"/>
              <w:bidi w:val="0"/>
              <w:spacing w:before="0" w:after="283"/>
              <w:jc w:val="center"/>
              <w:rPr/>
            </w:pPr>
            <w:r>
              <w:rPr/>
              <w:t>$630</w:t>
            </w:r>
          </w:p>
        </w:tc>
        <w:tc>
          <w:tcPr>
            <w:tcW w:w="282" w:type="dxa"/>
            <w:tcBorders/>
            <w:vAlign w:val="center"/>
          </w:tcPr>
          <w:p>
            <w:pPr>
              <w:pStyle w:val="TableContents"/>
              <w:bidi w:val="0"/>
              <w:spacing w:before="0" w:after="283"/>
              <w:jc w:val="center"/>
              <w:rPr/>
            </w:pPr>
            <w:r>
              <w:rPr/>
              <w:t> </w:t>
            </w:r>
          </w:p>
        </w:tc>
        <w:tc>
          <w:tcPr>
            <w:tcW w:w="1811" w:type="dxa"/>
            <w:tcBorders/>
            <w:vAlign w:val="center"/>
          </w:tcPr>
          <w:p>
            <w:pPr>
              <w:pStyle w:val="TableContents"/>
              <w:bidi w:val="0"/>
              <w:spacing w:before="0" w:after="283"/>
              <w:jc w:val="center"/>
              <w:rPr/>
            </w:pPr>
            <w:r>
              <w:rPr/>
              <w:t>$650</w:t>
            </w:r>
          </w:p>
        </w:tc>
      </w:tr>
      <w:tr>
        <w:trPr/>
        <w:tc>
          <w:tcPr>
            <w:tcW w:w="2286" w:type="dxa"/>
            <w:tcBorders/>
            <w:vAlign w:val="center"/>
          </w:tcPr>
          <w:p>
            <w:pPr>
              <w:pStyle w:val="TableContents"/>
              <w:bidi w:val="0"/>
              <w:spacing w:before="0" w:after="283"/>
              <w:jc w:val="left"/>
              <w:rPr/>
            </w:pPr>
            <w:r>
              <w:rPr/>
              <w:t>Adjusted EBITDA</w:t>
            </w:r>
            <w:r>
              <w:rPr>
                <w:position w:val="8"/>
                <w:sz w:val="19"/>
              </w:rPr>
              <w:t>(1)</w:t>
            </w:r>
          </w:p>
        </w:tc>
        <w:tc>
          <w:tcPr>
            <w:tcW w:w="195" w:type="dxa"/>
            <w:tcBorders/>
            <w:vAlign w:val="center"/>
          </w:tcPr>
          <w:p>
            <w:pPr>
              <w:pStyle w:val="TableContents"/>
              <w:bidi w:val="0"/>
              <w:spacing w:before="0" w:after="283"/>
              <w:jc w:val="left"/>
              <w:rPr/>
            </w:pPr>
            <w:r>
              <w:rPr/>
              <w:t> </w:t>
            </w:r>
          </w:p>
        </w:tc>
        <w:tc>
          <w:tcPr>
            <w:tcW w:w="1718" w:type="dxa"/>
            <w:tcBorders/>
            <w:vAlign w:val="center"/>
          </w:tcPr>
          <w:p>
            <w:pPr>
              <w:pStyle w:val="TableContents"/>
              <w:bidi w:val="0"/>
              <w:spacing w:before="0" w:after="283"/>
              <w:jc w:val="center"/>
              <w:rPr/>
            </w:pPr>
            <w:r>
              <w:rPr/>
              <w:t>$20</w:t>
            </w:r>
          </w:p>
        </w:tc>
        <w:tc>
          <w:tcPr>
            <w:tcW w:w="282" w:type="dxa"/>
            <w:tcBorders/>
            <w:vAlign w:val="center"/>
          </w:tcPr>
          <w:p>
            <w:pPr>
              <w:pStyle w:val="TableContents"/>
              <w:bidi w:val="0"/>
              <w:spacing w:before="0" w:after="283"/>
              <w:jc w:val="center"/>
              <w:rPr/>
            </w:pPr>
            <w:r>
              <w:rPr/>
              <w:t> </w:t>
            </w:r>
          </w:p>
        </w:tc>
        <w:tc>
          <w:tcPr>
            <w:tcW w:w="1718" w:type="dxa"/>
            <w:tcBorders/>
            <w:vAlign w:val="center"/>
          </w:tcPr>
          <w:p>
            <w:pPr>
              <w:pStyle w:val="TableContents"/>
              <w:bidi w:val="0"/>
              <w:spacing w:before="0" w:after="283"/>
              <w:jc w:val="center"/>
              <w:rPr/>
            </w:pPr>
            <w:r>
              <w:rPr/>
              <w:t>$30</w:t>
            </w:r>
          </w:p>
        </w:tc>
        <w:tc>
          <w:tcPr>
            <w:tcW w:w="195" w:type="dxa"/>
            <w:tcBorders/>
            <w:vAlign w:val="center"/>
          </w:tcPr>
          <w:p>
            <w:pPr>
              <w:pStyle w:val="TableContents"/>
              <w:bidi w:val="0"/>
              <w:spacing w:before="0" w:after="283"/>
              <w:jc w:val="center"/>
              <w:rPr/>
            </w:pPr>
            <w:r>
              <w:rPr/>
              <w:t> </w:t>
            </w:r>
          </w:p>
        </w:tc>
        <w:tc>
          <w:tcPr>
            <w:tcW w:w="1718" w:type="dxa"/>
            <w:tcBorders/>
            <w:vAlign w:val="center"/>
          </w:tcPr>
          <w:p>
            <w:pPr>
              <w:pStyle w:val="TableContents"/>
              <w:bidi w:val="0"/>
              <w:spacing w:before="0" w:after="283"/>
              <w:jc w:val="center"/>
              <w:rPr/>
            </w:pPr>
            <w:r>
              <w:rPr/>
              <w:t>$145</w:t>
            </w:r>
          </w:p>
        </w:tc>
        <w:tc>
          <w:tcPr>
            <w:tcW w:w="282" w:type="dxa"/>
            <w:tcBorders/>
            <w:vAlign w:val="center"/>
          </w:tcPr>
          <w:p>
            <w:pPr>
              <w:pStyle w:val="TableContents"/>
              <w:bidi w:val="0"/>
              <w:spacing w:before="0" w:after="283"/>
              <w:jc w:val="center"/>
              <w:rPr/>
            </w:pPr>
            <w:r>
              <w:rPr/>
              <w:t> </w:t>
            </w:r>
          </w:p>
        </w:tc>
        <w:tc>
          <w:tcPr>
            <w:tcW w:w="1811" w:type="dxa"/>
            <w:tcBorders/>
            <w:vAlign w:val="center"/>
          </w:tcPr>
          <w:p>
            <w:pPr>
              <w:pStyle w:val="TableContents"/>
              <w:bidi w:val="0"/>
              <w:spacing w:before="0" w:after="283"/>
              <w:jc w:val="center"/>
              <w:rPr/>
            </w:pPr>
            <w:r>
              <w:rPr/>
              <w:t>$163</w:t>
            </w:r>
          </w:p>
        </w:tc>
      </w:tr>
      <w:tr>
        <w:trPr/>
        <w:tc>
          <w:tcPr>
            <w:tcW w:w="10205" w:type="dxa"/>
            <w:gridSpan w:val="9"/>
            <w:tcBorders/>
            <w:vAlign w:val="center"/>
          </w:tcPr>
          <w:p>
            <w:pPr>
              <w:pStyle w:val="TableContents"/>
              <w:bidi w:val="0"/>
              <w:spacing w:before="0" w:after="283"/>
              <w:jc w:val="left"/>
              <w:rPr/>
            </w:pPr>
            <w:r>
              <w:rPr/>
              <w:t>_______________________</w:t>
              <w:br/>
            </w:r>
            <w:r>
              <w:rPr>
                <w:position w:val="8"/>
                <w:sz w:val="19"/>
              </w:rPr>
              <w:t>(1) Adjusted gross profit and adjusted EBITDA are non-GAAP financial measures presented as supplemental disclosure. We cannot provide estimated ranges for the most directly comparable GAAP measures without unreasonable efforts because of the uncertainty around certain items that may impact such GAAP measures, including equity-based compensation expense and depreciation and amortization, that are not within our control or cannot be reasonably predicted. See “</w:t>
            </w:r>
            <w:r>
              <w:rPr>
                <w:rStyle w:val="Emphasis"/>
                <w:position w:val="8"/>
                <w:sz w:val="19"/>
              </w:rPr>
              <w:t>Second Quarter 2026 Non-GAAP Reconciliation Tables” for additional information.</w:t>
            </w:r>
          </w:p>
        </w:tc>
      </w:tr>
    </w:tbl>
    <w:p>
      <w:pPr>
        <w:pStyle w:val="TextBody"/>
        <w:bidi w:val="0"/>
        <w:spacing w:before="0" w:after="283"/>
        <w:jc w:val="left"/>
        <w:rPr/>
      </w:pPr>
      <w:r>
        <w:rPr>
          <w:rStyle w:val="StrongEmphasis"/>
          <w:u w:val="single"/>
        </w:rPr>
        <w:br/>
        <w:t>Second Quarter 2026 Non-GAAP Reconciliation Tables</w:t>
      </w:r>
    </w:p>
    <w:p>
      <w:pPr>
        <w:pStyle w:val="TextBody"/>
        <w:bidi w:val="0"/>
        <w:spacing w:before="0" w:after="283"/>
        <w:jc w:val="left"/>
        <w:rPr/>
      </w:pPr>
      <w:r>
        <w:rPr/>
        <w:t>Adjusted Gross Profit</w:t>
      </w:r>
      <w:r>
        <w:rPr>
          <w:position w:val="8"/>
          <w:sz w:val="19"/>
        </w:rPr>
        <w:t>(1)</w:t>
      </w:r>
      <w:r>
        <w:rPr/>
        <w:t xml:space="preserve"> is reconciled as follows:</w:t>
      </w:r>
    </w:p>
    <w:tbl>
      <w:tblPr>
        <w:tblW w:w="10205" w:type="dxa"/>
        <w:jc w:val="left"/>
        <w:tblInd w:w="0" w:type="dxa"/>
        <w:tblLayout w:type="fixed"/>
        <w:tblCellMar>
          <w:top w:w="28" w:type="dxa"/>
          <w:left w:w="28" w:type="dxa"/>
          <w:bottom w:w="28" w:type="dxa"/>
          <w:right w:w="28" w:type="dxa"/>
        </w:tblCellMar>
      </w:tblPr>
      <w:tblGrid>
        <w:gridCol w:w="3023"/>
        <w:gridCol w:w="176"/>
        <w:gridCol w:w="292"/>
        <w:gridCol w:w="1147"/>
        <w:gridCol w:w="189"/>
        <w:gridCol w:w="189"/>
        <w:gridCol w:w="292"/>
        <w:gridCol w:w="1147"/>
        <w:gridCol w:w="189"/>
        <w:gridCol w:w="176"/>
        <w:gridCol w:w="281"/>
        <w:gridCol w:w="1106"/>
        <w:gridCol w:w="182"/>
        <w:gridCol w:w="182"/>
        <w:gridCol w:w="281"/>
        <w:gridCol w:w="1106"/>
        <w:gridCol w:w="247"/>
      </w:tblGrid>
      <w:tr>
        <w:trPr/>
        <w:tc>
          <w:tcPr>
            <w:tcW w:w="3023" w:type="dxa"/>
            <w:tcBorders/>
            <w:vAlign w:val="center"/>
          </w:tcPr>
          <w:p>
            <w:pPr>
              <w:pStyle w:val="TableContents"/>
              <w:bidi w:val="0"/>
              <w:spacing w:before="0" w:after="283"/>
              <w:jc w:val="center"/>
              <w:rPr/>
            </w:pPr>
            <w:r>
              <w:rPr/>
              <w:t> </w:t>
            </w:r>
          </w:p>
        </w:tc>
        <w:tc>
          <w:tcPr>
            <w:tcW w:w="176" w:type="dxa"/>
            <w:tcBorders/>
            <w:vAlign w:val="center"/>
          </w:tcPr>
          <w:p>
            <w:pPr>
              <w:pStyle w:val="TableContents"/>
              <w:bidi w:val="0"/>
              <w:spacing w:before="0" w:after="283"/>
              <w:jc w:val="left"/>
              <w:rPr/>
            </w:pPr>
            <w:r>
              <w:rPr/>
              <w:t> </w:t>
            </w:r>
          </w:p>
        </w:tc>
        <w:tc>
          <w:tcPr>
            <w:tcW w:w="3445"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June 30,</w:t>
            </w:r>
          </w:p>
        </w:tc>
        <w:tc>
          <w:tcPr>
            <w:tcW w:w="176" w:type="dxa"/>
            <w:tcBorders/>
            <w:vAlign w:val="center"/>
          </w:tcPr>
          <w:p>
            <w:pPr>
              <w:pStyle w:val="TableContents"/>
              <w:bidi w:val="0"/>
              <w:spacing w:before="0" w:after="283"/>
              <w:jc w:val="left"/>
              <w:rPr/>
            </w:pPr>
            <w:r>
              <w:rPr/>
              <w:t> </w:t>
            </w:r>
          </w:p>
        </w:tc>
        <w:tc>
          <w:tcPr>
            <w:tcW w:w="3385"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Six Months Ended June 30,</w:t>
            </w:r>
          </w:p>
        </w:tc>
      </w:tr>
      <w:tr>
        <w:trPr/>
        <w:tc>
          <w:tcPr>
            <w:tcW w:w="3023" w:type="dxa"/>
            <w:tcBorders/>
            <w:vAlign w:val="center"/>
          </w:tcPr>
          <w:p>
            <w:pPr>
              <w:pStyle w:val="TableContents"/>
              <w:bidi w:val="0"/>
              <w:spacing w:before="0" w:after="283"/>
              <w:jc w:val="center"/>
              <w:rPr/>
            </w:pPr>
            <w:r>
              <w:rPr/>
              <w:t> </w:t>
            </w:r>
          </w:p>
        </w:tc>
        <w:tc>
          <w:tcPr>
            <w:tcW w:w="176" w:type="dxa"/>
            <w:tcBorders/>
            <w:vAlign w:val="center"/>
          </w:tcPr>
          <w:p>
            <w:pPr>
              <w:pStyle w:val="TableContents"/>
              <w:bidi w:val="0"/>
              <w:spacing w:before="0" w:after="283"/>
              <w:jc w:val="left"/>
              <w:rPr/>
            </w:pPr>
            <w:r>
              <w:rPr/>
              <w:t> </w:t>
            </w:r>
          </w:p>
        </w:tc>
        <w:tc>
          <w:tcPr>
            <w:tcW w:w="29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7"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89"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9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1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76" w:type="dxa"/>
            <w:tcBorders/>
            <w:vAlign w:val="center"/>
          </w:tcPr>
          <w:p>
            <w:pPr>
              <w:pStyle w:val="TableContents"/>
              <w:bidi w:val="0"/>
              <w:spacing w:before="0" w:after="283"/>
              <w:jc w:val="center"/>
              <w:rPr/>
            </w:pPr>
            <w:r>
              <w:rPr/>
              <w:t> </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0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82"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1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23" w:type="dxa"/>
            <w:tcBorders/>
            <w:vAlign w:val="center"/>
          </w:tcPr>
          <w:p>
            <w:pPr>
              <w:pStyle w:val="TableContents"/>
              <w:bidi w:val="0"/>
              <w:spacing w:before="0" w:after="283"/>
              <w:jc w:val="left"/>
              <w:rPr/>
            </w:pPr>
            <w:r>
              <w:rPr>
                <w:rStyle w:val="Emphasis"/>
              </w:rPr>
              <w:t>(dollars in thousands)</w:t>
            </w:r>
          </w:p>
        </w:tc>
        <w:tc>
          <w:tcPr>
            <w:tcW w:w="176" w:type="dxa"/>
            <w:tcBorders/>
            <w:vAlign w:val="center"/>
          </w:tcPr>
          <w:p>
            <w:pPr>
              <w:pStyle w:val="TableContents"/>
              <w:bidi w:val="0"/>
              <w:spacing w:before="0" w:after="283"/>
              <w:jc w:val="left"/>
              <w:rPr/>
            </w:pPr>
            <w:r>
              <w:rPr/>
              <w:t> </w:t>
            </w:r>
          </w:p>
        </w:tc>
        <w:tc>
          <w:tcPr>
            <w:tcW w:w="143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439"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38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387" w:type="dxa"/>
            <w:gridSpan w:val="2"/>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247" w:type="dxa"/>
            <w:tcBorders/>
            <w:vAlign w:val="center"/>
          </w:tcPr>
          <w:p>
            <w:pPr>
              <w:pStyle w:val="TableContents"/>
              <w:bidi w:val="0"/>
              <w:spacing w:before="0" w:after="283"/>
              <w:jc w:val="left"/>
              <w:rPr/>
            </w:pPr>
            <w:r>
              <w:rPr/>
              <w:t> </w:t>
            </w:r>
          </w:p>
        </w:tc>
      </w:tr>
      <w:tr>
        <w:trPr/>
        <w:tc>
          <w:tcPr>
            <w:tcW w:w="3023" w:type="dxa"/>
            <w:tcBorders/>
            <w:vAlign w:val="center"/>
          </w:tcPr>
          <w:p>
            <w:pPr>
              <w:pStyle w:val="TableContents"/>
              <w:bidi w:val="0"/>
              <w:spacing w:before="0" w:after="283"/>
              <w:jc w:val="left"/>
              <w:rPr/>
            </w:pPr>
            <w:r>
              <w:rPr/>
              <w:t>Income from operations</w:t>
            </w:r>
          </w:p>
        </w:tc>
        <w:tc>
          <w:tcPr>
            <w:tcW w:w="176"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right"/>
              <w:rPr/>
            </w:pPr>
            <w:r>
              <w:rPr/>
              <w:t>$</w:t>
            </w:r>
          </w:p>
        </w:tc>
        <w:tc>
          <w:tcPr>
            <w:tcW w:w="1147" w:type="dxa"/>
            <w:tcBorders/>
            <w:vAlign w:val="center"/>
          </w:tcPr>
          <w:p>
            <w:pPr>
              <w:pStyle w:val="TableContents"/>
              <w:bidi w:val="0"/>
              <w:spacing w:before="0" w:after="283"/>
              <w:jc w:val="right"/>
              <w:rPr/>
            </w:pPr>
            <w:r>
              <w:rPr/>
              <w:t>42,100</w:t>
            </w:r>
          </w:p>
        </w:tc>
        <w:tc>
          <w:tcPr>
            <w:tcW w:w="189"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right"/>
              <w:rPr/>
            </w:pPr>
            <w:r>
              <w:rPr/>
              <w:t>$</w:t>
            </w:r>
          </w:p>
        </w:tc>
        <w:tc>
          <w:tcPr>
            <w:tcW w:w="1147" w:type="dxa"/>
            <w:tcBorders/>
            <w:vAlign w:val="center"/>
          </w:tcPr>
          <w:p>
            <w:pPr>
              <w:pStyle w:val="TableContents"/>
              <w:bidi w:val="0"/>
              <w:spacing w:before="0" w:after="283"/>
              <w:jc w:val="right"/>
              <w:rPr/>
            </w:pPr>
            <w:r>
              <w:rPr/>
              <w:t>22,748</w:t>
            </w:r>
          </w:p>
        </w:tc>
        <w:tc>
          <w:tcPr>
            <w:tcW w:w="189"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w:t>
            </w:r>
          </w:p>
        </w:tc>
        <w:tc>
          <w:tcPr>
            <w:tcW w:w="1106" w:type="dxa"/>
            <w:tcBorders/>
            <w:vAlign w:val="center"/>
          </w:tcPr>
          <w:p>
            <w:pPr>
              <w:pStyle w:val="TableContents"/>
              <w:bidi w:val="0"/>
              <w:spacing w:before="0" w:after="283"/>
              <w:jc w:val="right"/>
              <w:rPr/>
            </w:pPr>
            <w:r>
              <w:rPr/>
              <w:t>57,603</w:t>
            </w:r>
          </w:p>
        </w:tc>
        <w:tc>
          <w:tcPr>
            <w:tcW w:w="182"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w:t>
            </w:r>
          </w:p>
        </w:tc>
        <w:tc>
          <w:tcPr>
            <w:tcW w:w="1106" w:type="dxa"/>
            <w:tcBorders/>
            <w:vAlign w:val="center"/>
          </w:tcPr>
          <w:p>
            <w:pPr>
              <w:pStyle w:val="TableContents"/>
              <w:bidi w:val="0"/>
              <w:spacing w:before="0" w:after="283"/>
              <w:jc w:val="right"/>
              <w:rPr/>
            </w:pPr>
            <w:r>
              <w:rPr/>
              <w:t>17,355</w:t>
            </w:r>
          </w:p>
        </w:tc>
        <w:tc>
          <w:tcPr>
            <w:tcW w:w="247" w:type="dxa"/>
            <w:tcBorders/>
            <w:vAlign w:val="center"/>
          </w:tcPr>
          <w:p>
            <w:pPr>
              <w:pStyle w:val="TableContents"/>
              <w:bidi w:val="0"/>
              <w:spacing w:before="0" w:after="283"/>
              <w:jc w:val="left"/>
              <w:rPr/>
            </w:pPr>
            <w:r>
              <w:rPr/>
              <w:t> </w:t>
            </w:r>
          </w:p>
        </w:tc>
      </w:tr>
      <w:tr>
        <w:trPr/>
        <w:tc>
          <w:tcPr>
            <w:tcW w:w="3023" w:type="dxa"/>
            <w:tcBorders/>
            <w:vAlign w:val="center"/>
          </w:tcPr>
          <w:p>
            <w:pPr>
              <w:pStyle w:val="TableContents"/>
              <w:bidi w:val="0"/>
              <w:spacing w:before="0" w:after="283"/>
              <w:jc w:val="left"/>
              <w:rPr/>
            </w:pPr>
            <w:r>
              <w:rPr/>
              <w:t>Add back:</w:t>
            </w:r>
          </w:p>
        </w:tc>
        <w:tc>
          <w:tcPr>
            <w:tcW w:w="176" w:type="dxa"/>
            <w:tcBorders/>
            <w:vAlign w:val="center"/>
          </w:tcPr>
          <w:p>
            <w:pPr>
              <w:pStyle w:val="TableContents"/>
              <w:bidi w:val="0"/>
              <w:spacing w:before="0" w:after="283"/>
              <w:jc w:val="left"/>
              <w:rPr/>
            </w:pPr>
            <w:r>
              <w:rPr/>
              <w:t> </w:t>
            </w:r>
          </w:p>
        </w:tc>
        <w:tc>
          <w:tcPr>
            <w:tcW w:w="1439" w:type="dxa"/>
            <w:gridSpan w:val="2"/>
            <w:tcBorders/>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1439" w:type="dxa"/>
            <w:gridSpan w:val="2"/>
            <w:tcBorders/>
            <w:vAlign w:val="center"/>
          </w:tcPr>
          <w:p>
            <w:pPr>
              <w:pStyle w:val="TableContents"/>
              <w:bidi w:val="0"/>
              <w:spacing w:before="0" w:after="283"/>
              <w:jc w:val="right"/>
              <w:rPr/>
            </w:pPr>
            <w:r>
              <w:rPr/>
              <w:t> </w:t>
            </w:r>
          </w:p>
        </w:tc>
        <w:tc>
          <w:tcPr>
            <w:tcW w:w="189"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right"/>
              <w:rPr/>
            </w:pPr>
            <w:r>
              <w:rPr/>
              <w:t> </w:t>
            </w:r>
          </w:p>
        </w:tc>
        <w:tc>
          <w:tcPr>
            <w:tcW w:w="1387" w:type="dxa"/>
            <w:gridSpan w:val="2"/>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387" w:type="dxa"/>
            <w:gridSpan w:val="2"/>
            <w:tcBorders/>
            <w:vAlign w:val="center"/>
          </w:tcPr>
          <w:p>
            <w:pPr>
              <w:pStyle w:val="TableContents"/>
              <w:bidi w:val="0"/>
              <w:spacing w:before="0" w:after="283"/>
              <w:jc w:val="right"/>
              <w:rPr/>
            </w:pPr>
            <w:r>
              <w:rPr/>
              <w:t> </w:t>
            </w:r>
          </w:p>
        </w:tc>
        <w:tc>
          <w:tcPr>
            <w:tcW w:w="247" w:type="dxa"/>
            <w:tcBorders/>
            <w:vAlign w:val="center"/>
          </w:tcPr>
          <w:p>
            <w:pPr>
              <w:pStyle w:val="TableContents"/>
              <w:bidi w:val="0"/>
              <w:spacing w:before="0" w:after="283"/>
              <w:jc w:val="left"/>
              <w:rPr/>
            </w:pPr>
            <w:r>
              <w:rPr/>
              <w:t> </w:t>
            </w:r>
          </w:p>
        </w:tc>
      </w:tr>
      <w:tr>
        <w:trPr/>
        <w:tc>
          <w:tcPr>
            <w:tcW w:w="3023" w:type="dxa"/>
            <w:tcBorders/>
            <w:tcMar>
              <w:top w:w="0" w:type="dxa"/>
              <w:left w:w="0" w:type="dxa"/>
              <w:bottom w:w="0" w:type="dxa"/>
              <w:right w:w="0" w:type="dxa"/>
            </w:tcMar>
            <w:vAlign w:val="center"/>
          </w:tcPr>
          <w:p>
            <w:pPr>
              <w:pStyle w:val="TableContents"/>
              <w:bidi w:val="0"/>
              <w:spacing w:before="0" w:after="283"/>
              <w:jc w:val="left"/>
              <w:rPr/>
            </w:pPr>
            <w:r>
              <w:rPr/>
              <w:t>Equity-based compensation (medical expenses)</w:t>
            </w:r>
          </w:p>
        </w:tc>
        <w:tc>
          <w:tcPr>
            <w:tcW w:w="176"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right"/>
              <w:rPr/>
            </w:pPr>
            <w:r>
              <w:rPr/>
              <w:t> </w:t>
            </w:r>
          </w:p>
        </w:tc>
        <w:tc>
          <w:tcPr>
            <w:tcW w:w="1147" w:type="dxa"/>
            <w:tcBorders/>
            <w:vAlign w:val="center"/>
          </w:tcPr>
          <w:p>
            <w:pPr>
              <w:pStyle w:val="TableContents"/>
              <w:bidi w:val="0"/>
              <w:spacing w:before="0" w:after="283"/>
              <w:jc w:val="right"/>
              <w:rPr/>
            </w:pPr>
            <w:r>
              <w:rPr/>
              <w:t>1,893</w:t>
            </w:r>
          </w:p>
        </w:tc>
        <w:tc>
          <w:tcPr>
            <w:tcW w:w="189"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right"/>
              <w:rPr/>
            </w:pPr>
            <w:r>
              <w:rPr/>
              <w:t> </w:t>
            </w:r>
          </w:p>
        </w:tc>
        <w:tc>
          <w:tcPr>
            <w:tcW w:w="1147" w:type="dxa"/>
            <w:tcBorders/>
            <w:vAlign w:val="center"/>
          </w:tcPr>
          <w:p>
            <w:pPr>
              <w:pStyle w:val="TableContents"/>
              <w:bidi w:val="0"/>
              <w:spacing w:before="0" w:after="283"/>
              <w:jc w:val="right"/>
              <w:rPr/>
            </w:pPr>
            <w:r>
              <w:rPr/>
              <w:t>1,594</w:t>
            </w:r>
          </w:p>
        </w:tc>
        <w:tc>
          <w:tcPr>
            <w:tcW w:w="189"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106" w:type="dxa"/>
            <w:tcBorders/>
            <w:vAlign w:val="center"/>
          </w:tcPr>
          <w:p>
            <w:pPr>
              <w:pStyle w:val="TableContents"/>
              <w:bidi w:val="0"/>
              <w:spacing w:before="0" w:after="283"/>
              <w:jc w:val="right"/>
              <w:rPr/>
            </w:pPr>
            <w:r>
              <w:rPr/>
              <w:t>3,304</w:t>
            </w:r>
          </w:p>
        </w:tc>
        <w:tc>
          <w:tcPr>
            <w:tcW w:w="182"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106" w:type="dxa"/>
            <w:tcBorders/>
            <w:vAlign w:val="center"/>
          </w:tcPr>
          <w:p>
            <w:pPr>
              <w:pStyle w:val="TableContents"/>
              <w:bidi w:val="0"/>
              <w:spacing w:before="0" w:after="283"/>
              <w:jc w:val="right"/>
              <w:rPr/>
            </w:pPr>
            <w:r>
              <w:rPr/>
              <w:t>2,746</w:t>
            </w:r>
          </w:p>
        </w:tc>
        <w:tc>
          <w:tcPr>
            <w:tcW w:w="247" w:type="dxa"/>
            <w:tcBorders/>
            <w:vAlign w:val="center"/>
          </w:tcPr>
          <w:p>
            <w:pPr>
              <w:pStyle w:val="TableContents"/>
              <w:bidi w:val="0"/>
              <w:spacing w:before="0" w:after="283"/>
              <w:jc w:val="left"/>
              <w:rPr/>
            </w:pPr>
            <w:r>
              <w:rPr/>
              <w:t> </w:t>
            </w:r>
          </w:p>
        </w:tc>
      </w:tr>
      <w:tr>
        <w:trPr/>
        <w:tc>
          <w:tcPr>
            <w:tcW w:w="3023" w:type="dxa"/>
            <w:tcBorders/>
            <w:tcMar>
              <w:top w:w="0" w:type="dxa"/>
              <w:left w:w="0" w:type="dxa"/>
              <w:bottom w:w="0" w:type="dxa"/>
              <w:right w:w="0" w:type="dxa"/>
            </w:tcMar>
            <w:vAlign w:val="center"/>
          </w:tcPr>
          <w:p>
            <w:pPr>
              <w:pStyle w:val="TableContents"/>
              <w:bidi w:val="0"/>
              <w:spacing w:before="0" w:after="283"/>
              <w:jc w:val="left"/>
              <w:rPr/>
            </w:pPr>
            <w:r>
              <w:rPr/>
              <w:t>Depreciation (medical expenses)</w:t>
            </w:r>
          </w:p>
        </w:tc>
        <w:tc>
          <w:tcPr>
            <w:tcW w:w="176"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right"/>
              <w:rPr/>
            </w:pPr>
            <w:r>
              <w:rPr/>
              <w:t> </w:t>
            </w:r>
          </w:p>
        </w:tc>
        <w:tc>
          <w:tcPr>
            <w:tcW w:w="1147" w:type="dxa"/>
            <w:tcBorders/>
            <w:vAlign w:val="center"/>
          </w:tcPr>
          <w:p>
            <w:pPr>
              <w:pStyle w:val="TableContents"/>
              <w:bidi w:val="0"/>
              <w:spacing w:before="0" w:after="283"/>
              <w:jc w:val="right"/>
              <w:rPr/>
            </w:pPr>
            <w:r>
              <w:rPr/>
              <w:t>3</w:t>
            </w:r>
          </w:p>
        </w:tc>
        <w:tc>
          <w:tcPr>
            <w:tcW w:w="189"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right"/>
              <w:rPr/>
            </w:pPr>
            <w:r>
              <w:rPr/>
              <w:t> </w:t>
            </w:r>
          </w:p>
        </w:tc>
        <w:tc>
          <w:tcPr>
            <w:tcW w:w="1147" w:type="dxa"/>
            <w:tcBorders/>
            <w:vAlign w:val="center"/>
          </w:tcPr>
          <w:p>
            <w:pPr>
              <w:pStyle w:val="TableContents"/>
              <w:bidi w:val="0"/>
              <w:spacing w:before="0" w:after="283"/>
              <w:jc w:val="right"/>
              <w:rPr/>
            </w:pPr>
            <w:r>
              <w:rPr/>
              <w:t>33</w:t>
            </w:r>
          </w:p>
        </w:tc>
        <w:tc>
          <w:tcPr>
            <w:tcW w:w="189"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106" w:type="dxa"/>
            <w:tcBorders/>
            <w:vAlign w:val="center"/>
          </w:tcPr>
          <w:p>
            <w:pPr>
              <w:pStyle w:val="TableContents"/>
              <w:bidi w:val="0"/>
              <w:spacing w:before="0" w:after="283"/>
              <w:jc w:val="right"/>
              <w:rPr/>
            </w:pPr>
            <w:r>
              <w:rPr/>
              <w:t>26</w:t>
            </w:r>
          </w:p>
        </w:tc>
        <w:tc>
          <w:tcPr>
            <w:tcW w:w="182"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106" w:type="dxa"/>
            <w:tcBorders/>
            <w:vAlign w:val="center"/>
          </w:tcPr>
          <w:p>
            <w:pPr>
              <w:pStyle w:val="TableContents"/>
              <w:bidi w:val="0"/>
              <w:spacing w:before="0" w:after="283"/>
              <w:jc w:val="right"/>
              <w:rPr/>
            </w:pPr>
            <w:r>
              <w:rPr/>
              <w:t>66</w:t>
            </w:r>
          </w:p>
        </w:tc>
        <w:tc>
          <w:tcPr>
            <w:tcW w:w="247" w:type="dxa"/>
            <w:tcBorders/>
            <w:vAlign w:val="center"/>
          </w:tcPr>
          <w:p>
            <w:pPr>
              <w:pStyle w:val="TableContents"/>
              <w:bidi w:val="0"/>
              <w:spacing w:before="0" w:after="283"/>
              <w:jc w:val="left"/>
              <w:rPr/>
            </w:pPr>
            <w:r>
              <w:rPr/>
              <w:t> </w:t>
            </w:r>
          </w:p>
        </w:tc>
      </w:tr>
      <w:tr>
        <w:trPr/>
        <w:tc>
          <w:tcPr>
            <w:tcW w:w="3023"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r>
              <w:rPr>
                <w:position w:val="8"/>
                <w:sz w:val="19"/>
              </w:rPr>
              <w:t>(2)</w:t>
            </w:r>
          </w:p>
        </w:tc>
        <w:tc>
          <w:tcPr>
            <w:tcW w:w="176"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right"/>
              <w:rPr/>
            </w:pPr>
            <w:r>
              <w:rPr/>
              <w:t> </w:t>
            </w:r>
          </w:p>
        </w:tc>
        <w:tc>
          <w:tcPr>
            <w:tcW w:w="1147" w:type="dxa"/>
            <w:tcBorders/>
            <w:vAlign w:val="center"/>
          </w:tcPr>
          <w:p>
            <w:pPr>
              <w:pStyle w:val="TableContents"/>
              <w:bidi w:val="0"/>
              <w:spacing w:before="0" w:after="283"/>
              <w:jc w:val="right"/>
              <w:rPr/>
            </w:pPr>
            <w:r>
              <w:rPr/>
              <w:t>7,854</w:t>
            </w:r>
          </w:p>
        </w:tc>
        <w:tc>
          <w:tcPr>
            <w:tcW w:w="189"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right"/>
              <w:rPr/>
            </w:pPr>
            <w:r>
              <w:rPr/>
              <w:t> </w:t>
            </w:r>
          </w:p>
        </w:tc>
        <w:tc>
          <w:tcPr>
            <w:tcW w:w="1147" w:type="dxa"/>
            <w:tcBorders/>
            <w:vAlign w:val="center"/>
          </w:tcPr>
          <w:p>
            <w:pPr>
              <w:pStyle w:val="TableContents"/>
              <w:bidi w:val="0"/>
              <w:spacing w:before="0" w:after="283"/>
              <w:jc w:val="right"/>
              <w:rPr/>
            </w:pPr>
            <w:r>
              <w:rPr/>
              <w:t>7,003</w:t>
            </w:r>
          </w:p>
        </w:tc>
        <w:tc>
          <w:tcPr>
            <w:tcW w:w="189"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right"/>
              <w:rPr/>
            </w:pPr>
            <w:r>
              <w:rPr/>
              <w:t> </w:t>
            </w:r>
          </w:p>
        </w:tc>
        <w:tc>
          <w:tcPr>
            <w:tcW w:w="281" w:type="dxa"/>
            <w:tcBorders/>
            <w:vAlign w:val="center"/>
          </w:tcPr>
          <w:p>
            <w:pPr>
              <w:pStyle w:val="TableContents"/>
              <w:bidi w:val="0"/>
              <w:spacing w:before="0" w:after="283"/>
              <w:jc w:val="right"/>
              <w:rPr/>
            </w:pPr>
            <w:r>
              <w:rPr/>
              <w:t> </w:t>
            </w:r>
          </w:p>
        </w:tc>
        <w:tc>
          <w:tcPr>
            <w:tcW w:w="1106" w:type="dxa"/>
            <w:tcBorders/>
            <w:vAlign w:val="center"/>
          </w:tcPr>
          <w:p>
            <w:pPr>
              <w:pStyle w:val="TableContents"/>
              <w:bidi w:val="0"/>
              <w:spacing w:before="0" w:after="283"/>
              <w:jc w:val="right"/>
              <w:rPr/>
            </w:pPr>
            <w:r>
              <w:rPr/>
              <w:t>15,693</w:t>
            </w:r>
          </w:p>
        </w:tc>
        <w:tc>
          <w:tcPr>
            <w:tcW w:w="182"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right"/>
              <w:rPr/>
            </w:pPr>
            <w:r>
              <w:rPr/>
              <w:t> </w:t>
            </w:r>
          </w:p>
        </w:tc>
        <w:tc>
          <w:tcPr>
            <w:tcW w:w="1106" w:type="dxa"/>
            <w:tcBorders/>
            <w:vAlign w:val="center"/>
          </w:tcPr>
          <w:p>
            <w:pPr>
              <w:pStyle w:val="TableContents"/>
              <w:bidi w:val="0"/>
              <w:spacing w:before="0" w:after="283"/>
              <w:jc w:val="right"/>
              <w:rPr/>
            </w:pPr>
            <w:r>
              <w:rPr/>
              <w:t>14,597</w:t>
            </w:r>
          </w:p>
        </w:tc>
        <w:tc>
          <w:tcPr>
            <w:tcW w:w="247" w:type="dxa"/>
            <w:tcBorders/>
            <w:vAlign w:val="center"/>
          </w:tcPr>
          <w:p>
            <w:pPr>
              <w:pStyle w:val="TableContents"/>
              <w:bidi w:val="0"/>
              <w:spacing w:before="0" w:after="283"/>
              <w:jc w:val="left"/>
              <w:rPr/>
            </w:pPr>
            <w:r>
              <w:rPr/>
              <w:t> </w:t>
            </w:r>
          </w:p>
        </w:tc>
      </w:tr>
      <w:tr>
        <w:trPr/>
        <w:tc>
          <w:tcPr>
            <w:tcW w:w="3023" w:type="dxa"/>
            <w:tcBorders/>
            <w:tcMar>
              <w:top w:w="0" w:type="dxa"/>
              <w:left w:w="0" w:type="dxa"/>
              <w:bottom w:w="0" w:type="dxa"/>
              <w:right w:w="0" w:type="dxa"/>
            </w:tcMar>
            <w:vAlign w:val="center"/>
          </w:tcPr>
          <w:p>
            <w:pPr>
              <w:pStyle w:val="TableContents"/>
              <w:bidi w:val="0"/>
              <w:spacing w:before="0" w:after="283"/>
              <w:jc w:val="left"/>
              <w:rPr/>
            </w:pPr>
            <w:r>
              <w:rPr/>
              <w:t>Selling, general, and administrative expenses</w:t>
            </w:r>
          </w:p>
        </w:tc>
        <w:tc>
          <w:tcPr>
            <w:tcW w:w="176" w:type="dxa"/>
            <w:tcBorders/>
            <w:vAlign w:val="center"/>
          </w:tcPr>
          <w:p>
            <w:pPr>
              <w:pStyle w:val="TableContents"/>
              <w:bidi w:val="0"/>
              <w:spacing w:before="0" w:after="283"/>
              <w:jc w:val="left"/>
              <w:rPr/>
            </w:pPr>
            <w:r>
              <w:rPr/>
              <w:t> </w:t>
            </w:r>
          </w:p>
        </w:tc>
        <w:tc>
          <w:tcPr>
            <w:tcW w:w="29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131,003</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9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103,797</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right"/>
              <w:rPr/>
            </w:pPr>
            <w:r>
              <w:rPr/>
              <w:t> </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252,141</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28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207,628</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23" w:type="dxa"/>
            <w:tcBorders/>
            <w:tcMar>
              <w:top w:w="0" w:type="dxa"/>
              <w:left w:w="0" w:type="dxa"/>
              <w:bottom w:w="0" w:type="dxa"/>
              <w:right w:w="0" w:type="dxa"/>
            </w:tcMar>
            <w:vAlign w:val="center"/>
          </w:tcPr>
          <w:p>
            <w:pPr>
              <w:pStyle w:val="TableContents"/>
              <w:bidi w:val="0"/>
              <w:spacing w:before="0" w:after="283"/>
              <w:jc w:val="left"/>
              <w:rPr/>
            </w:pPr>
            <w:r>
              <w:rPr/>
              <w:t>Total add back</w:t>
            </w:r>
          </w:p>
        </w:tc>
        <w:tc>
          <w:tcPr>
            <w:tcW w:w="176" w:type="dxa"/>
            <w:tcBorders/>
            <w:vAlign w:val="center"/>
          </w:tcPr>
          <w:p>
            <w:pPr>
              <w:pStyle w:val="TableContents"/>
              <w:bidi w:val="0"/>
              <w:spacing w:before="0" w:after="283"/>
              <w:jc w:val="left"/>
              <w:rPr/>
            </w:pPr>
            <w:r>
              <w:rPr/>
              <w:t> </w:t>
            </w:r>
          </w:p>
        </w:tc>
        <w:tc>
          <w:tcPr>
            <w:tcW w:w="29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140,753</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9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4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112,427</w:t>
            </w:r>
          </w:p>
        </w:tc>
        <w:tc>
          <w:tcPr>
            <w:tcW w:w="18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right"/>
              <w:rPr/>
            </w:pPr>
            <w:r>
              <w:rPr/>
              <w:t> </w:t>
            </w:r>
          </w:p>
        </w:tc>
        <w:tc>
          <w:tcPr>
            <w:tcW w:w="2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271,164</w:t>
            </w:r>
          </w:p>
        </w:tc>
        <w:tc>
          <w:tcPr>
            <w:tcW w:w="182"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2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225,037</w:t>
            </w:r>
          </w:p>
        </w:tc>
        <w:tc>
          <w:tcPr>
            <w:tcW w:w="247"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023" w:type="dxa"/>
            <w:tcBorders/>
            <w:vAlign w:val="center"/>
          </w:tcPr>
          <w:p>
            <w:pPr>
              <w:pStyle w:val="TableContents"/>
              <w:bidi w:val="0"/>
              <w:spacing w:before="0" w:after="283"/>
              <w:jc w:val="left"/>
              <w:rPr/>
            </w:pPr>
            <w:r>
              <w:rPr/>
              <w:t>Adjusted gross profit</w:t>
            </w:r>
          </w:p>
        </w:tc>
        <w:tc>
          <w:tcPr>
            <w:tcW w:w="176" w:type="dxa"/>
            <w:tcBorders/>
            <w:vAlign w:val="center"/>
          </w:tcPr>
          <w:p>
            <w:pPr>
              <w:pStyle w:val="TableContents"/>
              <w:bidi w:val="0"/>
              <w:spacing w:before="0" w:after="283"/>
              <w:jc w:val="left"/>
              <w:rPr/>
            </w:pPr>
            <w:r>
              <w:rPr/>
              <w:t> </w:t>
            </w:r>
          </w:p>
        </w:tc>
        <w:tc>
          <w:tcPr>
            <w:tcW w:w="29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182,853</w:t>
            </w:r>
          </w:p>
        </w:tc>
        <w:tc>
          <w:tcPr>
            <w:tcW w:w="18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29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135,175</w:t>
            </w:r>
          </w:p>
        </w:tc>
        <w:tc>
          <w:tcPr>
            <w:tcW w:w="189"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right"/>
              <w:rPr/>
            </w:pPr>
            <w:r>
              <w:rPr/>
              <w:t> </w:t>
            </w:r>
          </w:p>
        </w:tc>
        <w:tc>
          <w:tcPr>
            <w:tcW w:w="2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328,767</w:t>
            </w:r>
          </w:p>
        </w:tc>
        <w:tc>
          <w:tcPr>
            <w:tcW w:w="182"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2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0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242,392</w:t>
            </w:r>
          </w:p>
        </w:tc>
        <w:tc>
          <w:tcPr>
            <w:tcW w:w="247"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0205" w:type="dxa"/>
            <w:gridSpan w:val="17"/>
            <w:tcBorders/>
            <w:vAlign w:val="center"/>
          </w:tcPr>
          <w:p>
            <w:pPr>
              <w:pStyle w:val="TableContents"/>
              <w:bidi w:val="0"/>
              <w:spacing w:before="0" w:after="283"/>
              <w:jc w:val="left"/>
              <w:rPr/>
            </w:pPr>
            <w:r>
              <w:rPr/>
              <w:br/>
            </w:r>
            <w:r>
              <w:rPr>
                <w:position w:val="8"/>
                <w:sz w:val="19"/>
              </w:rPr>
              <w:t>(1) Adjusted gross profit is a non-GAAP financial measure that is presented as supplemental disclosure, that we define as income (loss) from operations before depreciation and amortization, medical equity-based compensation expense, and selling, general, and administrative expenses.</w:t>
            </w:r>
            <w:r>
              <w:rPr/>
              <w:br/>
            </w:r>
            <w:r>
              <w:rPr>
                <w:position w:val="8"/>
                <w:sz w:val="19"/>
              </w:rPr>
              <w:t>(2) Amortization expense for the six months ended June 30, 2025, includes $0.6 million in impairment expense related to the remeasurement of goodwill associated with one of our subsidiaries. There was no impairment expense for the three months ended June 30, 2025.</w:t>
            </w:r>
          </w:p>
        </w:tc>
      </w:tr>
    </w:tbl>
    <w:p>
      <w:pPr>
        <w:pStyle w:val="TextBody"/>
        <w:bidi w:val="0"/>
        <w:spacing w:before="0" w:after="283"/>
        <w:jc w:val="left"/>
        <w:rPr/>
      </w:pPr>
      <w:r>
        <w:rPr/>
        <w:br/>
        <w:t>Adjusted EBITDA</w:t>
      </w:r>
      <w:r>
        <w:rPr>
          <w:position w:val="8"/>
          <w:sz w:val="19"/>
        </w:rPr>
        <w:t>(1)</w:t>
      </w:r>
      <w:r>
        <w:rPr/>
        <w:t xml:space="preserve"> is reconciled as follows:</w:t>
      </w:r>
    </w:p>
    <w:tbl>
      <w:tblPr>
        <w:tblW w:w="10205" w:type="dxa"/>
        <w:jc w:val="left"/>
        <w:tblInd w:w="0" w:type="dxa"/>
        <w:tblLayout w:type="fixed"/>
        <w:tblCellMar>
          <w:top w:w="28" w:type="dxa"/>
          <w:left w:w="28" w:type="dxa"/>
          <w:bottom w:w="28" w:type="dxa"/>
          <w:right w:w="28" w:type="dxa"/>
        </w:tblCellMar>
      </w:tblPr>
      <w:tblGrid>
        <w:gridCol w:w="3092"/>
        <w:gridCol w:w="181"/>
        <w:gridCol w:w="303"/>
        <w:gridCol w:w="1029"/>
        <w:gridCol w:w="243"/>
        <w:gridCol w:w="196"/>
        <w:gridCol w:w="303"/>
        <w:gridCol w:w="1029"/>
        <w:gridCol w:w="243"/>
        <w:gridCol w:w="181"/>
        <w:gridCol w:w="289"/>
        <w:gridCol w:w="1134"/>
        <w:gridCol w:w="231"/>
        <w:gridCol w:w="186"/>
        <w:gridCol w:w="289"/>
        <w:gridCol w:w="981"/>
        <w:gridCol w:w="295"/>
      </w:tblGrid>
      <w:tr>
        <w:trPr/>
        <w:tc>
          <w:tcPr>
            <w:tcW w:w="3092"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3346"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June 30,</w:t>
            </w:r>
          </w:p>
        </w:tc>
        <w:tc>
          <w:tcPr>
            <w:tcW w:w="181" w:type="dxa"/>
            <w:tcBorders/>
            <w:vAlign w:val="center"/>
          </w:tcPr>
          <w:p>
            <w:pPr>
              <w:pStyle w:val="TableContents"/>
              <w:bidi w:val="0"/>
              <w:spacing w:before="0" w:after="283"/>
              <w:jc w:val="left"/>
              <w:rPr/>
            </w:pPr>
            <w:r>
              <w:rPr/>
              <w:t> </w:t>
            </w:r>
          </w:p>
        </w:tc>
        <w:tc>
          <w:tcPr>
            <w:tcW w:w="3405"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Six Months Ended June 30,</w:t>
            </w:r>
          </w:p>
        </w:tc>
      </w:tr>
      <w:tr>
        <w:trPr/>
        <w:tc>
          <w:tcPr>
            <w:tcW w:w="3092"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3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2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243"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9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30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02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24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81" w:type="dxa"/>
            <w:tcBorders/>
            <w:vAlign w:val="center"/>
          </w:tcPr>
          <w:p>
            <w:pPr>
              <w:pStyle w:val="TableContents"/>
              <w:bidi w:val="0"/>
              <w:spacing w:before="0" w:after="283"/>
              <w:jc w:val="center"/>
              <w:rPr/>
            </w:pPr>
            <w:r>
              <w:rPr/>
              <w:t> </w:t>
            </w:r>
          </w:p>
        </w:tc>
        <w:tc>
          <w:tcPr>
            <w:tcW w:w="289"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34"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8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8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9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29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3092" w:type="dxa"/>
            <w:tcBorders/>
            <w:vAlign w:val="center"/>
          </w:tcPr>
          <w:p>
            <w:pPr>
              <w:pStyle w:val="TableContents"/>
              <w:bidi w:val="0"/>
              <w:spacing w:before="0" w:after="283"/>
              <w:jc w:val="left"/>
              <w:rPr/>
            </w:pPr>
            <w:r>
              <w:rPr>
                <w:rStyle w:val="Emphasis"/>
              </w:rPr>
              <w:t>(dollars in thousands)</w:t>
            </w:r>
          </w:p>
        </w:tc>
        <w:tc>
          <w:tcPr>
            <w:tcW w:w="181" w:type="dxa"/>
            <w:tcBorders/>
            <w:vAlign w:val="center"/>
          </w:tcPr>
          <w:p>
            <w:pPr>
              <w:pStyle w:val="TableContents"/>
              <w:bidi w:val="0"/>
              <w:spacing w:before="0" w:after="283"/>
              <w:jc w:val="left"/>
              <w:rPr/>
            </w:pPr>
            <w:r>
              <w:rPr/>
              <w:t> </w:t>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96" w:type="dxa"/>
            <w:tcBorders/>
            <w:vAlign w:val="center"/>
          </w:tcPr>
          <w:p>
            <w:pPr>
              <w:pStyle w:val="TableContents"/>
              <w:bidi w:val="0"/>
              <w:spacing w:before="0" w:after="283"/>
              <w:jc w:val="left"/>
              <w:rPr/>
            </w:pPr>
            <w:r>
              <w:rPr/>
              <w:t> </w:t>
            </w:r>
          </w:p>
        </w:tc>
        <w:tc>
          <w:tcPr>
            <w:tcW w:w="1575"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left"/>
              <w:rPr/>
            </w:pPr>
            <w:r>
              <w:rPr/>
              <w:t> </w:t>
            </w:r>
          </w:p>
        </w:tc>
        <w:tc>
          <w:tcPr>
            <w:tcW w:w="1654"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jc w:val="left"/>
              <w:rPr/>
            </w:pPr>
            <w:r>
              <w:rPr/>
              <w:t> </w:t>
            </w:r>
          </w:p>
        </w:tc>
        <w:tc>
          <w:tcPr>
            <w:tcW w:w="1565"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3092" w:type="dxa"/>
            <w:tcBorders/>
            <w:vAlign w:val="center"/>
          </w:tcPr>
          <w:p>
            <w:pPr>
              <w:pStyle w:val="TableContents"/>
              <w:bidi w:val="0"/>
              <w:spacing w:before="0" w:after="283"/>
              <w:jc w:val="left"/>
              <w:rPr/>
            </w:pPr>
            <w:r>
              <w:rPr/>
              <w:t>Net income</w:t>
            </w:r>
          </w:p>
        </w:tc>
        <w:tc>
          <w:tcPr>
            <w:tcW w:w="181"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right"/>
              <w:rPr/>
            </w:pPr>
            <w:r>
              <w:rPr/>
              <w:t>$</w:t>
            </w:r>
          </w:p>
        </w:tc>
        <w:tc>
          <w:tcPr>
            <w:tcW w:w="1029" w:type="dxa"/>
            <w:tcBorders/>
            <w:vAlign w:val="center"/>
          </w:tcPr>
          <w:p>
            <w:pPr>
              <w:pStyle w:val="TableContents"/>
              <w:bidi w:val="0"/>
              <w:spacing w:before="0" w:after="283"/>
              <w:jc w:val="right"/>
              <w:rPr/>
            </w:pPr>
            <w:r>
              <w:rPr/>
              <w:t>36,560</w:t>
            </w:r>
          </w:p>
        </w:tc>
        <w:tc>
          <w:tcPr>
            <w:tcW w:w="243"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right"/>
              <w:rPr/>
            </w:pPr>
            <w:r>
              <w:rPr/>
              <w:t>$</w:t>
            </w:r>
          </w:p>
        </w:tc>
        <w:tc>
          <w:tcPr>
            <w:tcW w:w="1029" w:type="dxa"/>
            <w:tcBorders/>
            <w:vAlign w:val="center"/>
          </w:tcPr>
          <w:p>
            <w:pPr>
              <w:pStyle w:val="TableContents"/>
              <w:bidi w:val="0"/>
              <w:spacing w:before="0" w:after="283"/>
              <w:jc w:val="right"/>
              <w:rPr/>
            </w:pPr>
            <w:r>
              <w:rPr/>
              <w:t>15,653</w:t>
            </w:r>
          </w:p>
        </w:tc>
        <w:tc>
          <w:tcPr>
            <w:tcW w:w="243"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right"/>
              <w:rPr/>
            </w:pPr>
            <w:r>
              <w:rPr/>
              <w:t> </w:t>
            </w:r>
          </w:p>
        </w:tc>
        <w:tc>
          <w:tcPr>
            <w:tcW w:w="289" w:type="dxa"/>
            <w:tcBorders/>
            <w:vAlign w:val="center"/>
          </w:tcPr>
          <w:p>
            <w:pPr>
              <w:pStyle w:val="TableContents"/>
              <w:bidi w:val="0"/>
              <w:spacing w:before="0" w:after="283"/>
              <w:jc w:val="right"/>
              <w:rPr/>
            </w:pPr>
            <w:r>
              <w:rPr/>
              <w:t>$</w:t>
            </w:r>
          </w:p>
        </w:tc>
        <w:tc>
          <w:tcPr>
            <w:tcW w:w="1134" w:type="dxa"/>
            <w:tcBorders/>
            <w:vAlign w:val="center"/>
          </w:tcPr>
          <w:p>
            <w:pPr>
              <w:pStyle w:val="TableContents"/>
              <w:bidi w:val="0"/>
              <w:spacing w:before="0" w:after="283"/>
              <w:jc w:val="right"/>
              <w:rPr/>
            </w:pPr>
            <w:r>
              <w:rPr/>
              <w:t>47,976</w:t>
            </w:r>
          </w:p>
        </w:tc>
        <w:tc>
          <w:tcPr>
            <w:tcW w:w="23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w:t>
            </w:r>
          </w:p>
        </w:tc>
        <w:tc>
          <w:tcPr>
            <w:tcW w:w="981" w:type="dxa"/>
            <w:tcBorders/>
            <w:vAlign w:val="center"/>
          </w:tcPr>
          <w:p>
            <w:pPr>
              <w:pStyle w:val="TableContents"/>
              <w:bidi w:val="0"/>
              <w:spacing w:before="0" w:after="283"/>
              <w:jc w:val="right"/>
              <w:rPr/>
            </w:pPr>
            <w:r>
              <w:rPr/>
              <w:t>6,299</w:t>
            </w:r>
          </w:p>
        </w:tc>
        <w:tc>
          <w:tcPr>
            <w:tcW w:w="295" w:type="dxa"/>
            <w:tcBorders/>
            <w:vAlign w:val="center"/>
          </w:tcPr>
          <w:p>
            <w:pPr>
              <w:pStyle w:val="TableContents"/>
              <w:bidi w:val="0"/>
              <w:spacing w:before="0" w:after="283"/>
              <w:jc w:val="left"/>
              <w:rPr/>
            </w:pPr>
            <w:r>
              <w:rPr/>
              <w:t> </w:t>
            </w:r>
          </w:p>
        </w:tc>
      </w:tr>
      <w:tr>
        <w:trPr/>
        <w:tc>
          <w:tcPr>
            <w:tcW w:w="3092" w:type="dxa"/>
            <w:tcBorders/>
            <w:vAlign w:val="center"/>
          </w:tcPr>
          <w:p>
            <w:pPr>
              <w:pStyle w:val="TableContents"/>
              <w:bidi w:val="0"/>
              <w:spacing w:before="0" w:after="283"/>
              <w:jc w:val="left"/>
              <w:rPr/>
            </w:pPr>
            <w:r>
              <w:rPr/>
              <w:t>Less: Net loss attributable to noncontrolling interest</w:t>
            </w:r>
          </w:p>
        </w:tc>
        <w:tc>
          <w:tcPr>
            <w:tcW w:w="181"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right"/>
              <w:rPr/>
            </w:pPr>
            <w:r>
              <w:rPr/>
              <w:t> </w:t>
            </w:r>
          </w:p>
        </w:tc>
        <w:tc>
          <w:tcPr>
            <w:tcW w:w="1029" w:type="dxa"/>
            <w:tcBorders/>
            <w:vAlign w:val="center"/>
          </w:tcPr>
          <w:p>
            <w:pPr>
              <w:pStyle w:val="TableContents"/>
              <w:bidi w:val="0"/>
              <w:spacing w:before="0" w:after="283"/>
              <w:jc w:val="right"/>
              <w:rPr/>
            </w:pPr>
            <w:r>
              <w:rPr/>
              <w:t>—</w:t>
            </w:r>
          </w:p>
        </w:tc>
        <w:tc>
          <w:tcPr>
            <w:tcW w:w="243"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right"/>
              <w:rPr/>
            </w:pPr>
            <w:r>
              <w:rPr/>
              <w:t> </w:t>
            </w:r>
          </w:p>
        </w:tc>
        <w:tc>
          <w:tcPr>
            <w:tcW w:w="1029" w:type="dxa"/>
            <w:tcBorders/>
            <w:vAlign w:val="center"/>
          </w:tcPr>
          <w:p>
            <w:pPr>
              <w:pStyle w:val="TableContents"/>
              <w:bidi w:val="0"/>
              <w:spacing w:before="0" w:after="283"/>
              <w:jc w:val="right"/>
              <w:rPr/>
            </w:pPr>
            <w:r>
              <w:rPr/>
              <w:t>14</w:t>
            </w:r>
          </w:p>
        </w:tc>
        <w:tc>
          <w:tcPr>
            <w:tcW w:w="243"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right"/>
              <w:rPr/>
            </w:pPr>
            <w:r>
              <w:rPr/>
              <w:t> </w:t>
            </w:r>
          </w:p>
        </w:tc>
        <w:tc>
          <w:tcPr>
            <w:tcW w:w="289" w:type="dxa"/>
            <w:tcBorders/>
            <w:vAlign w:val="center"/>
          </w:tcPr>
          <w:p>
            <w:pPr>
              <w:pStyle w:val="TableContents"/>
              <w:bidi w:val="0"/>
              <w:spacing w:before="0" w:after="283"/>
              <w:jc w:val="right"/>
              <w:rPr/>
            </w:pPr>
            <w:r>
              <w:rPr/>
              <w:t> </w:t>
            </w:r>
          </w:p>
        </w:tc>
        <w:tc>
          <w:tcPr>
            <w:tcW w:w="1134" w:type="dxa"/>
            <w:tcBorders/>
            <w:vAlign w:val="center"/>
          </w:tcPr>
          <w:p>
            <w:pPr>
              <w:pStyle w:val="TableContents"/>
              <w:bidi w:val="0"/>
              <w:spacing w:before="0" w:after="283"/>
              <w:jc w:val="right"/>
              <w:rPr/>
            </w:pPr>
            <w:r>
              <w:rPr/>
              <w:t>—</w:t>
            </w:r>
          </w:p>
        </w:tc>
        <w:tc>
          <w:tcPr>
            <w:tcW w:w="23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right"/>
              <w:rPr/>
            </w:pPr>
            <w:r>
              <w:rPr/>
              <w:t> </w:t>
            </w:r>
          </w:p>
        </w:tc>
        <w:tc>
          <w:tcPr>
            <w:tcW w:w="289" w:type="dxa"/>
            <w:tcBorders/>
            <w:vAlign w:val="center"/>
          </w:tcPr>
          <w:p>
            <w:pPr>
              <w:pStyle w:val="TableContents"/>
              <w:bidi w:val="0"/>
              <w:spacing w:before="0" w:after="283"/>
              <w:jc w:val="right"/>
              <w:rPr/>
            </w:pPr>
            <w:r>
              <w:rPr/>
              <w:t> </w:t>
            </w:r>
          </w:p>
        </w:tc>
        <w:tc>
          <w:tcPr>
            <w:tcW w:w="981" w:type="dxa"/>
            <w:tcBorders/>
            <w:vAlign w:val="center"/>
          </w:tcPr>
          <w:p>
            <w:pPr>
              <w:pStyle w:val="TableContents"/>
              <w:bidi w:val="0"/>
              <w:spacing w:before="0" w:after="283"/>
              <w:jc w:val="right"/>
              <w:rPr/>
            </w:pPr>
            <w:r>
              <w:rPr/>
              <w:t>254</w:t>
            </w:r>
          </w:p>
        </w:tc>
        <w:tc>
          <w:tcPr>
            <w:tcW w:w="295" w:type="dxa"/>
            <w:tcBorders/>
            <w:vAlign w:val="center"/>
          </w:tcPr>
          <w:p>
            <w:pPr>
              <w:pStyle w:val="TableContents"/>
              <w:bidi w:val="0"/>
              <w:spacing w:before="0" w:after="283"/>
              <w:jc w:val="left"/>
              <w:rPr/>
            </w:pPr>
            <w:r>
              <w:rPr/>
              <w:t> </w:t>
            </w:r>
          </w:p>
        </w:tc>
      </w:tr>
      <w:tr>
        <w:trPr/>
        <w:tc>
          <w:tcPr>
            <w:tcW w:w="3092" w:type="dxa"/>
            <w:tcBorders/>
            <w:vAlign w:val="center"/>
          </w:tcPr>
          <w:p>
            <w:pPr>
              <w:pStyle w:val="TableContents"/>
              <w:bidi w:val="0"/>
              <w:spacing w:before="0" w:after="283"/>
              <w:jc w:val="left"/>
              <w:rPr/>
            </w:pPr>
            <w:r>
              <w:rPr/>
              <w:t>Adjustments:</w:t>
            </w:r>
          </w:p>
        </w:tc>
        <w:tc>
          <w:tcPr>
            <w:tcW w:w="181" w:type="dxa"/>
            <w:tcBorders/>
            <w:vAlign w:val="center"/>
          </w:tcPr>
          <w:p>
            <w:pPr>
              <w:pStyle w:val="TableContents"/>
              <w:bidi w:val="0"/>
              <w:spacing w:before="0" w:after="283"/>
              <w:jc w:val="left"/>
              <w:rPr/>
            </w:pPr>
            <w:r>
              <w:rPr/>
              <w:t> </w:t>
            </w:r>
          </w:p>
        </w:tc>
        <w:tc>
          <w:tcPr>
            <w:tcW w:w="1575" w:type="dxa"/>
            <w:gridSpan w:val="3"/>
            <w:tcBorders/>
            <w:vAlign w:val="center"/>
          </w:tcPr>
          <w:p>
            <w:pPr>
              <w:pStyle w:val="TableContents"/>
              <w:bidi w:val="0"/>
              <w:spacing w:before="0" w:after="283"/>
              <w:jc w:val="right"/>
              <w:rPr/>
            </w:pPr>
            <w:r>
              <w:rPr/>
              <w:t> </w:t>
            </w:r>
          </w:p>
        </w:tc>
        <w:tc>
          <w:tcPr>
            <w:tcW w:w="196" w:type="dxa"/>
            <w:tcBorders/>
            <w:vAlign w:val="center"/>
          </w:tcPr>
          <w:p>
            <w:pPr>
              <w:pStyle w:val="TableContents"/>
              <w:bidi w:val="0"/>
              <w:spacing w:before="0" w:after="283"/>
              <w:jc w:val="right"/>
              <w:rPr/>
            </w:pPr>
            <w:r>
              <w:rPr/>
              <w:t> </w:t>
            </w:r>
          </w:p>
        </w:tc>
        <w:tc>
          <w:tcPr>
            <w:tcW w:w="1575" w:type="dxa"/>
            <w:gridSpan w:val="3"/>
            <w:tcBorders/>
            <w:vAlign w:val="center"/>
          </w:tcPr>
          <w:p>
            <w:pPr>
              <w:pStyle w:val="TableContents"/>
              <w:bidi w:val="0"/>
              <w:spacing w:before="0" w:after="283"/>
              <w:jc w:val="right"/>
              <w:rPr/>
            </w:pPr>
            <w:r>
              <w:rPr/>
              <w:t> </w:t>
            </w:r>
          </w:p>
        </w:tc>
        <w:tc>
          <w:tcPr>
            <w:tcW w:w="181" w:type="dxa"/>
            <w:tcBorders/>
            <w:vAlign w:val="center"/>
          </w:tcPr>
          <w:p>
            <w:pPr>
              <w:pStyle w:val="TableContents"/>
              <w:bidi w:val="0"/>
              <w:spacing w:before="0" w:after="283"/>
              <w:jc w:val="right"/>
              <w:rPr/>
            </w:pPr>
            <w:r>
              <w:rPr/>
              <w:t> </w:t>
            </w:r>
          </w:p>
        </w:tc>
        <w:tc>
          <w:tcPr>
            <w:tcW w:w="1654" w:type="dxa"/>
            <w:gridSpan w:val="3"/>
            <w:tcBorders/>
            <w:vAlign w:val="center"/>
          </w:tcPr>
          <w:p>
            <w:pPr>
              <w:pStyle w:val="TableContents"/>
              <w:bidi w:val="0"/>
              <w:spacing w:before="0" w:after="283"/>
              <w:jc w:val="right"/>
              <w:rPr/>
            </w:pPr>
            <w:r>
              <w:rPr/>
              <w:t> </w:t>
            </w:r>
          </w:p>
        </w:tc>
        <w:tc>
          <w:tcPr>
            <w:tcW w:w="186" w:type="dxa"/>
            <w:tcBorders/>
            <w:vAlign w:val="center"/>
          </w:tcPr>
          <w:p>
            <w:pPr>
              <w:pStyle w:val="TableContents"/>
              <w:bidi w:val="0"/>
              <w:spacing w:before="0" w:after="283"/>
              <w:jc w:val="right"/>
              <w:rPr/>
            </w:pPr>
            <w:r>
              <w:rPr/>
              <w:t> </w:t>
            </w:r>
          </w:p>
        </w:tc>
        <w:tc>
          <w:tcPr>
            <w:tcW w:w="1565" w:type="dxa"/>
            <w:gridSpan w:val="3"/>
            <w:tcBorders/>
            <w:vAlign w:val="center"/>
          </w:tcPr>
          <w:p>
            <w:pPr>
              <w:pStyle w:val="TableContents"/>
              <w:bidi w:val="0"/>
              <w:spacing w:before="0" w:after="283"/>
              <w:jc w:val="right"/>
              <w:rPr/>
            </w:pPr>
            <w:r>
              <w:rPr/>
              <w:t> </w:t>
            </w:r>
          </w:p>
        </w:tc>
      </w:tr>
      <w:tr>
        <w:trPr/>
        <w:tc>
          <w:tcPr>
            <w:tcW w:w="3092" w:type="dxa"/>
            <w:tcBorders/>
            <w:tcMar>
              <w:top w:w="0" w:type="dxa"/>
              <w:left w:w="0" w:type="dxa"/>
              <w:bottom w:w="0" w:type="dxa"/>
              <w:right w:w="0" w:type="dxa"/>
            </w:tcMar>
            <w:vAlign w:val="center"/>
          </w:tcPr>
          <w:p>
            <w:pPr>
              <w:pStyle w:val="TableContents"/>
              <w:bidi w:val="0"/>
              <w:spacing w:before="0" w:after="283"/>
              <w:jc w:val="left"/>
              <w:rPr/>
            </w:pPr>
            <w:r>
              <w:rPr/>
              <w:t>Interest expense</w:t>
            </w:r>
          </w:p>
        </w:tc>
        <w:tc>
          <w:tcPr>
            <w:tcW w:w="181"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right"/>
              <w:rPr/>
            </w:pPr>
            <w:r>
              <w:rPr/>
              <w:t> </w:t>
            </w:r>
          </w:p>
        </w:tc>
        <w:tc>
          <w:tcPr>
            <w:tcW w:w="1029" w:type="dxa"/>
            <w:tcBorders/>
            <w:vAlign w:val="center"/>
          </w:tcPr>
          <w:p>
            <w:pPr>
              <w:pStyle w:val="TableContents"/>
              <w:bidi w:val="0"/>
              <w:spacing w:before="0" w:after="283"/>
              <w:jc w:val="right"/>
              <w:rPr/>
            </w:pPr>
            <w:r>
              <w:rPr/>
              <w:t>4,275</w:t>
            </w:r>
          </w:p>
        </w:tc>
        <w:tc>
          <w:tcPr>
            <w:tcW w:w="243"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right"/>
              <w:rPr/>
            </w:pPr>
            <w:r>
              <w:rPr/>
              <w:t> </w:t>
            </w:r>
          </w:p>
        </w:tc>
        <w:tc>
          <w:tcPr>
            <w:tcW w:w="303" w:type="dxa"/>
            <w:tcBorders/>
            <w:vAlign w:val="center"/>
          </w:tcPr>
          <w:p>
            <w:pPr>
              <w:pStyle w:val="TableContents"/>
              <w:bidi w:val="0"/>
              <w:spacing w:before="0" w:after="283"/>
              <w:jc w:val="right"/>
              <w:rPr/>
            </w:pPr>
            <w:r>
              <w:rPr/>
              <w:t> </w:t>
            </w:r>
          </w:p>
        </w:tc>
        <w:tc>
          <w:tcPr>
            <w:tcW w:w="1029" w:type="dxa"/>
            <w:tcBorders/>
            <w:vAlign w:val="center"/>
          </w:tcPr>
          <w:p>
            <w:pPr>
              <w:pStyle w:val="TableContents"/>
              <w:bidi w:val="0"/>
              <w:spacing w:before="0" w:after="283"/>
              <w:jc w:val="right"/>
              <w:rPr/>
            </w:pPr>
            <w:r>
              <w:rPr/>
              <w:t>3,950</w:t>
            </w:r>
          </w:p>
        </w:tc>
        <w:tc>
          <w:tcPr>
            <w:tcW w:w="243"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right"/>
              <w:rPr/>
            </w:pPr>
            <w:r>
              <w:rPr/>
              <w:t> </w:t>
            </w:r>
          </w:p>
        </w:tc>
        <w:tc>
          <w:tcPr>
            <w:tcW w:w="289" w:type="dxa"/>
            <w:tcBorders/>
            <w:vAlign w:val="center"/>
          </w:tcPr>
          <w:p>
            <w:pPr>
              <w:pStyle w:val="TableContents"/>
              <w:bidi w:val="0"/>
              <w:spacing w:before="0" w:after="283"/>
              <w:jc w:val="right"/>
              <w:rPr/>
            </w:pPr>
            <w:r>
              <w:rPr/>
              <w:t> </w:t>
            </w:r>
          </w:p>
        </w:tc>
        <w:tc>
          <w:tcPr>
            <w:tcW w:w="1134" w:type="dxa"/>
            <w:tcBorders/>
            <w:vAlign w:val="center"/>
          </w:tcPr>
          <w:p>
            <w:pPr>
              <w:pStyle w:val="TableContents"/>
              <w:bidi w:val="0"/>
              <w:spacing w:before="0" w:after="283"/>
              <w:jc w:val="right"/>
              <w:rPr/>
            </w:pPr>
            <w:r>
              <w:rPr/>
              <w:t>8,337</w:t>
            </w:r>
          </w:p>
        </w:tc>
        <w:tc>
          <w:tcPr>
            <w:tcW w:w="23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right"/>
              <w:rPr/>
            </w:pPr>
            <w:r>
              <w:rPr/>
              <w:t> </w:t>
            </w:r>
          </w:p>
        </w:tc>
        <w:tc>
          <w:tcPr>
            <w:tcW w:w="289" w:type="dxa"/>
            <w:tcBorders/>
            <w:vAlign w:val="center"/>
          </w:tcPr>
          <w:p>
            <w:pPr>
              <w:pStyle w:val="TableContents"/>
              <w:bidi w:val="0"/>
              <w:spacing w:before="0" w:after="283"/>
              <w:jc w:val="right"/>
              <w:rPr/>
            </w:pPr>
            <w:r>
              <w:rPr/>
              <w:t> </w:t>
            </w:r>
          </w:p>
        </w:tc>
        <w:tc>
          <w:tcPr>
            <w:tcW w:w="981" w:type="dxa"/>
            <w:tcBorders/>
            <w:vAlign w:val="center"/>
          </w:tcPr>
          <w:p>
            <w:pPr>
              <w:pStyle w:val="TableContents"/>
              <w:bidi w:val="0"/>
              <w:spacing w:before="0" w:after="283"/>
              <w:jc w:val="right"/>
              <w:rPr/>
            </w:pPr>
            <w:r>
              <w:rPr/>
              <w:t>7,900</w:t>
            </w:r>
          </w:p>
        </w:tc>
        <w:tc>
          <w:tcPr>
            <w:tcW w:w="295" w:type="dxa"/>
            <w:tcBorders/>
            <w:vAlign w:val="center"/>
          </w:tcPr>
          <w:p>
            <w:pPr>
              <w:pStyle w:val="TableContents"/>
              <w:bidi w:val="0"/>
              <w:spacing w:before="0" w:after="283"/>
              <w:jc w:val="left"/>
              <w:rPr/>
            </w:pPr>
            <w:r>
              <w:rPr/>
              <w:t> </w:t>
            </w:r>
          </w:p>
        </w:tc>
      </w:tr>
      <w:tr>
        <w:trPr/>
        <w:tc>
          <w:tcPr>
            <w:tcW w:w="3092"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r>
              <w:rPr>
                <w:position w:val="8"/>
                <w:sz w:val="19"/>
              </w:rPr>
              <w:t>(2)</w:t>
            </w:r>
          </w:p>
        </w:tc>
        <w:tc>
          <w:tcPr>
            <w:tcW w:w="181"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right"/>
              <w:rPr/>
            </w:pPr>
            <w:r>
              <w:rPr/>
              <w:t> </w:t>
            </w:r>
          </w:p>
        </w:tc>
        <w:tc>
          <w:tcPr>
            <w:tcW w:w="1029" w:type="dxa"/>
            <w:tcBorders/>
            <w:vAlign w:val="center"/>
          </w:tcPr>
          <w:p>
            <w:pPr>
              <w:pStyle w:val="TableContents"/>
              <w:bidi w:val="0"/>
              <w:spacing w:before="0" w:after="283"/>
              <w:jc w:val="right"/>
              <w:rPr/>
            </w:pPr>
            <w:r>
              <w:rPr/>
              <w:t>7,857</w:t>
            </w:r>
          </w:p>
        </w:tc>
        <w:tc>
          <w:tcPr>
            <w:tcW w:w="243"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right"/>
              <w:rPr/>
            </w:pPr>
            <w:r>
              <w:rPr/>
              <w:t> </w:t>
            </w:r>
          </w:p>
        </w:tc>
        <w:tc>
          <w:tcPr>
            <w:tcW w:w="1029" w:type="dxa"/>
            <w:tcBorders/>
            <w:vAlign w:val="center"/>
          </w:tcPr>
          <w:p>
            <w:pPr>
              <w:pStyle w:val="TableContents"/>
              <w:bidi w:val="0"/>
              <w:spacing w:before="0" w:after="283"/>
              <w:jc w:val="right"/>
              <w:rPr/>
            </w:pPr>
            <w:r>
              <w:rPr/>
              <w:t>7,036</w:t>
            </w:r>
          </w:p>
        </w:tc>
        <w:tc>
          <w:tcPr>
            <w:tcW w:w="243"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right"/>
              <w:rPr/>
            </w:pPr>
            <w:r>
              <w:rPr/>
              <w:t> </w:t>
            </w:r>
          </w:p>
        </w:tc>
        <w:tc>
          <w:tcPr>
            <w:tcW w:w="289" w:type="dxa"/>
            <w:tcBorders/>
            <w:vAlign w:val="center"/>
          </w:tcPr>
          <w:p>
            <w:pPr>
              <w:pStyle w:val="TableContents"/>
              <w:bidi w:val="0"/>
              <w:spacing w:before="0" w:after="283"/>
              <w:jc w:val="right"/>
              <w:rPr/>
            </w:pPr>
            <w:r>
              <w:rPr/>
              <w:t> </w:t>
            </w:r>
          </w:p>
        </w:tc>
        <w:tc>
          <w:tcPr>
            <w:tcW w:w="1134" w:type="dxa"/>
            <w:tcBorders/>
            <w:vAlign w:val="center"/>
          </w:tcPr>
          <w:p>
            <w:pPr>
              <w:pStyle w:val="TableContents"/>
              <w:bidi w:val="0"/>
              <w:spacing w:before="0" w:after="283"/>
              <w:jc w:val="right"/>
              <w:rPr/>
            </w:pPr>
            <w:r>
              <w:rPr/>
              <w:t>15,719</w:t>
            </w:r>
          </w:p>
        </w:tc>
        <w:tc>
          <w:tcPr>
            <w:tcW w:w="23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 </w:t>
            </w:r>
          </w:p>
        </w:tc>
        <w:tc>
          <w:tcPr>
            <w:tcW w:w="981" w:type="dxa"/>
            <w:tcBorders/>
            <w:vAlign w:val="center"/>
          </w:tcPr>
          <w:p>
            <w:pPr>
              <w:pStyle w:val="TableContents"/>
              <w:bidi w:val="0"/>
              <w:spacing w:before="0" w:after="283"/>
              <w:jc w:val="right"/>
              <w:rPr/>
            </w:pPr>
            <w:r>
              <w:rPr/>
              <w:t>14,663</w:t>
            </w:r>
          </w:p>
        </w:tc>
        <w:tc>
          <w:tcPr>
            <w:tcW w:w="295" w:type="dxa"/>
            <w:tcBorders/>
            <w:vAlign w:val="center"/>
          </w:tcPr>
          <w:p>
            <w:pPr>
              <w:pStyle w:val="TableContents"/>
              <w:bidi w:val="0"/>
              <w:spacing w:before="0" w:after="283"/>
              <w:jc w:val="left"/>
              <w:rPr/>
            </w:pPr>
            <w:r>
              <w:rPr/>
              <w:t> </w:t>
            </w:r>
          </w:p>
        </w:tc>
      </w:tr>
      <w:tr>
        <w:trPr/>
        <w:tc>
          <w:tcPr>
            <w:tcW w:w="3092" w:type="dxa"/>
            <w:tcBorders/>
            <w:tcMar>
              <w:top w:w="0" w:type="dxa"/>
              <w:left w:w="0" w:type="dxa"/>
              <w:bottom w:w="0" w:type="dxa"/>
              <w:right w:w="0" w:type="dxa"/>
            </w:tcMar>
            <w:vAlign w:val="center"/>
          </w:tcPr>
          <w:p>
            <w:pPr>
              <w:pStyle w:val="TableContents"/>
              <w:bidi w:val="0"/>
              <w:spacing w:before="0" w:after="283"/>
              <w:jc w:val="left"/>
              <w:rPr/>
            </w:pPr>
            <w:r>
              <w:rPr/>
              <w:t>Income tax expense</w:t>
            </w:r>
          </w:p>
        </w:tc>
        <w:tc>
          <w:tcPr>
            <w:tcW w:w="181"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right"/>
              <w:rPr/>
            </w:pPr>
            <w:r>
              <w:rPr/>
              <w:t> </w:t>
            </w:r>
          </w:p>
        </w:tc>
        <w:tc>
          <w:tcPr>
            <w:tcW w:w="1029" w:type="dxa"/>
            <w:tcBorders/>
            <w:vAlign w:val="center"/>
          </w:tcPr>
          <w:p>
            <w:pPr>
              <w:pStyle w:val="TableContents"/>
              <w:bidi w:val="0"/>
              <w:spacing w:before="0" w:after="283"/>
              <w:jc w:val="right"/>
              <w:rPr/>
            </w:pPr>
            <w:r>
              <w:rPr/>
              <w:t>1,266</w:t>
            </w:r>
          </w:p>
        </w:tc>
        <w:tc>
          <w:tcPr>
            <w:tcW w:w="243"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right"/>
              <w:rPr/>
            </w:pPr>
            <w:r>
              <w:rPr/>
              <w:t> </w:t>
            </w:r>
          </w:p>
        </w:tc>
        <w:tc>
          <w:tcPr>
            <w:tcW w:w="1029" w:type="dxa"/>
            <w:tcBorders/>
            <w:vAlign w:val="center"/>
          </w:tcPr>
          <w:p>
            <w:pPr>
              <w:pStyle w:val="TableContents"/>
              <w:bidi w:val="0"/>
              <w:spacing w:before="0" w:after="283"/>
              <w:jc w:val="right"/>
              <w:rPr/>
            </w:pPr>
            <w:r>
              <w:rPr/>
              <w:t>3,224</w:t>
            </w:r>
          </w:p>
        </w:tc>
        <w:tc>
          <w:tcPr>
            <w:tcW w:w="243"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right"/>
              <w:rPr/>
            </w:pPr>
            <w:r>
              <w:rPr/>
              <w:t> </w:t>
            </w:r>
          </w:p>
        </w:tc>
        <w:tc>
          <w:tcPr>
            <w:tcW w:w="289" w:type="dxa"/>
            <w:tcBorders/>
            <w:vAlign w:val="center"/>
          </w:tcPr>
          <w:p>
            <w:pPr>
              <w:pStyle w:val="TableContents"/>
              <w:bidi w:val="0"/>
              <w:spacing w:before="0" w:after="283"/>
              <w:jc w:val="right"/>
              <w:rPr/>
            </w:pPr>
            <w:r>
              <w:rPr/>
              <w:t> </w:t>
            </w:r>
          </w:p>
        </w:tc>
        <w:tc>
          <w:tcPr>
            <w:tcW w:w="1134" w:type="dxa"/>
            <w:tcBorders/>
            <w:vAlign w:val="center"/>
          </w:tcPr>
          <w:p>
            <w:pPr>
              <w:pStyle w:val="TableContents"/>
              <w:bidi w:val="0"/>
              <w:spacing w:before="0" w:after="283"/>
              <w:jc w:val="right"/>
              <w:rPr/>
            </w:pPr>
            <w:r>
              <w:rPr/>
              <w:t>1,291</w:t>
            </w:r>
          </w:p>
        </w:tc>
        <w:tc>
          <w:tcPr>
            <w:tcW w:w="23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 </w:t>
            </w:r>
          </w:p>
        </w:tc>
        <w:tc>
          <w:tcPr>
            <w:tcW w:w="981" w:type="dxa"/>
            <w:tcBorders/>
            <w:vAlign w:val="center"/>
          </w:tcPr>
          <w:p>
            <w:pPr>
              <w:pStyle w:val="TableContents"/>
              <w:bidi w:val="0"/>
              <w:spacing w:before="0" w:after="283"/>
              <w:jc w:val="right"/>
              <w:rPr/>
            </w:pPr>
            <w:r>
              <w:rPr/>
              <w:t>3,245</w:t>
            </w:r>
          </w:p>
        </w:tc>
        <w:tc>
          <w:tcPr>
            <w:tcW w:w="295" w:type="dxa"/>
            <w:tcBorders/>
            <w:vAlign w:val="center"/>
          </w:tcPr>
          <w:p>
            <w:pPr>
              <w:pStyle w:val="TableContents"/>
              <w:bidi w:val="0"/>
              <w:spacing w:before="0" w:after="283"/>
              <w:jc w:val="left"/>
              <w:rPr/>
            </w:pPr>
            <w:r>
              <w:rPr/>
              <w:t> </w:t>
            </w:r>
          </w:p>
        </w:tc>
      </w:tr>
      <w:tr>
        <w:trPr/>
        <w:tc>
          <w:tcPr>
            <w:tcW w:w="3092" w:type="dxa"/>
            <w:tcBorders/>
            <w:tcMar>
              <w:top w:w="0" w:type="dxa"/>
              <w:left w:w="0" w:type="dxa"/>
              <w:bottom w:w="0" w:type="dxa"/>
              <w:right w:w="0" w:type="dxa"/>
            </w:tcMar>
            <w:vAlign w:val="center"/>
          </w:tcPr>
          <w:p>
            <w:pPr>
              <w:pStyle w:val="TableContents"/>
              <w:bidi w:val="0"/>
              <w:spacing w:before="0" w:after="283"/>
              <w:jc w:val="left"/>
              <w:rPr/>
            </w:pPr>
            <w:r>
              <w:rPr/>
              <w:t>Equity-based compensation</w:t>
            </w:r>
            <w:r>
              <w:rPr>
                <w:position w:val="8"/>
                <w:sz w:val="19"/>
              </w:rPr>
              <w:t>(3)</w:t>
            </w:r>
          </w:p>
        </w:tc>
        <w:tc>
          <w:tcPr>
            <w:tcW w:w="181"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right"/>
              <w:rPr/>
            </w:pPr>
            <w:r>
              <w:rPr/>
              <w:t> </w:t>
            </w:r>
          </w:p>
        </w:tc>
        <w:tc>
          <w:tcPr>
            <w:tcW w:w="1029" w:type="dxa"/>
            <w:tcBorders/>
            <w:vAlign w:val="center"/>
          </w:tcPr>
          <w:p>
            <w:pPr>
              <w:pStyle w:val="TableContents"/>
              <w:bidi w:val="0"/>
              <w:spacing w:before="0" w:after="283"/>
              <w:jc w:val="right"/>
              <w:rPr/>
            </w:pPr>
            <w:r>
              <w:rPr/>
              <w:t>18,174</w:t>
            </w:r>
          </w:p>
        </w:tc>
        <w:tc>
          <w:tcPr>
            <w:tcW w:w="243"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right"/>
              <w:rPr/>
            </w:pPr>
            <w:r>
              <w:rPr/>
              <w:t> </w:t>
            </w:r>
          </w:p>
        </w:tc>
        <w:tc>
          <w:tcPr>
            <w:tcW w:w="1029" w:type="dxa"/>
            <w:tcBorders/>
            <w:vAlign w:val="center"/>
          </w:tcPr>
          <w:p>
            <w:pPr>
              <w:pStyle w:val="TableContents"/>
              <w:bidi w:val="0"/>
              <w:spacing w:before="0" w:after="283"/>
              <w:jc w:val="right"/>
              <w:rPr/>
            </w:pPr>
            <w:r>
              <w:rPr/>
              <w:t>15,553</w:t>
            </w:r>
          </w:p>
        </w:tc>
        <w:tc>
          <w:tcPr>
            <w:tcW w:w="243"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right"/>
              <w:rPr/>
            </w:pPr>
            <w:r>
              <w:rPr/>
              <w:t> </w:t>
            </w:r>
          </w:p>
        </w:tc>
        <w:tc>
          <w:tcPr>
            <w:tcW w:w="289" w:type="dxa"/>
            <w:tcBorders/>
            <w:vAlign w:val="center"/>
          </w:tcPr>
          <w:p>
            <w:pPr>
              <w:pStyle w:val="TableContents"/>
              <w:bidi w:val="0"/>
              <w:spacing w:before="0" w:after="283"/>
              <w:jc w:val="right"/>
              <w:rPr/>
            </w:pPr>
            <w:r>
              <w:rPr/>
              <w:t> </w:t>
            </w:r>
          </w:p>
        </w:tc>
        <w:tc>
          <w:tcPr>
            <w:tcW w:w="1134" w:type="dxa"/>
            <w:tcBorders/>
            <w:vAlign w:val="center"/>
          </w:tcPr>
          <w:p>
            <w:pPr>
              <w:pStyle w:val="TableContents"/>
              <w:bidi w:val="0"/>
              <w:spacing w:before="0" w:after="283"/>
              <w:jc w:val="right"/>
              <w:rPr/>
            </w:pPr>
            <w:r>
              <w:rPr/>
              <w:t>32,193</w:t>
            </w:r>
          </w:p>
        </w:tc>
        <w:tc>
          <w:tcPr>
            <w:tcW w:w="23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 </w:t>
            </w:r>
          </w:p>
        </w:tc>
        <w:tc>
          <w:tcPr>
            <w:tcW w:w="981" w:type="dxa"/>
            <w:tcBorders/>
            <w:vAlign w:val="center"/>
          </w:tcPr>
          <w:p>
            <w:pPr>
              <w:pStyle w:val="TableContents"/>
              <w:bidi w:val="0"/>
              <w:spacing w:before="0" w:after="283"/>
              <w:jc w:val="right"/>
              <w:rPr/>
            </w:pPr>
            <w:r>
              <w:rPr/>
              <w:t>32,740</w:t>
            </w:r>
          </w:p>
        </w:tc>
        <w:tc>
          <w:tcPr>
            <w:tcW w:w="295" w:type="dxa"/>
            <w:tcBorders/>
            <w:vAlign w:val="center"/>
          </w:tcPr>
          <w:p>
            <w:pPr>
              <w:pStyle w:val="TableContents"/>
              <w:bidi w:val="0"/>
              <w:spacing w:before="0" w:after="283"/>
              <w:jc w:val="left"/>
              <w:rPr/>
            </w:pPr>
            <w:r>
              <w:rPr/>
              <w:t> </w:t>
            </w:r>
          </w:p>
        </w:tc>
      </w:tr>
      <w:tr>
        <w:trPr/>
        <w:tc>
          <w:tcPr>
            <w:tcW w:w="3092" w:type="dxa"/>
            <w:tcBorders/>
            <w:tcMar>
              <w:top w:w="0" w:type="dxa"/>
              <w:left w:w="0" w:type="dxa"/>
              <w:bottom w:w="0" w:type="dxa"/>
              <w:right w:w="0" w:type="dxa"/>
            </w:tcMar>
            <w:vAlign w:val="center"/>
          </w:tcPr>
          <w:p>
            <w:pPr>
              <w:pStyle w:val="TableContents"/>
              <w:bidi w:val="0"/>
              <w:spacing w:before="0" w:after="283"/>
              <w:jc w:val="left"/>
              <w:rPr/>
            </w:pPr>
            <w:r>
              <w:rPr/>
              <w:t>Litigation costs</w:t>
            </w:r>
            <w:r>
              <w:rPr>
                <w:position w:val="8"/>
                <w:sz w:val="19"/>
              </w:rPr>
              <w:t>(4)</w:t>
            </w:r>
          </w:p>
        </w:tc>
        <w:tc>
          <w:tcPr>
            <w:tcW w:w="181"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right"/>
              <w:rPr/>
            </w:pPr>
            <w:r>
              <w:rPr/>
              <w:t> </w:t>
            </w:r>
          </w:p>
        </w:tc>
        <w:tc>
          <w:tcPr>
            <w:tcW w:w="1029" w:type="dxa"/>
            <w:tcBorders/>
            <w:vAlign w:val="center"/>
          </w:tcPr>
          <w:p>
            <w:pPr>
              <w:pStyle w:val="TableContents"/>
              <w:bidi w:val="0"/>
              <w:spacing w:before="0" w:after="283"/>
              <w:jc w:val="right"/>
              <w:rPr/>
            </w:pPr>
            <w:r>
              <w:rPr/>
              <w:t>14</w:t>
            </w:r>
          </w:p>
        </w:tc>
        <w:tc>
          <w:tcPr>
            <w:tcW w:w="243"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303" w:type="dxa"/>
            <w:tcBorders/>
            <w:vAlign w:val="center"/>
          </w:tcPr>
          <w:p>
            <w:pPr>
              <w:pStyle w:val="TableContents"/>
              <w:bidi w:val="0"/>
              <w:spacing w:before="0" w:after="283"/>
              <w:jc w:val="right"/>
              <w:rPr/>
            </w:pPr>
            <w:r>
              <w:rPr/>
              <w:t> </w:t>
            </w:r>
          </w:p>
        </w:tc>
        <w:tc>
          <w:tcPr>
            <w:tcW w:w="1029" w:type="dxa"/>
            <w:tcBorders/>
            <w:vAlign w:val="center"/>
          </w:tcPr>
          <w:p>
            <w:pPr>
              <w:pStyle w:val="TableContents"/>
              <w:bidi w:val="0"/>
              <w:spacing w:before="0" w:after="283"/>
              <w:jc w:val="right"/>
              <w:rPr/>
            </w:pPr>
            <w:r>
              <w:rPr/>
              <w:t>555</w:t>
            </w:r>
          </w:p>
        </w:tc>
        <w:tc>
          <w:tcPr>
            <w:tcW w:w="243"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right"/>
              <w:rPr/>
            </w:pPr>
            <w:r>
              <w:rPr/>
              <w:t> </w:t>
            </w:r>
          </w:p>
        </w:tc>
        <w:tc>
          <w:tcPr>
            <w:tcW w:w="289" w:type="dxa"/>
            <w:tcBorders/>
            <w:vAlign w:val="center"/>
          </w:tcPr>
          <w:p>
            <w:pPr>
              <w:pStyle w:val="TableContents"/>
              <w:bidi w:val="0"/>
              <w:spacing w:before="0" w:after="283"/>
              <w:jc w:val="right"/>
              <w:rPr/>
            </w:pPr>
            <w:r>
              <w:rPr/>
              <w:t> </w:t>
            </w:r>
          </w:p>
        </w:tc>
        <w:tc>
          <w:tcPr>
            <w:tcW w:w="1134" w:type="dxa"/>
            <w:tcBorders/>
            <w:vAlign w:val="center"/>
          </w:tcPr>
          <w:p>
            <w:pPr>
              <w:pStyle w:val="TableContents"/>
              <w:bidi w:val="0"/>
              <w:spacing w:before="0" w:after="283"/>
              <w:jc w:val="right"/>
              <w:rPr/>
            </w:pPr>
            <w:r>
              <w:rPr/>
              <w:t>481</w:t>
            </w:r>
          </w:p>
        </w:tc>
        <w:tc>
          <w:tcPr>
            <w:tcW w:w="231"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283"/>
              <w:jc w:val="right"/>
              <w:rPr/>
            </w:pPr>
            <w:r>
              <w:rPr/>
              <w:t> </w:t>
            </w:r>
          </w:p>
        </w:tc>
        <w:tc>
          <w:tcPr>
            <w:tcW w:w="981" w:type="dxa"/>
            <w:tcBorders/>
            <w:vAlign w:val="center"/>
          </w:tcPr>
          <w:p>
            <w:pPr>
              <w:pStyle w:val="TableContents"/>
              <w:bidi w:val="0"/>
              <w:spacing w:before="0" w:after="283"/>
              <w:jc w:val="right"/>
              <w:rPr/>
            </w:pPr>
            <w:r>
              <w:rPr/>
              <w:t>1,062</w:t>
            </w:r>
          </w:p>
        </w:tc>
        <w:tc>
          <w:tcPr>
            <w:tcW w:w="295" w:type="dxa"/>
            <w:tcBorders/>
            <w:vAlign w:val="center"/>
          </w:tcPr>
          <w:p>
            <w:pPr>
              <w:pStyle w:val="TableContents"/>
              <w:bidi w:val="0"/>
              <w:spacing w:before="0" w:after="283"/>
              <w:jc w:val="left"/>
              <w:rPr/>
            </w:pPr>
            <w:r>
              <w:rPr/>
              <w:t> </w:t>
            </w:r>
          </w:p>
        </w:tc>
      </w:tr>
      <w:tr>
        <w:trPr/>
        <w:tc>
          <w:tcPr>
            <w:tcW w:w="3092" w:type="dxa"/>
            <w:tcBorders/>
            <w:tcMar>
              <w:top w:w="0" w:type="dxa"/>
              <w:left w:w="0" w:type="dxa"/>
              <w:bottom w:w="0" w:type="dxa"/>
              <w:right w:w="0" w:type="dxa"/>
            </w:tcMar>
            <w:vAlign w:val="center"/>
          </w:tcPr>
          <w:p>
            <w:pPr>
              <w:pStyle w:val="TableContents"/>
              <w:bidi w:val="0"/>
              <w:spacing w:before="0" w:after="283"/>
              <w:jc w:val="left"/>
              <w:rPr/>
            </w:pPr>
            <w:r>
              <w:rPr/>
              <w:t>Gain on sale of property and equipment</w:t>
            </w:r>
          </w:p>
        </w:tc>
        <w:tc>
          <w:tcPr>
            <w:tcW w:w="181" w:type="dxa"/>
            <w:tcBorders/>
            <w:vAlign w:val="center"/>
          </w:tcPr>
          <w:p>
            <w:pPr>
              <w:pStyle w:val="TableContents"/>
              <w:bidi w:val="0"/>
              <w:spacing w:before="0" w:after="283"/>
              <w:jc w:val="left"/>
              <w:rPr/>
            </w:pPr>
            <w:r>
              <w:rPr/>
              <w:t> </w:t>
            </w:r>
          </w:p>
        </w:tc>
        <w:tc>
          <w:tcPr>
            <w:tcW w:w="3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w:t>
            </w:r>
          </w:p>
        </w:tc>
        <w:tc>
          <w:tcPr>
            <w:tcW w:w="24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96" w:type="dxa"/>
            <w:tcBorders/>
            <w:vAlign w:val="center"/>
          </w:tcPr>
          <w:p>
            <w:pPr>
              <w:pStyle w:val="TableContents"/>
              <w:bidi w:val="0"/>
              <w:spacing w:before="0" w:after="283"/>
              <w:jc w:val="right"/>
              <w:rPr/>
            </w:pPr>
            <w:r>
              <w:rPr/>
              <w:t> </w:t>
            </w:r>
          </w:p>
        </w:tc>
        <w:tc>
          <w:tcPr>
            <w:tcW w:w="30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2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(72</w:t>
            </w:r>
          </w:p>
        </w:tc>
        <w:tc>
          <w:tcPr>
            <w:tcW w:w="243"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81" w:type="dxa"/>
            <w:tcBorders/>
            <w:vAlign w:val="center"/>
          </w:tcPr>
          <w:p>
            <w:pPr>
              <w:pStyle w:val="TableContents"/>
              <w:bidi w:val="0"/>
              <w:spacing w:before="0" w:after="283"/>
              <w:jc w:val="right"/>
              <w:rPr/>
            </w:pPr>
            <w:r>
              <w:rPr/>
              <w:t> </w:t>
            </w:r>
          </w:p>
        </w:tc>
        <w:tc>
          <w:tcPr>
            <w:tcW w:w="28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3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w:t>
            </w:r>
          </w:p>
        </w:tc>
        <w:tc>
          <w:tcPr>
            <w:tcW w:w="23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86" w:type="dxa"/>
            <w:tcBorders/>
            <w:vAlign w:val="center"/>
          </w:tcPr>
          <w:p>
            <w:pPr>
              <w:pStyle w:val="TableContents"/>
              <w:bidi w:val="0"/>
              <w:spacing w:before="0" w:after="283"/>
              <w:jc w:val="right"/>
              <w:rPr/>
            </w:pPr>
            <w:r>
              <w:rPr/>
              <w:t> </w:t>
            </w:r>
          </w:p>
        </w:tc>
        <w:tc>
          <w:tcPr>
            <w:tcW w:w="28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8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(72</w:t>
            </w:r>
          </w:p>
        </w:tc>
        <w:tc>
          <w:tcPr>
            <w:tcW w:w="29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3092" w:type="dxa"/>
            <w:tcBorders/>
            <w:vAlign w:val="center"/>
          </w:tcPr>
          <w:p>
            <w:pPr>
              <w:pStyle w:val="TableContents"/>
              <w:bidi w:val="0"/>
              <w:spacing w:before="0" w:after="283"/>
              <w:jc w:val="left"/>
              <w:rPr/>
            </w:pPr>
            <w:r>
              <w:rPr/>
              <w:t>Adjusted EBITDA</w:t>
            </w:r>
          </w:p>
        </w:tc>
        <w:tc>
          <w:tcPr>
            <w:tcW w:w="181" w:type="dxa"/>
            <w:tcBorders/>
            <w:vAlign w:val="center"/>
          </w:tcPr>
          <w:p>
            <w:pPr>
              <w:pStyle w:val="TableContents"/>
              <w:bidi w:val="0"/>
              <w:spacing w:before="0" w:after="283"/>
              <w:jc w:val="left"/>
              <w:rPr/>
            </w:pPr>
            <w:r>
              <w:rPr/>
              <w:t> </w:t>
            </w:r>
          </w:p>
        </w:tc>
        <w:tc>
          <w:tcPr>
            <w:tcW w:w="30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2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68,145</w:t>
            </w:r>
          </w:p>
        </w:tc>
        <w:tc>
          <w:tcPr>
            <w:tcW w:w="24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30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2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45,913</w:t>
            </w:r>
          </w:p>
        </w:tc>
        <w:tc>
          <w:tcPr>
            <w:tcW w:w="24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right"/>
              <w:rPr/>
            </w:pPr>
            <w:r>
              <w:rPr/>
              <w:t> </w:t>
            </w:r>
          </w:p>
        </w:tc>
        <w:tc>
          <w:tcPr>
            <w:tcW w:w="2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3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105,996</w:t>
            </w:r>
          </w:p>
        </w:tc>
        <w:tc>
          <w:tcPr>
            <w:tcW w:w="23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 </w:t>
            </w:r>
          </w:p>
        </w:tc>
        <w:tc>
          <w:tcPr>
            <w:tcW w:w="28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66,091</w:t>
            </w:r>
          </w:p>
        </w:tc>
        <w:tc>
          <w:tcPr>
            <w:tcW w:w="29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10205" w:type="dxa"/>
            <w:gridSpan w:val="17"/>
            <w:tcBorders/>
            <w:vAlign w:val="center"/>
          </w:tcPr>
          <w:p>
            <w:pPr>
              <w:pStyle w:val="TableContents"/>
              <w:bidi w:val="0"/>
              <w:spacing w:before="0" w:after="283"/>
              <w:jc w:val="left"/>
              <w:rPr/>
            </w:pPr>
            <w:r>
              <w:rPr/>
              <w:br/>
            </w:r>
            <w:r>
              <w:rPr>
                <w:position w:val="8"/>
                <w:sz w:val="19"/>
              </w:rPr>
              <w:t>(1) Adjusted EBITDA is a non-GAAP financial measure that is presented as supplemental disclosure, that we define as net income (loss) before interest expense, income taxes, depreciation and amortization expense, certain litigation costs, gains or losses on sale of property and equipment, and equity-based compensation expense.</w:t>
            </w:r>
            <w:r>
              <w:rPr/>
              <w:br/>
            </w:r>
            <w:r>
              <w:rPr>
                <w:position w:val="8"/>
                <w:sz w:val="19"/>
              </w:rPr>
              <w:t>(2) Amortization expense for the six months ended June 30, 2025, includes $0.6 million in impairment expense related to the remeasurement of goodwill associated with one of our subsidiaries. There was no impairment expense for the three months ended June 30, 2025.</w:t>
            </w:r>
            <w:r>
              <w:rPr/>
              <w:br/>
            </w:r>
            <w:r>
              <w:rPr>
                <w:position w:val="8"/>
                <w:sz w:val="19"/>
              </w:rPr>
              <w:t>(3) Represents equity-based compensation related to grants made in the applicable year.</w:t>
            </w:r>
            <w:r>
              <w:rPr/>
              <w:br/>
            </w:r>
            <w:r>
              <w:rPr>
                <w:position w:val="8"/>
                <w:sz w:val="19"/>
              </w:rPr>
              <w:t>(4) Represents litigation costs considered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w:t>
            </w:r>
          </w:p>
        </w:tc>
      </w:tr>
    </w:tbl>
    <w:p>
      <w:pPr>
        <w:pStyle w:val="TextBody"/>
        <w:bidi w:val="0"/>
        <w:spacing w:before="0" w:after="283"/>
        <w:jc w:val="left"/>
        <w:rPr/>
      </w:pPr>
      <w:r>
        <w:rPr>
          <w:rStyle w:val="StrongEmphasis"/>
          <w:u w:val="single"/>
        </w:rPr>
        <w:br/>
        <w:t>Conference Call Details</w:t>
        <w:br/>
      </w:r>
      <w:r>
        <w:rPr/>
        <w:t>The company will host a conference call at 5 p.m. EDT today to discuss these results and management’s outlook for future financial and operational performance. A live audio webcast will be available online at </w:t>
      </w:r>
      <w:r>
        <w:rPr>
          <w:rStyle w:val="StrongEmphasis"/>
          <w:u w:val="single"/>
        </w:rPr>
        <w:t>https://ir.alignmenthealth.com/</w:t>
      </w:r>
      <w:r>
        <w:rPr/>
        <w:t xml:space="preserve">. At the start of the conference call, participants may access the webcast at the following link: </w:t>
      </w:r>
      <w:r>
        <w:rPr>
          <w:rStyle w:val="StrongEmphasis"/>
          <w:u w:val="single"/>
        </w:rPr>
        <w:t>https://edge.media-server.com/mmc/p/wpvyxfni</w:t>
      </w:r>
      <w:r>
        <w:rPr/>
        <w:t>. A replay of the call will be available via webcast for on-demand listening shortly after the completion of the call, at the same web links, and will remain available for approximately 12 months.</w:t>
      </w:r>
    </w:p>
    <w:p>
      <w:pPr>
        <w:pStyle w:val="TextBody"/>
        <w:bidi w:val="0"/>
        <w:spacing w:before="0" w:after="283"/>
        <w:jc w:val="left"/>
        <w:rPr/>
      </w:pPr>
      <w:r>
        <w:rPr>
          <w:rStyle w:val="StrongEmphasis"/>
        </w:rPr>
        <w:t>About Alignment Health</w:t>
      </w:r>
      <w:r>
        <w:rPr/>
        <w:br/>
        <w:t>Alignment Health is championing a new path in senior care that empowers members to age well and live their most vibrant lives. A consumer brand name of Alignment Healthcare (NASDAQ: ALHC), Alignment Health’s mission-focused team makes high-quality, low-cost care a reality for its Medicare Advantage members every day. Based in California, the company partners with nationally recognized and trusted local providers to deliver coordinated care, powered by its customized care model, 24/7 concierge care team and purpose-built technology, AVA</w:t>
      </w:r>
      <w:r>
        <w:rPr>
          <w:position w:val="8"/>
          <w:sz w:val="19"/>
        </w:rPr>
        <w:t>®</w:t>
      </w:r>
      <w:r>
        <w:rPr/>
        <w:t xml:space="preserve">. As it expands its offerings and grows its national footprint, Alignment upholds its core values of leading with a serving heart and putting the senior first. For more information, visit </w:t>
      </w:r>
      <w:r>
        <w:rPr>
          <w:u w:val="single"/>
        </w:rPr>
        <w:t>www.alignmenthealth.com</w:t>
      </w:r>
      <w:r>
        <w:rPr/>
        <w:t>.</w:t>
      </w:r>
    </w:p>
    <w:p>
      <w:pPr>
        <w:pStyle w:val="TextBody"/>
        <w:bidi w:val="0"/>
        <w:spacing w:before="0" w:after="283"/>
        <w:jc w:val="left"/>
        <w:rPr/>
      </w:pPr>
      <w:r>
        <w:rPr>
          <w:rStyle w:val="StrongEmphasis"/>
        </w:rPr>
        <w:t>Forward-Looking Statements</w:t>
      </w:r>
    </w:p>
    <w:p>
      <w:pPr>
        <w:pStyle w:val="TextBody"/>
        <w:bidi w:val="0"/>
        <w:spacing w:before="0" w:after="283"/>
        <w:jc w:val="left"/>
        <w:rPr/>
      </w:pPr>
      <w:r>
        <w:rPr/>
        <w:t>This release contains forward-looking statements within the meaning of Section 27A of the Securities Act of 1933, as amended, and Section 21E of the Securities Exchange Act of 1934, as amended, and the Private Securities Litigation Reform Act of 1995, as amended. These forward-looking statements include statements regarding our future growth and our financial outlook for the quarter ending September 30, 2026, and year ending Dec. 31, 2026. Forward-looking statements are subject to risks and uncertainties and are based on assumptions that may prove to be inaccurate, which could cause actual results to differ materially from those expected or implied by the forward-looking statements. Actual results may differ materially from the results predicted, and reported results should not be considered as an indication of future performance. Important risks and uncertainties that could cause our actual results and financial condition to differ materially from those indicated in the forward-looking statements include, among others, the following: our ability to attract new members and enter new markets, including the need for certain governmental approvals; our ability to maintain a high rating for our plans on the Five Star Quality Rating System; our ability to develop and maintain satisfactory relationships with care providers that service our members; risks associated with being a government contractor, including potential federal reductions in MA funding; changes in laws and regulations applicable to our business model; risks related to our indebtedness; changes in market or industry conditions and receptivity to our technology and services; results of litigation or a security incident; and the impact of shortages of qualified personnel and related increases in our labor costs. For a detailed discussion of the risk factors that could affect our actual results, please refer to the risk factors identified in our Annual Report on Form 10-K for the year ended Dec. 31, 2025, and the other periodic reports we file with the SEC. All information provided in this release and in the attachments is as of the date hereof, and we undertake no duty to update or revise this information unless required by law.</w:t>
      </w:r>
    </w:p>
    <w:tbl>
      <w:tblPr>
        <w:tblW w:w="10205" w:type="dxa"/>
        <w:jc w:val="left"/>
        <w:tblInd w:w="0" w:type="dxa"/>
        <w:tblLayout w:type="fixed"/>
        <w:tblCellMar>
          <w:top w:w="28" w:type="dxa"/>
          <w:left w:w="28" w:type="dxa"/>
          <w:bottom w:w="28" w:type="dxa"/>
          <w:right w:w="28" w:type="dxa"/>
        </w:tblCellMar>
      </w:tblPr>
      <w:tblGrid>
        <w:gridCol w:w="6847"/>
        <w:gridCol w:w="146"/>
        <w:gridCol w:w="226"/>
        <w:gridCol w:w="1066"/>
        <w:gridCol w:w="181"/>
        <w:gridCol w:w="146"/>
        <w:gridCol w:w="226"/>
        <w:gridCol w:w="1141"/>
        <w:gridCol w:w="226"/>
      </w:tblGrid>
      <w:tr>
        <w:trPr/>
        <w:tc>
          <w:tcPr>
            <w:tcW w:w="10205" w:type="dxa"/>
            <w:gridSpan w:val="9"/>
            <w:tcBorders/>
            <w:vAlign w:val="center"/>
          </w:tcPr>
          <w:p>
            <w:pPr>
              <w:pStyle w:val="TableContents"/>
              <w:bidi w:val="0"/>
              <w:spacing w:before="0" w:after="283"/>
              <w:jc w:val="center"/>
              <w:rPr/>
            </w:pPr>
            <w:r>
              <w:rPr>
                <w:rStyle w:val="StrongEmphasis"/>
              </w:rPr>
              <w:t>Condensed Consolidated Balance Sheets</w:t>
            </w:r>
            <w:r>
              <w:rPr/>
              <w:br/>
            </w:r>
            <w:r>
              <w:rPr>
                <w:rStyle w:val="Emphasis"/>
              </w:rPr>
              <w:t>(in thousands, except par value and share amounts)</w:t>
            </w:r>
            <w:r>
              <w:rPr/>
              <w:br/>
            </w:r>
            <w:r>
              <w:rPr>
                <w:rStyle w:val="Emphasis"/>
              </w:rPr>
              <w:t>(Unaudited)</w:t>
            </w:r>
          </w:p>
        </w:tc>
      </w:tr>
      <w:tr>
        <w:trPr/>
        <w:tc>
          <w:tcPr>
            <w:tcW w:w="684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47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w:t>
            </w:r>
            <w:r>
              <w:rPr/>
              <w:br/>
            </w:r>
            <w:r>
              <w:rPr>
                <w:rStyle w:val="StrongEmphasis"/>
              </w:rPr>
              <w:t>2026</w:t>
            </w:r>
          </w:p>
        </w:tc>
        <w:tc>
          <w:tcPr>
            <w:tcW w:w="146" w:type="dxa"/>
            <w:tcBorders/>
            <w:vAlign w:val="center"/>
          </w:tcPr>
          <w:p>
            <w:pPr>
              <w:pStyle w:val="TableContents"/>
              <w:bidi w:val="0"/>
              <w:spacing w:before="0" w:after="283"/>
              <w:jc w:val="left"/>
              <w:rPr/>
            </w:pPr>
            <w:r>
              <w:rPr/>
              <w:t> </w:t>
            </w:r>
          </w:p>
        </w:tc>
        <w:tc>
          <w:tcPr>
            <w:tcW w:w="159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December 31,</w:t>
            </w:r>
            <w:r>
              <w:rPr/>
              <w:br/>
            </w:r>
            <w:r>
              <w:rPr>
                <w:rStyle w:val="StrongEmphasis"/>
              </w:rPr>
              <w:t>2025</w:t>
            </w:r>
          </w:p>
        </w:tc>
      </w:tr>
      <w:tr>
        <w:trPr/>
        <w:tc>
          <w:tcPr>
            <w:tcW w:w="6847" w:type="dxa"/>
            <w:tcBorders/>
            <w:vAlign w:val="center"/>
          </w:tcPr>
          <w:p>
            <w:pPr>
              <w:pStyle w:val="TableContents"/>
              <w:bidi w:val="0"/>
              <w:spacing w:before="0" w:after="283"/>
              <w:jc w:val="center"/>
              <w:rPr/>
            </w:pPr>
            <w:r>
              <w:rPr>
                <w:rStyle w:val="StrongEmphasis"/>
              </w:rPr>
              <w:t>Assets</w:t>
            </w:r>
          </w:p>
        </w:tc>
        <w:tc>
          <w:tcPr>
            <w:tcW w:w="146" w:type="dxa"/>
            <w:tcBorders/>
            <w:vAlign w:val="center"/>
          </w:tcPr>
          <w:p>
            <w:pPr>
              <w:pStyle w:val="TableContents"/>
              <w:bidi w:val="0"/>
              <w:spacing w:before="0" w:after="283"/>
              <w:jc w:val="left"/>
              <w:rPr/>
            </w:pPr>
            <w:r>
              <w:rPr/>
              <w:t> </w:t>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6847" w:type="dxa"/>
            <w:tcBorders/>
            <w:vAlign w:val="center"/>
          </w:tcPr>
          <w:p>
            <w:pPr>
              <w:pStyle w:val="TableContents"/>
              <w:bidi w:val="0"/>
              <w:spacing w:before="0" w:after="283"/>
              <w:jc w:val="left"/>
              <w:rPr/>
            </w:pPr>
            <w:r>
              <w:rPr/>
              <w:t>Current Assets:</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righ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Cash and cash equivalents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693,453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575,817</w:t>
            </w:r>
          </w:p>
        </w:tc>
        <w:tc>
          <w:tcPr>
            <w:tcW w:w="226" w:type="dxa"/>
            <w:tcBorders/>
            <w:vAlign w:val="center"/>
          </w:tcPr>
          <w:p>
            <w:pPr>
              <w:pStyle w:val="TableContents"/>
              <w:bidi w:val="0"/>
              <w:spacing w:before="0" w:after="283"/>
              <w:jc w:val="lef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Accounts receivable (less allowance for credit losses of $265 at June 30, 2026 and $833 at December 31, 2025)</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296,893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253,207</w:t>
            </w:r>
          </w:p>
        </w:tc>
        <w:tc>
          <w:tcPr>
            <w:tcW w:w="226" w:type="dxa"/>
            <w:tcBorders/>
            <w:vAlign w:val="center"/>
          </w:tcPr>
          <w:p>
            <w:pPr>
              <w:pStyle w:val="TableContents"/>
              <w:bidi w:val="0"/>
              <w:spacing w:before="0" w:after="283"/>
              <w:jc w:val="lef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Investments - current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8,258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28,413</w:t>
            </w:r>
          </w:p>
        </w:tc>
        <w:tc>
          <w:tcPr>
            <w:tcW w:w="226" w:type="dxa"/>
            <w:tcBorders/>
            <w:vAlign w:val="center"/>
          </w:tcPr>
          <w:p>
            <w:pPr>
              <w:pStyle w:val="TableContents"/>
              <w:bidi w:val="0"/>
              <w:spacing w:before="0" w:after="283"/>
              <w:jc w:val="lef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Prepaid expenses and other current assets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161,845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94,140</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Total current assets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1,160,449</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951,577</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Property and equipment, net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66,211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64,251</w:t>
            </w:r>
          </w:p>
        </w:tc>
        <w:tc>
          <w:tcPr>
            <w:tcW w:w="226" w:type="dxa"/>
            <w:tcBorders/>
            <w:vAlign w:val="center"/>
          </w:tcPr>
          <w:p>
            <w:pPr>
              <w:pStyle w:val="TableContents"/>
              <w:bidi w:val="0"/>
              <w:spacing w:before="0" w:after="283"/>
              <w:jc w:val="lef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Right of use asset, net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7,304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7,019</w:t>
            </w:r>
          </w:p>
        </w:tc>
        <w:tc>
          <w:tcPr>
            <w:tcW w:w="226" w:type="dxa"/>
            <w:tcBorders/>
            <w:vAlign w:val="center"/>
          </w:tcPr>
          <w:p>
            <w:pPr>
              <w:pStyle w:val="TableContents"/>
              <w:bidi w:val="0"/>
              <w:spacing w:before="0" w:after="283"/>
              <w:jc w:val="lef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Goodwill</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32,060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32,060</w:t>
            </w:r>
          </w:p>
        </w:tc>
        <w:tc>
          <w:tcPr>
            <w:tcW w:w="226" w:type="dxa"/>
            <w:tcBorders/>
            <w:vAlign w:val="center"/>
          </w:tcPr>
          <w:p>
            <w:pPr>
              <w:pStyle w:val="TableContents"/>
              <w:bidi w:val="0"/>
              <w:spacing w:before="0" w:after="283"/>
              <w:jc w:val="lef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Intangible assets, net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4,550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4,550</w:t>
            </w:r>
          </w:p>
        </w:tc>
        <w:tc>
          <w:tcPr>
            <w:tcW w:w="226" w:type="dxa"/>
            <w:tcBorders/>
            <w:vAlign w:val="center"/>
          </w:tcPr>
          <w:p>
            <w:pPr>
              <w:pStyle w:val="TableContents"/>
              <w:bidi w:val="0"/>
              <w:spacing w:before="0" w:after="283"/>
              <w:jc w:val="lef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Other assets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8,464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6,329</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Total assets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1,279,038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1,065,786</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6847" w:type="dxa"/>
            <w:tcBorders/>
            <w:vAlign w:val="center"/>
          </w:tcPr>
          <w:p>
            <w:pPr>
              <w:pStyle w:val="TableContents"/>
              <w:bidi w:val="0"/>
              <w:spacing w:before="0" w:after="283"/>
              <w:jc w:val="center"/>
              <w:rPr/>
            </w:pPr>
            <w:r>
              <w:rPr>
                <w:rStyle w:val="StrongEmphasis"/>
              </w:rPr>
              <w:t>Liabilities and Stockholders' Equity</w:t>
            </w:r>
          </w:p>
        </w:tc>
        <w:tc>
          <w:tcPr>
            <w:tcW w:w="146" w:type="dxa"/>
            <w:tcBorders/>
            <w:vAlign w:val="center"/>
          </w:tcPr>
          <w:p>
            <w:pPr>
              <w:pStyle w:val="TableContents"/>
              <w:bidi w:val="0"/>
              <w:spacing w:before="0" w:after="283"/>
              <w:jc w:val="left"/>
              <w:rPr/>
            </w:pPr>
            <w:r>
              <w:rPr/>
              <w:t> </w:t>
            </w:r>
          </w:p>
        </w:tc>
        <w:tc>
          <w:tcPr>
            <w:tcW w:w="1473" w:type="dxa"/>
            <w:gridSpan w:val="3"/>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6847" w:type="dxa"/>
            <w:tcBorders/>
            <w:vAlign w:val="center"/>
          </w:tcPr>
          <w:p>
            <w:pPr>
              <w:pStyle w:val="TableContents"/>
              <w:bidi w:val="0"/>
              <w:spacing w:before="0" w:after="283"/>
              <w:jc w:val="left"/>
              <w:rPr/>
            </w:pPr>
            <w:r>
              <w:rPr/>
              <w:t>Current Liabilities:</w:t>
            </w:r>
          </w:p>
        </w:tc>
        <w:tc>
          <w:tcPr>
            <w:tcW w:w="146" w:type="dxa"/>
            <w:tcBorders/>
            <w:vAlign w:val="center"/>
          </w:tcPr>
          <w:p>
            <w:pPr>
              <w:pStyle w:val="TableContents"/>
              <w:bidi w:val="0"/>
              <w:spacing w:before="0" w:after="283"/>
              <w:jc w:val="left"/>
              <w:rPr/>
            </w:pPr>
            <w:r>
              <w:rPr/>
              <w:t> </w:t>
            </w:r>
          </w:p>
        </w:tc>
        <w:tc>
          <w:tcPr>
            <w:tcW w:w="147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593" w:type="dxa"/>
            <w:gridSpan w:val="3"/>
            <w:tcBorders/>
            <w:vAlign w:val="center"/>
          </w:tcPr>
          <w:p>
            <w:pPr>
              <w:pStyle w:val="TableContents"/>
              <w:bidi w:val="0"/>
              <w:spacing w:before="0" w:after="283"/>
              <w:jc w:val="righ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Medical expenses payable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612,748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41" w:type="dxa"/>
            <w:tcBorders/>
            <w:vAlign w:val="center"/>
          </w:tcPr>
          <w:p>
            <w:pPr>
              <w:pStyle w:val="TableContents"/>
              <w:bidi w:val="0"/>
              <w:spacing w:before="0" w:after="283"/>
              <w:jc w:val="right"/>
              <w:rPr/>
            </w:pPr>
            <w:r>
              <w:rPr/>
              <w:t>474,569</w:t>
            </w:r>
          </w:p>
        </w:tc>
        <w:tc>
          <w:tcPr>
            <w:tcW w:w="226" w:type="dxa"/>
            <w:tcBorders/>
            <w:vAlign w:val="center"/>
          </w:tcPr>
          <w:p>
            <w:pPr>
              <w:pStyle w:val="TableContents"/>
              <w:bidi w:val="0"/>
              <w:spacing w:before="0" w:after="283"/>
              <w:jc w:val="lef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Accounts payable and accrued expenses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32,270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33,284</w:t>
            </w:r>
          </w:p>
        </w:tc>
        <w:tc>
          <w:tcPr>
            <w:tcW w:w="226" w:type="dxa"/>
            <w:tcBorders/>
            <w:vAlign w:val="center"/>
          </w:tcPr>
          <w:p>
            <w:pPr>
              <w:pStyle w:val="TableContents"/>
              <w:bidi w:val="0"/>
              <w:spacing w:before="0" w:after="283"/>
              <w:jc w:val="lef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Accrued compensation</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38,389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49,013</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Total current liabilities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683,407</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14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556,866</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Long-term debt, net of debt issuance costs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324,056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323,176</w:t>
            </w:r>
          </w:p>
        </w:tc>
        <w:tc>
          <w:tcPr>
            <w:tcW w:w="226" w:type="dxa"/>
            <w:tcBorders/>
            <w:vAlign w:val="center"/>
          </w:tcPr>
          <w:p>
            <w:pPr>
              <w:pStyle w:val="TableContents"/>
              <w:bidi w:val="0"/>
              <w:spacing w:before="0" w:after="283"/>
              <w:jc w:val="lef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Long-term portion of lease liabilities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6,444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6,467</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Total liabilities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1,013,907</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 </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886,509</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6847" w:type="dxa"/>
            <w:tcBorders/>
            <w:vAlign w:val="center"/>
          </w:tcPr>
          <w:p>
            <w:pPr>
              <w:pStyle w:val="TableContents"/>
              <w:bidi w:val="0"/>
              <w:spacing w:before="0" w:after="283"/>
              <w:jc w:val="left"/>
              <w:rPr/>
            </w:pPr>
            <w:r>
              <w:rPr/>
              <w:t>Stockholders' Equity:</w:t>
            </w:r>
          </w:p>
        </w:tc>
        <w:tc>
          <w:tcPr>
            <w:tcW w:w="146" w:type="dxa"/>
            <w:tcBorders/>
            <w:vAlign w:val="center"/>
          </w:tcPr>
          <w:p>
            <w:pPr>
              <w:pStyle w:val="TableContents"/>
              <w:bidi w:val="0"/>
              <w:spacing w:before="0" w:after="283"/>
              <w:jc w:val="left"/>
              <w:rPr/>
            </w:pPr>
            <w:r>
              <w:rPr/>
              <w:t> </w:t>
            </w:r>
          </w:p>
        </w:tc>
        <w:tc>
          <w:tcPr>
            <w:tcW w:w="1473" w:type="dxa"/>
            <w:gridSpan w:val="3"/>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double" w:sz="8" w:space="0" w:color="000000"/>
            </w:tcBorders>
            <w:tcMar>
              <w:left w:w="0" w:type="dxa"/>
              <w:bottom w:w="0" w:type="dxa"/>
              <w:right w:w="0" w:type="dxa"/>
            </w:tcMar>
            <w:vAlign w:val="center"/>
          </w:tcPr>
          <w:p>
            <w:pPr>
              <w:pStyle w:val="TableContents"/>
              <w:bidi w:val="0"/>
              <w:spacing w:before="0" w:after="283"/>
              <w:jc w:val="left"/>
              <w:rPr/>
            </w:pPr>
            <w:r>
              <w:rPr/>
              <w:t> </w:t>
            </w:r>
          </w:p>
        </w:tc>
        <w:tc>
          <w:tcPr>
            <w:tcW w:w="1593" w:type="dxa"/>
            <w:gridSpan w:val="3"/>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Preferred stock, $0.001 par value; 100,000,000 shares authorized as of June 30, 2026 and December 31, 2025, respectively; no shares issued and outstanding as of June 30, 2026 and December 31, 2025</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Common stock, $0.001 par value; 1,000,000,000 shares authorized as of June 30, 2026 and December 31, 2025; 207,178,193 and 204,153,619 shares issued and outstanding as of June 30, 2026 and December 31, 2025, respectively</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207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205</w:t>
            </w:r>
          </w:p>
        </w:tc>
        <w:tc>
          <w:tcPr>
            <w:tcW w:w="226" w:type="dxa"/>
            <w:tcBorders/>
            <w:vAlign w:val="center"/>
          </w:tcPr>
          <w:p>
            <w:pPr>
              <w:pStyle w:val="TableContents"/>
              <w:bidi w:val="0"/>
              <w:spacing w:before="0" w:after="283"/>
              <w:jc w:val="lef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Additional paid-in capital</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1,225,965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41" w:type="dxa"/>
            <w:tcBorders/>
            <w:vAlign w:val="center"/>
          </w:tcPr>
          <w:p>
            <w:pPr>
              <w:pStyle w:val="TableContents"/>
              <w:bidi w:val="0"/>
              <w:spacing w:before="0" w:after="283"/>
              <w:jc w:val="right"/>
              <w:rPr/>
            </w:pPr>
            <w:r>
              <w:rPr/>
              <w:t>1,188,089</w:t>
            </w:r>
          </w:p>
        </w:tc>
        <w:tc>
          <w:tcPr>
            <w:tcW w:w="226" w:type="dxa"/>
            <w:tcBorders/>
            <w:vAlign w:val="center"/>
          </w:tcPr>
          <w:p>
            <w:pPr>
              <w:pStyle w:val="TableContents"/>
              <w:bidi w:val="0"/>
              <w:spacing w:before="0" w:after="283"/>
              <w:jc w:val="lef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Accumulated deficit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(961,041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(1,009,017</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Total stockholders' equity</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06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265,131</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14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179,277</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6847" w:type="dxa"/>
            <w:tcBorders/>
            <w:tcMar>
              <w:top w:w="0" w:type="dxa"/>
              <w:left w:w="0" w:type="dxa"/>
              <w:bottom w:w="0" w:type="dxa"/>
              <w:right w:w="0" w:type="dxa"/>
            </w:tcMar>
            <w:vAlign w:val="center"/>
          </w:tcPr>
          <w:p>
            <w:pPr>
              <w:pStyle w:val="TableContents"/>
              <w:bidi w:val="0"/>
              <w:spacing w:before="0" w:after="283"/>
              <w:jc w:val="left"/>
              <w:rPr/>
            </w:pPr>
            <w:r>
              <w:rPr/>
              <w:t>Total liabilities and stockholders' equity</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6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1,279,038</w:t>
            </w:r>
          </w:p>
        </w:tc>
        <w:tc>
          <w:tcPr>
            <w:tcW w:w="18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14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1,065,786</w:t>
            </w:r>
          </w:p>
        </w:tc>
        <w:tc>
          <w:tcPr>
            <w:tcW w:w="22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bl>
    <w:p>
      <w:pPr>
        <w:pStyle w:val="TextBody"/>
        <w:bidi w:val="0"/>
        <w:jc w:val="center"/>
        <w:rPr/>
      </w:pPr>
      <w:r>
        <w:rPr/>
      </w:r>
    </w:p>
    <w:tbl>
      <w:tblPr>
        <w:tblW w:w="10205" w:type="dxa"/>
        <w:jc w:val="left"/>
        <w:tblInd w:w="0" w:type="dxa"/>
        <w:tblLayout w:type="fixed"/>
        <w:tblCellMar>
          <w:top w:w="28" w:type="dxa"/>
          <w:left w:w="28" w:type="dxa"/>
          <w:bottom w:w="28" w:type="dxa"/>
          <w:right w:w="28" w:type="dxa"/>
        </w:tblCellMar>
      </w:tblPr>
      <w:tblGrid>
        <w:gridCol w:w="2724"/>
        <w:gridCol w:w="146"/>
        <w:gridCol w:w="226"/>
        <w:gridCol w:w="1306"/>
        <w:gridCol w:w="181"/>
        <w:gridCol w:w="146"/>
        <w:gridCol w:w="226"/>
        <w:gridCol w:w="1306"/>
        <w:gridCol w:w="181"/>
        <w:gridCol w:w="146"/>
        <w:gridCol w:w="226"/>
        <w:gridCol w:w="1306"/>
        <w:gridCol w:w="181"/>
        <w:gridCol w:w="146"/>
        <w:gridCol w:w="226"/>
        <w:gridCol w:w="1306"/>
        <w:gridCol w:w="226"/>
      </w:tblGrid>
      <w:tr>
        <w:trPr/>
        <w:tc>
          <w:tcPr>
            <w:tcW w:w="10205" w:type="dxa"/>
            <w:gridSpan w:val="17"/>
            <w:tcBorders/>
            <w:vAlign w:val="center"/>
          </w:tcPr>
          <w:p>
            <w:pPr>
              <w:pStyle w:val="TableContents"/>
              <w:bidi w:val="0"/>
              <w:spacing w:before="0" w:after="283"/>
              <w:jc w:val="center"/>
              <w:rPr/>
            </w:pPr>
            <w:r>
              <w:rPr>
                <w:rStyle w:val="StrongEmphasis"/>
              </w:rPr>
              <w:t>Condensed Consolidated Statements of Operations</w:t>
            </w:r>
            <w:r>
              <w:rPr/>
              <w:br/>
            </w:r>
            <w:r>
              <w:rPr>
                <w:rStyle w:val="Emphasis"/>
              </w:rPr>
              <w:t>(in thousands, except per share amounts)</w:t>
            </w:r>
            <w:r>
              <w:rPr/>
              <w:br/>
            </w:r>
            <w:r>
              <w:rPr>
                <w:rStyle w:val="Emphasis"/>
              </w:rPr>
              <w:t>(Unaudited)</w:t>
            </w:r>
          </w:p>
        </w:tc>
      </w:tr>
      <w:tr>
        <w:trPr/>
        <w:tc>
          <w:tcPr>
            <w:tcW w:w="27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572"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Three Months Ended June 30,</w:t>
            </w:r>
          </w:p>
        </w:tc>
        <w:tc>
          <w:tcPr>
            <w:tcW w:w="146" w:type="dxa"/>
            <w:tcBorders/>
            <w:vAlign w:val="center"/>
          </w:tcPr>
          <w:p>
            <w:pPr>
              <w:pStyle w:val="TableContents"/>
              <w:bidi w:val="0"/>
              <w:spacing w:before="0" w:after="283"/>
              <w:jc w:val="left"/>
              <w:rPr/>
            </w:pPr>
            <w:r>
              <w:rPr/>
              <w:t> </w:t>
            </w:r>
          </w:p>
        </w:tc>
        <w:tc>
          <w:tcPr>
            <w:tcW w:w="3617"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Six Months Ended June 30,</w:t>
            </w:r>
          </w:p>
        </w:tc>
      </w:tr>
      <w:tr>
        <w:trPr/>
        <w:tc>
          <w:tcPr>
            <w:tcW w:w="27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2724" w:type="dxa"/>
            <w:tcBorders/>
            <w:vAlign w:val="center"/>
          </w:tcPr>
          <w:p>
            <w:pPr>
              <w:pStyle w:val="TableContents"/>
              <w:bidi w:val="0"/>
              <w:spacing w:before="0" w:after="283"/>
              <w:jc w:val="left"/>
              <w:rPr/>
            </w:pPr>
            <w:r>
              <w:rPr/>
              <w:t>Revenues:</w:t>
            </w:r>
          </w:p>
        </w:tc>
        <w:tc>
          <w:tcPr>
            <w:tcW w:w="146" w:type="dxa"/>
            <w:tcBorders/>
            <w:vAlign w:val="center"/>
          </w:tcPr>
          <w:p>
            <w:pPr>
              <w:pStyle w:val="TableContents"/>
              <w:bidi w:val="0"/>
              <w:spacing w:before="0" w:after="283"/>
              <w:jc w:val="left"/>
              <w:rPr/>
            </w:pPr>
            <w:r>
              <w:rPr/>
              <w:t> </w:t>
            </w:r>
          </w:p>
        </w:tc>
        <w:tc>
          <w:tcPr>
            <w:tcW w:w="1713"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13"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13"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2724" w:type="dxa"/>
            <w:tcBorders/>
            <w:tcMar>
              <w:top w:w="0" w:type="dxa"/>
              <w:left w:w="0" w:type="dxa"/>
              <w:bottom w:w="0" w:type="dxa"/>
              <w:right w:w="0" w:type="dxa"/>
            </w:tcMar>
            <w:vAlign w:val="center"/>
          </w:tcPr>
          <w:p>
            <w:pPr>
              <w:pStyle w:val="TableContents"/>
              <w:bidi w:val="0"/>
              <w:spacing w:before="0" w:after="283"/>
              <w:jc w:val="left"/>
              <w:rPr/>
            </w:pPr>
            <w:r>
              <w:rPr/>
              <w:t>Earned premiums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1,326,625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1,006,203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2,553,191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306" w:type="dxa"/>
            <w:tcBorders/>
            <w:vAlign w:val="center"/>
          </w:tcPr>
          <w:p>
            <w:pPr>
              <w:pStyle w:val="TableContents"/>
              <w:bidi w:val="0"/>
              <w:spacing w:before="0" w:after="283"/>
              <w:jc w:val="right"/>
              <w:rPr/>
            </w:pPr>
            <w:r>
              <w:rPr/>
              <w:t>1,924,246</w:t>
            </w:r>
          </w:p>
        </w:tc>
        <w:tc>
          <w:tcPr>
            <w:tcW w:w="226" w:type="dxa"/>
            <w:tcBorders/>
            <w:vAlign w:val="center"/>
          </w:tcPr>
          <w:p>
            <w:pPr>
              <w:pStyle w:val="TableContents"/>
              <w:bidi w:val="0"/>
              <w:spacing w:before="0" w:after="283"/>
              <w:jc w:val="left"/>
              <w:rPr/>
            </w:pPr>
            <w:r>
              <w:rPr/>
              <w:t> </w:t>
            </w:r>
          </w:p>
        </w:tc>
      </w:tr>
      <w:tr>
        <w:trPr/>
        <w:tc>
          <w:tcPr>
            <w:tcW w:w="2724" w:type="dxa"/>
            <w:tcBorders/>
            <w:tcMar>
              <w:top w:w="0" w:type="dxa"/>
              <w:left w:w="0" w:type="dxa"/>
              <w:bottom w:w="0" w:type="dxa"/>
              <w:right w:w="0" w:type="dxa"/>
            </w:tcMar>
            <w:vAlign w:val="center"/>
          </w:tcPr>
          <w:p>
            <w:pPr>
              <w:pStyle w:val="TableContents"/>
              <w:bidi w:val="0"/>
              <w:spacing w:before="0" w:after="283"/>
              <w:jc w:val="left"/>
              <w:rPr/>
            </w:pPr>
            <w:r>
              <w:rPr/>
              <w:t>Other</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9,008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9,085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17,639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17,974</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24" w:type="dxa"/>
            <w:tcBorders/>
            <w:tcMar>
              <w:top w:w="0" w:type="dxa"/>
              <w:left w:w="0" w:type="dxa"/>
              <w:bottom w:w="0" w:type="dxa"/>
              <w:right w:w="0" w:type="dxa"/>
            </w:tcMar>
            <w:vAlign w:val="center"/>
          </w:tcPr>
          <w:p>
            <w:pPr>
              <w:pStyle w:val="TableContents"/>
              <w:bidi w:val="0"/>
              <w:spacing w:before="0" w:after="283"/>
              <w:jc w:val="left"/>
              <w:rPr/>
            </w:pPr>
            <w:r>
              <w:rPr/>
              <w:t>Total revenues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1,335,633</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1,015,288</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2,570,830</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1,942,220</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2724" w:type="dxa"/>
            <w:tcBorders/>
            <w:vAlign w:val="center"/>
          </w:tcPr>
          <w:p>
            <w:pPr>
              <w:pStyle w:val="TableContents"/>
              <w:bidi w:val="0"/>
              <w:spacing w:before="0" w:after="283"/>
              <w:jc w:val="left"/>
              <w:rPr/>
            </w:pPr>
            <w:r>
              <w:rPr/>
              <w:t>Expenses:</w:t>
            </w:r>
          </w:p>
        </w:tc>
        <w:tc>
          <w:tcPr>
            <w:tcW w:w="146" w:type="dxa"/>
            <w:tcBorders/>
            <w:vAlign w:val="center"/>
          </w:tcPr>
          <w:p>
            <w:pPr>
              <w:pStyle w:val="TableContents"/>
              <w:bidi w:val="0"/>
              <w:spacing w:before="0" w:after="283"/>
              <w:jc w:val="left"/>
              <w:rPr/>
            </w:pPr>
            <w:r>
              <w:rPr/>
              <w:t> </w:t>
            </w:r>
          </w:p>
        </w:tc>
        <w:tc>
          <w:tcPr>
            <w:tcW w:w="1713"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13"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13"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2724" w:type="dxa"/>
            <w:tcBorders/>
            <w:tcMar>
              <w:top w:w="0" w:type="dxa"/>
              <w:left w:w="0" w:type="dxa"/>
              <w:bottom w:w="0" w:type="dxa"/>
              <w:right w:w="0" w:type="dxa"/>
            </w:tcMar>
            <w:vAlign w:val="center"/>
          </w:tcPr>
          <w:p>
            <w:pPr>
              <w:pStyle w:val="TableContents"/>
              <w:bidi w:val="0"/>
              <w:spacing w:before="0" w:after="283"/>
              <w:jc w:val="left"/>
              <w:rPr/>
            </w:pPr>
            <w:r>
              <w:rPr/>
              <w:t>Medical expenses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1,154,676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881,740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2,245,393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1,702,640</w:t>
            </w:r>
          </w:p>
        </w:tc>
        <w:tc>
          <w:tcPr>
            <w:tcW w:w="226" w:type="dxa"/>
            <w:tcBorders/>
            <w:vAlign w:val="center"/>
          </w:tcPr>
          <w:p>
            <w:pPr>
              <w:pStyle w:val="TableContents"/>
              <w:bidi w:val="0"/>
              <w:spacing w:before="0" w:after="283"/>
              <w:jc w:val="left"/>
              <w:rPr/>
            </w:pPr>
            <w:r>
              <w:rPr/>
              <w:t> </w:t>
            </w:r>
          </w:p>
        </w:tc>
      </w:tr>
      <w:tr>
        <w:trPr/>
        <w:tc>
          <w:tcPr>
            <w:tcW w:w="2724" w:type="dxa"/>
            <w:tcBorders/>
            <w:tcMar>
              <w:top w:w="0" w:type="dxa"/>
              <w:left w:w="0" w:type="dxa"/>
              <w:bottom w:w="0" w:type="dxa"/>
              <w:right w:w="0" w:type="dxa"/>
            </w:tcMar>
            <w:vAlign w:val="center"/>
          </w:tcPr>
          <w:p>
            <w:pPr>
              <w:pStyle w:val="TableContents"/>
              <w:bidi w:val="0"/>
              <w:spacing w:before="0" w:after="283"/>
              <w:jc w:val="left"/>
              <w:rPr/>
            </w:pPr>
            <w:r>
              <w:rPr/>
              <w:t>Selling, general, and administrative expenses</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131,003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103,797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252,141</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207,628</w:t>
            </w:r>
          </w:p>
        </w:tc>
        <w:tc>
          <w:tcPr>
            <w:tcW w:w="226" w:type="dxa"/>
            <w:tcBorders/>
            <w:vAlign w:val="center"/>
          </w:tcPr>
          <w:p>
            <w:pPr>
              <w:pStyle w:val="TableContents"/>
              <w:bidi w:val="0"/>
              <w:spacing w:before="0" w:after="283"/>
              <w:jc w:val="left"/>
              <w:rPr/>
            </w:pPr>
            <w:r>
              <w:rPr/>
              <w:t> </w:t>
            </w:r>
          </w:p>
        </w:tc>
      </w:tr>
      <w:tr>
        <w:trPr/>
        <w:tc>
          <w:tcPr>
            <w:tcW w:w="2724"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7,854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7,003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15,693</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14,597</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24" w:type="dxa"/>
            <w:tcBorders/>
            <w:tcMar>
              <w:top w:w="0" w:type="dxa"/>
              <w:left w:w="0" w:type="dxa"/>
              <w:bottom w:w="0" w:type="dxa"/>
              <w:right w:w="0" w:type="dxa"/>
            </w:tcMar>
            <w:vAlign w:val="center"/>
          </w:tcPr>
          <w:p>
            <w:pPr>
              <w:pStyle w:val="TableContents"/>
              <w:bidi w:val="0"/>
              <w:spacing w:before="0" w:after="283"/>
              <w:jc w:val="left"/>
              <w:rPr/>
            </w:pPr>
            <w:r>
              <w:rPr/>
              <w:t>Total expenses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1,293,533</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992,540</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2,513,227</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1,924,865</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2724" w:type="dxa"/>
            <w:tcBorders/>
            <w:vAlign w:val="center"/>
          </w:tcPr>
          <w:p>
            <w:pPr>
              <w:pStyle w:val="TableContents"/>
              <w:bidi w:val="0"/>
              <w:spacing w:before="0" w:after="283"/>
              <w:jc w:val="left"/>
              <w:rPr/>
            </w:pPr>
            <w:r>
              <w:rPr/>
              <w:t>Income from operations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42,100</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22,748</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57,603</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17,355</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2724" w:type="dxa"/>
            <w:tcBorders/>
            <w:vAlign w:val="center"/>
          </w:tcPr>
          <w:p>
            <w:pPr>
              <w:pStyle w:val="TableContents"/>
              <w:bidi w:val="0"/>
              <w:spacing w:before="0" w:after="283"/>
              <w:jc w:val="left"/>
              <w:rPr/>
            </w:pPr>
            <w:r>
              <w:rPr/>
              <w:t>Other expenses:</w:t>
            </w:r>
          </w:p>
        </w:tc>
        <w:tc>
          <w:tcPr>
            <w:tcW w:w="146" w:type="dxa"/>
            <w:tcBorders/>
            <w:vAlign w:val="center"/>
          </w:tcPr>
          <w:p>
            <w:pPr>
              <w:pStyle w:val="TableContents"/>
              <w:bidi w:val="0"/>
              <w:spacing w:before="0" w:after="283"/>
              <w:jc w:val="left"/>
              <w:rPr/>
            </w:pPr>
            <w:r>
              <w:rPr/>
              <w:t> </w:t>
            </w:r>
          </w:p>
        </w:tc>
        <w:tc>
          <w:tcPr>
            <w:tcW w:w="1713"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713"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13"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758"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2724" w:type="dxa"/>
            <w:tcBorders/>
            <w:tcMar>
              <w:top w:w="0" w:type="dxa"/>
              <w:left w:w="0" w:type="dxa"/>
              <w:bottom w:w="0" w:type="dxa"/>
              <w:right w:w="0" w:type="dxa"/>
            </w:tcMar>
            <w:vAlign w:val="center"/>
          </w:tcPr>
          <w:p>
            <w:pPr>
              <w:pStyle w:val="TableContents"/>
              <w:bidi w:val="0"/>
              <w:spacing w:before="0" w:after="283"/>
              <w:jc w:val="left"/>
              <w:rPr/>
            </w:pPr>
            <w:r>
              <w:rPr/>
              <w:t>Interest expense</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4,275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3,950</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8,337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7,900</w:t>
            </w:r>
          </w:p>
        </w:tc>
        <w:tc>
          <w:tcPr>
            <w:tcW w:w="226" w:type="dxa"/>
            <w:tcBorders/>
            <w:vAlign w:val="center"/>
          </w:tcPr>
          <w:p>
            <w:pPr>
              <w:pStyle w:val="TableContents"/>
              <w:bidi w:val="0"/>
              <w:spacing w:before="0" w:after="283"/>
              <w:jc w:val="left"/>
              <w:rPr/>
            </w:pPr>
            <w:r>
              <w:rPr/>
              <w:t> </w:t>
            </w:r>
          </w:p>
        </w:tc>
      </w:tr>
      <w:tr>
        <w:trPr/>
        <w:tc>
          <w:tcPr>
            <w:tcW w:w="2724" w:type="dxa"/>
            <w:tcBorders/>
            <w:tcMar>
              <w:top w:w="0" w:type="dxa"/>
              <w:left w:w="0" w:type="dxa"/>
              <w:bottom w:w="0" w:type="dxa"/>
              <w:right w:w="0" w:type="dxa"/>
            </w:tcMar>
            <w:vAlign w:val="center"/>
          </w:tcPr>
          <w:p>
            <w:pPr>
              <w:pStyle w:val="TableContents"/>
              <w:bidi w:val="0"/>
              <w:spacing w:before="0" w:after="283"/>
              <w:jc w:val="left"/>
              <w:rPr/>
            </w:pPr>
            <w:r>
              <w:rPr/>
              <w:t>Other income, net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(79</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(89</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2724" w:type="dxa"/>
            <w:tcBorders/>
            <w:tcMar>
              <w:top w:w="0" w:type="dxa"/>
              <w:left w:w="0" w:type="dxa"/>
              <w:bottom w:w="0" w:type="dxa"/>
              <w:right w:w="0" w:type="dxa"/>
            </w:tcMar>
            <w:vAlign w:val="center"/>
          </w:tcPr>
          <w:p>
            <w:pPr>
              <w:pStyle w:val="TableContents"/>
              <w:bidi w:val="0"/>
              <w:spacing w:before="0" w:after="283"/>
              <w:jc w:val="left"/>
              <w:rPr/>
            </w:pPr>
            <w:r>
              <w:rPr/>
              <w:t>Total other expense</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4,274</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3,871</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8,336</w:t>
            </w:r>
          </w:p>
        </w:tc>
        <w:tc>
          <w:tcPr>
            <w:tcW w:w="18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130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7,811</w:t>
            </w:r>
          </w:p>
        </w:tc>
        <w:tc>
          <w:tcPr>
            <w:tcW w:w="22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2724" w:type="dxa"/>
            <w:tcBorders/>
            <w:vAlign w:val="center"/>
          </w:tcPr>
          <w:p>
            <w:pPr>
              <w:pStyle w:val="TableContents"/>
              <w:bidi w:val="0"/>
              <w:spacing w:before="0" w:after="283"/>
              <w:jc w:val="left"/>
              <w:rPr/>
            </w:pPr>
            <w:r>
              <w:rPr/>
              <w:t>Income before income taxes</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37,826</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18,877</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49,267</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9,544</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724" w:type="dxa"/>
            <w:tcBorders/>
            <w:vAlign w:val="center"/>
          </w:tcPr>
          <w:p>
            <w:pPr>
              <w:pStyle w:val="TableContents"/>
              <w:bidi w:val="0"/>
              <w:spacing w:before="0" w:after="283"/>
              <w:jc w:val="left"/>
              <w:rPr/>
            </w:pPr>
            <w:r>
              <w:rPr/>
              <w:t>Provision for income taxes</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1,266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3,224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1,291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3,245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24" w:type="dxa"/>
            <w:tcBorders/>
            <w:vAlign w:val="center"/>
          </w:tcPr>
          <w:p>
            <w:pPr>
              <w:pStyle w:val="TableContents"/>
              <w:bidi w:val="0"/>
              <w:spacing w:before="0" w:after="283"/>
              <w:jc w:val="left"/>
              <w:rPr/>
            </w:pPr>
            <w:r>
              <w:rPr/>
              <w:t>Net income</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36,560</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15,653</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47,976</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6,299</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724" w:type="dxa"/>
            <w:tcBorders/>
            <w:vAlign w:val="center"/>
          </w:tcPr>
          <w:p>
            <w:pPr>
              <w:pStyle w:val="TableContents"/>
              <w:bidi w:val="0"/>
              <w:spacing w:before="0" w:after="283"/>
              <w:jc w:val="left"/>
              <w:rPr/>
            </w:pPr>
            <w:r>
              <w:rPr/>
              <w:t>Less: Net loss attributable to noncontrolling interest</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14</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30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254</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24" w:type="dxa"/>
            <w:tcBorders/>
            <w:vAlign w:val="center"/>
          </w:tcPr>
          <w:p>
            <w:pPr>
              <w:pStyle w:val="TableContents"/>
              <w:bidi w:val="0"/>
              <w:spacing w:before="0" w:after="283"/>
              <w:jc w:val="left"/>
              <w:rPr/>
            </w:pPr>
            <w:r>
              <w:rPr/>
              <w:t>Net income attributable to Alignment Healthcare, Inc.</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36,560</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15,667</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47,976</w:t>
            </w:r>
          </w:p>
        </w:tc>
        <w:tc>
          <w:tcPr>
            <w:tcW w:w="181"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306"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6,553</w:t>
            </w:r>
          </w:p>
        </w:tc>
        <w:tc>
          <w:tcPr>
            <w:tcW w:w="22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272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7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right"/>
              <w:rPr/>
            </w:pPr>
            <w:r>
              <w:rPr/>
              <w:t> </w:t>
            </w:r>
          </w:p>
        </w:tc>
      </w:tr>
      <w:tr>
        <w:trPr/>
        <w:tc>
          <w:tcPr>
            <w:tcW w:w="2724" w:type="dxa"/>
            <w:tcBorders/>
            <w:vAlign w:val="center"/>
          </w:tcPr>
          <w:p>
            <w:pPr>
              <w:pStyle w:val="TableContents"/>
              <w:bidi w:val="0"/>
              <w:spacing w:before="0" w:after="283"/>
              <w:jc w:val="left"/>
              <w:rPr/>
            </w:pPr>
            <w:r>
              <w:rPr/>
              <w:t>Net income per share attributable to Alignment Healthcare, Inc.:</w:t>
            </w:r>
          </w:p>
        </w:tc>
        <w:tc>
          <w:tcPr>
            <w:tcW w:w="146"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7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right"/>
              <w:rPr/>
            </w:pPr>
            <w:r>
              <w:rPr/>
              <w:t> </w:t>
            </w:r>
          </w:p>
        </w:tc>
      </w:tr>
      <w:tr>
        <w:trPr/>
        <w:tc>
          <w:tcPr>
            <w:tcW w:w="2724" w:type="dxa"/>
            <w:tcBorders/>
            <w:vAlign w:val="center"/>
          </w:tcPr>
          <w:p>
            <w:pPr>
              <w:pStyle w:val="TableContents"/>
              <w:bidi w:val="0"/>
              <w:spacing w:before="0" w:after="283"/>
              <w:jc w:val="left"/>
              <w:rPr/>
            </w:pPr>
            <w:r>
              <w:rPr/>
              <w:t>Basic</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0.18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0.08</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0.23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0.03</w:t>
            </w:r>
          </w:p>
        </w:tc>
        <w:tc>
          <w:tcPr>
            <w:tcW w:w="226" w:type="dxa"/>
            <w:tcBorders/>
            <w:vAlign w:val="center"/>
          </w:tcPr>
          <w:p>
            <w:pPr>
              <w:pStyle w:val="TableContents"/>
              <w:bidi w:val="0"/>
              <w:spacing w:before="0" w:after="283"/>
              <w:jc w:val="left"/>
              <w:rPr/>
            </w:pPr>
            <w:r>
              <w:rPr/>
              <w:t> </w:t>
            </w:r>
          </w:p>
        </w:tc>
      </w:tr>
      <w:tr>
        <w:trPr/>
        <w:tc>
          <w:tcPr>
            <w:tcW w:w="2724" w:type="dxa"/>
            <w:tcBorders/>
            <w:vAlign w:val="center"/>
          </w:tcPr>
          <w:p>
            <w:pPr>
              <w:pStyle w:val="TableContents"/>
              <w:bidi w:val="0"/>
              <w:spacing w:before="0" w:after="283"/>
              <w:jc w:val="left"/>
              <w:rPr/>
            </w:pPr>
            <w:r>
              <w:rPr/>
              <w:t>Diluted</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0.17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0.07</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0.22</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0.03</w:t>
            </w:r>
          </w:p>
        </w:tc>
        <w:tc>
          <w:tcPr>
            <w:tcW w:w="226" w:type="dxa"/>
            <w:tcBorders/>
            <w:vAlign w:val="center"/>
          </w:tcPr>
          <w:p>
            <w:pPr>
              <w:pStyle w:val="TableContents"/>
              <w:bidi w:val="0"/>
              <w:spacing w:before="0" w:after="283"/>
              <w:jc w:val="left"/>
              <w:rPr/>
            </w:pPr>
            <w:r>
              <w:rPr/>
              <w:t> </w:t>
            </w:r>
          </w:p>
        </w:tc>
      </w:tr>
      <w:tr>
        <w:trPr/>
        <w:tc>
          <w:tcPr>
            <w:tcW w:w="2724" w:type="dxa"/>
            <w:tcBorders/>
            <w:vAlign w:val="center"/>
          </w:tcPr>
          <w:p>
            <w:pPr>
              <w:pStyle w:val="TableContents"/>
              <w:bidi w:val="0"/>
              <w:spacing w:before="0" w:after="283"/>
              <w:jc w:val="left"/>
              <w:rPr/>
            </w:pPr>
            <w:r>
              <w:rPr/>
              <w:t>Weighted-average common shares outstanding:</w:t>
            </w:r>
          </w:p>
        </w:tc>
        <w:tc>
          <w:tcPr>
            <w:tcW w:w="146"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right"/>
              <w:rPr/>
            </w:pPr>
            <w:r>
              <w:rPr/>
              <w:t> </w:t>
            </w:r>
          </w:p>
        </w:tc>
        <w:tc>
          <w:tcPr>
            <w:tcW w:w="1713" w:type="dxa"/>
            <w:gridSpan w:val="3"/>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1758" w:type="dxa"/>
            <w:gridSpan w:val="3"/>
            <w:tcBorders/>
            <w:vAlign w:val="center"/>
          </w:tcPr>
          <w:p>
            <w:pPr>
              <w:pStyle w:val="TableContents"/>
              <w:bidi w:val="0"/>
              <w:spacing w:before="0" w:after="283"/>
              <w:jc w:val="right"/>
              <w:rPr/>
            </w:pPr>
            <w:r>
              <w:rPr/>
              <w:t> </w:t>
            </w:r>
          </w:p>
        </w:tc>
      </w:tr>
      <w:tr>
        <w:trPr/>
        <w:tc>
          <w:tcPr>
            <w:tcW w:w="2724" w:type="dxa"/>
            <w:tcBorders/>
            <w:tcMar>
              <w:top w:w="0" w:type="dxa"/>
              <w:left w:w="0" w:type="dxa"/>
              <w:bottom w:w="0" w:type="dxa"/>
              <w:right w:w="0" w:type="dxa"/>
            </w:tcMar>
            <w:vAlign w:val="center"/>
          </w:tcPr>
          <w:p>
            <w:pPr>
              <w:pStyle w:val="TableContents"/>
              <w:bidi w:val="0"/>
              <w:spacing w:before="0" w:after="283"/>
              <w:jc w:val="left"/>
              <w:rPr/>
            </w:pPr>
            <w:r>
              <w:rPr/>
              <w:t>Basic</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207,448,894</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198,328,613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206,408,426</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195,980,569</w:t>
            </w:r>
          </w:p>
        </w:tc>
        <w:tc>
          <w:tcPr>
            <w:tcW w:w="226" w:type="dxa"/>
            <w:tcBorders/>
            <w:vAlign w:val="center"/>
          </w:tcPr>
          <w:p>
            <w:pPr>
              <w:pStyle w:val="TableContents"/>
              <w:bidi w:val="0"/>
              <w:spacing w:before="0" w:after="283"/>
              <w:jc w:val="left"/>
              <w:rPr/>
            </w:pPr>
            <w:r>
              <w:rPr/>
              <w:t> </w:t>
            </w:r>
          </w:p>
        </w:tc>
      </w:tr>
      <w:tr>
        <w:trPr/>
        <w:tc>
          <w:tcPr>
            <w:tcW w:w="2724" w:type="dxa"/>
            <w:tcBorders/>
            <w:tcMar>
              <w:top w:w="0" w:type="dxa"/>
              <w:left w:w="0" w:type="dxa"/>
              <w:bottom w:w="0" w:type="dxa"/>
              <w:right w:w="0" w:type="dxa"/>
            </w:tcMar>
            <w:vAlign w:val="center"/>
          </w:tcPr>
          <w:p>
            <w:pPr>
              <w:pStyle w:val="TableContents"/>
              <w:bidi w:val="0"/>
              <w:spacing w:before="0" w:after="283"/>
              <w:jc w:val="left"/>
              <w:rPr/>
            </w:pPr>
            <w:r>
              <w:rPr/>
              <w:t>Diluted</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215,024,483</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209,519,629</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214,369,175</w:t>
            </w:r>
          </w:p>
        </w:tc>
        <w:tc>
          <w:tcPr>
            <w:tcW w:w="1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06" w:type="dxa"/>
            <w:tcBorders/>
            <w:vAlign w:val="center"/>
          </w:tcPr>
          <w:p>
            <w:pPr>
              <w:pStyle w:val="TableContents"/>
              <w:bidi w:val="0"/>
              <w:spacing w:before="0" w:after="283"/>
              <w:jc w:val="right"/>
              <w:rPr/>
            </w:pPr>
            <w:r>
              <w:rPr/>
              <w:t>201,576,078</w:t>
            </w:r>
          </w:p>
        </w:tc>
        <w:tc>
          <w:tcPr>
            <w:tcW w:w="226" w:type="dxa"/>
            <w:tcBorders/>
            <w:vAlign w:val="center"/>
          </w:tcPr>
          <w:p>
            <w:pPr>
              <w:pStyle w:val="TableContents"/>
              <w:bidi w:val="0"/>
              <w:spacing w:before="0" w:after="283"/>
              <w:jc w:val="left"/>
              <w:rPr/>
            </w:pPr>
            <w:r>
              <w:rPr/>
              <w:t> </w:t>
            </w:r>
          </w:p>
        </w:tc>
      </w:tr>
    </w:tbl>
    <w:p>
      <w:pPr>
        <w:pStyle w:val="TextBody"/>
        <w:bidi w:val="0"/>
        <w:jc w:val="center"/>
        <w:rPr/>
      </w:pPr>
      <w:r>
        <w:rPr/>
      </w:r>
    </w:p>
    <w:tbl>
      <w:tblPr>
        <w:tblW w:w="10205" w:type="dxa"/>
        <w:jc w:val="left"/>
        <w:tblInd w:w="0" w:type="dxa"/>
        <w:tblLayout w:type="fixed"/>
        <w:tblCellMar>
          <w:top w:w="28" w:type="dxa"/>
          <w:left w:w="28" w:type="dxa"/>
          <w:bottom w:w="28" w:type="dxa"/>
          <w:right w:w="28" w:type="dxa"/>
        </w:tblCellMar>
      </w:tblPr>
      <w:tblGrid>
        <w:gridCol w:w="7116"/>
        <w:gridCol w:w="146"/>
        <w:gridCol w:w="233"/>
        <w:gridCol w:w="914"/>
        <w:gridCol w:w="186"/>
        <w:gridCol w:w="150"/>
        <w:gridCol w:w="233"/>
        <w:gridCol w:w="992"/>
        <w:gridCol w:w="235"/>
      </w:tblGrid>
      <w:tr>
        <w:trPr/>
        <w:tc>
          <w:tcPr>
            <w:tcW w:w="10205" w:type="dxa"/>
            <w:gridSpan w:val="9"/>
            <w:tcBorders/>
            <w:vAlign w:val="center"/>
          </w:tcPr>
          <w:p>
            <w:pPr>
              <w:pStyle w:val="TableContents"/>
              <w:bidi w:val="0"/>
              <w:spacing w:before="0" w:after="283"/>
              <w:jc w:val="center"/>
              <w:rPr/>
            </w:pPr>
            <w:r>
              <w:rPr>
                <w:rStyle w:val="StrongEmphasis"/>
              </w:rPr>
              <w:t>Condensed Consolidated Statements of Cash Flows</w:t>
              <w:br/>
            </w:r>
            <w:r>
              <w:rPr>
                <w:rStyle w:val="Emphasis"/>
              </w:rPr>
              <w:t>(in thousands)</w:t>
            </w:r>
            <w:r>
              <w:rPr/>
              <w:br/>
            </w:r>
            <w:r>
              <w:rPr>
                <w:rStyle w:val="Emphasis"/>
              </w:rPr>
              <w:t>(Unaudited)</w:t>
            </w:r>
          </w:p>
        </w:tc>
      </w:tr>
      <w:tr>
        <w:trPr/>
        <w:tc>
          <w:tcPr>
            <w:tcW w:w="71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943" w:type="dxa"/>
            <w:gridSpan w:val="7"/>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Six Months Ended June 30,</w:t>
            </w:r>
          </w:p>
        </w:tc>
      </w:tr>
      <w:tr>
        <w:trPr/>
        <w:tc>
          <w:tcPr>
            <w:tcW w:w="71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14"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50"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 </w:t>
            </w:r>
          </w:p>
        </w:tc>
        <w:tc>
          <w:tcPr>
            <w:tcW w:w="2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c>
          <w:tcPr>
            <w:tcW w:w="99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rStyle w:val="StrongEmphasis"/>
              </w:rPr>
              <w:t>2025</w:t>
            </w:r>
          </w:p>
        </w:tc>
        <w:tc>
          <w:tcPr>
            <w:tcW w:w="2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center"/>
              <w:rPr/>
            </w:pPr>
            <w:r>
              <w:rPr/>
              <w:t> </w:t>
            </w:r>
          </w:p>
        </w:tc>
      </w:tr>
      <w:tr>
        <w:trPr/>
        <w:tc>
          <w:tcPr>
            <w:tcW w:w="7116" w:type="dxa"/>
            <w:tcBorders/>
            <w:vAlign w:val="center"/>
          </w:tcPr>
          <w:p>
            <w:pPr>
              <w:pStyle w:val="TableContents"/>
              <w:bidi w:val="0"/>
              <w:spacing w:before="0" w:after="283"/>
              <w:jc w:val="left"/>
              <w:rPr/>
            </w:pPr>
            <w:r>
              <w:rPr>
                <w:rStyle w:val="StrongEmphasis"/>
              </w:rPr>
              <w:t>Operating Activities:</w:t>
            </w:r>
          </w:p>
        </w:tc>
        <w:tc>
          <w:tcPr>
            <w:tcW w:w="146" w:type="dxa"/>
            <w:tcBorders/>
            <w:vAlign w:val="center"/>
          </w:tcPr>
          <w:p>
            <w:pPr>
              <w:pStyle w:val="TableContents"/>
              <w:bidi w:val="0"/>
              <w:spacing w:before="0" w:after="283"/>
              <w:jc w:val="left"/>
              <w:rPr/>
            </w:pPr>
            <w:r>
              <w:rPr/>
              <w:t> </w:t>
            </w:r>
          </w:p>
        </w:tc>
        <w:tc>
          <w:tcPr>
            <w:tcW w:w="1333"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jc w:val="left"/>
              <w:rPr/>
            </w:pPr>
            <w:r>
              <w:rPr/>
              <w:t> </w:t>
            </w:r>
          </w:p>
        </w:tc>
        <w:tc>
          <w:tcPr>
            <w:tcW w:w="1460"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Net income</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w:t>
            </w:r>
          </w:p>
        </w:tc>
        <w:tc>
          <w:tcPr>
            <w:tcW w:w="914" w:type="dxa"/>
            <w:tcBorders/>
            <w:vAlign w:val="center"/>
          </w:tcPr>
          <w:p>
            <w:pPr>
              <w:pStyle w:val="TableContents"/>
              <w:bidi w:val="0"/>
              <w:spacing w:before="0" w:after="283"/>
              <w:jc w:val="right"/>
              <w:rPr/>
            </w:pPr>
            <w:r>
              <w:rPr/>
              <w:t>47,976</w:t>
            </w:r>
          </w:p>
        </w:tc>
        <w:tc>
          <w:tcPr>
            <w:tcW w:w="18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w:t>
            </w:r>
          </w:p>
        </w:tc>
        <w:tc>
          <w:tcPr>
            <w:tcW w:w="992" w:type="dxa"/>
            <w:tcBorders/>
            <w:vAlign w:val="center"/>
          </w:tcPr>
          <w:p>
            <w:pPr>
              <w:pStyle w:val="TableContents"/>
              <w:bidi w:val="0"/>
              <w:spacing w:before="0" w:after="283"/>
              <w:jc w:val="right"/>
              <w:rPr/>
            </w:pPr>
            <w:r>
              <w:rPr/>
              <w:t>6,299</w:t>
            </w:r>
          </w:p>
        </w:tc>
        <w:tc>
          <w:tcPr>
            <w:tcW w:w="235" w:type="dxa"/>
            <w:tcBorders/>
            <w:vAlign w:val="center"/>
          </w:tcPr>
          <w:p>
            <w:pPr>
              <w:pStyle w:val="TableContents"/>
              <w:bidi w:val="0"/>
              <w:spacing w:before="0" w:after="283"/>
              <w:jc w:val="lef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Adjustments to reconcile net income to net cash provided by operating activities:</w:t>
            </w:r>
          </w:p>
        </w:tc>
        <w:tc>
          <w:tcPr>
            <w:tcW w:w="146" w:type="dxa"/>
            <w:tcBorders/>
            <w:vAlign w:val="center"/>
          </w:tcPr>
          <w:p>
            <w:pPr>
              <w:pStyle w:val="TableContents"/>
              <w:bidi w:val="0"/>
              <w:spacing w:before="0" w:after="283"/>
              <w:jc w:val="left"/>
              <w:rPr/>
            </w:pPr>
            <w:r>
              <w:rPr/>
              <w:t> </w:t>
            </w:r>
          </w:p>
        </w:tc>
        <w:tc>
          <w:tcPr>
            <w:tcW w:w="1333" w:type="dxa"/>
            <w:gridSpan w:val="3"/>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jc w:val="left"/>
              <w:rPr/>
            </w:pPr>
            <w:r>
              <w:rPr/>
              <w:t> </w:t>
            </w:r>
          </w:p>
        </w:tc>
        <w:tc>
          <w:tcPr>
            <w:tcW w:w="1460" w:type="dxa"/>
            <w:gridSpan w:val="3"/>
            <w:tcBorders/>
            <w:vAlign w:val="center"/>
          </w:tcPr>
          <w:p>
            <w:pPr>
              <w:pStyle w:val="TableContents"/>
              <w:bidi w:val="0"/>
              <w:spacing w:before="0" w:after="283"/>
              <w:jc w:val="righ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Provision for credit loss</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265</w:t>
            </w:r>
          </w:p>
        </w:tc>
        <w:tc>
          <w:tcPr>
            <w:tcW w:w="18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92" w:type="dxa"/>
            <w:tcBorders/>
            <w:vAlign w:val="center"/>
          </w:tcPr>
          <w:p>
            <w:pPr>
              <w:pStyle w:val="TableContents"/>
              <w:bidi w:val="0"/>
              <w:spacing w:before="0" w:after="283"/>
              <w:jc w:val="right"/>
              <w:rPr/>
            </w:pPr>
            <w:r>
              <w:rPr/>
              <w:t>262</w:t>
            </w:r>
          </w:p>
        </w:tc>
        <w:tc>
          <w:tcPr>
            <w:tcW w:w="235" w:type="dxa"/>
            <w:tcBorders/>
            <w:vAlign w:val="center"/>
          </w:tcPr>
          <w:p>
            <w:pPr>
              <w:pStyle w:val="TableContents"/>
              <w:bidi w:val="0"/>
              <w:spacing w:before="0" w:after="283"/>
              <w:jc w:val="lef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Gain on sale of property and equipment</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(1</w:t>
            </w:r>
          </w:p>
        </w:tc>
        <w:tc>
          <w:tcPr>
            <w:tcW w:w="186" w:type="dxa"/>
            <w:tcBorders/>
            <w:vAlign w:val="center"/>
          </w:tcPr>
          <w:p>
            <w:pPr>
              <w:pStyle w:val="TableContents"/>
              <w:bidi w:val="0"/>
              <w:spacing w:before="0" w:after="283"/>
              <w:jc w:val="left"/>
              <w:rPr/>
            </w:pPr>
            <w:r>
              <w:rPr/>
              <w:t>)</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92" w:type="dxa"/>
            <w:tcBorders/>
            <w:vAlign w:val="center"/>
          </w:tcPr>
          <w:p>
            <w:pPr>
              <w:pStyle w:val="TableContents"/>
              <w:bidi w:val="0"/>
              <w:spacing w:before="0" w:after="283"/>
              <w:jc w:val="right"/>
              <w:rPr/>
            </w:pPr>
            <w:r>
              <w:rPr/>
              <w:t>(72</w:t>
            </w:r>
          </w:p>
        </w:tc>
        <w:tc>
          <w:tcPr>
            <w:tcW w:w="235" w:type="dxa"/>
            <w:tcBorders/>
            <w:vAlign w:val="center"/>
          </w:tcPr>
          <w:p>
            <w:pPr>
              <w:pStyle w:val="TableContents"/>
              <w:bidi w:val="0"/>
              <w:spacing w:before="0" w:after="283"/>
              <w:jc w:val="left"/>
              <w:rPr/>
            </w:pPr>
            <w:r>
              <w:rPr/>
              <w:t>)</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Depreciation and amortization</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15,719</w:t>
            </w:r>
          </w:p>
        </w:tc>
        <w:tc>
          <w:tcPr>
            <w:tcW w:w="18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92" w:type="dxa"/>
            <w:tcBorders/>
            <w:vAlign w:val="center"/>
          </w:tcPr>
          <w:p>
            <w:pPr>
              <w:pStyle w:val="TableContents"/>
              <w:bidi w:val="0"/>
              <w:spacing w:before="0" w:after="283"/>
              <w:jc w:val="right"/>
              <w:rPr/>
            </w:pPr>
            <w:r>
              <w:rPr/>
              <w:t>14,663</w:t>
            </w:r>
          </w:p>
        </w:tc>
        <w:tc>
          <w:tcPr>
            <w:tcW w:w="235" w:type="dxa"/>
            <w:tcBorders/>
            <w:vAlign w:val="center"/>
          </w:tcPr>
          <w:p>
            <w:pPr>
              <w:pStyle w:val="TableContents"/>
              <w:bidi w:val="0"/>
              <w:spacing w:before="0" w:after="283"/>
              <w:jc w:val="lef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Amortization-investment discount</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(350</w:t>
            </w:r>
          </w:p>
        </w:tc>
        <w:tc>
          <w:tcPr>
            <w:tcW w:w="186" w:type="dxa"/>
            <w:tcBorders/>
            <w:vAlign w:val="center"/>
          </w:tcPr>
          <w:p>
            <w:pPr>
              <w:pStyle w:val="TableContents"/>
              <w:bidi w:val="0"/>
              <w:spacing w:before="0" w:after="283"/>
              <w:jc w:val="left"/>
              <w:rPr/>
            </w:pPr>
            <w:r>
              <w:rPr/>
              <w:t>)</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92" w:type="dxa"/>
            <w:tcBorders/>
            <w:vAlign w:val="center"/>
          </w:tcPr>
          <w:p>
            <w:pPr>
              <w:pStyle w:val="TableContents"/>
              <w:bidi w:val="0"/>
              <w:spacing w:before="0" w:after="283"/>
              <w:jc w:val="right"/>
              <w:rPr/>
            </w:pPr>
            <w:r>
              <w:rPr/>
              <w:t>(731</w:t>
            </w:r>
          </w:p>
        </w:tc>
        <w:tc>
          <w:tcPr>
            <w:tcW w:w="235" w:type="dxa"/>
            <w:tcBorders/>
            <w:vAlign w:val="center"/>
          </w:tcPr>
          <w:p>
            <w:pPr>
              <w:pStyle w:val="TableContents"/>
              <w:bidi w:val="0"/>
              <w:spacing w:before="0" w:after="283"/>
              <w:jc w:val="left"/>
              <w:rPr/>
            </w:pPr>
            <w:r>
              <w:rPr/>
              <w:t>)</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Amortization-debt issuance costs</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1,147</w:t>
            </w:r>
          </w:p>
        </w:tc>
        <w:tc>
          <w:tcPr>
            <w:tcW w:w="18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92" w:type="dxa"/>
            <w:tcBorders/>
            <w:vAlign w:val="center"/>
          </w:tcPr>
          <w:p>
            <w:pPr>
              <w:pStyle w:val="TableContents"/>
              <w:bidi w:val="0"/>
              <w:spacing w:before="0" w:after="283"/>
              <w:jc w:val="right"/>
              <w:rPr/>
            </w:pPr>
            <w:r>
              <w:rPr/>
              <w:t>881</w:t>
            </w:r>
          </w:p>
        </w:tc>
        <w:tc>
          <w:tcPr>
            <w:tcW w:w="235" w:type="dxa"/>
            <w:tcBorders/>
            <w:vAlign w:val="center"/>
          </w:tcPr>
          <w:p>
            <w:pPr>
              <w:pStyle w:val="TableContents"/>
              <w:bidi w:val="0"/>
              <w:spacing w:before="0" w:after="283"/>
              <w:jc w:val="lef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Equity-based compensation</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32,193</w:t>
            </w:r>
          </w:p>
        </w:tc>
        <w:tc>
          <w:tcPr>
            <w:tcW w:w="18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92" w:type="dxa"/>
            <w:tcBorders/>
            <w:vAlign w:val="center"/>
          </w:tcPr>
          <w:p>
            <w:pPr>
              <w:pStyle w:val="TableContents"/>
              <w:bidi w:val="0"/>
              <w:spacing w:before="0" w:after="283"/>
              <w:jc w:val="right"/>
              <w:rPr/>
            </w:pPr>
            <w:r>
              <w:rPr/>
              <w:t>32,740</w:t>
            </w:r>
          </w:p>
        </w:tc>
        <w:tc>
          <w:tcPr>
            <w:tcW w:w="235" w:type="dxa"/>
            <w:tcBorders/>
            <w:vAlign w:val="center"/>
          </w:tcPr>
          <w:p>
            <w:pPr>
              <w:pStyle w:val="TableContents"/>
              <w:bidi w:val="0"/>
              <w:spacing w:before="0" w:after="283"/>
              <w:jc w:val="lef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Non-cash lease expense</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929</w:t>
            </w:r>
          </w:p>
        </w:tc>
        <w:tc>
          <w:tcPr>
            <w:tcW w:w="18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92" w:type="dxa"/>
            <w:tcBorders/>
            <w:vAlign w:val="center"/>
          </w:tcPr>
          <w:p>
            <w:pPr>
              <w:pStyle w:val="TableContents"/>
              <w:bidi w:val="0"/>
              <w:spacing w:before="0" w:after="283"/>
              <w:jc w:val="right"/>
              <w:rPr/>
            </w:pPr>
            <w:r>
              <w:rPr/>
              <w:t>246</w:t>
            </w:r>
          </w:p>
        </w:tc>
        <w:tc>
          <w:tcPr>
            <w:tcW w:w="235" w:type="dxa"/>
            <w:tcBorders/>
            <w:vAlign w:val="center"/>
          </w:tcPr>
          <w:p>
            <w:pPr>
              <w:pStyle w:val="TableContents"/>
              <w:bidi w:val="0"/>
              <w:spacing w:before="0" w:after="283"/>
              <w:jc w:val="lef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Changes in operating assets and liabilities:</w:t>
            </w:r>
          </w:p>
        </w:tc>
        <w:tc>
          <w:tcPr>
            <w:tcW w:w="146" w:type="dxa"/>
            <w:tcBorders/>
            <w:vAlign w:val="center"/>
          </w:tcPr>
          <w:p>
            <w:pPr>
              <w:pStyle w:val="TableContents"/>
              <w:bidi w:val="0"/>
              <w:spacing w:before="0" w:after="283"/>
              <w:jc w:val="left"/>
              <w:rPr/>
            </w:pPr>
            <w:r>
              <w:rPr/>
              <w:t> </w:t>
            </w:r>
          </w:p>
        </w:tc>
        <w:tc>
          <w:tcPr>
            <w:tcW w:w="1333" w:type="dxa"/>
            <w:gridSpan w:val="3"/>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jc w:val="left"/>
              <w:rPr/>
            </w:pPr>
            <w:r>
              <w:rPr/>
              <w:t> </w:t>
            </w:r>
          </w:p>
        </w:tc>
        <w:tc>
          <w:tcPr>
            <w:tcW w:w="1460" w:type="dxa"/>
            <w:gridSpan w:val="3"/>
            <w:tcBorders/>
            <w:vAlign w:val="center"/>
          </w:tcPr>
          <w:p>
            <w:pPr>
              <w:pStyle w:val="TableContents"/>
              <w:bidi w:val="0"/>
              <w:spacing w:before="0" w:after="283"/>
              <w:jc w:val="righ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Accounts receivable</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(43,951</w:t>
            </w:r>
          </w:p>
        </w:tc>
        <w:tc>
          <w:tcPr>
            <w:tcW w:w="186" w:type="dxa"/>
            <w:tcBorders/>
            <w:vAlign w:val="center"/>
          </w:tcPr>
          <w:p>
            <w:pPr>
              <w:pStyle w:val="TableContents"/>
              <w:bidi w:val="0"/>
              <w:spacing w:before="0" w:after="283"/>
              <w:jc w:val="left"/>
              <w:rPr/>
            </w:pPr>
            <w:r>
              <w:rPr/>
              <w:t>)</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92" w:type="dxa"/>
            <w:tcBorders/>
            <w:vAlign w:val="center"/>
          </w:tcPr>
          <w:p>
            <w:pPr>
              <w:pStyle w:val="TableContents"/>
              <w:bidi w:val="0"/>
              <w:spacing w:before="0" w:after="283"/>
              <w:jc w:val="right"/>
              <w:rPr/>
            </w:pPr>
            <w:r>
              <w:rPr/>
              <w:t>(129,259</w:t>
            </w:r>
          </w:p>
        </w:tc>
        <w:tc>
          <w:tcPr>
            <w:tcW w:w="235" w:type="dxa"/>
            <w:tcBorders/>
            <w:vAlign w:val="center"/>
          </w:tcPr>
          <w:p>
            <w:pPr>
              <w:pStyle w:val="TableContents"/>
              <w:bidi w:val="0"/>
              <w:spacing w:before="0" w:after="283"/>
              <w:jc w:val="left"/>
              <w:rPr/>
            </w:pPr>
            <w:r>
              <w:rPr/>
              <w:t>)</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Prepaid expenses and other current assets</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(67,705</w:t>
            </w:r>
          </w:p>
        </w:tc>
        <w:tc>
          <w:tcPr>
            <w:tcW w:w="186" w:type="dxa"/>
            <w:tcBorders/>
            <w:vAlign w:val="center"/>
          </w:tcPr>
          <w:p>
            <w:pPr>
              <w:pStyle w:val="TableContents"/>
              <w:bidi w:val="0"/>
              <w:spacing w:before="0" w:after="283"/>
              <w:jc w:val="left"/>
              <w:rPr/>
            </w:pPr>
            <w:r>
              <w:rPr/>
              <w:t>)</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92" w:type="dxa"/>
            <w:tcBorders/>
            <w:vAlign w:val="center"/>
          </w:tcPr>
          <w:p>
            <w:pPr>
              <w:pStyle w:val="TableContents"/>
              <w:bidi w:val="0"/>
              <w:spacing w:before="0" w:after="283"/>
              <w:jc w:val="right"/>
              <w:rPr/>
            </w:pPr>
            <w:r>
              <w:rPr/>
              <w:t>(56,333</w:t>
            </w:r>
          </w:p>
        </w:tc>
        <w:tc>
          <w:tcPr>
            <w:tcW w:w="235" w:type="dxa"/>
            <w:tcBorders/>
            <w:vAlign w:val="center"/>
          </w:tcPr>
          <w:p>
            <w:pPr>
              <w:pStyle w:val="TableContents"/>
              <w:bidi w:val="0"/>
              <w:spacing w:before="0" w:after="283"/>
              <w:jc w:val="left"/>
              <w:rPr/>
            </w:pPr>
            <w:r>
              <w:rPr/>
              <w:t>)</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Other assets</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11</w:t>
            </w:r>
          </w:p>
        </w:tc>
        <w:tc>
          <w:tcPr>
            <w:tcW w:w="18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92" w:type="dxa"/>
            <w:tcBorders/>
            <w:vAlign w:val="center"/>
          </w:tcPr>
          <w:p>
            <w:pPr>
              <w:pStyle w:val="TableContents"/>
              <w:bidi w:val="0"/>
              <w:spacing w:before="0" w:after="283"/>
              <w:jc w:val="right"/>
              <w:rPr/>
            </w:pPr>
            <w:r>
              <w:rPr/>
              <w:t>(52</w:t>
            </w:r>
          </w:p>
        </w:tc>
        <w:tc>
          <w:tcPr>
            <w:tcW w:w="235" w:type="dxa"/>
            <w:tcBorders/>
            <w:vAlign w:val="center"/>
          </w:tcPr>
          <w:p>
            <w:pPr>
              <w:pStyle w:val="TableContents"/>
              <w:bidi w:val="0"/>
              <w:spacing w:before="0" w:after="283"/>
              <w:jc w:val="left"/>
              <w:rPr/>
            </w:pPr>
            <w:r>
              <w:rPr/>
              <w:t>)</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Medical expenses payable</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138,179</w:t>
            </w:r>
          </w:p>
        </w:tc>
        <w:tc>
          <w:tcPr>
            <w:tcW w:w="18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92" w:type="dxa"/>
            <w:tcBorders/>
            <w:vAlign w:val="center"/>
          </w:tcPr>
          <w:p>
            <w:pPr>
              <w:pStyle w:val="TableContents"/>
              <w:bidi w:val="0"/>
              <w:spacing w:before="0" w:after="283"/>
              <w:jc w:val="right"/>
              <w:rPr/>
            </w:pPr>
            <w:r>
              <w:rPr/>
              <w:t>165,366</w:t>
            </w:r>
          </w:p>
        </w:tc>
        <w:tc>
          <w:tcPr>
            <w:tcW w:w="235" w:type="dxa"/>
            <w:tcBorders/>
            <w:vAlign w:val="center"/>
          </w:tcPr>
          <w:p>
            <w:pPr>
              <w:pStyle w:val="TableContents"/>
              <w:bidi w:val="0"/>
              <w:spacing w:before="0" w:after="283"/>
              <w:jc w:val="lef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Accounts payable and accrued expenses</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(1,324</w:t>
            </w:r>
          </w:p>
        </w:tc>
        <w:tc>
          <w:tcPr>
            <w:tcW w:w="186" w:type="dxa"/>
            <w:tcBorders/>
            <w:vAlign w:val="center"/>
          </w:tcPr>
          <w:p>
            <w:pPr>
              <w:pStyle w:val="TableContents"/>
              <w:bidi w:val="0"/>
              <w:spacing w:before="0" w:after="283"/>
              <w:jc w:val="left"/>
              <w:rPr/>
            </w:pPr>
            <w:r>
              <w:rPr/>
              <w:t>)</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92" w:type="dxa"/>
            <w:tcBorders/>
            <w:vAlign w:val="center"/>
          </w:tcPr>
          <w:p>
            <w:pPr>
              <w:pStyle w:val="TableContents"/>
              <w:bidi w:val="0"/>
              <w:spacing w:before="0" w:after="283"/>
              <w:jc w:val="right"/>
              <w:rPr/>
            </w:pPr>
            <w:r>
              <w:rPr/>
              <w:t>8,631</w:t>
            </w:r>
          </w:p>
        </w:tc>
        <w:tc>
          <w:tcPr>
            <w:tcW w:w="235" w:type="dxa"/>
            <w:tcBorders/>
            <w:vAlign w:val="center"/>
          </w:tcPr>
          <w:p>
            <w:pPr>
              <w:pStyle w:val="TableContents"/>
              <w:bidi w:val="0"/>
              <w:spacing w:before="0" w:after="283"/>
              <w:jc w:val="lef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Accrued compensation</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(10,624</w:t>
            </w:r>
          </w:p>
        </w:tc>
        <w:tc>
          <w:tcPr>
            <w:tcW w:w="186" w:type="dxa"/>
            <w:tcBorders/>
            <w:vAlign w:val="center"/>
          </w:tcPr>
          <w:p>
            <w:pPr>
              <w:pStyle w:val="TableContents"/>
              <w:bidi w:val="0"/>
              <w:spacing w:before="0" w:after="283"/>
              <w:jc w:val="left"/>
              <w:rPr/>
            </w:pPr>
            <w:r>
              <w:rPr/>
              <w:t>)</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92" w:type="dxa"/>
            <w:tcBorders/>
            <w:vAlign w:val="center"/>
          </w:tcPr>
          <w:p>
            <w:pPr>
              <w:pStyle w:val="TableContents"/>
              <w:bidi w:val="0"/>
              <w:spacing w:before="0" w:after="283"/>
              <w:jc w:val="right"/>
              <w:rPr/>
            </w:pPr>
            <w:r>
              <w:rPr/>
              <w:t>3,085</w:t>
            </w:r>
          </w:p>
        </w:tc>
        <w:tc>
          <w:tcPr>
            <w:tcW w:w="235" w:type="dxa"/>
            <w:tcBorders/>
            <w:vAlign w:val="center"/>
          </w:tcPr>
          <w:p>
            <w:pPr>
              <w:pStyle w:val="TableContents"/>
              <w:bidi w:val="0"/>
              <w:spacing w:before="0" w:after="283"/>
              <w:jc w:val="lef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Lease liabilities</w:t>
            </w:r>
          </w:p>
        </w:tc>
        <w:tc>
          <w:tcPr>
            <w:tcW w:w="146" w:type="dxa"/>
            <w:tcBorders/>
            <w:vAlign w:val="center"/>
          </w:tcPr>
          <w:p>
            <w:pPr>
              <w:pStyle w:val="TableContents"/>
              <w:bidi w:val="0"/>
              <w:spacing w:before="0" w:after="283"/>
              <w:jc w:val="left"/>
              <w:rPr/>
            </w:pPr>
            <w:r>
              <w:rPr/>
              <w:t> </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1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(1,096</w:t>
            </w:r>
          </w:p>
        </w:tc>
        <w:tc>
          <w:tcPr>
            <w:tcW w:w="18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50" w:type="dxa"/>
            <w:tcBorders/>
            <w:vAlign w:val="center"/>
          </w:tcPr>
          <w:p>
            <w:pPr>
              <w:pStyle w:val="TableContents"/>
              <w:bidi w:val="0"/>
              <w:spacing w:before="0" w:after="283"/>
              <w:jc w:val="left"/>
              <w:rPr/>
            </w:pPr>
            <w:r>
              <w:rPr/>
              <w:t> </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   </w:t>
            </w:r>
            <w:r>
              <w:rPr/>
              <w:t>Net cash provided by operating activities</w:t>
            </w:r>
          </w:p>
        </w:tc>
        <w:tc>
          <w:tcPr>
            <w:tcW w:w="146" w:type="dxa"/>
            <w:tcBorders/>
            <w:vAlign w:val="center"/>
          </w:tcPr>
          <w:p>
            <w:pPr>
              <w:pStyle w:val="TableContents"/>
              <w:bidi w:val="0"/>
              <w:spacing w:before="0" w:after="283"/>
              <w:jc w:val="left"/>
              <w:rPr/>
            </w:pPr>
            <w:r>
              <w:rPr/>
              <w:t> </w:t>
            </w:r>
          </w:p>
        </w:tc>
        <w:tc>
          <w:tcPr>
            <w:tcW w:w="2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111,368</w:t>
            </w:r>
          </w:p>
        </w:tc>
        <w:tc>
          <w:tcPr>
            <w:tcW w:w="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9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45,746</w:t>
            </w:r>
          </w:p>
        </w:tc>
        <w:tc>
          <w:tcPr>
            <w:tcW w:w="2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left"/>
              <w:rPr/>
            </w:pPr>
            <w:r>
              <w:rPr>
                <w:rStyle w:val="StrongEmphasis"/>
              </w:rPr>
              <w:t>Investing Activities:</w:t>
            </w:r>
          </w:p>
        </w:tc>
        <w:tc>
          <w:tcPr>
            <w:tcW w:w="146" w:type="dxa"/>
            <w:tcBorders/>
            <w:vAlign w:val="center"/>
          </w:tcPr>
          <w:p>
            <w:pPr>
              <w:pStyle w:val="TableContents"/>
              <w:bidi w:val="0"/>
              <w:spacing w:before="0" w:after="283"/>
              <w:jc w:val="left"/>
              <w:rPr/>
            </w:pPr>
            <w:r>
              <w:rPr/>
              <w:t> </w:t>
            </w:r>
          </w:p>
        </w:tc>
        <w:tc>
          <w:tcPr>
            <w:tcW w:w="1333"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jc w:val="left"/>
              <w:rPr/>
            </w:pPr>
            <w:r>
              <w:rPr/>
              <w:t> </w:t>
            </w:r>
          </w:p>
        </w:tc>
        <w:tc>
          <w:tcPr>
            <w:tcW w:w="1460"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Purchase of investments</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(16,835</w:t>
            </w:r>
          </w:p>
        </w:tc>
        <w:tc>
          <w:tcPr>
            <w:tcW w:w="186" w:type="dxa"/>
            <w:tcBorders/>
            <w:vAlign w:val="center"/>
          </w:tcPr>
          <w:p>
            <w:pPr>
              <w:pStyle w:val="TableContents"/>
              <w:bidi w:val="0"/>
              <w:spacing w:before="0" w:after="283"/>
              <w:jc w:val="left"/>
              <w:rPr/>
            </w:pPr>
            <w:r>
              <w:rPr/>
              <w:t>)</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92" w:type="dxa"/>
            <w:tcBorders/>
            <w:vAlign w:val="center"/>
          </w:tcPr>
          <w:p>
            <w:pPr>
              <w:pStyle w:val="TableContents"/>
              <w:bidi w:val="0"/>
              <w:spacing w:before="0" w:after="283"/>
              <w:jc w:val="right"/>
              <w:rPr/>
            </w:pPr>
            <w:r>
              <w:rPr/>
              <w:t>(35,001</w:t>
            </w:r>
          </w:p>
        </w:tc>
        <w:tc>
          <w:tcPr>
            <w:tcW w:w="235" w:type="dxa"/>
            <w:tcBorders/>
            <w:vAlign w:val="center"/>
          </w:tcPr>
          <w:p>
            <w:pPr>
              <w:pStyle w:val="TableContents"/>
              <w:bidi w:val="0"/>
              <w:spacing w:before="0" w:after="283"/>
              <w:jc w:val="left"/>
              <w:rPr/>
            </w:pPr>
            <w:r>
              <w:rPr/>
              <w:t>)</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Sale of property and equipment</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w:t>
            </w:r>
          </w:p>
        </w:tc>
        <w:tc>
          <w:tcPr>
            <w:tcW w:w="18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92" w:type="dxa"/>
            <w:tcBorders/>
            <w:vAlign w:val="center"/>
          </w:tcPr>
          <w:p>
            <w:pPr>
              <w:pStyle w:val="TableContents"/>
              <w:bidi w:val="0"/>
              <w:spacing w:before="0" w:after="283"/>
              <w:jc w:val="right"/>
              <w:rPr/>
            </w:pPr>
            <w:r>
              <w:rPr/>
              <w:t>75</w:t>
            </w:r>
          </w:p>
        </w:tc>
        <w:tc>
          <w:tcPr>
            <w:tcW w:w="235" w:type="dxa"/>
            <w:tcBorders/>
            <w:vAlign w:val="center"/>
          </w:tcPr>
          <w:p>
            <w:pPr>
              <w:pStyle w:val="TableContents"/>
              <w:bidi w:val="0"/>
              <w:spacing w:before="0" w:after="283"/>
              <w:jc w:val="lef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Maturities of investments</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37,340</w:t>
            </w:r>
          </w:p>
        </w:tc>
        <w:tc>
          <w:tcPr>
            <w:tcW w:w="18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92" w:type="dxa"/>
            <w:tcBorders/>
            <w:vAlign w:val="center"/>
          </w:tcPr>
          <w:p>
            <w:pPr>
              <w:pStyle w:val="TableContents"/>
              <w:bidi w:val="0"/>
              <w:spacing w:before="0" w:after="283"/>
              <w:jc w:val="right"/>
              <w:rPr/>
            </w:pPr>
            <w:r>
              <w:rPr/>
              <w:t>39,990</w:t>
            </w:r>
          </w:p>
        </w:tc>
        <w:tc>
          <w:tcPr>
            <w:tcW w:w="235" w:type="dxa"/>
            <w:tcBorders/>
            <w:vAlign w:val="center"/>
          </w:tcPr>
          <w:p>
            <w:pPr>
              <w:pStyle w:val="TableContents"/>
              <w:bidi w:val="0"/>
              <w:spacing w:before="0" w:after="283"/>
              <w:jc w:val="lef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Sale of business</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w:t>
            </w:r>
          </w:p>
        </w:tc>
        <w:tc>
          <w:tcPr>
            <w:tcW w:w="18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92" w:type="dxa"/>
            <w:tcBorders/>
            <w:vAlign w:val="center"/>
          </w:tcPr>
          <w:p>
            <w:pPr>
              <w:pStyle w:val="TableContents"/>
              <w:bidi w:val="0"/>
              <w:spacing w:before="0" w:after="283"/>
              <w:jc w:val="right"/>
              <w:rPr/>
            </w:pPr>
            <w:r>
              <w:rPr/>
              <w:t>1,065</w:t>
            </w:r>
          </w:p>
        </w:tc>
        <w:tc>
          <w:tcPr>
            <w:tcW w:w="235" w:type="dxa"/>
            <w:tcBorders/>
            <w:vAlign w:val="center"/>
          </w:tcPr>
          <w:p>
            <w:pPr>
              <w:pStyle w:val="TableContents"/>
              <w:bidi w:val="0"/>
              <w:spacing w:before="0" w:after="283"/>
              <w:jc w:val="lef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Acquisition of property and equipment</w:t>
            </w:r>
          </w:p>
        </w:tc>
        <w:tc>
          <w:tcPr>
            <w:tcW w:w="146" w:type="dxa"/>
            <w:tcBorders/>
            <w:vAlign w:val="center"/>
          </w:tcPr>
          <w:p>
            <w:pPr>
              <w:pStyle w:val="TableContents"/>
              <w:bidi w:val="0"/>
              <w:spacing w:before="0" w:after="283"/>
              <w:jc w:val="left"/>
              <w:rPr/>
            </w:pPr>
            <w:r>
              <w:rPr/>
              <w:t> </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1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(17,509</w:t>
            </w:r>
          </w:p>
        </w:tc>
        <w:tc>
          <w:tcPr>
            <w:tcW w:w="18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150" w:type="dxa"/>
            <w:tcBorders/>
            <w:vAlign w:val="center"/>
          </w:tcPr>
          <w:p>
            <w:pPr>
              <w:pStyle w:val="TableContents"/>
              <w:bidi w:val="0"/>
              <w:spacing w:before="0" w:after="283"/>
              <w:jc w:val="left"/>
              <w:rPr/>
            </w:pPr>
            <w:r>
              <w:rPr/>
              <w:t> </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(16,255</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   </w:t>
            </w:r>
            <w:r>
              <w:rPr/>
              <w:t>Net cash provided by (used in) investing activities</w:t>
            </w:r>
          </w:p>
        </w:tc>
        <w:tc>
          <w:tcPr>
            <w:tcW w:w="146" w:type="dxa"/>
            <w:tcBorders/>
            <w:vAlign w:val="center"/>
          </w:tcPr>
          <w:p>
            <w:pPr>
              <w:pStyle w:val="TableContents"/>
              <w:bidi w:val="0"/>
              <w:spacing w:before="0" w:after="283"/>
              <w:jc w:val="left"/>
              <w:rPr/>
            </w:pPr>
            <w:r>
              <w:rPr/>
              <w:t> </w:t>
            </w:r>
          </w:p>
        </w:tc>
        <w:tc>
          <w:tcPr>
            <w:tcW w:w="2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2,996</w:t>
            </w:r>
          </w:p>
        </w:tc>
        <w:tc>
          <w:tcPr>
            <w:tcW w:w="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9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(10,126</w:t>
            </w:r>
          </w:p>
        </w:tc>
        <w:tc>
          <w:tcPr>
            <w:tcW w:w="2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w:t>
            </w:r>
          </w:p>
        </w:tc>
      </w:tr>
      <w:tr>
        <w:trPr/>
        <w:tc>
          <w:tcPr>
            <w:tcW w:w="7116" w:type="dxa"/>
            <w:tcBorders/>
            <w:vAlign w:val="center"/>
          </w:tcPr>
          <w:p>
            <w:pPr>
              <w:pStyle w:val="TableContents"/>
              <w:bidi w:val="0"/>
              <w:spacing w:before="0" w:after="283"/>
              <w:jc w:val="left"/>
              <w:rPr/>
            </w:pPr>
            <w:r>
              <w:rPr>
                <w:rStyle w:val="StrongEmphasis"/>
              </w:rPr>
              <w:t>Financing Activities:</w:t>
            </w:r>
          </w:p>
        </w:tc>
        <w:tc>
          <w:tcPr>
            <w:tcW w:w="146" w:type="dxa"/>
            <w:tcBorders/>
            <w:vAlign w:val="center"/>
          </w:tcPr>
          <w:p>
            <w:pPr>
              <w:pStyle w:val="TableContents"/>
              <w:bidi w:val="0"/>
              <w:spacing w:before="0" w:after="283"/>
              <w:jc w:val="left"/>
              <w:rPr/>
            </w:pPr>
            <w:r>
              <w:rPr/>
              <w:t> </w:t>
            </w:r>
          </w:p>
        </w:tc>
        <w:tc>
          <w:tcPr>
            <w:tcW w:w="1333"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jc w:val="left"/>
              <w:rPr/>
            </w:pPr>
            <w:r>
              <w:rPr/>
              <w:t> </w:t>
            </w:r>
          </w:p>
        </w:tc>
        <w:tc>
          <w:tcPr>
            <w:tcW w:w="1460" w:type="dxa"/>
            <w:gridSpan w:val="3"/>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Debt issuance costs</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14" w:type="dxa"/>
            <w:tcBorders/>
            <w:vAlign w:val="center"/>
          </w:tcPr>
          <w:p>
            <w:pPr>
              <w:pStyle w:val="TableContents"/>
              <w:bidi w:val="0"/>
              <w:spacing w:before="0" w:after="283"/>
              <w:jc w:val="right"/>
              <w:rPr/>
            </w:pPr>
            <w:r>
              <w:rPr/>
              <w:t>(2,397</w:t>
            </w:r>
          </w:p>
        </w:tc>
        <w:tc>
          <w:tcPr>
            <w:tcW w:w="186" w:type="dxa"/>
            <w:tcBorders/>
            <w:vAlign w:val="center"/>
          </w:tcPr>
          <w:p>
            <w:pPr>
              <w:pStyle w:val="TableContents"/>
              <w:bidi w:val="0"/>
              <w:spacing w:before="0" w:after="283"/>
              <w:jc w:val="left"/>
              <w:rPr/>
            </w:pPr>
            <w:r>
              <w:rPr/>
              <w:t>)</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 </w:t>
            </w:r>
          </w:p>
        </w:tc>
        <w:tc>
          <w:tcPr>
            <w:tcW w:w="992" w:type="dxa"/>
            <w:tcBorders/>
            <w:vAlign w:val="center"/>
          </w:tcPr>
          <w:p>
            <w:pPr>
              <w:pStyle w:val="TableContents"/>
              <w:bidi w:val="0"/>
              <w:spacing w:before="0" w:after="283"/>
              <w:jc w:val="right"/>
              <w:rPr/>
            </w:pPr>
            <w:r>
              <w:rPr/>
              <w:t>(26</w:t>
            </w:r>
          </w:p>
        </w:tc>
        <w:tc>
          <w:tcPr>
            <w:tcW w:w="235" w:type="dxa"/>
            <w:tcBorders/>
            <w:vAlign w:val="center"/>
          </w:tcPr>
          <w:p>
            <w:pPr>
              <w:pStyle w:val="TableContents"/>
              <w:bidi w:val="0"/>
              <w:spacing w:before="0" w:after="283"/>
              <w:jc w:val="left"/>
              <w:rPr/>
            </w:pPr>
            <w:r>
              <w:rPr/>
              <w:t>)</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Proceeds from stock option exercises</w:t>
            </w:r>
          </w:p>
        </w:tc>
        <w:tc>
          <w:tcPr>
            <w:tcW w:w="146" w:type="dxa"/>
            <w:tcBorders/>
            <w:vAlign w:val="center"/>
          </w:tcPr>
          <w:p>
            <w:pPr>
              <w:pStyle w:val="TableContents"/>
              <w:bidi w:val="0"/>
              <w:spacing w:before="0" w:after="283"/>
              <w:jc w:val="left"/>
              <w:rPr/>
            </w:pPr>
            <w:r>
              <w:rPr/>
              <w:t> </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1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5,685</w:t>
            </w:r>
          </w:p>
        </w:tc>
        <w:tc>
          <w:tcPr>
            <w:tcW w:w="18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1,823</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Net cash provided by financing activities</w:t>
            </w:r>
          </w:p>
        </w:tc>
        <w:tc>
          <w:tcPr>
            <w:tcW w:w="146" w:type="dxa"/>
            <w:tcBorders/>
            <w:vAlign w:val="center"/>
          </w:tcPr>
          <w:p>
            <w:pPr>
              <w:pStyle w:val="TableContents"/>
              <w:bidi w:val="0"/>
              <w:spacing w:before="0" w:after="283"/>
              <w:jc w:val="left"/>
              <w:rPr/>
            </w:pPr>
            <w:r>
              <w:rPr/>
              <w:t> </w:t>
            </w:r>
          </w:p>
        </w:tc>
        <w:tc>
          <w:tcPr>
            <w:tcW w:w="2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3,288</w:t>
            </w:r>
          </w:p>
        </w:tc>
        <w:tc>
          <w:tcPr>
            <w:tcW w:w="186"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3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 </w:t>
            </w:r>
          </w:p>
        </w:tc>
        <w:tc>
          <w:tcPr>
            <w:tcW w:w="99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right"/>
              <w:rPr/>
            </w:pPr>
            <w:r>
              <w:rPr/>
              <w:t>1,797</w:t>
            </w:r>
          </w:p>
        </w:tc>
        <w:tc>
          <w:tcPr>
            <w:tcW w:w="2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left"/>
              <w:rPr/>
            </w:pPr>
            <w:r>
              <w:rPr/>
              <w:t>Net increase in cash</w:t>
            </w:r>
          </w:p>
        </w:tc>
        <w:tc>
          <w:tcPr>
            <w:tcW w:w="146" w:type="dxa"/>
            <w:tcBorders/>
            <w:vAlign w:val="center"/>
          </w:tcPr>
          <w:p>
            <w:pPr>
              <w:pStyle w:val="TableContents"/>
              <w:bidi w:val="0"/>
              <w:spacing w:before="0" w:after="283"/>
              <w:jc w:val="left"/>
              <w:rPr/>
            </w:pPr>
            <w:r>
              <w:rPr/>
              <w:t> </w:t>
            </w:r>
          </w:p>
        </w:tc>
        <w:tc>
          <w:tcPr>
            <w:tcW w:w="23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14"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117,652</w:t>
            </w:r>
          </w:p>
        </w:tc>
        <w:tc>
          <w:tcPr>
            <w:tcW w:w="186"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33"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 </w:t>
            </w:r>
          </w:p>
        </w:tc>
        <w:tc>
          <w:tcPr>
            <w:tcW w:w="992"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37,417</w:t>
            </w:r>
          </w:p>
        </w:tc>
        <w:tc>
          <w:tcPr>
            <w:tcW w:w="235" w:type="dxa"/>
            <w:tcBorders>
              <w:top w:val="single" w:sz="8"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left"/>
              <w:rPr/>
            </w:pPr>
            <w:r>
              <w:rPr/>
              <w:t>Cash, cash equivalents and restricted cash at beginning of period</w:t>
            </w:r>
          </w:p>
        </w:tc>
        <w:tc>
          <w:tcPr>
            <w:tcW w:w="146" w:type="dxa"/>
            <w:tcBorders/>
            <w:vAlign w:val="center"/>
          </w:tcPr>
          <w:p>
            <w:pPr>
              <w:pStyle w:val="TableContents"/>
              <w:bidi w:val="0"/>
              <w:spacing w:before="0" w:after="283"/>
              <w:jc w:val="left"/>
              <w:rPr/>
            </w:pPr>
            <w:r>
              <w:rPr/>
              <w:t> </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14"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577,937</w:t>
            </w:r>
          </w:p>
        </w:tc>
        <w:tc>
          <w:tcPr>
            <w:tcW w:w="18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33"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992"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434,942</w:t>
            </w:r>
          </w:p>
        </w:tc>
        <w:tc>
          <w:tcPr>
            <w:tcW w:w="235"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left"/>
              <w:rPr/>
            </w:pPr>
            <w:r>
              <w:rPr/>
              <w:t>Cash, cash equivalents and restricted cash at end of period</w:t>
            </w:r>
          </w:p>
        </w:tc>
        <w:tc>
          <w:tcPr>
            <w:tcW w:w="146" w:type="dxa"/>
            <w:tcBorders/>
            <w:vAlign w:val="center"/>
          </w:tcPr>
          <w:p>
            <w:pPr>
              <w:pStyle w:val="TableContents"/>
              <w:bidi w:val="0"/>
              <w:spacing w:before="0" w:after="283"/>
              <w:jc w:val="left"/>
              <w:rPr/>
            </w:pPr>
            <w:r>
              <w:rPr/>
              <w:t> </w:t>
            </w:r>
          </w:p>
        </w:tc>
        <w:tc>
          <w:tcPr>
            <w:tcW w:w="23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14"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695,589</w:t>
            </w:r>
          </w:p>
        </w:tc>
        <w:tc>
          <w:tcPr>
            <w:tcW w:w="186"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3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99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472,359</w:t>
            </w:r>
          </w:p>
        </w:tc>
        <w:tc>
          <w:tcPr>
            <w:tcW w:w="23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left"/>
              <w:rPr/>
            </w:pPr>
            <w:r>
              <w:rPr>
                <w:rStyle w:val="StrongEmphasis"/>
              </w:rPr>
              <w:t>Supplemental disclosure of cash flow information:</w:t>
            </w:r>
          </w:p>
        </w:tc>
        <w:tc>
          <w:tcPr>
            <w:tcW w:w="146" w:type="dxa"/>
            <w:tcBorders/>
            <w:vAlign w:val="center"/>
          </w:tcPr>
          <w:p>
            <w:pPr>
              <w:pStyle w:val="TableContents"/>
              <w:bidi w:val="0"/>
              <w:spacing w:before="0" w:after="283"/>
              <w:jc w:val="left"/>
              <w:rPr/>
            </w:pPr>
            <w:r>
              <w:rPr/>
              <w:t> </w:t>
            </w:r>
          </w:p>
        </w:tc>
        <w:tc>
          <w:tcPr>
            <w:tcW w:w="1333" w:type="dxa"/>
            <w:gridSpan w:val="3"/>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jc w:val="left"/>
              <w:rPr/>
            </w:pPr>
            <w:r>
              <w:rPr/>
              <w:t> </w:t>
            </w:r>
          </w:p>
        </w:tc>
        <w:tc>
          <w:tcPr>
            <w:tcW w:w="1460" w:type="dxa"/>
            <w:gridSpan w:val="3"/>
            <w:tcBorders>
              <w:top w:val="double" w:sz="8" w:space="0" w:color="000000"/>
            </w:tcBorders>
            <w:tcMar>
              <w:left w:w="0" w:type="dxa"/>
              <w:bottom w:w="0" w:type="dxa"/>
              <w:right w:w="0" w:type="dxa"/>
            </w:tcMar>
            <w:vAlign w:val="center"/>
          </w:tcPr>
          <w:p>
            <w:pPr>
              <w:pStyle w:val="TableContents"/>
              <w:bidi w:val="0"/>
              <w:spacing w:before="0" w:after="283"/>
              <w:jc w:val="righ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Cash paid for interest</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w:t>
            </w:r>
          </w:p>
        </w:tc>
        <w:tc>
          <w:tcPr>
            <w:tcW w:w="914" w:type="dxa"/>
            <w:tcBorders/>
            <w:vAlign w:val="center"/>
          </w:tcPr>
          <w:p>
            <w:pPr>
              <w:pStyle w:val="TableContents"/>
              <w:bidi w:val="0"/>
              <w:spacing w:before="0" w:after="283"/>
              <w:jc w:val="right"/>
              <w:rPr/>
            </w:pPr>
            <w:r>
              <w:rPr/>
              <w:t>7,013</w:t>
            </w:r>
          </w:p>
        </w:tc>
        <w:tc>
          <w:tcPr>
            <w:tcW w:w="18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w:t>
            </w:r>
          </w:p>
        </w:tc>
        <w:tc>
          <w:tcPr>
            <w:tcW w:w="992" w:type="dxa"/>
            <w:tcBorders/>
            <w:vAlign w:val="center"/>
          </w:tcPr>
          <w:p>
            <w:pPr>
              <w:pStyle w:val="TableContents"/>
              <w:bidi w:val="0"/>
              <w:spacing w:before="0" w:after="283"/>
              <w:jc w:val="right"/>
              <w:rPr/>
            </w:pPr>
            <w:r>
              <w:rPr/>
              <w:t>6,740</w:t>
            </w:r>
          </w:p>
        </w:tc>
        <w:tc>
          <w:tcPr>
            <w:tcW w:w="235" w:type="dxa"/>
            <w:tcBorders/>
            <w:vAlign w:val="center"/>
          </w:tcPr>
          <w:p>
            <w:pPr>
              <w:pStyle w:val="TableContents"/>
              <w:bidi w:val="0"/>
              <w:spacing w:before="0" w:after="283"/>
              <w:jc w:val="left"/>
              <w:rPr/>
            </w:pPr>
            <w:r>
              <w:rPr/>
              <w:t> </w:t>
            </w:r>
          </w:p>
        </w:tc>
      </w:tr>
      <w:tr>
        <w:trPr/>
        <w:tc>
          <w:tcPr>
            <w:tcW w:w="7116" w:type="dxa"/>
            <w:tcBorders/>
            <w:vAlign w:val="center"/>
          </w:tcPr>
          <w:p>
            <w:pPr>
              <w:pStyle w:val="TableContents"/>
              <w:bidi w:val="0"/>
              <w:spacing w:before="0" w:after="283"/>
              <w:jc w:val="left"/>
              <w:rPr/>
            </w:pPr>
            <w:r>
              <w:rPr>
                <w:rStyle w:val="StrongEmphasis"/>
              </w:rPr>
              <w:t>Supplemental non-cash investing and financing activities:</w:t>
            </w:r>
          </w:p>
        </w:tc>
        <w:tc>
          <w:tcPr>
            <w:tcW w:w="146" w:type="dxa"/>
            <w:tcBorders/>
            <w:vAlign w:val="center"/>
          </w:tcPr>
          <w:p>
            <w:pPr>
              <w:pStyle w:val="TableContents"/>
              <w:bidi w:val="0"/>
              <w:spacing w:before="0" w:after="283"/>
              <w:jc w:val="left"/>
              <w:rPr/>
            </w:pPr>
            <w:r>
              <w:rPr/>
              <w:t> </w:t>
            </w:r>
          </w:p>
        </w:tc>
        <w:tc>
          <w:tcPr>
            <w:tcW w:w="1333" w:type="dxa"/>
            <w:gridSpan w:val="3"/>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jc w:val="left"/>
              <w:rPr/>
            </w:pPr>
            <w:r>
              <w:rPr/>
              <w:t> </w:t>
            </w:r>
          </w:p>
        </w:tc>
        <w:tc>
          <w:tcPr>
            <w:tcW w:w="1460" w:type="dxa"/>
            <w:gridSpan w:val="3"/>
            <w:tcBorders/>
            <w:vAlign w:val="center"/>
          </w:tcPr>
          <w:p>
            <w:pPr>
              <w:pStyle w:val="TableContents"/>
              <w:bidi w:val="0"/>
              <w:spacing w:before="0" w:after="283"/>
              <w:jc w:val="right"/>
              <w:rPr/>
            </w:pPr>
            <w:r>
              <w:rPr/>
              <w:t> </w:t>
            </w:r>
          </w:p>
        </w:tc>
      </w:tr>
      <w:tr>
        <w:trPr/>
        <w:tc>
          <w:tcPr>
            <w:tcW w:w="7116" w:type="dxa"/>
            <w:tcBorders/>
            <w:tcMar>
              <w:top w:w="0" w:type="dxa"/>
              <w:left w:w="0" w:type="dxa"/>
              <w:bottom w:w="0" w:type="dxa"/>
              <w:right w:w="0" w:type="dxa"/>
            </w:tcMar>
            <w:vAlign w:val="center"/>
          </w:tcPr>
          <w:p>
            <w:pPr>
              <w:pStyle w:val="TableContents"/>
              <w:bidi w:val="0"/>
              <w:spacing w:before="0" w:after="283"/>
              <w:jc w:val="left"/>
              <w:rPr/>
            </w:pPr>
            <w:r>
              <w:rPr/>
              <w:t>Acquisition of property in accounts payable</w:t>
            </w:r>
          </w:p>
        </w:tc>
        <w:tc>
          <w:tcPr>
            <w:tcW w:w="146"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w:t>
            </w:r>
          </w:p>
        </w:tc>
        <w:tc>
          <w:tcPr>
            <w:tcW w:w="914" w:type="dxa"/>
            <w:tcBorders/>
            <w:vAlign w:val="center"/>
          </w:tcPr>
          <w:p>
            <w:pPr>
              <w:pStyle w:val="TableContents"/>
              <w:bidi w:val="0"/>
              <w:spacing w:before="0" w:after="283"/>
              <w:jc w:val="right"/>
              <w:rPr/>
            </w:pPr>
            <w:r>
              <w:rPr/>
              <w:t>128</w:t>
            </w:r>
          </w:p>
        </w:tc>
        <w:tc>
          <w:tcPr>
            <w:tcW w:w="186"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right"/>
              <w:rPr/>
            </w:pPr>
            <w:r>
              <w:rPr/>
              <w:t>$</w:t>
            </w:r>
          </w:p>
        </w:tc>
        <w:tc>
          <w:tcPr>
            <w:tcW w:w="992" w:type="dxa"/>
            <w:tcBorders/>
            <w:vAlign w:val="center"/>
          </w:tcPr>
          <w:p>
            <w:pPr>
              <w:pStyle w:val="TableContents"/>
              <w:bidi w:val="0"/>
              <w:spacing w:before="0" w:after="283"/>
              <w:jc w:val="right"/>
              <w:rPr/>
            </w:pPr>
            <w:r>
              <w:rPr/>
              <w:t>117</w:t>
            </w:r>
          </w:p>
        </w:tc>
        <w:tc>
          <w:tcPr>
            <w:tcW w:w="235" w:type="dxa"/>
            <w:tcBorders/>
            <w:vAlign w:val="center"/>
          </w:tcPr>
          <w:p>
            <w:pPr>
              <w:pStyle w:val="TableContents"/>
              <w:bidi w:val="0"/>
              <w:spacing w:before="0" w:after="283"/>
              <w:jc w:val="left"/>
              <w:rPr/>
            </w:pPr>
            <w:r>
              <w:rPr/>
              <w:t> </w:t>
            </w:r>
          </w:p>
        </w:tc>
      </w:tr>
    </w:tbl>
    <w:p>
      <w:pPr>
        <w:pStyle w:val="TextBody"/>
        <w:bidi w:val="0"/>
        <w:spacing w:before="0" w:after="283"/>
        <w:jc w:val="left"/>
        <w:rPr/>
      </w:pPr>
      <w:r>
        <w:rPr/>
        <w:br/>
        <w:t>The following table provides a reconciliation of cash, cash equivalents and restricted cash reported within the consolidated balance sheets to the total above:</w:t>
      </w:r>
    </w:p>
    <w:tbl>
      <w:tblPr>
        <w:tblW w:w="6263" w:type="dxa"/>
        <w:jc w:val="left"/>
        <w:tblInd w:w="0" w:type="dxa"/>
        <w:tblLayout w:type="fixed"/>
        <w:tblCellMar>
          <w:top w:w="28" w:type="dxa"/>
          <w:left w:w="28" w:type="dxa"/>
          <w:bottom w:w="28" w:type="dxa"/>
          <w:right w:w="28" w:type="dxa"/>
        </w:tblCellMar>
      </w:tblPr>
      <w:tblGrid>
        <w:gridCol w:w="2926"/>
        <w:gridCol w:w="146"/>
        <w:gridCol w:w="269"/>
        <w:gridCol w:w="1057"/>
        <w:gridCol w:w="174"/>
        <w:gridCol w:w="146"/>
        <w:gridCol w:w="268"/>
        <w:gridCol w:w="1051"/>
        <w:gridCol w:w="226"/>
      </w:tblGrid>
      <w:tr>
        <w:trPr/>
        <w:tc>
          <w:tcPr>
            <w:tcW w:w="29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500"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2026</w:t>
            </w:r>
          </w:p>
        </w:tc>
        <w:tc>
          <w:tcPr>
            <w:tcW w:w="146" w:type="dxa"/>
            <w:tcBorders/>
            <w:vAlign w:val="center"/>
          </w:tcPr>
          <w:p>
            <w:pPr>
              <w:pStyle w:val="TableContents"/>
              <w:bidi w:val="0"/>
              <w:spacing w:before="0" w:after="283"/>
              <w:jc w:val="center"/>
              <w:rPr/>
            </w:pPr>
            <w:r>
              <w:rPr/>
              <w:t> </w:t>
            </w:r>
          </w:p>
        </w:tc>
        <w:tc>
          <w:tcPr>
            <w:tcW w:w="1545"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2025</w:t>
            </w:r>
          </w:p>
        </w:tc>
      </w:tr>
      <w:tr>
        <w:trPr/>
        <w:tc>
          <w:tcPr>
            <w:tcW w:w="2926" w:type="dxa"/>
            <w:tcBorders/>
            <w:vAlign w:val="center"/>
          </w:tcPr>
          <w:p>
            <w:pPr>
              <w:pStyle w:val="TableContents"/>
              <w:bidi w:val="0"/>
              <w:spacing w:before="0" w:after="283"/>
              <w:jc w:val="left"/>
              <w:rPr/>
            </w:pPr>
            <w:r>
              <w:rPr/>
              <w:t>Cash and cash equivalents</w:t>
            </w:r>
          </w:p>
        </w:tc>
        <w:tc>
          <w:tcPr>
            <w:tcW w:w="146" w:type="dxa"/>
            <w:tcBorders/>
            <w:vAlign w:val="center"/>
          </w:tcPr>
          <w:p>
            <w:pPr>
              <w:pStyle w:val="TableContents"/>
              <w:bidi w:val="0"/>
              <w:spacing w:before="0" w:after="283"/>
              <w:jc w:val="left"/>
              <w:rPr/>
            </w:pPr>
            <w:r>
              <w:rPr/>
              <w:t> </w:t>
            </w:r>
          </w:p>
        </w:tc>
        <w:tc>
          <w:tcPr>
            <w:tcW w:w="269"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057"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693,453</w:t>
            </w:r>
          </w:p>
        </w:tc>
        <w:tc>
          <w:tcPr>
            <w:tcW w:w="1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8"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w:t>
            </w:r>
          </w:p>
        </w:tc>
        <w:tc>
          <w:tcPr>
            <w:tcW w:w="1051" w:type="dxa"/>
            <w:tcBorders>
              <w:top w:val="single" w:sz="8" w:space="0" w:color="000000"/>
            </w:tcBorders>
            <w:tcMar>
              <w:left w:w="0" w:type="dxa"/>
              <w:bottom w:w="0" w:type="dxa"/>
              <w:right w:w="0" w:type="dxa"/>
            </w:tcMar>
            <w:vAlign w:val="center"/>
          </w:tcPr>
          <w:p>
            <w:pPr>
              <w:pStyle w:val="TableContents"/>
              <w:bidi w:val="0"/>
              <w:spacing w:before="0" w:after="283"/>
              <w:jc w:val="right"/>
              <w:rPr/>
            </w:pPr>
            <w:r>
              <w:rPr/>
              <w:t>470,266</w:t>
            </w:r>
          </w:p>
        </w:tc>
        <w:tc>
          <w:tcPr>
            <w:tcW w:w="226" w:type="dxa"/>
            <w:tcBorders/>
            <w:vAlign w:val="center"/>
          </w:tcPr>
          <w:p>
            <w:pPr>
              <w:pStyle w:val="TableContents"/>
              <w:bidi w:val="0"/>
              <w:spacing w:before="0" w:after="283"/>
              <w:jc w:val="left"/>
              <w:rPr/>
            </w:pPr>
            <w:r>
              <w:rPr/>
              <w:t> </w:t>
            </w:r>
          </w:p>
        </w:tc>
      </w:tr>
      <w:tr>
        <w:trPr/>
        <w:tc>
          <w:tcPr>
            <w:tcW w:w="2926" w:type="dxa"/>
            <w:tcBorders/>
            <w:vAlign w:val="center"/>
          </w:tcPr>
          <w:p>
            <w:pPr>
              <w:pStyle w:val="TableContents"/>
              <w:bidi w:val="0"/>
              <w:spacing w:before="0" w:after="283"/>
              <w:jc w:val="left"/>
              <w:rPr/>
            </w:pPr>
            <w:r>
              <w:rPr/>
              <w:t>Restricted cash in other assets</w:t>
            </w:r>
          </w:p>
        </w:tc>
        <w:tc>
          <w:tcPr>
            <w:tcW w:w="146" w:type="dxa"/>
            <w:tcBorders/>
            <w:vAlign w:val="center"/>
          </w:tcPr>
          <w:p>
            <w:pPr>
              <w:pStyle w:val="TableContents"/>
              <w:bidi w:val="0"/>
              <w:spacing w:before="0" w:after="283"/>
              <w:jc w:val="left"/>
              <w:rPr/>
            </w:pPr>
            <w:r>
              <w:rPr/>
              <w:t> </w:t>
            </w:r>
          </w:p>
        </w:tc>
        <w:tc>
          <w:tcPr>
            <w:tcW w:w="269"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57"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2,136</w:t>
            </w:r>
          </w:p>
        </w:tc>
        <w:tc>
          <w:tcPr>
            <w:tcW w:w="174"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8"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5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2,093</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926" w:type="dxa"/>
            <w:tcBorders/>
            <w:vAlign w:val="center"/>
          </w:tcPr>
          <w:p>
            <w:pPr>
              <w:pStyle w:val="TableContents"/>
              <w:bidi w:val="0"/>
              <w:spacing w:before="0" w:after="283"/>
              <w:jc w:val="left"/>
              <w:rPr/>
            </w:pPr>
            <w:r>
              <w:rPr/>
              <w:t>Total</w:t>
            </w:r>
          </w:p>
        </w:tc>
        <w:tc>
          <w:tcPr>
            <w:tcW w:w="146" w:type="dxa"/>
            <w:tcBorders/>
            <w:vAlign w:val="center"/>
          </w:tcPr>
          <w:p>
            <w:pPr>
              <w:pStyle w:val="TableContents"/>
              <w:bidi w:val="0"/>
              <w:spacing w:before="0" w:after="283"/>
              <w:jc w:val="left"/>
              <w:rPr/>
            </w:pPr>
            <w:r>
              <w:rPr/>
              <w:t> </w:t>
            </w:r>
          </w:p>
        </w:tc>
        <w:tc>
          <w:tcPr>
            <w:tcW w:w="26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5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695,589</w:t>
            </w:r>
          </w:p>
        </w:tc>
        <w:tc>
          <w:tcPr>
            <w:tcW w:w="174"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6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w:t>
            </w:r>
          </w:p>
        </w:tc>
        <w:tc>
          <w:tcPr>
            <w:tcW w:w="105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right"/>
              <w:rPr/>
            </w:pPr>
            <w:r>
              <w:rPr/>
              <w:t>472,359</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83"/>
        <w:jc w:val="left"/>
        <w:rPr/>
      </w:pPr>
      <w:r>
        <w:rPr>
          <w:rStyle w:val="StrongEmphasis"/>
        </w:rPr>
        <w:br/>
        <w:t>Non-GAAP Financial Measures</w:t>
      </w:r>
    </w:p>
    <w:p>
      <w:pPr>
        <w:pStyle w:val="TextBody"/>
        <w:bidi w:val="0"/>
        <w:spacing w:before="0" w:after="283"/>
        <w:jc w:val="left"/>
        <w:rPr/>
      </w:pPr>
      <w:r>
        <w:rPr/>
        <w:t>Certain of these financial measures are considered “non-GAAP” financial measures within the meaning of Item 10 of Regulation S-K promulgated by the SEC. We believe that non-GAAP financial measures provide an additional way of viewing aspects of our operations that, when viewed with the GAAP results, provide a more complete understanding of our results of operations and the factors and trends affecting our business. These non-GAAP financial measures are also used by our management to evaluate financial results and to plan and forecast future periods. However, non-GAAP financial measures should be considered as a supplement to, and not as a substitute for, or superior to, the corresponding measures calculated in accordance with GAAP. Non-GAAP financial measures used by us may differ from the non-GAAP measures used by other companies, including our competitors. To supplement our consolidated financial statements presented on a GAAP basis, we disclose the following non-GAAP measures: Medical Benefits Ratio, Adjusted EBITDA and Adjusted Gross Profit as these are performance measures that our management uses to assess our operating performance. Because these measures facilitate internal comparisons of our historical operating performance on a more consistent basis, we use these measures for business planning purposes and in evaluating acquisition opportunities.</w:t>
      </w:r>
    </w:p>
    <w:p>
      <w:pPr>
        <w:pStyle w:val="TextBody"/>
        <w:bidi w:val="0"/>
        <w:spacing w:before="0" w:after="283"/>
        <w:jc w:val="left"/>
        <w:rPr/>
      </w:pPr>
      <w:r>
        <w:rPr>
          <w:rStyle w:val="StrongEmphasis"/>
        </w:rPr>
        <w:t>Adjusted EBITDA</w:t>
      </w:r>
    </w:p>
    <w:p>
      <w:pPr>
        <w:pStyle w:val="TextBody"/>
        <w:bidi w:val="0"/>
        <w:spacing w:before="0" w:after="283"/>
        <w:jc w:val="left"/>
        <w:rPr/>
      </w:pPr>
      <w:r>
        <w:rPr/>
        <w:t>Adjusted EBITDA is a non-GAAP financial measure that we define as net income (loss) before interest expense, income taxes, depreciation and amortization expense, certain litigation costs, gains or losses on sale of property and equipment, and equity-based compensation expense.</w:t>
      </w:r>
    </w:p>
    <w:p>
      <w:pPr>
        <w:pStyle w:val="TextBody"/>
        <w:bidi w:val="0"/>
        <w:spacing w:before="0" w:after="283"/>
        <w:jc w:val="left"/>
        <w:rPr/>
      </w:pPr>
      <w:r>
        <w:rPr/>
        <w:t>Adjusted EBITDA should not be considered in isolation of, or as an alternative to, measures prepared in accordance with GAAP. There are a number of limitations related to the use of Adjusted EBITDA in lieu of net income (loss), which is the most directly comparable financial measure calculated in accordance with GAAP.</w:t>
      </w:r>
    </w:p>
    <w:p>
      <w:pPr>
        <w:pStyle w:val="TextBody"/>
        <w:bidi w:val="0"/>
        <w:spacing w:before="0" w:after="283"/>
        <w:jc w:val="left"/>
        <w:rPr/>
      </w:pPr>
      <w:r>
        <w:rPr/>
        <w:t>Our use of the term Adjusted EBITDA may vary from the use of similar terms by other companies in our industry and accordingly may not be comparable to similarly titled measures used by other companies.</w:t>
      </w:r>
    </w:p>
    <w:p>
      <w:pPr>
        <w:pStyle w:val="TextBody"/>
        <w:bidi w:val="0"/>
        <w:spacing w:before="0" w:after="283"/>
        <w:jc w:val="left"/>
        <w:rPr/>
      </w:pPr>
      <w:r>
        <w:rPr>
          <w:rStyle w:val="StrongEmphasis"/>
        </w:rPr>
        <w:t xml:space="preserve">Medical Benefits Ratio (MBR) </w:t>
      </w:r>
    </w:p>
    <w:p>
      <w:pPr>
        <w:pStyle w:val="TextBody"/>
        <w:bidi w:val="0"/>
        <w:spacing w:before="0" w:after="283"/>
        <w:jc w:val="left"/>
        <w:rPr/>
      </w:pPr>
      <w:r>
        <w:rPr/>
        <w:t>We calculate our MBR by dividing total medical expenses, excluding depreciation, and medical equity-based compensation, by total revenues in a given period.</w:t>
      </w:r>
    </w:p>
    <w:p>
      <w:pPr>
        <w:pStyle w:val="TextBody"/>
        <w:bidi w:val="0"/>
        <w:spacing w:before="0" w:after="283"/>
        <w:jc w:val="left"/>
        <w:rPr/>
      </w:pPr>
      <w:r>
        <w:rPr>
          <w:rStyle w:val="StrongEmphasis"/>
        </w:rPr>
        <w:t>Adjusted Gross Profit</w:t>
      </w:r>
    </w:p>
    <w:p>
      <w:pPr>
        <w:pStyle w:val="TextBody"/>
        <w:bidi w:val="0"/>
        <w:spacing w:before="0" w:after="283"/>
        <w:jc w:val="left"/>
        <w:rPr/>
      </w:pPr>
      <w:r>
        <w:rPr/>
        <w:t>Adjusted gross profit is a non-GAAP financial measure that we define as income (loss) from operations before depreciation and amortization, medical equity-based compensation expense, and selling, general, and administrative expenses.</w:t>
      </w:r>
    </w:p>
    <w:p>
      <w:pPr>
        <w:pStyle w:val="TextBody"/>
        <w:bidi w:val="0"/>
        <w:spacing w:before="0" w:after="283"/>
        <w:jc w:val="left"/>
        <w:rPr/>
      </w:pPr>
      <w:r>
        <w:rPr/>
        <w:t>Adjusted gross profit should not be considered in isolation of, or as an alternative to, measures prepared in accordance with GAAP. There are a number of limitations related to the use of adjusted gross profit in lieu of income (loss) from operations, which is the most directly comparable financial measure calculated in accordance with GAAP.</w:t>
      </w:r>
    </w:p>
    <w:p>
      <w:pPr>
        <w:pStyle w:val="TextBody"/>
        <w:bidi w:val="0"/>
        <w:spacing w:before="0" w:after="283"/>
        <w:jc w:val="left"/>
        <w:rPr/>
      </w:pPr>
      <w:r>
        <w:rPr/>
        <w:t>Our use of the term adjusted gross profit may vary from the use of similar terms by other companies in our industry and accordingly may not be comparable to similarly titled measures used by other companies.</w:t>
      </w:r>
    </w:p>
    <w:p>
      <w:pPr>
        <w:pStyle w:val="TextBody"/>
        <w:bidi w:val="0"/>
        <w:spacing w:before="0" w:after="283"/>
        <w:jc w:val="left"/>
        <w:rPr/>
      </w:pPr>
      <w:r>
        <w:rPr>
          <w:rStyle w:val="StrongEmphasis"/>
        </w:rPr>
        <w:t xml:space="preserve">Investor Contact </w:t>
      </w:r>
      <w:r>
        <w:rPr/>
        <w:br/>
        <w:t>Harrison Zhuo</w:t>
        <w:br/>
      </w:r>
      <w:r>
        <w:rPr>
          <w:u w:val="single"/>
        </w:rPr>
        <w:t>hzhuo@ahcusa.com</w:t>
      </w:r>
    </w:p>
    <w:p>
      <w:pPr>
        <w:pStyle w:val="TextBody"/>
        <w:bidi w:val="0"/>
        <w:spacing w:before="0" w:after="283"/>
        <w:jc w:val="left"/>
        <w:rPr/>
      </w:pPr>
      <w:r>
        <w:rPr>
          <w:rStyle w:val="StrongEmphasis"/>
        </w:rPr>
        <w:t xml:space="preserve">Media Contact </w:t>
      </w:r>
      <w:r>
        <w:rPr/>
        <w:br/>
        <w:t>Jerry Slowey</w:t>
        <w:br/>
      </w:r>
      <w:r>
        <w:rPr>
          <w:u w:val="single"/>
        </w:rPr>
        <w:t>publicrelations@ahcusa.com</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3223</Words>
  <Characters>18548</Characters>
  <CharactersWithSpaces>22137</CharactersWithSpaces>
  <Paragraphs>1559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