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ARIAL" w:hAnsi="ARIAL"/>
          <w:b/>
          <w:sz w:val="36"/>
          <w:shd w:fill="FFFFFF" w:val="clear"/>
        </w:rPr>
      </w:pPr>
      <w:bookmarkStart w:id="0" w:name="d496243dpre14a.htm"/>
      <w:bookmarkStart w:id="1" w:name="ksd496243dpre14a"/>
      <w:bookmarkEnd w:id="0"/>
      <w:bookmarkEnd w:id="1"/>
      <w:r>
        <w:rPr>
          <w:rFonts w:ascii="ARIAL" w:hAnsi="ARIAL"/>
          <w:b/>
          <w:sz w:val="36"/>
          <w:shd w:fill="FFFFFF" w:val="clear"/>
        </w:rPr>
        <w:t xml:space="preserve">UNITED STATES </w:t>
      </w:r>
    </w:p>
    <w:p>
      <w:pPr>
        <w:pStyle w:val="TextBody"/>
        <w:bidi w:val="0"/>
        <w:spacing w:before="0" w:after="0"/>
        <w:jc w:val="center"/>
        <w:rPr>
          <w:rFonts w:ascii="ARIAL" w:hAnsi="ARIAL"/>
          <w:b/>
          <w:sz w:val="36"/>
          <w:shd w:fill="FFFFFF" w:val="clear"/>
        </w:rPr>
      </w:pPr>
      <w:r>
        <w:rPr>
          <w:rFonts w:ascii="ARIAL" w:hAnsi="ARIAL"/>
          <w:b/>
          <w:sz w:val="36"/>
          <w:shd w:fill="FFFFFF" w:val="clear"/>
        </w:rPr>
        <w:t xml:space="preserve">SECURITIES AND EXCHANGE COMMISSION </w:t>
      </w:r>
    </w:p>
    <w:p>
      <w:pPr>
        <w:pStyle w:val="TextBody"/>
        <w:bidi w:val="0"/>
        <w:spacing w:before="0" w:after="0"/>
        <w:jc w:val="center"/>
        <w:rPr>
          <w:rFonts w:ascii="ARIAL" w:hAnsi="ARIAL"/>
          <w:b/>
          <w:sz w:val="24"/>
          <w:shd w:fill="FFFFFF" w:val="clear"/>
        </w:rPr>
      </w:pPr>
      <w:r>
        <w:rPr>
          <w:rFonts w:ascii="ARIAL" w:hAnsi="ARIAL"/>
          <w:b/>
          <w:sz w:val="24"/>
          <w:shd w:fill="FFFFFF" w:val="clear"/>
        </w:rPr>
        <w:t xml:space="preserve">Washington, D.C. 20549 </w:t>
      </w:r>
    </w:p>
    <w:p>
      <w:pPr>
        <w:pStyle w:val="TextBody"/>
        <w:bidi w:val="0"/>
        <w:spacing w:before="120" w:after="0"/>
        <w:jc w:val="center"/>
        <w:rPr>
          <w:rFonts w:ascii="ARIAL" w:hAnsi="ARIAL"/>
          <w:b/>
          <w:sz w:val="36"/>
          <w:shd w:fill="FFFFFF" w:val="clear"/>
        </w:rPr>
      </w:pPr>
      <w:r>
        <w:rPr>
          <w:rFonts w:ascii="ARIAL" w:hAnsi="ARIAL"/>
          <w:b/>
          <w:sz w:val="36"/>
          <w:shd w:fill="FFFFFF" w:val="clear"/>
        </w:rPr>
        <w:t>SCHEDULE 14A</w:t>
      </w:r>
    </w:p>
    <w:p>
      <w:pPr>
        <w:pStyle w:val="TextBody"/>
        <w:bidi w:val="0"/>
        <w:spacing w:before="120" w:after="0"/>
        <w:jc w:val="center"/>
        <w:rPr>
          <w:rFonts w:ascii="ARIAL" w:hAnsi="ARIAL"/>
          <w:b/>
          <w:sz w:val="24"/>
          <w:shd w:fill="FFFFFF" w:val="clear"/>
        </w:rPr>
      </w:pPr>
      <w:r>
        <w:rPr>
          <w:rFonts w:ascii="ARIAL" w:hAnsi="ARIAL"/>
          <w:b/>
          <w:sz w:val="24"/>
          <w:shd w:fill="FFFFFF" w:val="clear"/>
        </w:rPr>
        <w:t xml:space="preserve">Proxy Statement Pursuant to Section 14(a) </w:t>
      </w:r>
    </w:p>
    <w:p>
      <w:pPr>
        <w:pStyle w:val="TextBody"/>
        <w:bidi w:val="0"/>
        <w:spacing w:before="0" w:after="0"/>
        <w:jc w:val="center"/>
        <w:rPr>
          <w:rFonts w:ascii="ARIAL" w:hAnsi="ARIAL"/>
          <w:b/>
          <w:sz w:val="24"/>
          <w:shd w:fill="FFFFFF" w:val="clear"/>
        </w:rPr>
      </w:pPr>
      <w:r>
        <w:rPr>
          <w:rFonts w:ascii="ARIAL" w:hAnsi="ARIAL"/>
          <w:b/>
          <w:sz w:val="24"/>
          <w:shd w:fill="FFFFFF" w:val="clear"/>
        </w:rPr>
        <w:t xml:space="preserve">of the Securities Exchange Act of 1934 </w:t>
      </w:r>
    </w:p>
    <w:p>
      <w:pPr>
        <w:pStyle w:val="TextBody"/>
        <w:bidi w:val="0"/>
        <w:spacing w:before="160" w:after="0"/>
        <w:jc w:val="left"/>
        <w:rPr>
          <w:rFonts w:ascii="ARIAL" w:hAnsi="ARIAL"/>
          <w:sz w:val="20"/>
          <w:shd w:fill="FFFFFF" w:val="clear"/>
        </w:rPr>
      </w:pPr>
      <w:r>
        <w:rPr>
          <w:rFonts w:ascii="ARIAL" w:hAnsi="ARIAL"/>
          <w:sz w:val="20"/>
          <w:shd w:fill="FFFFFF" w:val="clear"/>
        </w:rPr>
        <w:t>Filed by the Registrant </w:t>
      </w:r>
    </w:p>
    <w:p>
      <w:pPr>
        <w:pStyle w:val="TextBody"/>
        <w:bidi w:val="0"/>
        <w:spacing w:before="160" w:after="0"/>
        <w:jc w:val="left"/>
        <w:rPr>
          <w:spacing w:val="0"/>
          <w:shd w:fill="FFFFFF" w:val="clear"/>
        </w:rPr>
      </w:pPr>
      <w:r>
        <w:rPr>
          <w:spacing w:val="0"/>
          <w:shd w:fill="FFFFFF" w:val="clear"/>
        </w:rPr>
        <w:t>☒</w:t>
      </w:r>
    </w:p>
    <w:p>
      <w:pPr>
        <w:pStyle w:val="TextBody"/>
        <w:bidi w:val="0"/>
        <w:spacing w:before="0" w:after="0"/>
        <w:jc w:val="left"/>
        <w:rPr>
          <w:rFonts w:ascii="ARIAL" w:hAnsi="ARIAL"/>
          <w:sz w:val="20"/>
          <w:shd w:fill="FFFFFF" w:val="clear"/>
        </w:rPr>
      </w:pPr>
      <w:r>
        <w:rPr>
          <w:rFonts w:ascii="ARIAL" w:hAnsi="ARIAL"/>
          <w:sz w:val="20"/>
          <w:shd w:fill="FFFFFF" w:val="clear"/>
        </w:rPr>
        <w:t>Filed by a Party other than the Registrant </w:t>
      </w:r>
    </w:p>
    <w:p>
      <w:pPr>
        <w:pStyle w:val="TextBody"/>
        <w:bidi w:val="0"/>
        <w:spacing w:before="0" w:after="0"/>
        <w:jc w:val="left"/>
        <w:rPr>
          <w:spacing w:val="0"/>
          <w:shd w:fill="FFFFFF" w:val="clear"/>
        </w:rPr>
      </w:pPr>
      <w:r>
        <w:rPr>
          <w:spacing w:val="0"/>
          <w:shd w:fill="FFFFFF" w:val="clear"/>
        </w:rPr>
        <w:t>☐</w:t>
      </w:r>
    </w:p>
    <w:p>
      <w:pPr>
        <w:pStyle w:val="TextBody"/>
        <w:bidi w:val="0"/>
        <w:spacing w:before="120" w:after="0"/>
        <w:jc w:val="left"/>
        <w:rPr>
          <w:rFonts w:ascii="ARIAL" w:hAnsi="ARIAL"/>
          <w:sz w:val="20"/>
          <w:shd w:fill="FFFFFF" w:val="clear"/>
        </w:rPr>
      </w:pPr>
      <w:r>
        <w:rPr>
          <w:rFonts w:ascii="ARIAL" w:hAnsi="ARIAL"/>
          <w:sz w:val="20"/>
          <w:shd w:fill="FFFFFF" w:val="clear"/>
        </w:rPr>
        <w:t xml:space="preserve">Check the appropriate box: </w:t>
      </w:r>
    </w:p>
    <w:p>
      <w:pPr>
        <w:pStyle w:val="TextBody"/>
        <w:bidi w:val="0"/>
        <w:spacing w:before="0" w:after="0"/>
        <w:jc w:val="left"/>
        <w:rPr>
          <w:shd w:fill="FFFFFF" w:val="clear"/>
        </w:rPr>
      </w:pPr>
      <w:r>
        <w:rPr>
          <w:shd w:fill="FFFFFF" w:val="clear"/>
        </w:rPr>
        <w:t> </w:t>
      </w:r>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0"/>
              <w:jc w:val="left"/>
              <w:rPr>
                <w:spacing w:val="0"/>
              </w:rPr>
            </w:pPr>
            <w:r>
              <w:rPr>
                <w:spacing w:val="0"/>
              </w:rPr>
              <w:t>☒</w:t>
            </w:r>
          </w:p>
        </w:tc>
        <w:tc>
          <w:tcPr>
            <w:tcW w:w="2600" w:type="dxa"/>
            <w:tcBorders/>
            <w:vAlign w:val="center"/>
          </w:tcPr>
          <w:p>
            <w:pPr>
              <w:pStyle w:val="TableContents"/>
              <w:bidi w:val="0"/>
              <w:spacing w:before="0" w:after="0"/>
              <w:jc w:val="left"/>
              <w:rPr>
                <w:rFonts w:ascii="ARIAL" w:hAnsi="ARIAL"/>
                <w:sz w:val="20"/>
              </w:rPr>
            </w:pPr>
            <w:r>
              <w:rPr>
                <w:rFonts w:ascii="ARIAL" w:hAnsi="ARIAL"/>
                <w:sz w:val="20"/>
              </w:rPr>
              <w:t xml:space="preserve">Preliminary Proxy Statement </w:t>
            </w:r>
          </w:p>
        </w:tc>
      </w:tr>
    </w:tbl>
    <w:tbl>
      <w:tblPr>
        <w:tblW w:w="7240" w:type="dxa"/>
        <w:jc w:val="left"/>
        <w:tblInd w:w="0" w:type="dxa"/>
        <w:tblLayout w:type="fixed"/>
        <w:tblCellMar>
          <w:top w:w="0" w:type="dxa"/>
          <w:left w:w="0" w:type="dxa"/>
          <w:bottom w:w="0" w:type="dxa"/>
          <w:right w:w="0" w:type="dxa"/>
        </w:tblCellMar>
      </w:tblPr>
      <w:tblGrid>
        <w:gridCol w:w="245"/>
        <w:gridCol w:w="6995"/>
      </w:tblGrid>
      <w:tr>
        <w:trPr/>
        <w:tc>
          <w:tcPr>
            <w:tcW w:w="245" w:type="dxa"/>
            <w:tcBorders/>
            <w:vAlign w:val="center"/>
          </w:tcPr>
          <w:p>
            <w:pPr>
              <w:pStyle w:val="TableContents"/>
              <w:bidi w:val="0"/>
              <w:spacing w:before="0" w:after="0"/>
              <w:jc w:val="left"/>
              <w:rPr>
                <w:spacing w:val="0"/>
              </w:rPr>
            </w:pPr>
            <w:r>
              <w:rPr>
                <w:spacing w:val="0"/>
              </w:rPr>
              <w:t>☐</w:t>
            </w:r>
          </w:p>
        </w:tc>
        <w:tc>
          <w:tcPr>
            <w:tcW w:w="6995" w:type="dxa"/>
            <w:tcBorders/>
            <w:vAlign w:val="center"/>
          </w:tcPr>
          <w:p>
            <w:pPr>
              <w:pStyle w:val="TableContents"/>
              <w:bidi w:val="0"/>
              <w:spacing w:before="0" w:after="0"/>
              <w:jc w:val="left"/>
              <w:rPr>
                <w:rFonts w:ascii="ARIAL" w:hAnsi="ARIAL"/>
                <w:sz w:val="20"/>
              </w:rPr>
            </w:pPr>
            <w:r>
              <w:rPr>
                <w:rFonts w:ascii="ARIAL" w:hAnsi="ARIAL"/>
                <w:sz w:val="20"/>
              </w:rPr>
              <w:t xml:space="preserve">Confidential, for Use of the Commission Only (as permitted by Rule 14a-6(e)(2)) </w:t>
            </w:r>
          </w:p>
        </w:tc>
      </w:tr>
    </w:tbl>
    <w:tbl>
      <w:tblPr>
        <w:tblW w:w="2680" w:type="dxa"/>
        <w:jc w:val="left"/>
        <w:tblInd w:w="0" w:type="dxa"/>
        <w:tblLayout w:type="fixed"/>
        <w:tblCellMar>
          <w:top w:w="0" w:type="dxa"/>
          <w:left w:w="0" w:type="dxa"/>
          <w:bottom w:w="0" w:type="dxa"/>
          <w:right w:w="0" w:type="dxa"/>
        </w:tblCellMar>
      </w:tblPr>
      <w:tblGrid>
        <w:gridCol w:w="245"/>
        <w:gridCol w:w="2435"/>
      </w:tblGrid>
      <w:tr>
        <w:trPr/>
        <w:tc>
          <w:tcPr>
            <w:tcW w:w="245" w:type="dxa"/>
            <w:tcBorders/>
            <w:vAlign w:val="center"/>
          </w:tcPr>
          <w:p>
            <w:pPr>
              <w:pStyle w:val="TableContents"/>
              <w:bidi w:val="0"/>
              <w:spacing w:before="0" w:after="0"/>
              <w:jc w:val="left"/>
              <w:rPr>
                <w:spacing w:val="0"/>
              </w:rPr>
            </w:pPr>
            <w:r>
              <w:rPr>
                <w:spacing w:val="0"/>
              </w:rPr>
              <w:t>☐</w:t>
            </w:r>
          </w:p>
        </w:tc>
        <w:tc>
          <w:tcPr>
            <w:tcW w:w="2435" w:type="dxa"/>
            <w:tcBorders/>
            <w:vAlign w:val="center"/>
          </w:tcPr>
          <w:p>
            <w:pPr>
              <w:pStyle w:val="TableContents"/>
              <w:bidi w:val="0"/>
              <w:spacing w:before="0" w:after="0"/>
              <w:jc w:val="left"/>
              <w:rPr>
                <w:rFonts w:ascii="ARIAL" w:hAnsi="ARIAL"/>
                <w:sz w:val="20"/>
              </w:rPr>
            </w:pPr>
            <w:r>
              <w:rPr>
                <w:rFonts w:ascii="ARIAL" w:hAnsi="ARIAL"/>
                <w:sz w:val="20"/>
              </w:rPr>
              <w:t xml:space="preserve">Definitive Proxy Statement </w:t>
            </w:r>
          </w:p>
        </w:tc>
      </w:tr>
    </w:tbl>
    <w:tbl>
      <w:tblPr>
        <w:tblW w:w="2920" w:type="dxa"/>
        <w:jc w:val="left"/>
        <w:tblInd w:w="0" w:type="dxa"/>
        <w:tblLayout w:type="fixed"/>
        <w:tblCellMar>
          <w:top w:w="0" w:type="dxa"/>
          <w:left w:w="0" w:type="dxa"/>
          <w:bottom w:w="0" w:type="dxa"/>
          <w:right w:w="0" w:type="dxa"/>
        </w:tblCellMar>
      </w:tblPr>
      <w:tblGrid>
        <w:gridCol w:w="245"/>
        <w:gridCol w:w="2675"/>
      </w:tblGrid>
      <w:tr>
        <w:trPr/>
        <w:tc>
          <w:tcPr>
            <w:tcW w:w="245" w:type="dxa"/>
            <w:tcBorders/>
            <w:vAlign w:val="center"/>
          </w:tcPr>
          <w:p>
            <w:pPr>
              <w:pStyle w:val="TableContents"/>
              <w:bidi w:val="0"/>
              <w:spacing w:before="0" w:after="0"/>
              <w:jc w:val="left"/>
              <w:rPr>
                <w:spacing w:val="0"/>
              </w:rPr>
            </w:pPr>
            <w:r>
              <w:rPr>
                <w:spacing w:val="0"/>
              </w:rPr>
              <w:t>☐</w:t>
            </w:r>
          </w:p>
        </w:tc>
        <w:tc>
          <w:tcPr>
            <w:tcW w:w="2675" w:type="dxa"/>
            <w:tcBorders/>
            <w:vAlign w:val="center"/>
          </w:tcPr>
          <w:p>
            <w:pPr>
              <w:pStyle w:val="TableContents"/>
              <w:bidi w:val="0"/>
              <w:spacing w:before="0" w:after="0"/>
              <w:jc w:val="left"/>
              <w:rPr>
                <w:rFonts w:ascii="ARIAL" w:hAnsi="ARIAL"/>
                <w:sz w:val="20"/>
              </w:rPr>
            </w:pPr>
            <w:r>
              <w:rPr>
                <w:rFonts w:ascii="ARIAL" w:hAnsi="ARIAL"/>
                <w:sz w:val="20"/>
              </w:rPr>
              <w:t xml:space="preserve">Definitive Additional Materials </w:t>
            </w:r>
          </w:p>
        </w:tc>
      </w:tr>
    </w:tbl>
    <w:tbl>
      <w:tblPr>
        <w:tblW w:w="4075" w:type="dxa"/>
        <w:jc w:val="left"/>
        <w:tblInd w:w="0" w:type="dxa"/>
        <w:tblLayout w:type="fixed"/>
        <w:tblCellMar>
          <w:top w:w="0" w:type="dxa"/>
          <w:left w:w="0" w:type="dxa"/>
          <w:bottom w:w="0" w:type="dxa"/>
          <w:right w:w="0" w:type="dxa"/>
        </w:tblCellMar>
      </w:tblPr>
      <w:tblGrid>
        <w:gridCol w:w="245"/>
        <w:gridCol w:w="3830"/>
      </w:tblGrid>
      <w:tr>
        <w:trPr/>
        <w:tc>
          <w:tcPr>
            <w:tcW w:w="245" w:type="dxa"/>
            <w:tcBorders/>
            <w:vAlign w:val="center"/>
          </w:tcPr>
          <w:p>
            <w:pPr>
              <w:pStyle w:val="TableContents"/>
              <w:bidi w:val="0"/>
              <w:spacing w:before="0" w:after="0"/>
              <w:jc w:val="left"/>
              <w:rPr>
                <w:spacing w:val="0"/>
              </w:rPr>
            </w:pPr>
            <w:r>
              <w:rPr>
                <w:spacing w:val="0"/>
              </w:rPr>
              <w:t>☐</w:t>
            </w:r>
          </w:p>
        </w:tc>
        <w:tc>
          <w:tcPr>
            <w:tcW w:w="3830" w:type="dxa"/>
            <w:tcBorders/>
            <w:vAlign w:val="center"/>
          </w:tcPr>
          <w:p>
            <w:pPr>
              <w:pStyle w:val="TableContents"/>
              <w:bidi w:val="0"/>
              <w:spacing w:before="0" w:after="0"/>
              <w:jc w:val="left"/>
              <w:rPr>
                <w:rFonts w:ascii="ARIAL" w:hAnsi="ARIAL"/>
                <w:sz w:val="20"/>
              </w:rPr>
            </w:pPr>
            <w:r>
              <w:rPr>
                <w:rFonts w:ascii="ARIAL" w:hAnsi="ARIAL"/>
                <w:sz w:val="20"/>
              </w:rPr>
              <w:t xml:space="preserve">Soliciting Material Pursuant to §240.14a-12 </w:t>
            </w:r>
          </w:p>
        </w:tc>
      </w:tr>
    </w:tbl>
    <w:p>
      <w:pPr>
        <w:pStyle w:val="TextBody"/>
        <w:bidi w:val="0"/>
        <w:spacing w:before="240" w:after="0"/>
        <w:jc w:val="center"/>
        <w:rPr>
          <w:rFonts w:ascii="ARIAL" w:hAnsi="ARIAL"/>
          <w:b/>
          <w:sz w:val="44"/>
          <w:shd w:fill="FFFFFF" w:val="clear"/>
        </w:rPr>
      </w:pPr>
      <w:r>
        <w:rPr>
          <w:rFonts w:ascii="ARIAL" w:hAnsi="ARIAL"/>
          <w:b/>
          <w:sz w:val="44"/>
          <w:shd w:fill="FFFFFF" w:val="clear"/>
        </w:rPr>
        <w:t xml:space="preserve">Alignment Healthcare, Inc. </w:t>
      </w:r>
    </w:p>
    <w:p>
      <w:pPr>
        <w:pStyle w:val="TextBody"/>
        <w:bidi w:val="0"/>
        <w:spacing w:before="0" w:after="0"/>
        <w:jc w:val="center"/>
        <w:rPr>
          <w:rFonts w:ascii="ARIAL" w:hAnsi="ARIAL"/>
          <w:b/>
          <w:sz w:val="20"/>
          <w:shd w:fill="FFFFFF" w:val="clear"/>
        </w:rPr>
      </w:pPr>
      <w:r>
        <w:rPr>
          <w:rFonts w:ascii="ARIAL" w:hAnsi="ARIAL"/>
          <w:b/>
          <w:sz w:val="20"/>
          <w:shd w:fill="FFFFFF" w:val="clear"/>
        </w:rPr>
        <w:t xml:space="preserve">(Name of registrant as specified in its charter) </w:t>
      </w:r>
    </w:p>
    <w:p>
      <w:pPr>
        <w:pStyle w:val="TextBody"/>
        <w:bidi w:val="0"/>
        <w:spacing w:before="120" w:after="0"/>
        <w:jc w:val="center"/>
        <w:rPr>
          <w:rFonts w:ascii="ARIAL" w:hAnsi="ARIAL"/>
          <w:b/>
          <w:sz w:val="16"/>
          <w:shd w:fill="FFFFFF" w:val="clear"/>
        </w:rPr>
      </w:pPr>
      <w:r>
        <w:rPr>
          <w:rFonts w:ascii="ARIAL" w:hAnsi="ARIAL"/>
          <w:b/>
          <w:sz w:val="16"/>
          <w:shd w:fill="FFFFFF" w:val="clear"/>
        </w:rPr>
        <w:t xml:space="preserve">(Name of Person(s) Filing Proxy Statement, if other than the Registrant) </w:t>
      </w:r>
    </w:p>
    <w:p>
      <w:pPr>
        <w:pStyle w:val="TextBody"/>
        <w:bidi w:val="0"/>
        <w:spacing w:before="120" w:after="0"/>
        <w:jc w:val="left"/>
        <w:rPr>
          <w:rFonts w:ascii="ARIAL" w:hAnsi="ARIAL"/>
          <w:sz w:val="20"/>
          <w:shd w:fill="FFFFFF" w:val="clear"/>
        </w:rPr>
      </w:pPr>
      <w:r>
        <w:rPr>
          <w:rFonts w:ascii="ARIAL" w:hAnsi="ARIAL"/>
          <w:sz w:val="20"/>
          <w:shd w:fill="FFFFFF" w:val="clear"/>
        </w:rPr>
        <w:t xml:space="preserve">Payment of Filing Fee (Check all boxes that apply): </w:t>
      </w:r>
    </w:p>
    <w:p>
      <w:pPr>
        <w:pStyle w:val="TextBody"/>
        <w:bidi w:val="0"/>
        <w:spacing w:before="0" w:after="0"/>
        <w:jc w:val="left"/>
        <w:rPr>
          <w:shd w:fill="FFFFFF" w:val="clear"/>
        </w:rPr>
      </w:pPr>
      <w:r>
        <w:rPr>
          <w:shd w:fill="FFFFFF" w:val="clear"/>
        </w:rPr>
        <w:t> </w:t>
      </w:r>
    </w:p>
    <w:tbl>
      <w:tblPr>
        <w:tblW w:w="1720" w:type="dxa"/>
        <w:jc w:val="left"/>
        <w:tblInd w:w="0" w:type="dxa"/>
        <w:tblLayout w:type="fixed"/>
        <w:tblCellMar>
          <w:top w:w="0" w:type="dxa"/>
          <w:left w:w="0" w:type="dxa"/>
          <w:bottom w:w="0" w:type="dxa"/>
          <w:right w:w="0" w:type="dxa"/>
        </w:tblCellMar>
      </w:tblPr>
      <w:tblGrid>
        <w:gridCol w:w="245"/>
        <w:gridCol w:w="1475"/>
      </w:tblGrid>
      <w:tr>
        <w:trPr/>
        <w:tc>
          <w:tcPr>
            <w:tcW w:w="245" w:type="dxa"/>
            <w:tcBorders/>
            <w:vAlign w:val="center"/>
          </w:tcPr>
          <w:p>
            <w:pPr>
              <w:pStyle w:val="TableContents"/>
              <w:bidi w:val="0"/>
              <w:spacing w:before="0" w:after="0"/>
              <w:jc w:val="left"/>
              <w:rPr>
                <w:spacing w:val="0"/>
              </w:rPr>
            </w:pPr>
            <w:r>
              <w:rPr>
                <w:spacing w:val="0"/>
              </w:rPr>
              <w:t>☒</w:t>
            </w:r>
          </w:p>
        </w:tc>
        <w:tc>
          <w:tcPr>
            <w:tcW w:w="1475" w:type="dxa"/>
            <w:tcBorders/>
            <w:vAlign w:val="center"/>
          </w:tcPr>
          <w:p>
            <w:pPr>
              <w:pStyle w:val="TableContents"/>
              <w:bidi w:val="0"/>
              <w:spacing w:before="0" w:after="0"/>
              <w:jc w:val="left"/>
              <w:rPr>
                <w:rFonts w:ascii="ARIAL" w:hAnsi="ARIAL"/>
                <w:sz w:val="20"/>
              </w:rPr>
            </w:pPr>
            <w:r>
              <w:rPr>
                <w:rFonts w:ascii="ARIAL" w:hAnsi="ARIAL"/>
                <w:sz w:val="20"/>
              </w:rPr>
              <w:t xml:space="preserve">No fee required. </w:t>
            </w:r>
          </w:p>
        </w:tc>
      </w:tr>
    </w:tbl>
    <w:p>
      <w:pPr>
        <w:pStyle w:val="TextBody"/>
        <w:bidi w:val="0"/>
        <w:spacing w:before="0" w:after="0"/>
        <w:jc w:val="left"/>
        <w:rPr>
          <w:shd w:fill="FFFFFF" w:val="clear"/>
        </w:rPr>
      </w:pPr>
      <w:r>
        <w:rPr>
          <w:shd w:fill="FFFFFF" w:val="clear"/>
        </w:rPr>
        <w:t> </w:t>
      </w:r>
    </w:p>
    <w:tbl>
      <w:tblPr>
        <w:tblW w:w="4360" w:type="dxa"/>
        <w:jc w:val="left"/>
        <w:tblInd w:w="0" w:type="dxa"/>
        <w:tblLayout w:type="fixed"/>
        <w:tblCellMar>
          <w:top w:w="0" w:type="dxa"/>
          <w:left w:w="0" w:type="dxa"/>
          <w:bottom w:w="0" w:type="dxa"/>
          <w:right w:w="0" w:type="dxa"/>
        </w:tblCellMar>
      </w:tblPr>
      <w:tblGrid>
        <w:gridCol w:w="245"/>
        <w:gridCol w:w="4115"/>
      </w:tblGrid>
      <w:tr>
        <w:trPr/>
        <w:tc>
          <w:tcPr>
            <w:tcW w:w="245" w:type="dxa"/>
            <w:tcBorders/>
            <w:vAlign w:val="center"/>
          </w:tcPr>
          <w:p>
            <w:pPr>
              <w:pStyle w:val="TableContents"/>
              <w:bidi w:val="0"/>
              <w:spacing w:before="0" w:after="0"/>
              <w:jc w:val="left"/>
              <w:rPr>
                <w:spacing w:val="0"/>
              </w:rPr>
            </w:pPr>
            <w:r>
              <w:rPr>
                <w:spacing w:val="0"/>
              </w:rPr>
              <w:t>☐</w:t>
            </w:r>
          </w:p>
        </w:tc>
        <w:tc>
          <w:tcPr>
            <w:tcW w:w="4115" w:type="dxa"/>
            <w:tcBorders/>
            <w:vAlign w:val="center"/>
          </w:tcPr>
          <w:p>
            <w:pPr>
              <w:pStyle w:val="TableContents"/>
              <w:bidi w:val="0"/>
              <w:spacing w:before="0" w:after="0"/>
              <w:jc w:val="left"/>
              <w:rPr>
                <w:rFonts w:ascii="ARIAL" w:hAnsi="ARIAL"/>
                <w:sz w:val="20"/>
              </w:rPr>
            </w:pPr>
            <w:r>
              <w:rPr>
                <w:rFonts w:ascii="ARIAL" w:hAnsi="ARIAL"/>
                <w:sz w:val="20"/>
              </w:rPr>
              <w:t xml:space="preserve">Fee paid previously with preliminary materials. </w:t>
            </w:r>
          </w:p>
        </w:tc>
      </w:tr>
    </w:tbl>
    <w:tbl>
      <w:tblPr>
        <w:tblW w:w="9055" w:type="dxa"/>
        <w:jc w:val="left"/>
        <w:tblInd w:w="0" w:type="dxa"/>
        <w:tblLayout w:type="fixed"/>
        <w:tblCellMar>
          <w:top w:w="0" w:type="dxa"/>
          <w:left w:w="0" w:type="dxa"/>
          <w:bottom w:w="0" w:type="dxa"/>
          <w:right w:w="0" w:type="dxa"/>
        </w:tblCellMar>
      </w:tblPr>
      <w:tblGrid>
        <w:gridCol w:w="245"/>
        <w:gridCol w:w="8810"/>
      </w:tblGrid>
      <w:tr>
        <w:trPr/>
        <w:tc>
          <w:tcPr>
            <w:tcW w:w="245" w:type="dxa"/>
            <w:tcBorders/>
            <w:vAlign w:val="center"/>
          </w:tcPr>
          <w:p>
            <w:pPr>
              <w:pStyle w:val="TableContents"/>
              <w:bidi w:val="0"/>
              <w:spacing w:before="0" w:after="0"/>
              <w:jc w:val="left"/>
              <w:rPr>
                <w:spacing w:val="0"/>
              </w:rPr>
            </w:pPr>
            <w:r>
              <w:rPr>
                <w:spacing w:val="0"/>
              </w:rPr>
              <w:t>☐</w:t>
            </w:r>
          </w:p>
        </w:tc>
        <w:tc>
          <w:tcPr>
            <w:tcW w:w="8810" w:type="dxa"/>
            <w:tcBorders/>
            <w:vAlign w:val="center"/>
          </w:tcPr>
          <w:p>
            <w:pPr>
              <w:pStyle w:val="TableContents"/>
              <w:bidi w:val="0"/>
              <w:spacing w:before="0" w:after="0"/>
              <w:jc w:val="left"/>
              <w:rPr>
                <w:rFonts w:ascii="ARIAL" w:hAnsi="ARIAL"/>
                <w:sz w:val="20"/>
              </w:rPr>
            </w:pPr>
            <w:r>
              <w:rPr>
                <w:rFonts w:ascii="ARIAL" w:hAnsi="ARIAL"/>
                <w:sz w:val="20"/>
              </w:rPr>
              <w:t xml:space="preserve">Fee computed on table in exhibit required by Item 25(b) per Exchange Act Rules 14a-6(i)(1) and 0-11 </w:t>
            </w:r>
          </w:p>
        </w:tc>
      </w:tr>
    </w:tbl>
    <w:p>
      <w:pPr>
        <w:pStyle w:val="TextBody"/>
        <w:bidi w:val="0"/>
        <w:spacing w:before="0" w:after="0"/>
        <w:jc w:val="left"/>
        <w:rPr>
          <w:shd w:fill="FFFFFF" w:val="clear"/>
        </w:rPr>
      </w:pPr>
      <w:r>
        <w:rPr>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r>
        <w:br w:type="page"/>
      </w:r>
    </w:p>
    <w:p>
      <w:pPr>
        <w:pStyle w:val="HorizontalLine"/>
        <w:bidi w:val="0"/>
        <w:jc w:val="left"/>
        <w:rPr/>
      </w:pPr>
      <w:r>
        <w:rPr/>
      </w:r>
    </w:p>
    <w:p>
      <w:pPr>
        <w:pStyle w:val="TextBody"/>
        <w:bidi w:val="0"/>
        <w:spacing w:before="0" w:after="0"/>
        <w:jc w:val="center"/>
        <w:rPr/>
      </w:pPr>
      <w:r>
        <w:rPr/>
        <w:drawing>
          <wp:inline distT="0" distB="0" distL="0" distR="0">
            <wp:extent cx="7067550" cy="9144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67550" cy="9144000"/>
                    </a:xfrm>
                    <a:prstGeom prst="rect">
                      <a:avLst/>
                    </a:prstGeom>
                  </pic:spPr>
                </pic:pic>
              </a:graphicData>
            </a:graphic>
          </wp:inline>
        </w:drawing>
      </w:r>
      <w:r>
        <w:rPr/>
        <w:t xml:space="preserve"> </w:t>
      </w:r>
      <w:r>
        <w:br w:type="page"/>
      </w:r>
    </w:p>
    <w:p>
      <w:pPr>
        <w:pStyle w:val="HorizontalLine"/>
        <w:bidi w:val="0"/>
        <w:jc w:val="left"/>
        <w:rPr/>
      </w:pPr>
      <w:r>
        <w:rPr/>
      </w:r>
    </w:p>
    <w:p>
      <w:pPr>
        <w:pStyle w:val="TextBody"/>
        <w:bidi w:val="0"/>
        <w:spacing w:before="0" w:after="0"/>
        <w:jc w:val="center"/>
        <w:rPr/>
      </w:pPr>
      <w:r>
        <w:rPr/>
        <w:drawing>
          <wp:inline distT="0" distB="0" distL="0" distR="0">
            <wp:extent cx="1647825" cy="838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47825" cy="838200"/>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April [ ], 2024 </w:t>
      </w:r>
    </w:p>
    <w:p>
      <w:pPr>
        <w:pStyle w:val="TextBody"/>
        <w:bidi w:val="0"/>
        <w:spacing w:before="240" w:after="0"/>
        <w:jc w:val="left"/>
        <w:rPr>
          <w:rFonts w:ascii="ARIAL" w:hAnsi="ARIAL"/>
          <w:sz w:val="20"/>
        </w:rPr>
      </w:pPr>
      <w:r>
        <w:rPr>
          <w:rFonts w:ascii="ARIAL" w:hAnsi="ARIAL"/>
          <w:sz w:val="20"/>
        </w:rPr>
        <w:t xml:space="preserve">Dear Fellow Stockholders: </w:t>
      </w:r>
    </w:p>
    <w:p>
      <w:pPr>
        <w:pStyle w:val="TextBody"/>
        <w:bidi w:val="0"/>
        <w:spacing w:before="240" w:after="0"/>
        <w:jc w:val="left"/>
        <w:rPr>
          <w:rFonts w:ascii="ARIAL" w:hAnsi="ARIAL"/>
          <w:sz w:val="20"/>
        </w:rPr>
      </w:pPr>
      <w:r>
        <w:rPr>
          <w:rFonts w:ascii="ARIAL" w:hAnsi="ARIAL"/>
          <w:sz w:val="20"/>
        </w:rPr>
        <w:t xml:space="preserve">On behalf of the Alignment Healthcare (“Alignment”) Board of Directors, it is our pleasure to invite you to attend our second Annual Meeting of Stockholders on Friday, June 7, 2024, at 8:00 a.m. PDT. The Annual Meeting will be held virtually via audio-only webcast at www.proxydocs.com/ALHC. You can listen to the meeting live, submit questions and vote online during the Annual Meeting. </w:t>
      </w:r>
    </w:p>
    <w:p>
      <w:pPr>
        <w:pStyle w:val="TextBody"/>
        <w:bidi w:val="0"/>
        <w:spacing w:before="240" w:after="0"/>
        <w:jc w:val="left"/>
        <w:rPr>
          <w:rFonts w:ascii="ARIAL" w:hAnsi="ARIAL"/>
          <w:sz w:val="20"/>
        </w:rPr>
      </w:pPr>
      <w:r>
        <w:rPr>
          <w:rFonts w:ascii="ARIAL" w:hAnsi="ARIAL"/>
          <w:sz w:val="20"/>
        </w:rPr>
        <w:t xml:space="preserve">As we approach the Annual Meeting, we want to convey our appreciation for your ongoing support and commitment to the growth and success of our company. Your dedication remains instrumental as we steer our organization toward greater heights. </w:t>
      </w:r>
    </w:p>
    <w:p>
      <w:pPr>
        <w:pStyle w:val="TextBody"/>
        <w:bidi w:val="0"/>
        <w:spacing w:before="240" w:after="0"/>
        <w:jc w:val="left"/>
        <w:rPr>
          <w:rFonts w:ascii="ARIAL" w:hAnsi="ARIAL"/>
          <w:sz w:val="20"/>
        </w:rPr>
      </w:pPr>
      <w:r>
        <w:rPr>
          <w:rFonts w:ascii="ARIAL" w:hAnsi="ARIAL"/>
          <w:sz w:val="20"/>
        </w:rPr>
        <w:t xml:space="preserve">Last year was the year of the member at Alignment where we drove strong performance with continuous improvements and outstanding achievements, including: </w:t>
      </w:r>
    </w:p>
    <w:p>
      <w:pPr>
        <w:pStyle w:val="TextBody"/>
        <w:bidi w:val="0"/>
        <w:spacing w:before="0" w:after="0"/>
        <w:jc w:val="left"/>
        <w:rPr/>
      </w:pPr>
      <w:r>
        <w:rPr/>
        <w:t> </w:t>
      </w:r>
    </w:p>
    <w:tbl>
      <w:tblPr>
        <w:tblW w:w="9670" w:type="dxa"/>
        <w:jc w:val="left"/>
        <w:tblInd w:w="0" w:type="dxa"/>
        <w:tblLayout w:type="fixed"/>
        <w:tblCellMar>
          <w:top w:w="0" w:type="dxa"/>
          <w:left w:w="0" w:type="dxa"/>
          <w:bottom w:w="0" w:type="dxa"/>
          <w:right w:w="0" w:type="dxa"/>
        </w:tblCellMar>
      </w:tblPr>
      <w:tblGrid>
        <w:gridCol w:w="75"/>
        <w:gridCol w:w="170"/>
        <w:gridCol w:w="60"/>
        <w:gridCol w:w="9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0"/>
              <w:jc w:val="left"/>
              <w:rPr>
                <w:rFonts w:ascii="ARIAL" w:hAnsi="ARIAL"/>
                <w:sz w:val="20"/>
              </w:rPr>
            </w:pPr>
            <w:r>
              <w:rPr>
                <w:rFonts w:ascii="ARIAL" w:hAnsi="ARIAL"/>
                <w:b/>
                <w:sz w:val="20"/>
              </w:rPr>
              <w:t>Strong growth:</w:t>
            </w:r>
            <w:r>
              <w:rPr>
                <w:rFonts w:ascii="ARIAL" w:hAnsi="ARIAL"/>
                <w:sz w:val="20"/>
              </w:rPr>
              <w:t xml:space="preserve"> 21.1% membership growth and 27.2% revenue growth year-over-year as of Dec. 31,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20"/>
              </w:rPr>
            </w:pPr>
            <w:r>
              <w:rPr>
                <w:rFonts w:ascii="ARIAL" w:hAnsi="ARIAL"/>
                <w:b/>
                <w:sz w:val="20"/>
              </w:rPr>
              <w:t xml:space="preserve">Managed medical costs: </w:t>
            </w:r>
            <w:r>
              <w:rPr>
                <w:rFonts w:ascii="ARIAL" w:hAnsi="ARIAL"/>
                <w:sz w:val="20"/>
              </w:rPr>
              <w:t xml:space="preserve">88.5% medical benefits ratio (“MBR”) in 2023 based on adjusted gross profit and 87.6% MBR excluding ACO REACH.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20"/>
              </w:rPr>
            </w:pPr>
            <w:r>
              <w:rPr>
                <w:rFonts w:ascii="ARIAL" w:hAnsi="ARIAL"/>
                <w:b/>
                <w:sz w:val="20"/>
              </w:rPr>
              <w:t>Outstanding quality:</w:t>
            </w:r>
            <w:r>
              <w:rPr>
                <w:rFonts w:ascii="ARIAL" w:hAnsi="ARIAL"/>
                <w:sz w:val="20"/>
              </w:rPr>
              <w:t xml:space="preserve"> &gt;90% of members in plans that received 4 Stars or better under CMS’s 5-Star Quality Rating System.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20"/>
              </w:rPr>
            </w:pPr>
            <w:r>
              <w:rPr>
                <w:rFonts w:ascii="ARIAL" w:hAnsi="ARIAL"/>
                <w:b/>
                <w:sz w:val="20"/>
              </w:rPr>
              <w:t>Premium member experience:</w:t>
            </w:r>
            <w:r>
              <w:rPr>
                <w:rFonts w:ascii="ARIAL" w:hAnsi="ARIAL"/>
                <w:sz w:val="20"/>
              </w:rPr>
              <w:t xml:space="preserve"> Establishing an in-house member experience team, significantly boosting member response rates, resolution speed and overall satisfaction as demonstrated through an overall Net Promoter Score (“NPS”) of 65, which includes an NPS of greater than 80 for our Care Anywhere program, and a 4.9-star Google rating. </w:t>
            </w:r>
          </w:p>
        </w:tc>
      </w:tr>
    </w:tbl>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170"/>
        <w:gridCol w:w="60"/>
        <w:gridCol w:w="72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ARIAL" w:hAnsi="ARIAL"/>
                <w:sz w:val="20"/>
              </w:rPr>
            </w:pPr>
            <w:r>
              <w:rPr>
                <w:rFonts w:ascii="ARIAL" w:hAnsi="ARIAL"/>
                <w:b/>
                <w:sz w:val="20"/>
              </w:rPr>
              <w:t>Higher member retention:</w:t>
            </w:r>
            <w:r>
              <w:rPr>
                <w:rFonts w:ascii="ARIAL" w:hAnsi="ARIAL"/>
                <w:sz w:val="20"/>
              </w:rPr>
              <w:t xml:space="preserve"> 40% lower voluntary disenrollment versus the industry.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20"/>
              </w:rPr>
            </w:pPr>
            <w:r>
              <w:rPr>
                <w:rFonts w:ascii="ARIAL" w:hAnsi="ARIAL"/>
                <w:b/>
                <w:sz w:val="20"/>
              </w:rPr>
              <w:t>Better outcomes:</w:t>
            </w:r>
            <w:r>
              <w:rPr>
                <w:rFonts w:ascii="ARIAL" w:hAnsi="ARIAL"/>
                <w:sz w:val="20"/>
              </w:rPr>
              <w:t xml:space="preserve"> 30% net improvement in Care Anywhere enrolled institutional claims expense after one year following Care Anywhere enrollment or eligibility resulting in better outcomes for our most vulnerable members. </w:t>
            </w:r>
          </w:p>
        </w:tc>
      </w:tr>
    </w:tbl>
    <w:p>
      <w:pPr>
        <w:pStyle w:val="TextBody"/>
        <w:bidi w:val="0"/>
        <w:spacing w:before="240" w:after="0"/>
        <w:jc w:val="left"/>
        <w:rPr>
          <w:rFonts w:ascii="ARIAL" w:hAnsi="ARIAL"/>
          <w:sz w:val="20"/>
        </w:rPr>
      </w:pPr>
      <w:r>
        <w:rPr>
          <w:rFonts w:ascii="ARIAL" w:hAnsi="ARIAL"/>
          <w:sz w:val="20"/>
        </w:rPr>
        <w:t xml:space="preserve">As we look ahead to the rest of 2024, we are laser-focused 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20"/>
              </w:rPr>
            </w:pPr>
            <w:r>
              <w:rPr>
                <w:rFonts w:ascii="ARIAL" w:hAnsi="ARIAL"/>
                <w:b/>
                <w:sz w:val="20"/>
              </w:rPr>
              <w:t>Improving Profitability:</w:t>
            </w:r>
            <w:r>
              <w:rPr>
                <w:rFonts w:ascii="ARIAL" w:hAnsi="ARIAL"/>
                <w:sz w:val="20"/>
              </w:rPr>
              <w:t xml:space="preserve"> We’re passionate about providing the best care at the lowest cost. That starts with high clinical quality and managed medical costs.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20"/>
              </w:rPr>
            </w:pPr>
            <w:r>
              <w:rPr>
                <w:rFonts w:ascii="ARIAL" w:hAnsi="ARIAL"/>
                <w:b/>
                <w:sz w:val="20"/>
              </w:rPr>
              <w:t xml:space="preserve">Driving Growth: </w:t>
            </w:r>
            <w:r>
              <w:rPr>
                <w:rFonts w:ascii="ARIAL" w:hAnsi="ARIAL"/>
                <w:sz w:val="20"/>
              </w:rPr>
              <w:t xml:space="preserve">With a vision to become the most trusted senior health care brand in the country, we’re aiming to deliver the best care to more seniors.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20"/>
              </w:rPr>
            </w:pPr>
            <w:r>
              <w:rPr>
                <w:rFonts w:ascii="ARIAL" w:hAnsi="ARIAL"/>
                <w:b/>
                <w:sz w:val="20"/>
              </w:rPr>
              <w:t>Achieving Replicability:</w:t>
            </w:r>
            <w:r>
              <w:rPr>
                <w:rFonts w:ascii="ARIAL" w:hAnsi="ARIAL"/>
                <w:sz w:val="20"/>
              </w:rPr>
              <w:t xml:space="preserve"> Working with people who embody our values and culture is the foundation of our replicability. For us, replicability means successfully implementing and repeating the success of our model in new markets to drive consistent clinical quality, profitability and growth outcomes. </w:t>
            </w:r>
          </w:p>
        </w:tc>
      </w:tr>
    </w:tbl>
    <w:p>
      <w:pPr>
        <w:pStyle w:val="TextBody"/>
        <w:bidi w:val="0"/>
        <w:spacing w:before="120" w:after="0"/>
        <w:jc w:val="left"/>
        <w:rPr>
          <w:rFonts w:ascii="ARIAL" w:hAnsi="ARIAL"/>
          <w:sz w:val="20"/>
        </w:rPr>
      </w:pPr>
      <w:r>
        <w:rPr>
          <w:rFonts w:ascii="ARIAL" w:hAnsi="ARIAL"/>
          <w:sz w:val="20"/>
        </w:rPr>
        <w:t xml:space="preserve">We feel this is Alignment’s breakout year and look forward to sharing updates on our progress with you throughout our upcoming quarterly earnings. </w:t>
      </w:r>
      <w:r>
        <w:br w:type="page"/>
      </w:r>
    </w:p>
    <w:p>
      <w:pPr>
        <w:pStyle w:val="HorizontalLine"/>
        <w:bidi w:val="0"/>
        <w:jc w:val="left"/>
        <w:rPr/>
      </w:pPr>
      <w:r>
        <w:rPr/>
      </w:r>
    </w:p>
    <w:p>
      <w:pPr>
        <w:pStyle w:val="TextBody"/>
        <w:bidi w:val="0"/>
        <w:spacing w:before="0" w:after="0"/>
        <w:jc w:val="left"/>
        <w:rPr>
          <w:rFonts w:ascii="ARIAL" w:hAnsi="ARIAL"/>
          <w:sz w:val="20"/>
        </w:rPr>
      </w:pPr>
      <w:r>
        <w:rPr>
          <w:rFonts w:ascii="ARIAL" w:hAnsi="ARIAL"/>
          <w:sz w:val="20"/>
        </w:rPr>
        <w:t xml:space="preserve">Our Board of Directors and management team are steadfast in our dedication to fostering sustainable value over the long haul. We look forward to the opportunity to engage with you during the Annual Meeting. </w:t>
      </w:r>
    </w:p>
    <w:p>
      <w:pPr>
        <w:pStyle w:val="TextBody"/>
        <w:bidi w:val="0"/>
        <w:spacing w:before="240" w:after="0"/>
        <w:jc w:val="left"/>
        <w:rPr>
          <w:rFonts w:ascii="ARIAL" w:hAnsi="ARIAL"/>
          <w:sz w:val="20"/>
        </w:rPr>
      </w:pPr>
      <w:r>
        <w:rPr>
          <w:rFonts w:ascii="ARIAL" w:hAnsi="ARIAL"/>
          <w:sz w:val="20"/>
        </w:rPr>
        <w:t xml:space="preserve">Sincerely, </w:t>
      </w:r>
    </w:p>
    <w:p>
      <w:pPr>
        <w:pStyle w:val="TextBody"/>
        <w:bidi w:val="0"/>
        <w:spacing w:before="0" w:after="0"/>
        <w:jc w:val="left"/>
        <w:rPr/>
      </w:pPr>
      <w:r>
        <w:rPr/>
        <w:t> </w:t>
      </w:r>
    </w:p>
    <w:tbl>
      <w:tblPr>
        <w:tblW w:w="8435" w:type="dxa"/>
        <w:jc w:val="left"/>
        <w:tblInd w:w="0" w:type="dxa"/>
        <w:tblLayout w:type="fixed"/>
        <w:tblCellMar>
          <w:top w:w="0" w:type="dxa"/>
          <w:left w:w="0" w:type="dxa"/>
          <w:bottom w:w="0" w:type="dxa"/>
          <w:right w:w="0" w:type="dxa"/>
        </w:tblCellMar>
      </w:tblPr>
      <w:tblGrid>
        <w:gridCol w:w="2300"/>
        <w:gridCol w:w="120"/>
        <w:gridCol w:w="2940"/>
        <w:gridCol w:w="120"/>
        <w:gridCol w:w="2955"/>
      </w:tblGrid>
      <w:tr>
        <w:trPr/>
        <w:tc>
          <w:tcPr>
            <w:tcW w:w="2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55" w:type="dxa"/>
            <w:tcBorders/>
            <w:vAlign w:val="center"/>
          </w:tcPr>
          <w:p>
            <w:pPr>
              <w:pStyle w:val="TableContents"/>
              <w:bidi w:val="0"/>
              <w:spacing w:before="0" w:after="283"/>
              <w:jc w:val="left"/>
              <w:rPr>
                <w:sz w:val="4"/>
                <w:szCs w:val="4"/>
              </w:rPr>
            </w:pPr>
            <w:r>
              <w:rPr>
                <w:sz w:val="4"/>
                <w:szCs w:val="4"/>
              </w:rPr>
            </w:r>
          </w:p>
        </w:tc>
      </w:tr>
      <w:tr>
        <w:trPr/>
        <w:tc>
          <w:tcPr>
            <w:tcW w:w="2300" w:type="dxa"/>
            <w:tcBorders/>
            <w:vAlign w:val="center"/>
          </w:tcPr>
          <w:p>
            <w:pPr>
              <w:pStyle w:val="TableContents"/>
              <w:bidi w:val="0"/>
              <w:spacing w:before="0" w:after="0"/>
              <w:jc w:val="left"/>
              <w:rPr/>
            </w:pPr>
            <w:r>
              <w:rPr/>
              <w:drawing>
                <wp:inline distT="0" distB="0" distL="0" distR="0">
                  <wp:extent cx="1190625" cy="771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90625" cy="7715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940" w:type="dxa"/>
            <w:tcBorders/>
            <w:vAlign w:val="center"/>
          </w:tcPr>
          <w:p>
            <w:pPr>
              <w:pStyle w:val="TableContents"/>
              <w:bidi w:val="0"/>
              <w:spacing w:before="0" w:after="283"/>
              <w:jc w:val="left"/>
              <w:rPr/>
            </w:pPr>
            <w:r>
              <w:rPr/>
              <w:drawing>
                <wp:inline distT="0" distB="0" distL="0" distR="0">
                  <wp:extent cx="1828800" cy="619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28800" cy="61912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955" w:type="dxa"/>
            <w:tcBorders/>
            <w:vAlign w:val="center"/>
          </w:tcPr>
          <w:p>
            <w:pPr>
              <w:pStyle w:val="TableContents"/>
              <w:bidi w:val="0"/>
              <w:spacing w:before="0" w:after="283"/>
              <w:jc w:val="left"/>
              <w:rPr/>
            </w:pPr>
            <w:r>
              <w:rPr/>
              <w:drawing>
                <wp:inline distT="0" distB="0" distL="0" distR="0">
                  <wp:extent cx="1828800" cy="4667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28800" cy="466725"/>
                          </a:xfrm>
                          <a:prstGeom prst="rect">
                            <a:avLst/>
                          </a:prstGeom>
                        </pic:spPr>
                      </pic:pic>
                    </a:graphicData>
                  </a:graphic>
                </wp:inline>
              </w:drawing>
            </w:r>
            <w:r>
              <w:rPr/>
              <w:t xml:space="preserve"> </w:t>
            </w:r>
          </w:p>
        </w:tc>
      </w:tr>
      <w:tr>
        <w:trPr/>
        <w:tc>
          <w:tcPr>
            <w:tcW w:w="2300" w:type="dxa"/>
            <w:tcBorders/>
            <w:vAlign w:val="center"/>
          </w:tcPr>
          <w:p>
            <w:pPr>
              <w:pStyle w:val="TableContents"/>
              <w:bidi w:val="0"/>
              <w:spacing w:before="0" w:after="283"/>
              <w:jc w:val="left"/>
              <w:rPr>
                <w:b/>
              </w:rPr>
            </w:pPr>
            <w:r>
              <w:rPr>
                <w:b/>
              </w:rPr>
              <w:t>John Kao</w:t>
            </w:r>
          </w:p>
        </w:tc>
        <w:tc>
          <w:tcPr>
            <w:tcW w:w="120" w:type="dxa"/>
            <w:tcBorders/>
            <w:vAlign w:val="center"/>
          </w:tcPr>
          <w:p>
            <w:pPr>
              <w:pStyle w:val="TableContents"/>
              <w:bidi w:val="0"/>
              <w:spacing w:before="0" w:after="283"/>
              <w:jc w:val="left"/>
              <w:rPr/>
            </w:pPr>
            <w:r>
              <w:rPr/>
              <w:t>  </w:t>
            </w:r>
          </w:p>
        </w:tc>
        <w:tc>
          <w:tcPr>
            <w:tcW w:w="2940" w:type="dxa"/>
            <w:tcBorders/>
            <w:vAlign w:val="center"/>
          </w:tcPr>
          <w:p>
            <w:pPr>
              <w:pStyle w:val="TableContents"/>
              <w:bidi w:val="0"/>
              <w:spacing w:before="0" w:after="283"/>
              <w:jc w:val="left"/>
              <w:rPr>
                <w:b/>
              </w:rPr>
            </w:pPr>
            <w:r>
              <w:rPr>
                <w:b/>
              </w:rPr>
              <w:t>Joseph Konowiecki</w:t>
            </w:r>
          </w:p>
        </w:tc>
        <w:tc>
          <w:tcPr>
            <w:tcW w:w="120" w:type="dxa"/>
            <w:tcBorders/>
            <w:vAlign w:val="center"/>
          </w:tcPr>
          <w:p>
            <w:pPr>
              <w:pStyle w:val="TableContents"/>
              <w:bidi w:val="0"/>
              <w:spacing w:before="0" w:after="283"/>
              <w:jc w:val="left"/>
              <w:rPr/>
            </w:pPr>
            <w:r>
              <w:rPr/>
              <w:t>  </w:t>
            </w:r>
          </w:p>
        </w:tc>
        <w:tc>
          <w:tcPr>
            <w:tcW w:w="2955" w:type="dxa"/>
            <w:tcBorders/>
            <w:vAlign w:val="center"/>
          </w:tcPr>
          <w:p>
            <w:pPr>
              <w:pStyle w:val="TableContents"/>
              <w:bidi w:val="0"/>
              <w:spacing w:before="0" w:after="283"/>
              <w:jc w:val="left"/>
              <w:rPr>
                <w:b/>
              </w:rPr>
            </w:pPr>
            <w:r>
              <w:rPr>
                <w:b/>
              </w:rPr>
              <w:t>Margaret McCarthy</w:t>
            </w:r>
          </w:p>
        </w:tc>
      </w:tr>
      <w:tr>
        <w:trPr/>
        <w:tc>
          <w:tcPr>
            <w:tcW w:w="2300" w:type="dxa"/>
            <w:tcBorders/>
            <w:vAlign w:val="center"/>
          </w:tcPr>
          <w:p>
            <w:pPr>
              <w:pStyle w:val="TableContents"/>
              <w:bidi w:val="0"/>
              <w:spacing w:before="0" w:after="283"/>
              <w:jc w:val="left"/>
              <w:rPr/>
            </w:pPr>
            <w:r>
              <w:rPr/>
              <w:t>Chief Executive Officer</w:t>
            </w:r>
          </w:p>
        </w:tc>
        <w:tc>
          <w:tcPr>
            <w:tcW w:w="120" w:type="dxa"/>
            <w:tcBorders/>
            <w:vAlign w:val="center"/>
          </w:tcPr>
          <w:p>
            <w:pPr>
              <w:pStyle w:val="TableContents"/>
              <w:bidi w:val="0"/>
              <w:spacing w:before="0" w:after="283"/>
              <w:jc w:val="left"/>
              <w:rPr/>
            </w:pPr>
            <w:r>
              <w:rPr/>
              <w:t>  </w:t>
            </w:r>
          </w:p>
        </w:tc>
        <w:tc>
          <w:tcPr>
            <w:tcW w:w="2940" w:type="dxa"/>
            <w:tcBorders/>
            <w:vAlign w:val="center"/>
          </w:tcPr>
          <w:p>
            <w:pPr>
              <w:pStyle w:val="TableContents"/>
              <w:bidi w:val="0"/>
              <w:spacing w:before="0" w:after="283"/>
              <w:jc w:val="left"/>
              <w:rPr/>
            </w:pPr>
            <w:r>
              <w:rPr/>
              <w:t>Chairman of the Board</w:t>
            </w:r>
          </w:p>
        </w:tc>
        <w:tc>
          <w:tcPr>
            <w:tcW w:w="120" w:type="dxa"/>
            <w:tcBorders/>
            <w:vAlign w:val="center"/>
          </w:tcPr>
          <w:p>
            <w:pPr>
              <w:pStyle w:val="TableContents"/>
              <w:bidi w:val="0"/>
              <w:spacing w:before="0" w:after="283"/>
              <w:jc w:val="left"/>
              <w:rPr/>
            </w:pPr>
            <w:r>
              <w:rPr/>
              <w:t>  </w:t>
            </w:r>
          </w:p>
        </w:tc>
        <w:tc>
          <w:tcPr>
            <w:tcW w:w="2955" w:type="dxa"/>
            <w:tcBorders/>
            <w:vAlign w:val="center"/>
          </w:tcPr>
          <w:p>
            <w:pPr>
              <w:pStyle w:val="TableContents"/>
              <w:bidi w:val="0"/>
              <w:spacing w:before="0" w:after="283"/>
              <w:jc w:val="left"/>
              <w:rPr/>
            </w:pPr>
            <w:r>
              <w:rPr/>
              <w:t>Lead Independent Director</w:t>
            </w:r>
          </w:p>
        </w:tc>
      </w:tr>
    </w:tbl>
    <w:p>
      <w:pPr>
        <w:pStyle w:val="HorizontalLine"/>
        <w:bidi w:val="0"/>
        <w:jc w:val="left"/>
        <w:rPr/>
      </w:pPr>
      <w:r>
        <w:br w:type="page"/>
      </w:r>
      <w:r>
        <w:rPr/>
      </w:r>
    </w:p>
    <w:p>
      <w:pPr>
        <w:pStyle w:val="TextBody"/>
        <w:bidi w:val="0"/>
        <w:spacing w:before="0" w:after="0"/>
        <w:jc w:val="center"/>
        <w:rPr/>
      </w:pPr>
      <w:r>
        <w:rPr/>
        <w:drawing>
          <wp:inline distT="0" distB="0" distL="0" distR="0">
            <wp:extent cx="1647825" cy="8382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647825" cy="838200"/>
                    </a:xfrm>
                    <a:prstGeom prst="rect">
                      <a:avLst/>
                    </a:prstGeom>
                  </pic:spPr>
                </pic:pic>
              </a:graphicData>
            </a:graphic>
          </wp:inline>
        </w:drawing>
      </w:r>
      <w:r>
        <w:rPr/>
        <w:t xml:space="preserve"> </w:t>
      </w:r>
    </w:p>
    <w:p>
      <w:pPr>
        <w:pStyle w:val="TextBody"/>
        <w:bidi w:val="0"/>
        <w:spacing w:before="240" w:after="0"/>
        <w:jc w:val="center"/>
        <w:rPr>
          <w:rFonts w:ascii="ARIAL" w:hAnsi="ARIAL"/>
          <w:b/>
          <w:sz w:val="22"/>
        </w:rPr>
      </w:pPr>
      <w:r>
        <w:rPr>
          <w:rFonts w:ascii="ARIAL" w:hAnsi="ARIAL"/>
          <w:b/>
          <w:sz w:val="22"/>
        </w:rPr>
        <w:t xml:space="preserve">NOTICE OF 2024 ANNUAL MEETING OF STOCKHOLDERS </w:t>
      </w:r>
    </w:p>
    <w:p>
      <w:pPr>
        <w:pStyle w:val="TextBody"/>
        <w:bidi w:val="0"/>
        <w:spacing w:before="240" w:after="0"/>
        <w:jc w:val="left"/>
        <w:rPr>
          <w:rFonts w:ascii="ARIAL" w:hAnsi="ARIAL"/>
          <w:sz w:val="20"/>
        </w:rPr>
      </w:pPr>
      <w:r>
        <w:rPr>
          <w:rFonts w:ascii="ARIAL" w:hAnsi="ARIAL"/>
          <w:sz w:val="20"/>
        </w:rPr>
        <w:t xml:space="preserve">The 2024 Annual Meeting of Stockholders of Alignment Healthcare, Inc. (the “Annual Meeting”) will be held on June 7, 2024, at 8:00 a.m. Pacific Time. </w:t>
      </w:r>
    </w:p>
    <w:p>
      <w:pPr>
        <w:pStyle w:val="TextBody"/>
        <w:bidi w:val="0"/>
        <w:spacing w:before="240" w:after="0"/>
        <w:jc w:val="left"/>
        <w:rPr>
          <w:rFonts w:ascii="ARIAL" w:hAnsi="ARIAL"/>
          <w:b/>
          <w:color w:val="1F497D"/>
          <w:sz w:val="20"/>
        </w:rPr>
      </w:pPr>
      <w:r>
        <w:rPr>
          <w:rFonts w:ascii="ARIAL" w:hAnsi="ARIAL"/>
          <w:b/>
          <w:color w:val="1F497D"/>
          <w:sz w:val="20"/>
        </w:rPr>
        <w:t xml:space="preserve">Items of Business </w:t>
      </w:r>
    </w:p>
    <w:p>
      <w:pPr>
        <w:pStyle w:val="TextBody"/>
        <w:bidi w:val="0"/>
        <w:spacing w:before="240" w:after="0"/>
        <w:jc w:val="left"/>
        <w:rPr>
          <w:rFonts w:ascii="ARIAL" w:hAnsi="ARIAL"/>
          <w:sz w:val="20"/>
        </w:rPr>
      </w:pPr>
      <w:r>
        <w:rPr>
          <w:rFonts w:ascii="ARIAL" w:hAnsi="ARIAL"/>
          <w:sz w:val="20"/>
        </w:rPr>
        <w:t xml:space="preserve">Matters to be voted on at the Annual Meeting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20"/>
              </w:rPr>
            </w:pPr>
            <w:r>
              <w:rPr>
                <w:rFonts w:ascii="ARIAL" w:hAnsi="ARIAL"/>
                <w:b/>
                <w:sz w:val="20"/>
              </w:rPr>
              <w:t>Proposal 1:</w:t>
            </w:r>
            <w:r>
              <w:rPr>
                <w:rFonts w:ascii="ARIAL" w:hAnsi="ARIAL"/>
                <w:sz w:val="20"/>
              </w:rPr>
              <w:t xml:space="preserve"> Election of four nominees identified in the accompanying proxy statement to serve as Class III directors to hold office until the 2027 Annual Meeting of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20"/>
              </w:rPr>
            </w:pPr>
            <w:r>
              <w:rPr>
                <w:rFonts w:ascii="ARIAL" w:hAnsi="ARIAL"/>
                <w:b/>
                <w:sz w:val="20"/>
              </w:rPr>
              <w:t>Proposal 2:</w:t>
            </w:r>
            <w:r>
              <w:rPr>
                <w:rFonts w:ascii="ARIAL" w:hAnsi="ARIAL"/>
                <w:sz w:val="20"/>
              </w:rPr>
              <w:t xml:space="preserve"> Approval of an amendment to our certificate of incorporation to reflect new Delaware law provisions regarding exculpation of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20"/>
              </w:rPr>
            </w:pPr>
            <w:r>
              <w:rPr>
                <w:rFonts w:ascii="ARIAL" w:hAnsi="ARIAL"/>
                <w:b/>
                <w:sz w:val="20"/>
              </w:rPr>
              <w:t>Proposal 3:</w:t>
            </w:r>
            <w:r>
              <w:rPr>
                <w:rFonts w:ascii="ARIAL" w:hAnsi="ARIAL"/>
                <w:sz w:val="20"/>
              </w:rPr>
              <w:t xml:space="preserve"> Ratification of the appointment of Deloitte &amp; Touche LLP as our independent registered public accounting firm for the year ending December 31, 2024;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20"/>
              </w:rPr>
            </w:pPr>
            <w:r>
              <w:rPr>
                <w:rFonts w:ascii="ARIAL" w:hAnsi="ARIAL"/>
                <w:b/>
                <w:sz w:val="20"/>
              </w:rPr>
              <w:t>Proposal 4:</w:t>
            </w:r>
            <w:r>
              <w:rPr>
                <w:rFonts w:ascii="ARIAL" w:hAnsi="ARIAL"/>
                <w:sz w:val="20"/>
              </w:rPr>
              <w:t xml:space="preserve"> Approval, on a non-binding, advisory basis, of the compensation of our named executive officers (“Named Executive Officers” or “NEOs”). </w:t>
            </w:r>
          </w:p>
        </w:tc>
      </w:tr>
    </w:tbl>
    <w:p>
      <w:pPr>
        <w:pStyle w:val="TextBody"/>
        <w:bidi w:val="0"/>
        <w:spacing w:before="240" w:after="0"/>
        <w:jc w:val="left"/>
        <w:rPr>
          <w:rFonts w:ascii="ARIAL" w:hAnsi="ARIAL"/>
          <w:sz w:val="20"/>
        </w:rPr>
      </w:pPr>
      <w:r>
        <w:rPr>
          <w:rFonts w:ascii="ARIAL" w:hAnsi="ARIAL"/>
          <w:sz w:val="20"/>
        </w:rPr>
        <w:t xml:space="preserve">Items of business may also include transacting other business as may properly come before the meeting or any adjournment of the meeting. The Proxy Statement accompanying this notice describes each of the items of business in more detail. </w:t>
      </w:r>
    </w:p>
    <w:p>
      <w:pPr>
        <w:pStyle w:val="TextBody"/>
        <w:bidi w:val="0"/>
        <w:spacing w:before="240" w:after="0"/>
        <w:jc w:val="left"/>
        <w:rPr>
          <w:rFonts w:ascii="ARIAL" w:hAnsi="ARIAL"/>
          <w:b/>
          <w:color w:val="1F497D"/>
          <w:sz w:val="20"/>
        </w:rPr>
      </w:pPr>
      <w:r>
        <w:rPr>
          <w:rFonts w:ascii="ARIAL" w:hAnsi="ARIAL"/>
          <w:b/>
          <w:color w:val="1F497D"/>
          <w:sz w:val="20"/>
        </w:rPr>
        <w:t xml:space="preserve">Access to the Meeting </w:t>
      </w:r>
    </w:p>
    <w:p>
      <w:pPr>
        <w:pStyle w:val="TextBody"/>
        <w:bidi w:val="0"/>
        <w:spacing w:before="240" w:after="0"/>
        <w:jc w:val="left"/>
        <w:rPr>
          <w:rFonts w:ascii="ARIAL" w:hAnsi="ARIAL"/>
          <w:sz w:val="20"/>
        </w:rPr>
      </w:pPr>
      <w:r>
        <w:rPr>
          <w:rFonts w:ascii="ARIAL" w:hAnsi="ARIAL"/>
          <w:sz w:val="20"/>
        </w:rPr>
        <w:t>The Annual Meeting will be held via live audio webcast available at www.proxydocs.com/ALHC. Please see the “</w:t>
      </w:r>
      <w:r>
        <w:rPr>
          <w:rFonts w:ascii="ARIAL" w:hAnsi="ARIAL"/>
          <w:i/>
          <w:sz w:val="20"/>
        </w:rPr>
        <w:t>Commonly Asked Questions and Answers About the Annual Meeting</w:t>
      </w:r>
      <w:r>
        <w:rPr>
          <w:rFonts w:ascii="ARIAL" w:hAnsi="ARIAL"/>
          <w:sz w:val="20"/>
        </w:rPr>
        <w:t xml:space="preserve">” section in the attached Proxy Statement for information on registration to attend the Annual Meeting. Stockholders will be able to participate, vote and submit questions from any location. </w:t>
      </w:r>
    </w:p>
    <w:p>
      <w:pPr>
        <w:pStyle w:val="TextBody"/>
        <w:bidi w:val="0"/>
        <w:spacing w:before="240" w:after="0"/>
        <w:jc w:val="left"/>
        <w:rPr>
          <w:rFonts w:ascii="ARIAL" w:hAnsi="ARIAL"/>
          <w:b/>
          <w:color w:val="1F497D"/>
          <w:sz w:val="20"/>
        </w:rPr>
      </w:pPr>
      <w:r>
        <w:rPr>
          <w:rFonts w:ascii="ARIAL" w:hAnsi="ARIAL"/>
          <w:b/>
          <w:color w:val="1F497D"/>
          <w:sz w:val="20"/>
        </w:rPr>
        <w:t xml:space="preserve">Record Date &amp; List of Stockholders </w:t>
      </w:r>
    </w:p>
    <w:p>
      <w:pPr>
        <w:pStyle w:val="TextBody"/>
        <w:bidi w:val="0"/>
        <w:spacing w:before="240" w:after="0"/>
        <w:jc w:val="left"/>
        <w:rPr>
          <w:rFonts w:ascii="ARIAL" w:hAnsi="ARIAL"/>
          <w:sz w:val="20"/>
        </w:rPr>
      </w:pPr>
      <w:r>
        <w:rPr>
          <w:rFonts w:ascii="ARIAL" w:hAnsi="ARIAL"/>
          <w:sz w:val="20"/>
        </w:rPr>
        <w:t xml:space="preserve">Our Board has set the record date as of April 9, 2024 (the “Record Date”). Only stockholders that owned Alignment common stock at the close of business on that day are entitled to notice of and may vote at the Annual Meeting or any adjournment of the meeting. A list of Alignment’s stockholders of record will be available at our corporate headquarters and principal executive offices located at 1100 W. Town &amp; Country Rd., Suite 1600, Orange, CA 92868 at least ten days prior to June 7, 2024. </w:t>
      </w:r>
      <w:r>
        <w:br w:type="page"/>
      </w:r>
    </w:p>
    <w:p>
      <w:pPr>
        <w:pStyle w:val="HorizontalLine"/>
        <w:bidi w:val="0"/>
        <w:jc w:val="left"/>
        <w:rPr/>
      </w:pPr>
      <w:r>
        <w:rPr/>
      </w:r>
    </w:p>
    <w:p>
      <w:pPr>
        <w:pStyle w:val="TextBody"/>
        <w:bidi w:val="0"/>
        <w:spacing w:before="0" w:after="0"/>
        <w:jc w:val="left"/>
        <w:rPr>
          <w:rFonts w:ascii="ARIAL" w:hAnsi="ARIAL"/>
          <w:b/>
          <w:color w:val="1F497D"/>
          <w:sz w:val="20"/>
        </w:rPr>
      </w:pPr>
      <w:r>
        <w:rPr>
          <w:rFonts w:ascii="ARIAL" w:hAnsi="ARIAL"/>
          <w:b/>
          <w:color w:val="1F497D"/>
          <w:sz w:val="20"/>
        </w:rPr>
        <w:t xml:space="preserve">How to Vote Your 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329"/>
        <w:gridCol w:w="120"/>
        <w:gridCol w:w="4756"/>
      </w:tblGrid>
      <w:tr>
        <w:trPr/>
        <w:tc>
          <w:tcPr>
            <w:tcW w:w="53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56" w:type="dxa"/>
            <w:tcBorders/>
            <w:vAlign w:val="center"/>
          </w:tcPr>
          <w:p>
            <w:pPr>
              <w:pStyle w:val="TableContents"/>
              <w:bidi w:val="0"/>
              <w:spacing w:before="0" w:after="283"/>
              <w:jc w:val="left"/>
              <w:rPr>
                <w:sz w:val="4"/>
                <w:szCs w:val="4"/>
              </w:rPr>
            </w:pPr>
            <w:r>
              <w:rPr>
                <w:sz w:val="4"/>
                <w:szCs w:val="4"/>
              </w:rPr>
            </w:r>
          </w:p>
        </w:tc>
      </w:tr>
      <w:tr>
        <w:trPr/>
        <w:tc>
          <w:tcPr>
            <w:tcW w:w="5329" w:type="dxa"/>
            <w:tcBorders/>
            <w:vAlign w:val="center"/>
          </w:tcPr>
          <w:p>
            <w:pPr>
              <w:pStyle w:val="TableContents"/>
              <w:bidi w:val="0"/>
              <w:spacing w:before="0" w:after="0"/>
              <w:jc w:val="left"/>
              <w:rPr>
                <w:rFonts w:ascii="ARIAL" w:hAnsi="ARIAL"/>
                <w:b/>
                <w:sz w:val="20"/>
              </w:rPr>
            </w:pPr>
            <w:r>
              <w:rPr>
                <w:rFonts w:ascii="ARIAL" w:hAnsi="ARIAL"/>
                <w:b/>
                <w:sz w:val="20"/>
              </w:rPr>
              <w:t>By Internet</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Go to www.proxydocs.com/ALHC and follow the instructions.</w:t>
            </w:r>
          </w:p>
        </w:tc>
        <w:tc>
          <w:tcPr>
            <w:tcW w:w="120" w:type="dxa"/>
            <w:tcBorders/>
            <w:vAlign w:val="center"/>
          </w:tcPr>
          <w:p>
            <w:pPr>
              <w:pStyle w:val="TableContents"/>
              <w:bidi w:val="0"/>
              <w:spacing w:before="0" w:after="283"/>
              <w:jc w:val="left"/>
              <w:rPr/>
            </w:pPr>
            <w:r>
              <w:rPr/>
              <w:t>  </w:t>
            </w:r>
          </w:p>
        </w:tc>
        <w:tc>
          <w:tcPr>
            <w:tcW w:w="4756" w:type="dxa"/>
            <w:tcBorders/>
            <w:vAlign w:val="center"/>
          </w:tcPr>
          <w:p>
            <w:pPr>
              <w:pStyle w:val="TableContents"/>
              <w:bidi w:val="0"/>
              <w:spacing w:before="0" w:after="0"/>
              <w:jc w:val="left"/>
              <w:rPr>
                <w:rFonts w:ascii="ARIAL" w:hAnsi="ARIAL"/>
                <w:b/>
                <w:sz w:val="20"/>
              </w:rPr>
            </w:pPr>
            <w:r>
              <w:rPr>
                <w:rFonts w:ascii="ARIAL" w:hAnsi="ARIAL"/>
                <w:b/>
                <w:sz w:val="20"/>
              </w:rPr>
              <w:t>By Telephone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Dial toll-free 866-314-3346 using any touch-tone telephone and follow the recorded instructions.</w:t>
            </w:r>
          </w:p>
        </w:tc>
      </w:tr>
      <w:tr>
        <w:trPr/>
        <w:tc>
          <w:tcPr>
            <w:tcW w:w="5329" w:type="dxa"/>
            <w:tcBorders/>
            <w:vAlign w:val="center"/>
          </w:tcPr>
          <w:p>
            <w:pPr>
              <w:pStyle w:val="TableContents"/>
              <w:bidi w:val="0"/>
              <w:spacing w:before="0" w:after="283"/>
              <w:jc w:val="left"/>
              <w:rPr>
                <w:sz w:val="4"/>
                <w:szCs w:val="4"/>
              </w:rPr>
            </w:pPr>
            <w:r>
              <w:rPr>
                <w:sz w:val="4"/>
                <w:szCs w:val="4"/>
              </w:rPr>
            </w:r>
          </w:p>
        </w:tc>
        <w:tc>
          <w:tcPr>
            <w:tcW w:w="4876" w:type="dxa"/>
            <w:gridSpan w:val="2"/>
            <w:tcBorders/>
            <w:vAlign w:val="center"/>
          </w:tcPr>
          <w:p>
            <w:pPr>
              <w:pStyle w:val="TableContents"/>
              <w:bidi w:val="0"/>
              <w:spacing w:before="0" w:after="283"/>
              <w:jc w:val="left"/>
              <w:rPr>
                <w:sz w:val="4"/>
                <w:szCs w:val="4"/>
              </w:rPr>
            </w:pPr>
            <w:r>
              <w:rPr>
                <w:sz w:val="4"/>
                <w:szCs w:val="4"/>
              </w:rPr>
            </w:r>
          </w:p>
        </w:tc>
      </w:tr>
      <w:tr>
        <w:trPr/>
        <w:tc>
          <w:tcPr>
            <w:tcW w:w="5329" w:type="dxa"/>
            <w:tcBorders/>
            <w:vAlign w:val="center"/>
          </w:tcPr>
          <w:p>
            <w:pPr>
              <w:pStyle w:val="TableContents"/>
              <w:bidi w:val="0"/>
              <w:spacing w:before="0" w:after="0"/>
              <w:jc w:val="left"/>
              <w:rPr>
                <w:rFonts w:ascii="ARIAL" w:hAnsi="ARIAL"/>
                <w:b/>
                <w:sz w:val="20"/>
              </w:rPr>
            </w:pPr>
            <w:r>
              <w:rPr>
                <w:rFonts w:ascii="ARIAL" w:hAnsi="ARIAL"/>
                <w:b/>
                <w:sz w:val="20"/>
              </w:rPr>
              <w:t>By Mail</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Complete, sign, date and return your proxy card or voting instruction form in the envelope provided.</w:t>
            </w:r>
          </w:p>
        </w:tc>
        <w:tc>
          <w:tcPr>
            <w:tcW w:w="120" w:type="dxa"/>
            <w:tcBorders/>
            <w:vAlign w:val="center"/>
          </w:tcPr>
          <w:p>
            <w:pPr>
              <w:pStyle w:val="TableContents"/>
              <w:bidi w:val="0"/>
              <w:spacing w:before="0" w:after="283"/>
              <w:jc w:val="left"/>
              <w:rPr/>
            </w:pPr>
            <w:r>
              <w:rPr/>
              <w:t>  </w:t>
            </w:r>
          </w:p>
        </w:tc>
        <w:tc>
          <w:tcPr>
            <w:tcW w:w="4756" w:type="dxa"/>
            <w:tcBorders/>
            <w:vAlign w:val="center"/>
          </w:tcPr>
          <w:p>
            <w:pPr>
              <w:pStyle w:val="TableContents"/>
              <w:bidi w:val="0"/>
              <w:spacing w:before="0" w:after="0"/>
              <w:jc w:val="left"/>
              <w:rPr>
                <w:rFonts w:ascii="ARIAL" w:hAnsi="ARIAL"/>
                <w:b/>
                <w:sz w:val="20"/>
              </w:rPr>
            </w:pPr>
            <w:r>
              <w:rPr>
                <w:rFonts w:ascii="ARIAL" w:hAnsi="ARIAL"/>
                <w:b/>
                <w:sz w:val="20"/>
              </w:rPr>
              <w:t>In Person (Virtual)</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Attend our virtual Annual Meeting and cast your vote using the webcast voting options.</w:t>
            </w:r>
          </w:p>
        </w:tc>
      </w:tr>
    </w:tbl>
    <w:p>
      <w:pPr>
        <w:pStyle w:val="TextBody"/>
        <w:bidi w:val="0"/>
        <w:spacing w:before="240" w:after="0"/>
        <w:jc w:val="left"/>
        <w:rPr>
          <w:rFonts w:ascii="ARIAL" w:hAnsi="ARIAL"/>
          <w:sz w:val="20"/>
        </w:rPr>
      </w:pPr>
      <w:r>
        <w:rPr>
          <w:rFonts w:ascii="ARIAL" w:hAnsi="ARIAL"/>
          <w:sz w:val="20"/>
        </w:rPr>
        <w:t xml:space="preserve">Whether or not you expect to attend the Annual Meeting, please make sure you vote so that your shares will be represented at the meeting. </w:t>
      </w:r>
    </w:p>
    <w:p>
      <w:pPr>
        <w:pStyle w:val="TextBody"/>
        <w:bidi w:val="0"/>
        <w:spacing w:before="240" w:after="0"/>
        <w:jc w:val="left"/>
        <w:rPr>
          <w:rFonts w:ascii="ARIAL" w:hAnsi="ARIAL"/>
          <w:sz w:val="20"/>
        </w:rPr>
      </w:pPr>
      <w:r>
        <w:rPr>
          <w:rFonts w:ascii="ARIAL" w:hAnsi="ARIAL"/>
          <w:sz w:val="20"/>
        </w:rPr>
        <w:t xml:space="preserve">By Order of the Board of Directors </w:t>
      </w:r>
    </w:p>
    <w:p>
      <w:pPr>
        <w:pStyle w:val="TextBody"/>
        <w:bidi w:val="0"/>
        <w:spacing w:before="0" w:after="0"/>
        <w:jc w:val="left"/>
        <w:rPr/>
      </w:pPr>
      <w:r>
        <w:rPr/>
        <w:t> </w:t>
      </w:r>
    </w:p>
    <w:p>
      <w:pPr>
        <w:pStyle w:val="TextBody"/>
        <w:bidi w:val="0"/>
        <w:spacing w:before="0" w:after="0"/>
        <w:jc w:val="left"/>
        <w:rPr/>
      </w:pPr>
      <w:r>
        <w:rPr/>
        <w:drawing>
          <wp:inline distT="0" distB="0" distL="0" distR="0">
            <wp:extent cx="990600" cy="6572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90600" cy="657225"/>
                    </a:xfrm>
                    <a:prstGeom prst="rect">
                      <a:avLst/>
                    </a:prstGeom>
                  </pic:spPr>
                </pic:pic>
              </a:graphicData>
            </a:graphic>
          </wp:inline>
        </w:drawing>
      </w:r>
      <w:r>
        <w:rPr/>
        <w:t xml:space="preserve"> </w:t>
      </w:r>
    </w:p>
    <w:p>
      <w:pPr>
        <w:pStyle w:val="TextBody"/>
        <w:bidi w:val="0"/>
        <w:spacing w:before="120" w:after="0"/>
        <w:jc w:val="left"/>
        <w:rPr>
          <w:rFonts w:ascii="ARIAL" w:hAnsi="ARIAL"/>
          <w:b/>
          <w:sz w:val="20"/>
        </w:rPr>
      </w:pPr>
      <w:r>
        <w:rPr>
          <w:rFonts w:ascii="ARIAL" w:hAnsi="ARIAL"/>
          <w:b/>
          <w:sz w:val="20"/>
        </w:rPr>
        <w:t xml:space="preserve">Christopher J. Joyce </w:t>
      </w:r>
    </w:p>
    <w:p>
      <w:pPr>
        <w:pStyle w:val="TextBody"/>
        <w:bidi w:val="0"/>
        <w:spacing w:before="0" w:after="0"/>
        <w:jc w:val="left"/>
        <w:rPr>
          <w:rFonts w:ascii="ARIAL" w:hAnsi="ARIAL"/>
          <w:sz w:val="20"/>
        </w:rPr>
      </w:pPr>
      <w:r>
        <w:rPr>
          <w:rFonts w:ascii="ARIAL" w:hAnsi="ARIAL"/>
          <w:sz w:val="20"/>
        </w:rPr>
        <w:t xml:space="preserve">Chief Legal &amp; Administrative Officer </w:t>
      </w:r>
    </w:p>
    <w:p>
      <w:pPr>
        <w:pStyle w:val="TextBody"/>
        <w:bidi w:val="0"/>
        <w:spacing w:before="240" w:after="0"/>
        <w:jc w:val="left"/>
        <w:rPr>
          <w:rFonts w:ascii="ARIAL" w:hAnsi="ARIAL"/>
          <w:b/>
          <w:color w:val="1F497D"/>
          <w:sz w:val="20"/>
        </w:rPr>
      </w:pPr>
      <w:r>
        <w:rPr>
          <w:rFonts w:ascii="ARIAL" w:hAnsi="ARIAL"/>
          <w:b/>
          <w:color w:val="1F497D"/>
          <w:sz w:val="20"/>
        </w:rPr>
        <w:t xml:space="preserve">IMPORTANT NOTICE REGARDING THE AVAILABILITY OF PROXY MATERIALS FOR THE ANNUAL MEETING OF STOCKHOLDERS TO BE HELD ON JUNE 7, 2024 </w:t>
      </w:r>
    </w:p>
    <w:p>
      <w:pPr>
        <w:pStyle w:val="TextBody"/>
        <w:bidi w:val="0"/>
        <w:spacing w:before="240" w:after="0"/>
        <w:jc w:val="left"/>
        <w:rPr>
          <w:rFonts w:ascii="ARIAL" w:hAnsi="ARIAL"/>
          <w:b/>
          <w:sz w:val="20"/>
        </w:rPr>
      </w:pPr>
      <w:r>
        <w:rPr>
          <w:rFonts w:ascii="ARIAL" w:hAnsi="ARIAL"/>
          <w:b/>
          <w:sz w:val="20"/>
        </w:rPr>
        <w:t xml:space="preserve">This Notice of Annual Meeting, the Proxy Statement and our fiscal year 2023 Annual Report are available on the investor relations section of our website at https://ir.alignmenthealth.com/. Additionally, you may access our proxy materials at </w:t>
      </w:r>
      <w:r>
        <w:rPr>
          <w:rFonts w:ascii="ARIAL" w:hAnsi="ARIAL"/>
          <w:b/>
          <w:sz w:val="20"/>
          <w:u w:val="single"/>
        </w:rPr>
        <w:t>www.proxydocs.com/ALHC</w:t>
      </w:r>
      <w:r>
        <w:rPr>
          <w:rFonts w:ascii="ARIAL" w:hAnsi="ARIAL"/>
          <w:b/>
          <w:sz w:val="20"/>
        </w:rPr>
        <w:t xml:space="preserve">. We are taking advantage of U.S. Securities and Exchange Commission rules that allow us to furnish proxy materials to our stockholders on the Internet. These materials will be available on the Internet on or about [   ], 2024. We are sending a “Notice of Internet Availability of Proxy Materials” (“Notice of Availability”) to our stockholders of record instead of a paper proxy statement and annual report containing financial statements, unless paper copies have previously been requested. We believe that Internet delivery of our proxy materials allows us to provide our stockholders with the information they need, while lowering the costs of delivery and reducing the environmental impact of our Annual Meeting. </w:t>
      </w:r>
      <w:r>
        <w:br w:type="page"/>
      </w:r>
    </w:p>
    <w:p>
      <w:pPr>
        <w:pStyle w:val="HorizontalLine"/>
        <w:bidi w:val="0"/>
        <w:jc w:val="left"/>
        <w:rPr/>
      </w:pPr>
      <w:r>
        <w:rPr/>
      </w:r>
    </w:p>
    <w:p>
      <w:pPr>
        <w:pStyle w:val="TextBody"/>
        <w:bidi w:val="0"/>
        <w:spacing w:before="0" w:after="0"/>
        <w:jc w:val="center"/>
        <w:rPr>
          <w:rFonts w:ascii="ARIAL" w:hAnsi="ARIAL"/>
          <w:b/>
          <w:sz w:val="20"/>
        </w:rPr>
      </w:pPr>
      <w:bookmarkStart w:id="2" w:name="toc"/>
      <w:bookmarkEnd w:id="2"/>
      <w:r>
        <w:rPr>
          <w:rFonts w:ascii="ARIAL" w:hAnsi="ARIAL"/>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xa496243_1">
              <w:r>
                <w:rPr>
                  <w:rStyle w:val="InternetLink"/>
                </w:rPr>
                <w:t>COMMONLY ASKED QUESTIONS AND ANSWERS ABOUT THE ANNUAL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xa496243_2">
              <w:r>
                <w:rPr>
                  <w:rStyle w:val="InternetLink"/>
                </w:rPr>
                <w:t>PROXY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xa496243_3">
              <w:r>
                <w:rPr>
                  <w:rStyle w:val="InternetLink"/>
                </w:rPr>
                <w:t>PROPOSAL 1 – 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a496243_4">
              <w:r>
                <w:rPr>
                  <w:rStyle w:val="InternetLink"/>
                  <w:rFonts w:ascii="ARIAL" w:hAnsi="ARIAL"/>
                  <w:sz w:val="20"/>
                </w:rPr>
                <w:t>Continuing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a496243_5">
              <w:r>
                <w:rPr>
                  <w:rStyle w:val="InternetLink"/>
                  <w:rFonts w:ascii="ARIAL" w:hAnsi="ARIAL"/>
                  <w:sz w:val="20"/>
                </w:rPr>
                <w:t>Nomination Criteria and Director Experience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a496243_6">
              <w:r>
                <w:rPr>
                  <w:rStyle w:val="InternetLink"/>
                  <w:rFonts w:ascii="ARIAL" w:hAnsi="ARIAL"/>
                  <w:sz w:val="20"/>
                </w:rPr>
                <w:t>Director Diversity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a496243_7">
              <w:r>
                <w:rPr>
                  <w:rStyle w:val="InternetLink"/>
                  <w:rFonts w:ascii="ARIAL" w:hAnsi="ARIAL"/>
                  <w:sz w:val="20"/>
                </w:rPr>
                <w:t>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a496243_8">
              <w:r>
                <w:rPr>
                  <w:rStyle w:val="InternetLink"/>
                  <w:rFonts w:ascii="ARIAL" w:hAnsi="ARIAL"/>
                  <w:sz w:val="20"/>
                </w:rPr>
                <w:t>Board and Corporate Governance Highlights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a496243_9">
              <w:r>
                <w:rPr>
                  <w:rStyle w:val="InternetLink"/>
                  <w:rFonts w:ascii="ARIAL" w:hAnsi="ARIAL"/>
                  <w:sz w:val="20"/>
                </w:rPr>
                <w:t>Board Composition and Director Independence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a496243_10">
              <w:r>
                <w:rPr>
                  <w:rStyle w:val="InternetLink"/>
                  <w:rFonts w:ascii="ARIAL" w:hAnsi="ARIAL"/>
                  <w:sz w:val="20"/>
                </w:rPr>
                <w:t>Board Leadership Structure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a496243_11">
              <w:r>
                <w:rPr>
                  <w:rStyle w:val="InternetLink"/>
                  <w:rFonts w:ascii="ARIAL" w:hAnsi="ARIAL"/>
                  <w:sz w:val="20"/>
                </w:rPr>
                <w:t>The Board’s Role in Risk Oversight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a496243_12">
              <w:r>
                <w:rPr>
                  <w:rStyle w:val="InternetLink"/>
                  <w:rFonts w:ascii="ARIAL" w:hAnsi="ARIAL"/>
                  <w:sz w:val="20"/>
                </w:rPr>
                <w:t>Board Committees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a496243_13">
              <w:r>
                <w:rPr>
                  <w:rStyle w:val="InternetLink"/>
                  <w:rFonts w:ascii="ARIAL" w:hAnsi="ARIAL"/>
                  <w:sz w:val="20"/>
                </w:rPr>
                <w:t>Board Oversight of Environmental, Social and Governance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a496243_14">
              <w:r>
                <w:rPr>
                  <w:rStyle w:val="InternetLink"/>
                  <w:rFonts w:ascii="ARIAL" w:hAnsi="ARIAL"/>
                  <w:sz w:val="20"/>
                </w:rPr>
                <w:t>Stockholder Engagement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a496243_15">
              <w:r>
                <w:rPr>
                  <w:rStyle w:val="InternetLink"/>
                  <w:rFonts w:ascii="ARIAL" w:hAnsi="ARIAL"/>
                  <w:sz w:val="20"/>
                </w:rPr>
                <w:t>Family Relationships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a496243_16">
              <w:r>
                <w:rPr>
                  <w:rStyle w:val="InternetLink"/>
                  <w:rFonts w:ascii="ARIAL" w:hAnsi="ARIAL"/>
                  <w:sz w:val="20"/>
                </w:rPr>
                <w:t>Compensation Committee Interlocks and Insider Participation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a496243_17">
              <w:r>
                <w:rPr>
                  <w:rStyle w:val="InternetLink"/>
                  <w:rFonts w:ascii="ARIAL" w:hAnsi="ARIAL"/>
                  <w:sz w:val="20"/>
                </w:rPr>
                <w:t>Code of Business Conduct and Ethics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a496243_18">
              <w:r>
                <w:rPr>
                  <w:rStyle w:val="InternetLink"/>
                  <w:rFonts w:ascii="ARIAL" w:hAnsi="ARIAL"/>
                  <w:sz w:val="20"/>
                </w:rPr>
                <w:t>Insider Trading Policy; Hedging and Other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a496243_19">
              <w:r>
                <w:rPr>
                  <w:rStyle w:val="InternetLink"/>
                  <w:rFonts w:ascii="ARIAL" w:hAnsi="ARIAL"/>
                  <w:sz w:val="20"/>
                </w:rPr>
                <w:t>Board Evaluation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a496243_20">
              <w:r>
                <w:rPr>
                  <w:rStyle w:val="InternetLink"/>
                  <w:rFonts w:ascii="ARIAL" w:hAnsi="ARIAL"/>
                  <w:sz w:val="20"/>
                </w:rPr>
                <w:t>Board and Committee Meetings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a496243_21">
              <w:r>
                <w:rPr>
                  <w:rStyle w:val="InternetLink"/>
                  <w:rFonts w:ascii="ARIAL" w:hAnsi="ARIAL"/>
                  <w:sz w:val="20"/>
                </w:rPr>
                <w:t>Communications by Stockholders and Other Interested Parties with the Board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a496243_22">
              <w:r>
                <w:rPr>
                  <w:rStyle w:val="InternetLink"/>
                  <w:rFonts w:ascii="ARIAL" w:hAnsi="ARIAL"/>
                  <w:sz w:val="20"/>
                </w:rPr>
                <w:t>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a496243_23">
              <w:r>
                <w:rPr>
                  <w:rStyle w:val="InternetLink"/>
                  <w:rFonts w:ascii="ARIAL" w:hAnsi="ARIAL"/>
                  <w:sz w:val="20"/>
                </w:rPr>
                <w:t>COMPENSATION DISCUSSION AND ANALYSIS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a496243_24">
              <w:r>
                <w:rPr>
                  <w:rStyle w:val="InternetLink"/>
                  <w:rFonts w:ascii="ARIAL" w:hAnsi="ARIAL"/>
                  <w:sz w:val="20"/>
                </w:rPr>
                <w:t>Executive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a496243_25">
              <w:r>
                <w:rPr>
                  <w:rStyle w:val="InternetLink"/>
                  <w:rFonts w:ascii="ARIAL" w:hAnsi="ARIAL"/>
                  <w:sz w:val="20"/>
                </w:rPr>
                <w:t>Compensation Best Practices &amp; Policies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a496243_26">
              <w:r>
                <w:rPr>
                  <w:rStyle w:val="InternetLink"/>
                  <w:rFonts w:ascii="ARIAL" w:hAnsi="ARIAL"/>
                  <w:sz w:val="20"/>
                </w:rPr>
                <w:t>What Guides Our Program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a496243_27">
              <w:r>
                <w:rPr>
                  <w:rStyle w:val="InternetLink"/>
                  <w:rFonts w:ascii="ARIAL" w:hAnsi="ARIAL"/>
                  <w:sz w:val="20"/>
                </w:rPr>
                <w:t>Executive Compensation Decision-Making Process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a496243_28">
              <w:r>
                <w:rPr>
                  <w:rStyle w:val="InternetLink"/>
                  <w:rFonts w:ascii="ARIAL" w:hAnsi="ARIAL"/>
                  <w:sz w:val="20"/>
                </w:rPr>
                <w:t>2023 Executive Compensation Program in Detail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a496243_29">
              <w:r>
                <w:rPr>
                  <w:rStyle w:val="InternetLink"/>
                  <w:rFonts w:ascii="ARIAL" w:hAnsi="ARIAL"/>
                  <w:sz w:val="20"/>
                </w:rPr>
                <w:t>Other Compensation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a496243_30">
              <w:r>
                <w:rPr>
                  <w:rStyle w:val="InternetLink"/>
                  <w:rFonts w:ascii="ARIAL" w:hAnsi="ARIAL"/>
                  <w:sz w:val="20"/>
                </w:rPr>
                <w:t>Compensation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a496243_31">
              <w:r>
                <w:rPr>
                  <w:rStyle w:val="InternetLink"/>
                  <w:rFonts w:ascii="ARIAL" w:hAnsi="ARIAL"/>
                  <w:sz w:val="20"/>
                </w:rPr>
                <w:t>EXECUTIVE AND 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a496243_32">
              <w:r>
                <w:rPr>
                  <w:rStyle w:val="InternetLink"/>
                  <w:rFonts w:ascii="ARIAL" w:hAnsi="ARIAL"/>
                  <w:sz w:val="20"/>
                </w:rPr>
                <w:t>Pay Versus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a496243_33">
              <w:r>
                <w:rPr>
                  <w:rStyle w:val="InternetLink"/>
                  <w:rFonts w:ascii="ARIAL" w:hAnsi="ARIAL"/>
                  <w:sz w:val="20"/>
                </w:rPr>
                <w:t>CEO Pay Ratio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xa496243_34">
              <w:r>
                <w:rPr>
                  <w:rStyle w:val="InternetLink"/>
                </w:rPr>
                <w:t>CERTAIN RELATIONSHIPS AND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xa496243_35">
              <w:r>
                <w:rPr>
                  <w:rStyle w:val="InternetLink"/>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xa496243_36">
              <w:r>
                <w:rPr>
                  <w:rStyle w:val="InternetLink"/>
                </w:rPr>
                <w:t>PROPOSAL 2 – APPROVAL OF AN AMENDMENT TO OUR CERTIFICATE OF INCORPORATION TO REFLECT NEW DELAWARE LAW PROVISIONS REGARDING EXCULPATION OF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xa496243_37">
              <w:r>
                <w:rPr>
                  <w:rStyle w:val="InternetLink"/>
                </w:rPr>
                <w:t>PROPOSAL 3 – RATIFICATION OF APPOINTMENT OF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xa496243_38">
              <w:r>
                <w:rPr>
                  <w:rStyle w:val="InternetLink"/>
                </w:rPr>
                <w:t>AUDIT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xa496243_39">
              <w:r>
                <w:rPr>
                  <w:rStyle w:val="InternetLink"/>
                </w:rPr>
                <w:t>PROPOSAL 4 – NON-BINDING ADVISORY VOTE ON 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xa496243_40">
              <w:r>
                <w:rPr>
                  <w:rStyle w:val="InternetLink"/>
                </w:rPr>
                <w:t>OTHER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xa496243_41">
              <w:r>
                <w:rPr>
                  <w:rStyle w:val="InternetLink"/>
                </w:rPr>
                <w:t>AVAILABILITY OF SEC FILINGS, CODE OF CONDUCT AND COMMITTEE CHARTERS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xa496243_42">
              <w:r>
                <w:rPr>
                  <w:rStyle w:val="InternetLink"/>
                </w:rPr>
                <w:t>WHERE TO FIND ADDITIONAL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xa496243_43">
              <w:r>
                <w:rPr>
                  <w:rStyle w:val="InternetLink"/>
                </w:rPr>
                <w:t>COST OF PROXY SOLICITATION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283"/>
              <w:jc w:val="left"/>
              <w:rPr/>
            </w:pPr>
            <w:hyperlink w:anchor="txa496243_44">
              <w:r>
                <w:rPr>
                  <w:rStyle w:val="InternetLink"/>
                </w:rPr>
                <w:t>APPENDIX – NON-GAAP FINANCIAL MEASURES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88</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ARIAL" w:hAnsi="ARIAL"/>
          <w:b/>
          <w:i/>
          <w:color w:val="1F497D"/>
          <w:sz w:val="20"/>
        </w:rPr>
      </w:pPr>
      <w:r>
        <w:rPr>
          <w:rFonts w:ascii="ARIAL" w:hAnsi="ARIAL"/>
          <w:b/>
          <w:i/>
          <w:color w:val="1F497D"/>
          <w:sz w:val="20"/>
        </w:rPr>
        <w:t xml:space="preserve">Cautionary Note Regarding Forward-Looking Statements </w:t>
      </w:r>
    </w:p>
    <w:p>
      <w:pPr>
        <w:pStyle w:val="TextBody"/>
        <w:bidi w:val="0"/>
        <w:spacing w:before="120" w:after="0"/>
        <w:jc w:val="left"/>
        <w:rPr>
          <w:rFonts w:ascii="ARIAL" w:hAnsi="ARIAL"/>
          <w:sz w:val="20"/>
        </w:rPr>
      </w:pPr>
      <w:r>
        <w:rPr>
          <w:rFonts w:ascii="ARIAL" w:hAnsi="ARIAL"/>
          <w:sz w:val="20"/>
        </w:rPr>
        <w:t xml:space="preserve">This proxy statement contains forward-looking statements within the meaning of Section 27A of the Securities Act of 1933, as amended (the “Securities Act”), and Section 21E of the Securities Exchange Act of 1934, as amended (the “Exchange Act”), and the Private Securities Litigation Reform Act of 1995, as amended. Forward-looking statements are subject to risks and uncertainties and are based on assumptions that may prove to be inaccurate, which could cause actual results to differ materially from those expected or implied by the forward-looking statements. Important risks and uncertainties that could cause our actual results and financial condition to differ materially from those indicated in the forward-looking statements include, among others, the following: our ability to attract new members and enter new markets, including the need for certain governmental approvals; our ability to maintain a high rating for our plans on the Centers for Medicare and Medicaid (“CMS”) Five Star Quality Rating System (“CMS Star Ratings”); our ability to develop and maintain satisfactory relationships with care providers that service our members; risks associated with being a government contractor; changes in laws and regulations applicable to our business model; risk related to our indebtedness, including the potential for rising interest rates; changes in market or industry conditions and receptivity to our technology and services; results of litigation or a security incident; and the impact of shortages of qualified personnel and related increases in our labor costs. For a detailed discussion of the risk factors that could affect our actual results, please refer to the risk factors identified in our reports filed with the U.S. Securities and Exchange Commission (“SEC”), including our Annual Report on Form 10-K filed with the SEC on February 27, 2024. All information provided in this proxy statement is as of the date hereof, and we undertake no duty to update or revise this information unless required by law. </w:t>
      </w:r>
    </w:p>
    <w:p>
      <w:pPr>
        <w:pStyle w:val="TextBody"/>
        <w:bidi w:val="0"/>
        <w:spacing w:before="240" w:after="0"/>
        <w:jc w:val="left"/>
        <w:rPr>
          <w:rFonts w:ascii="ARIAL" w:hAnsi="ARIAL"/>
          <w:b/>
          <w:i/>
          <w:color w:val="1F497D"/>
          <w:sz w:val="20"/>
        </w:rPr>
      </w:pPr>
      <w:r>
        <w:rPr>
          <w:rFonts w:ascii="ARIAL" w:hAnsi="ARIAL"/>
          <w:b/>
          <w:i/>
          <w:color w:val="1F497D"/>
          <w:sz w:val="20"/>
        </w:rPr>
        <w:t xml:space="preserve">Website References </w:t>
      </w:r>
    </w:p>
    <w:p>
      <w:pPr>
        <w:pStyle w:val="TextBody"/>
        <w:bidi w:val="0"/>
        <w:spacing w:before="240" w:after="0"/>
        <w:jc w:val="left"/>
        <w:rPr>
          <w:rFonts w:ascii="ARIAL" w:hAnsi="ARIAL"/>
          <w:sz w:val="20"/>
        </w:rPr>
      </w:pPr>
      <w:r>
        <w:rPr>
          <w:rFonts w:ascii="ARIAL" w:hAnsi="ARIAL"/>
          <w:sz w:val="20"/>
        </w:rPr>
        <w:t xml:space="preserve">References to our website throughout this proxy statement are intended to provide inactive, textual references and are provided for convenience only. The content on our website does not constitute a part of this proxy statement. </w:t>
      </w:r>
      <w:r>
        <w:br w:type="page"/>
      </w:r>
    </w:p>
    <w:p>
      <w:pPr>
        <w:pStyle w:val="HorizontalLine"/>
        <w:bidi w:val="0"/>
        <w:jc w:val="left"/>
        <w:rPr/>
      </w:pPr>
      <w:r>
        <w:rPr/>
      </w:r>
    </w:p>
    <w:p>
      <w:pPr>
        <w:pStyle w:val="TextBody"/>
        <w:bidi w:val="0"/>
        <w:spacing w:before="0" w:after="0"/>
        <w:jc w:val="center"/>
        <w:rPr>
          <w:rFonts w:ascii="ARIAL" w:hAnsi="ARIAL"/>
          <w:b/>
          <w:sz w:val="20"/>
        </w:rPr>
      </w:pPr>
      <w:bookmarkStart w:id="3" w:name="txa496243_1"/>
      <w:bookmarkEnd w:id="3"/>
      <w:r>
        <w:rPr>
          <w:rFonts w:ascii="ARIAL" w:hAnsi="ARIAL"/>
          <w:b/>
          <w:sz w:val="20"/>
        </w:rPr>
        <w:t xml:space="preserve">COMMONLY ASKED QUESTIONS AND ANSWERS ABOUT THE ANNUAL MEETING </w:t>
      </w:r>
    </w:p>
    <w:p>
      <w:pPr>
        <w:pStyle w:val="TextBody"/>
        <w:bidi w:val="0"/>
        <w:spacing w:before="240" w:after="0"/>
        <w:jc w:val="left"/>
        <w:rPr>
          <w:rFonts w:ascii="ARIAL" w:hAnsi="ARIAL"/>
          <w:b/>
          <w:color w:val="1F497D"/>
          <w:sz w:val="20"/>
        </w:rPr>
      </w:pPr>
      <w:r>
        <w:rPr>
          <w:rFonts w:ascii="ARIAL" w:hAnsi="ARIAL"/>
          <w:b/>
          <w:color w:val="1F497D"/>
          <w:sz w:val="20"/>
        </w:rPr>
        <w:t xml:space="preserve">Why did I receive these materials? </w:t>
      </w:r>
    </w:p>
    <w:p>
      <w:pPr>
        <w:pStyle w:val="TextBody"/>
        <w:bidi w:val="0"/>
        <w:spacing w:before="240" w:after="0"/>
        <w:jc w:val="left"/>
        <w:rPr>
          <w:rFonts w:ascii="ARIAL" w:hAnsi="ARIAL"/>
          <w:sz w:val="20"/>
        </w:rPr>
      </w:pPr>
      <w:r>
        <w:rPr>
          <w:rFonts w:ascii="ARIAL" w:hAnsi="ARIAL"/>
          <w:sz w:val="20"/>
        </w:rPr>
        <w:t xml:space="preserve">The Board of Alignment Healthcare, Inc. (“Alignment” or the “Company”) is soliciting your proxy to vote at our 2024 Annual Meeting of Stockholders (or at any postponement or adjournment of the meeting) (the “Annual Meeting”). Stockholders who own shares of our common stock as of April 9, 2024 (the “Record Date”), are entitled to vote at the Annual Meeting. These proxy materials are first being distributed to stockholders on or about [   ], 2024. You should review these proxy materials carefully as they give important information about the proposals that will be voted on at the Annual Meeting, as well as other important information about Alignment. </w:t>
      </w:r>
    </w:p>
    <w:p>
      <w:pPr>
        <w:pStyle w:val="TextBody"/>
        <w:bidi w:val="0"/>
        <w:spacing w:before="240" w:after="0"/>
        <w:jc w:val="left"/>
        <w:rPr>
          <w:rFonts w:ascii="ARIAL" w:hAnsi="ARIAL"/>
          <w:sz w:val="20"/>
        </w:rPr>
      </w:pPr>
      <w:r>
        <w:rPr>
          <w:rFonts w:ascii="ARIAL" w:hAnsi="ARIAL"/>
          <w:i/>
          <w:sz w:val="20"/>
        </w:rPr>
        <w:t>Notice of Electronic Availability of Proxy Statement and Annual Report</w:t>
      </w:r>
      <w:r>
        <w:rPr>
          <w:rFonts w:ascii="ARIAL" w:hAnsi="ARIAL"/>
          <w:sz w:val="20"/>
        </w:rPr>
        <w:t xml:space="preserve">. As permitted by SEC rules, we are making this proxy statement and our annual report available to our stockholders electronically via the Internet. The notice of electronic availability contains instructions on how to access this proxy statement and our annual report and vote online. If you received a notice by mail, you will not receive a printed copy of the proxy materials in the mail. Instead, the notice instructs you on how to access and review all of the important information contained in the proxy statement and annual report. The notice also instructs you on how you may submit your proxy over the Internet or by telephone. If you received a notice by mail and would like to receive a printed copy of our proxy materials, you should follow the instructions for requesting such materials contained on the notice. </w:t>
      </w:r>
    </w:p>
    <w:p>
      <w:pPr>
        <w:pStyle w:val="TextBody"/>
        <w:bidi w:val="0"/>
        <w:spacing w:before="240" w:after="0"/>
        <w:jc w:val="left"/>
        <w:rPr>
          <w:rFonts w:ascii="ARIAL" w:hAnsi="ARIAL"/>
          <w:sz w:val="20"/>
        </w:rPr>
      </w:pPr>
      <w:r>
        <w:rPr>
          <w:rFonts w:ascii="ARIAL" w:hAnsi="ARIAL"/>
          <w:i/>
          <w:sz w:val="20"/>
        </w:rPr>
        <w:t>Householding</w:t>
      </w:r>
      <w:r>
        <w:rPr>
          <w:rFonts w:ascii="ARIAL" w:hAnsi="ARIAL"/>
          <w:sz w:val="20"/>
        </w:rPr>
        <w:t xml:space="preserve">. The SEC’s rules permit us to print an individual’s multiple accounts on a single notice or set of Annual Meeting materials. To take advantage of this opportunity, we have summarized on one notice or set of Annual Meeting materials all of the accounts registered with the same tax identification number or duplicate name and address, unless we received contrary instructions from the impacted stockholder prior to the mailing date. The SEC’s rules also permit us to send a single set of proxy materials to two or more securityholders who share a single address, which is called “householding.” We agree to deliver promptly, upon written or oral request, a separate copy of the notice or Annual Meeting materials, as requested, to any stockholder (including any stockholder at a shared address) to which a single copy of those documents was delivered. If you prefer to receive separate copies of the notice or Annual Meeting materials, or if you currently receive separate copies of the notice or Annual Meeting materials but would like to receive a single copy of such materials going forward, please visit www.proxydocs.com/ALHC, write to us at 1100 W. Town &amp; Country Rd., Suite 1600, Orange, CA 92868, Attn: Investor Relations, or contact Mediant, Inc. at (866) 648-8133 or paper@investorelections.com. A number of brokerage firms have instituted householding. They will have their own procedures for stockholders who wish to receive individual copies of the proxy materials, or who currently receive individual copies of such materials and would like to participate in householding. </w:t>
      </w:r>
    </w:p>
    <w:p>
      <w:pPr>
        <w:pStyle w:val="TextBody"/>
        <w:bidi w:val="0"/>
        <w:spacing w:before="240" w:after="0"/>
        <w:jc w:val="left"/>
        <w:rPr>
          <w:rFonts w:ascii="ARIAL" w:hAnsi="ARIAL"/>
          <w:b/>
          <w:color w:val="1F497D"/>
          <w:sz w:val="20"/>
        </w:rPr>
      </w:pPr>
      <w:r>
        <w:rPr>
          <w:rFonts w:ascii="ARIAL" w:hAnsi="ARIAL"/>
          <w:b/>
          <w:color w:val="1F497D"/>
          <w:sz w:val="20"/>
        </w:rPr>
        <w:t xml:space="preserve">Who will be entitled to vote? </w:t>
      </w:r>
    </w:p>
    <w:p>
      <w:pPr>
        <w:pStyle w:val="TextBody"/>
        <w:bidi w:val="0"/>
        <w:spacing w:before="240" w:after="0"/>
        <w:jc w:val="left"/>
        <w:rPr>
          <w:rFonts w:ascii="ARIAL" w:hAnsi="ARIAL"/>
          <w:sz w:val="20"/>
        </w:rPr>
      </w:pPr>
      <w:r>
        <w:rPr>
          <w:rFonts w:ascii="ARIAL" w:hAnsi="ARIAL"/>
          <w:sz w:val="20"/>
        </w:rPr>
        <w:t xml:space="preserve">Stockholders who own shares of our common stock as of the Record Date are entitled to vote at the Annual Meeting. As of the Record Date, Alignment had approximately 190,657,348 shares of common stock outstanding. Holders of shares of common stock are entitled to one vote per share. Cumulative voting is not permitted with respect to the election of directors or any other matter to be considered at the Annual Meeting. </w:t>
      </w:r>
    </w:p>
    <w:p>
      <w:pPr>
        <w:pStyle w:val="TextBody"/>
        <w:bidi w:val="0"/>
        <w:spacing w:before="240" w:after="0"/>
        <w:jc w:val="left"/>
        <w:rPr>
          <w:rFonts w:ascii="ARIAL" w:hAnsi="ARIAL"/>
          <w:b/>
          <w:color w:val="1F497D"/>
          <w:sz w:val="20"/>
        </w:rPr>
      </w:pPr>
      <w:r>
        <w:rPr>
          <w:rFonts w:ascii="ARIAL" w:hAnsi="ARIAL"/>
          <w:b/>
          <w:color w:val="1F497D"/>
          <w:sz w:val="20"/>
        </w:rPr>
        <w:t xml:space="preserve">What will I be voting on? </w:t>
      </w:r>
    </w:p>
    <w:p>
      <w:pPr>
        <w:pStyle w:val="TextBody"/>
        <w:bidi w:val="0"/>
        <w:spacing w:before="240" w:after="0"/>
        <w:jc w:val="left"/>
        <w:rPr>
          <w:rFonts w:ascii="ARIAL" w:hAnsi="ARIAL"/>
          <w:sz w:val="20"/>
        </w:rPr>
      </w:pPr>
      <w:r>
        <w:rPr>
          <w:rFonts w:ascii="ARIAL" w:hAnsi="ARIAL"/>
          <w:sz w:val="20"/>
        </w:rPr>
        <w:t xml:space="preserve">You will be voting 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20"/>
              </w:rPr>
            </w:pPr>
            <w:r>
              <w:rPr>
                <w:rFonts w:ascii="ARIAL" w:hAnsi="ARIAL"/>
                <w:b/>
                <w:sz w:val="20"/>
              </w:rPr>
              <w:t>Proposal 1</w:t>
            </w:r>
            <w:r>
              <w:rPr>
                <w:rFonts w:ascii="ARIAL" w:hAnsi="ARIAL"/>
                <w:sz w:val="20"/>
              </w:rPr>
              <w:t xml:space="preserve">: Election of four nominees identified in this proxy statement to serve as Class III directors to hold office until the 2027 Annual Meeting of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20"/>
              </w:rPr>
            </w:pPr>
            <w:r>
              <w:rPr>
                <w:rFonts w:ascii="ARIAL" w:hAnsi="ARIAL"/>
                <w:b/>
                <w:sz w:val="20"/>
              </w:rPr>
              <w:t>Proposal 2</w:t>
            </w:r>
            <w:r>
              <w:rPr>
                <w:rFonts w:ascii="ARIAL" w:hAnsi="ARIAL"/>
                <w:sz w:val="20"/>
              </w:rPr>
              <w:t xml:space="preserve">: Approval of an amendment to our certificate of incorporation to reflect new Delaware law provisions regarding exculpation of officers;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20"/>
              </w:rPr>
            </w:pPr>
            <w:r>
              <w:rPr>
                <w:rFonts w:ascii="ARIAL" w:hAnsi="ARIAL"/>
                <w:b/>
                <w:sz w:val="20"/>
              </w:rPr>
              <w:t>Proposal 3</w:t>
            </w:r>
            <w:r>
              <w:rPr>
                <w:rFonts w:ascii="ARIAL" w:hAnsi="ARIAL"/>
                <w:sz w:val="20"/>
              </w:rPr>
              <w:t xml:space="preserve">: Ratification of the appointment of Deloitte &amp; Touche LLP as our independent registered public accounting firm for the year ending December 31, 2024;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20"/>
              </w:rPr>
            </w:pPr>
            <w:r>
              <w:rPr>
                <w:rFonts w:ascii="ARIAL" w:hAnsi="ARIAL"/>
                <w:b/>
                <w:sz w:val="20"/>
              </w:rPr>
              <w:t>Proposal 4</w:t>
            </w:r>
            <w:r>
              <w:rPr>
                <w:rFonts w:ascii="ARIAL" w:hAnsi="ARIAL"/>
                <w:sz w:val="20"/>
              </w:rPr>
              <w:t xml:space="preserve">: Approval, on an advisory basis, of the compensation of our named executive officers (“Named Executive Officers” or “NEOs”). </w:t>
            </w:r>
          </w:p>
        </w:tc>
      </w:tr>
    </w:tbl>
    <w:p>
      <w:pPr>
        <w:pStyle w:val="TextBody"/>
        <w:bidi w:val="0"/>
        <w:spacing w:before="240" w:after="0"/>
        <w:jc w:val="left"/>
        <w:rPr>
          <w:rFonts w:ascii="ARIAL" w:hAnsi="ARIAL"/>
          <w:sz w:val="20"/>
        </w:rPr>
      </w:pPr>
      <w:r>
        <w:rPr>
          <w:rFonts w:ascii="ARIAL" w:hAnsi="ARIAL"/>
          <w:sz w:val="20"/>
        </w:rPr>
        <w:t xml:space="preserve">You will also vote on any other business as may properly come before the meeting or any adjournment of the Annual Meeting. All shares that are represented at the Annual Meeting by properly executed proxies received before or at the Annual Meeting and not revoked will be voted at the Annual Meeting in accordance with the instructions indicated in the proxies. </w:t>
      </w:r>
    </w:p>
    <w:p>
      <w:pPr>
        <w:pStyle w:val="TextBody"/>
        <w:bidi w:val="0"/>
        <w:spacing w:before="0" w:after="0"/>
        <w:jc w:val="left"/>
        <w:rPr/>
      </w:pPr>
      <w:r>
        <w:rPr/>
        <w:t> </w:t>
      </w:r>
    </w:p>
    <w:tbl>
      <w:tblPr>
        <w:tblW w:w="7190" w:type="dxa"/>
        <w:jc w:val="left"/>
        <w:tblInd w:w="0" w:type="dxa"/>
        <w:tblLayout w:type="fixed"/>
        <w:tblCellMar>
          <w:top w:w="0" w:type="dxa"/>
          <w:left w:w="0" w:type="dxa"/>
          <w:bottom w:w="0" w:type="dxa"/>
          <w:right w:w="0" w:type="dxa"/>
        </w:tblCellMar>
      </w:tblPr>
      <w:tblGrid>
        <w:gridCol w:w="7190"/>
      </w:tblGrid>
      <w:tr>
        <w:trPr/>
        <w:tc>
          <w:tcPr>
            <w:tcW w:w="7190" w:type="dxa"/>
            <w:tcBorders/>
            <w:vAlign w:val="center"/>
          </w:tcPr>
          <w:p>
            <w:pPr>
              <w:pStyle w:val="TableContents"/>
              <w:bidi w:val="0"/>
              <w:spacing w:before="0" w:after="283"/>
              <w:jc w:val="left"/>
              <w:rPr>
                <w:sz w:val="4"/>
                <w:szCs w:val="4"/>
              </w:rPr>
            </w:pPr>
            <w:r>
              <w:rPr>
                <w:sz w:val="4"/>
                <w:szCs w:val="4"/>
              </w:rPr>
            </w:r>
          </w:p>
        </w:tc>
      </w:tr>
      <w:tr>
        <w:trPr/>
        <w:tc>
          <w:tcPr>
            <w:tcW w:w="7190" w:type="dxa"/>
            <w:tcBorders>
              <w:top w:val="single" w:sz="6" w:space="0" w:color="000000"/>
              <w:left w:val="single" w:sz="6" w:space="0" w:color="000000"/>
              <w:right w:val="single" w:sz="6" w:space="0" w:color="000000"/>
            </w:tcBorders>
            <w:shd w:fill="DBE5F1" w:val="clear"/>
            <w:tcMar>
              <w:top w:w="28" w:type="dxa"/>
              <w:left w:w="160" w:type="dxa"/>
              <w:right w:w="28" w:type="dxa"/>
            </w:tcMar>
            <w:vAlign w:val="center"/>
          </w:tcPr>
          <w:p>
            <w:pPr>
              <w:pStyle w:val="TableContents"/>
              <w:bidi w:val="0"/>
              <w:spacing w:before="0" w:after="283"/>
              <w:jc w:val="left"/>
              <w:rPr/>
            </w:pPr>
            <w:r>
              <w:rPr/>
              <w:t> </w:t>
            </w:r>
          </w:p>
        </w:tc>
      </w:tr>
      <w:tr>
        <w:trPr/>
        <w:tc>
          <w:tcPr>
            <w:tcW w:w="7190" w:type="dxa"/>
            <w:tcBorders>
              <w:left w:val="single" w:sz="6" w:space="0" w:color="000000"/>
              <w:bottom w:val="single" w:sz="6" w:space="0" w:color="000000"/>
              <w:right w:val="single" w:sz="6" w:space="0" w:color="000000"/>
            </w:tcBorders>
            <w:shd w:fill="DBE5F1" w:val="clear"/>
            <w:tcMar>
              <w:left w:w="160" w:type="dxa"/>
              <w:bottom w:w="80" w:type="dxa"/>
              <w:right w:w="40" w:type="dxa"/>
            </w:tcMar>
            <w:vAlign w:val="center"/>
          </w:tcPr>
          <w:p>
            <w:pPr>
              <w:pStyle w:val="TableContents"/>
              <w:bidi w:val="0"/>
              <w:spacing w:before="0" w:after="0"/>
              <w:jc w:val="center"/>
              <w:rPr>
                <w:rFonts w:ascii="ARIAL" w:hAnsi="ARIAL"/>
                <w:b/>
                <w:sz w:val="20"/>
              </w:rPr>
            </w:pPr>
            <w:r>
              <w:rPr>
                <w:rFonts w:ascii="ARIAL" w:hAnsi="ARIAL"/>
                <w:b/>
                <w:sz w:val="20"/>
              </w:rPr>
              <w:t>THE BOARD OF DIRECTORS RECOMMENDS THAT YOU VOTE</w:t>
            </w:r>
          </w:p>
          <w:p>
            <w:pPr>
              <w:pStyle w:val="TableContents"/>
              <w:bidi w:val="0"/>
              <w:spacing w:before="0" w:after="0"/>
              <w:jc w:val="center"/>
              <w:rPr/>
            </w:pPr>
            <w:r>
              <w:rPr/>
              <w:t>“</w:t>
            </w:r>
            <w:r>
              <w:rPr>
                <w:rFonts w:ascii="ARIAL" w:hAnsi="ARIAL"/>
                <w:b/>
                <w:sz w:val="20"/>
              </w:rPr>
              <w:t>FOR” THE ELECTION OF EACH DIRECTOR NOMINEE UNDER PROPOSAL 1</w:t>
            </w:r>
          </w:p>
          <w:p>
            <w:pPr>
              <w:pStyle w:val="TableContents"/>
              <w:bidi w:val="0"/>
              <w:spacing w:before="0" w:after="20"/>
              <w:jc w:val="center"/>
              <w:rPr>
                <w:rFonts w:ascii="ARIAL" w:hAnsi="ARIAL"/>
                <w:b/>
                <w:sz w:val="20"/>
              </w:rPr>
            </w:pPr>
            <w:r>
              <w:rPr>
                <w:rFonts w:ascii="ARIAL" w:hAnsi="ARIAL"/>
                <w:b/>
                <w:sz w:val="20"/>
              </w:rPr>
              <w:t>AND “FOR” PROPOSALS 2, 3 AND 4</w:t>
            </w:r>
          </w:p>
        </w:tc>
      </w:tr>
    </w:tbl>
    <w:p>
      <w:pPr>
        <w:pStyle w:val="TextBody"/>
        <w:bidi w:val="0"/>
        <w:spacing w:before="240" w:after="0"/>
        <w:jc w:val="left"/>
        <w:rPr>
          <w:rFonts w:ascii="ARIAL" w:hAnsi="ARIAL"/>
          <w:b/>
          <w:color w:val="1F497D"/>
          <w:sz w:val="20"/>
        </w:rPr>
      </w:pPr>
      <w:r>
        <w:rPr>
          <w:rFonts w:ascii="ARIAL" w:hAnsi="ARIAL"/>
          <w:b/>
          <w:color w:val="1F497D"/>
          <w:sz w:val="20"/>
        </w:rPr>
        <w:t xml:space="preserve">How can I attend the Annual Meeting? </w:t>
      </w:r>
    </w:p>
    <w:p>
      <w:pPr>
        <w:pStyle w:val="TextBody"/>
        <w:bidi w:val="0"/>
        <w:spacing w:before="240" w:after="0"/>
        <w:jc w:val="left"/>
        <w:rPr>
          <w:rFonts w:ascii="ARIAL" w:hAnsi="ARIAL"/>
          <w:sz w:val="20"/>
        </w:rPr>
      </w:pPr>
      <w:r>
        <w:rPr>
          <w:rFonts w:ascii="ARIAL" w:hAnsi="ARIAL"/>
          <w:sz w:val="20"/>
        </w:rPr>
        <w:t xml:space="preserve">The Annual Meeting is being held as a virtual-only meeting. </w:t>
      </w:r>
      <w:r>
        <w:rPr>
          <w:rFonts w:ascii="ARIAL" w:hAnsi="ARIAL"/>
          <w:b/>
          <w:sz w:val="20"/>
        </w:rPr>
        <w:t>In order to attend the Annual Meeting, you must register at www.proxydocs.com/ALHC by no later than 5:00 p.m. Pacific Time on June 6, 2024.</w:t>
      </w:r>
      <w:r>
        <w:rPr>
          <w:rFonts w:ascii="ARIAL" w:hAnsi="ARIAL"/>
          <w:sz w:val="20"/>
        </w:rPr>
        <w:t xml:space="preserve"> If you are a stockholder of record as of the Record Date, upon completing your registration, you will receive further instructions via email, including a unique link that will allow you access to the Annual Meeting and to vote and submit questions during the Annual Meeting. As part of the registration process, you must enter the control number located on your proxy card, voting instruction form, or Notice of Internet Availability. </w:t>
      </w:r>
    </w:p>
    <w:p>
      <w:pPr>
        <w:pStyle w:val="TextBody"/>
        <w:bidi w:val="0"/>
        <w:spacing w:before="240" w:after="0"/>
        <w:jc w:val="left"/>
        <w:rPr>
          <w:rFonts w:ascii="ARIAL" w:hAnsi="ARIAL"/>
          <w:sz w:val="20"/>
        </w:rPr>
      </w:pPr>
      <w:r>
        <w:rPr>
          <w:rFonts w:ascii="ARIAL" w:hAnsi="ARIAL"/>
          <w:sz w:val="20"/>
        </w:rPr>
        <w:t xml:space="preserve">If you are a beneficial owner of shares through a brokerage firm, bank, broker-dealer or other nominee holder (i.e., you hold shares in “street name”) as of the Record Date, you may gain access to the meeting by following the instructions in the voting instruction card provided by your brokerage firm, bank, broker-dealer or other nominee holder. You will need to enter your uniquely assigned control number at www.proxydocs.com/ALHC as part of the registration process. You may not vote your shares via the Internet at the Annual Meeting unless you receive a valid legal proxy from your brokerage firm, bank, broker-dealer or other nominee holder. If you were not a stockholder as of the Record Date, you may still listen to the Annual Meeting, but will not be able to ask questions or vote at the meeting. </w:t>
      </w:r>
    </w:p>
    <w:p>
      <w:pPr>
        <w:pStyle w:val="TextBody"/>
        <w:bidi w:val="0"/>
        <w:spacing w:before="240" w:after="0"/>
        <w:jc w:val="left"/>
        <w:rPr>
          <w:rFonts w:ascii="ARIAL" w:hAnsi="ARIAL"/>
          <w:sz w:val="20"/>
        </w:rPr>
      </w:pPr>
      <w:r>
        <w:rPr>
          <w:rFonts w:ascii="ARIAL" w:hAnsi="ARIAL"/>
          <w:sz w:val="20"/>
        </w:rPr>
        <w:t xml:space="preserve">The audio broadcast of the Annual Meeting will be archived on the investor relations section of our website, https://ir.alignmenthealth.com/, for at least one year. </w:t>
      </w:r>
    </w:p>
    <w:p>
      <w:pPr>
        <w:pStyle w:val="TextBody"/>
        <w:bidi w:val="0"/>
        <w:spacing w:before="240" w:after="0"/>
        <w:jc w:val="left"/>
        <w:rPr>
          <w:rFonts w:ascii="ARIAL" w:hAnsi="ARIAL"/>
          <w:b/>
          <w:color w:val="1F497D"/>
          <w:sz w:val="20"/>
        </w:rPr>
      </w:pPr>
      <w:r>
        <w:rPr>
          <w:rFonts w:ascii="ARIAL" w:hAnsi="ARIAL"/>
          <w:b/>
          <w:color w:val="1F497D"/>
          <w:sz w:val="20"/>
        </w:rPr>
        <w:t xml:space="preserve">How can I ask questions at the Annual Meeting? </w:t>
      </w:r>
    </w:p>
    <w:p>
      <w:pPr>
        <w:pStyle w:val="TextBody"/>
        <w:bidi w:val="0"/>
        <w:spacing w:before="240" w:after="0"/>
        <w:jc w:val="left"/>
        <w:rPr>
          <w:rFonts w:ascii="ARIAL" w:hAnsi="ARIAL"/>
          <w:sz w:val="20"/>
        </w:rPr>
      </w:pPr>
      <w:r>
        <w:rPr>
          <w:rFonts w:ascii="ARIAL" w:hAnsi="ARIAL"/>
          <w:sz w:val="20"/>
        </w:rPr>
        <w:t xml:space="preserve">We have designed the virtual Annual Meeting to provide substantially the same opportunities to participate as stockholders would have at an in-person meeting. The virtual Annual Meeting format allows stockholders to ask questions of our management and Board of Directors, as appropriate. If you have questions, you may type them into the dialog box provided at any point during the meeting (until the floor is closed to questions). </w:t>
      </w:r>
    </w:p>
    <w:p>
      <w:pPr>
        <w:pStyle w:val="TextBody"/>
        <w:bidi w:val="0"/>
        <w:spacing w:before="240" w:after="0"/>
        <w:jc w:val="left"/>
        <w:rPr>
          <w:rFonts w:ascii="ARIAL" w:hAnsi="ARIAL"/>
          <w:sz w:val="20"/>
        </w:rPr>
      </w:pPr>
      <w:r>
        <w:rPr>
          <w:rFonts w:ascii="ARIAL" w:hAnsi="ARIAL"/>
          <w:sz w:val="20"/>
        </w:rPr>
        <w:t xml:space="preserve">We reserve the right to exclude questions regarding topics that are not pertinent to meeting matters or company business or are inappropriate. If we receive substantially similar questions, we may group such questions together and provide a single response to avoid repetition. Any questions that are appropriate and pertinent to the Annual Meeting will be answered in the live question and answer session during the Annual Meeting, subject to time constraints. Any such questions that cannot be answered during the Annual Meeting due to time constraints will be posted and answered on the investor relations section of our website, https://ir.alignmenthealth.com/, as soon as practicable after the Annual Meeting.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r>
        <w:br w:type="page"/>
      </w:r>
    </w:p>
    <w:p>
      <w:pPr>
        <w:pStyle w:val="HorizontalLine"/>
        <w:bidi w:val="0"/>
        <w:jc w:val="left"/>
        <w:rPr/>
      </w:pPr>
      <w:r>
        <w:rPr/>
      </w:r>
    </w:p>
    <w:p>
      <w:pPr>
        <w:pStyle w:val="TextBody"/>
        <w:bidi w:val="0"/>
        <w:spacing w:before="0" w:after="0"/>
        <w:jc w:val="left"/>
        <w:rPr>
          <w:rFonts w:ascii="ARIAL" w:hAnsi="ARIAL"/>
          <w:sz w:val="20"/>
        </w:rPr>
      </w:pPr>
      <w:r>
        <w:rPr>
          <w:rFonts w:ascii="ARIAL" w:hAnsi="ARIAL"/>
          <w:sz w:val="20"/>
        </w:rPr>
        <w:t xml:space="preserve">Additional information regarding the ability of stockholders to ask questions during the Annual Meeting and information regarding how to obtain the related rules of conduct and other materials for the Annual Meeting will be provided by email after you have completed registration to attend the Annual Meeting. The rules of conduct will also be available on the Annual Meeting platform during the Annual Meeting. </w:t>
      </w:r>
    </w:p>
    <w:p>
      <w:pPr>
        <w:pStyle w:val="TextBody"/>
        <w:bidi w:val="0"/>
        <w:spacing w:before="240" w:after="0"/>
        <w:jc w:val="left"/>
        <w:rPr>
          <w:rFonts w:ascii="ARIAL" w:hAnsi="ARIAL"/>
          <w:b/>
          <w:color w:val="1F497D"/>
          <w:sz w:val="20"/>
        </w:rPr>
      </w:pPr>
      <w:r>
        <w:rPr>
          <w:rFonts w:ascii="ARIAL" w:hAnsi="ARIAL"/>
          <w:b/>
          <w:color w:val="1F497D"/>
          <w:sz w:val="20"/>
        </w:rPr>
        <w:t xml:space="preserve">How can I access technical support for the Annual Meeting? </w:t>
      </w:r>
    </w:p>
    <w:p>
      <w:pPr>
        <w:pStyle w:val="TextBody"/>
        <w:bidi w:val="0"/>
        <w:spacing w:before="240" w:after="0"/>
        <w:jc w:val="left"/>
        <w:rPr>
          <w:rFonts w:ascii="ARIAL" w:hAnsi="ARIAL"/>
          <w:sz w:val="20"/>
        </w:rPr>
      </w:pPr>
      <w:r>
        <w:rPr>
          <w:rFonts w:ascii="ARIAL" w:hAnsi="ARIAL"/>
          <w:sz w:val="20"/>
        </w:rPr>
        <w:t xml:space="preserve">If you encounter any difficulties accessing the virtual Annual Meeting during the check-in or meeting time, please call the technical support number that will be posted on the virtual meeting login page for assistance. Technical support will be available beginning approximately 15 minutes prior to the start of the Annual Meeting through its conclusion. The virtual Annual Meeting platform is fully supported across browsers (Edge, Firefox, Chrome, and Safari) and devices (desktops, laptops, tablets, and cell phones) running the most updated version of applicable software and plugins. You should ensure that you have a strong internet connection if you intend to attend and/or participate in the Annual Meeting. </w:t>
      </w:r>
    </w:p>
    <w:p>
      <w:pPr>
        <w:pStyle w:val="TextBody"/>
        <w:bidi w:val="0"/>
        <w:spacing w:before="240" w:after="0"/>
        <w:jc w:val="left"/>
        <w:rPr>
          <w:rFonts w:ascii="ARIAL" w:hAnsi="ARIAL"/>
          <w:b/>
          <w:color w:val="1F497D"/>
          <w:sz w:val="20"/>
        </w:rPr>
      </w:pPr>
      <w:r>
        <w:rPr>
          <w:rFonts w:ascii="ARIAL" w:hAnsi="ARIAL"/>
          <w:b/>
          <w:color w:val="1F497D"/>
          <w:sz w:val="20"/>
        </w:rPr>
        <w:t xml:space="preserve">Why is the Annual Meeting virtual only? </w:t>
      </w:r>
    </w:p>
    <w:p>
      <w:pPr>
        <w:pStyle w:val="TextBody"/>
        <w:bidi w:val="0"/>
        <w:spacing w:before="240" w:after="0"/>
        <w:jc w:val="left"/>
        <w:rPr>
          <w:rFonts w:ascii="ARIAL" w:hAnsi="ARIAL"/>
          <w:sz w:val="20"/>
        </w:rPr>
      </w:pPr>
      <w:r>
        <w:rPr>
          <w:rFonts w:ascii="ARIAL" w:hAnsi="ARIAL"/>
          <w:sz w:val="20"/>
        </w:rPr>
        <w:t xml:space="preserve">In order to make the Annual Meeting accessible to a large number of our stockholders, the Annual Meeting will be conducted virtually via audio-only webcast. We will have technicians ready to assist you with any technical difficulties you may have accessing the Annual Meeting. If you encounter any difficulties accessing the virtual-only Annual Meeting platform, including any difficulties voting or submitting questions, you may call the technical support number that will be posted in your instruction email. </w:t>
      </w:r>
    </w:p>
    <w:p>
      <w:pPr>
        <w:pStyle w:val="TextBody"/>
        <w:bidi w:val="0"/>
        <w:spacing w:before="240" w:after="0"/>
        <w:jc w:val="left"/>
        <w:rPr>
          <w:rFonts w:ascii="ARIAL" w:hAnsi="ARIAL"/>
          <w:b/>
          <w:color w:val="1F497D"/>
          <w:sz w:val="20"/>
        </w:rPr>
      </w:pPr>
      <w:r>
        <w:rPr>
          <w:rFonts w:ascii="ARIAL" w:hAnsi="ARIAL"/>
          <w:b/>
          <w:color w:val="1F497D"/>
          <w:sz w:val="20"/>
        </w:rPr>
        <w:t xml:space="preserve">How do I cast my vote? </w:t>
      </w:r>
    </w:p>
    <w:p>
      <w:pPr>
        <w:pStyle w:val="TextBody"/>
        <w:bidi w:val="0"/>
        <w:spacing w:before="240" w:after="0"/>
        <w:jc w:val="left"/>
        <w:rPr>
          <w:rFonts w:ascii="ARIAL" w:hAnsi="ARIAL"/>
          <w:sz w:val="20"/>
        </w:rPr>
      </w:pPr>
      <w:r>
        <w:rPr>
          <w:rFonts w:ascii="ARIAL" w:hAnsi="ARIAL"/>
          <w:i/>
          <w:sz w:val="20"/>
        </w:rPr>
        <w:t>Beneficial Stockholders</w:t>
      </w:r>
      <w:r>
        <w:rPr>
          <w:rFonts w:ascii="ARIAL" w:hAnsi="ARIAL"/>
          <w:sz w:val="20"/>
        </w:rPr>
        <w:t xml:space="preserve">. If you hold your shares through a broker, trustee or other nominee, you are a beneficial stockholder. In order to vote your shares, please refer to the materials forwarded to you by your broker, bank or other nominee for instructions on how to vote the shares you hold as a beneficial stockholder. </w:t>
      </w:r>
    </w:p>
    <w:p>
      <w:pPr>
        <w:pStyle w:val="TextBody"/>
        <w:bidi w:val="0"/>
        <w:spacing w:before="240" w:after="0"/>
        <w:jc w:val="left"/>
        <w:rPr>
          <w:rFonts w:ascii="ARIAL" w:hAnsi="ARIAL"/>
          <w:sz w:val="20"/>
        </w:rPr>
      </w:pPr>
      <w:r>
        <w:rPr>
          <w:rFonts w:ascii="ARIAL" w:hAnsi="ARIAL"/>
          <w:i/>
          <w:sz w:val="20"/>
        </w:rPr>
        <w:t>Registered Stockholders.</w:t>
      </w:r>
      <w:r>
        <w:rPr>
          <w:rFonts w:ascii="ARIAL" w:hAnsi="ARIAL"/>
          <w:sz w:val="20"/>
        </w:rPr>
        <w:t xml:space="preserve"> If you are a stockholder of record, you may vote at the Annual Meeting, vote by proxy over the telephone, vote by proxy through the Internet or vote by proxy card. Whether or not you plan to attend the Annual Meeting, we urge you to vote by proxy to ensure your vote is counted. You may still attend the Annual Meeting and vote even if you have already voted by proxy.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20"/>
              </w:rPr>
            </w:pPr>
            <w:r>
              <w:rPr>
                <w:rFonts w:ascii="ARIAL" w:hAnsi="ARIAL"/>
                <w:b/>
                <w:sz w:val="20"/>
              </w:rPr>
              <w:t>TO VOTE DURING THE ANNUAL MEETING</w:t>
            </w:r>
            <w:r>
              <w:rPr>
                <w:rFonts w:ascii="ARIAL" w:hAnsi="ARIAL"/>
                <w:sz w:val="20"/>
              </w:rPr>
              <w:t xml:space="preserve">: To vote during the live webcast of the Annual Meeting, you must first register at www.proxydocs.com/ALHC. Upon completing your registration, you will receive further instructions via email, including your unique link that will allow you to access the Annual Meeting and, if you are a stockholder, to submit questions during the meeting. Please be sure to follow the instructions found on your proxy card and/or voting authorization form and subsequent instructions that will be delivered to you via email. Stockholders will be able to attend the Annual Meeting platform beginning at 7:00 a.m. Pacific Time on June 7, 2024 pursuant to the unique access instructions they receive following their registration at www.proxydocs.com/ALHC.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20"/>
              </w:rPr>
            </w:pPr>
            <w:r>
              <w:rPr>
                <w:rFonts w:ascii="ARIAL" w:hAnsi="ARIAL"/>
                <w:b/>
                <w:sz w:val="20"/>
              </w:rPr>
              <w:t>TO VOTE BY PHONE</w:t>
            </w:r>
            <w:r>
              <w:rPr>
                <w:rFonts w:ascii="ARIAL" w:hAnsi="ARIAL"/>
                <w:sz w:val="20"/>
              </w:rPr>
              <w:t xml:space="preserve">: To vote by telephone, dial toll-free 866-314-3346 using any touch-tone telephone and follow the recorded instructions.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20"/>
              </w:rPr>
            </w:pPr>
            <w:r>
              <w:rPr>
                <w:rFonts w:ascii="ARIAL" w:hAnsi="ARIAL"/>
                <w:b/>
                <w:sz w:val="20"/>
              </w:rPr>
              <w:t>TO VOTE BY INTERNET</w:t>
            </w:r>
            <w:r>
              <w:rPr>
                <w:rFonts w:ascii="ARIAL" w:hAnsi="ARIAL"/>
                <w:sz w:val="20"/>
              </w:rPr>
              <w:t xml:space="preserve">: To vote through the Internet, you may complete an electronic proxy card at www.proxydocs.com/ALHC. </w:t>
            </w:r>
          </w:p>
        </w:tc>
      </w:tr>
    </w:tbl>
    <w:p>
      <w:pPr>
        <w:pStyle w:val="TextBody"/>
        <w:bidi w:val="0"/>
        <w:spacing w:before="240" w:after="0"/>
        <w:jc w:val="left"/>
        <w:rPr>
          <w:rFonts w:ascii="ARIAL" w:hAnsi="ARIAL"/>
          <w:sz w:val="20"/>
        </w:rPr>
      </w:pPr>
      <w:r>
        <w:rPr>
          <w:rFonts w:ascii="ARIAL" w:hAnsi="ARIAL"/>
          <w:sz w:val="20"/>
        </w:rPr>
        <w:t xml:space="preserve">The Board has appointed John Kao and Thomas Freeman to serve as proxy holders to vote your shares according to the instructions you submit. If you properly submit a proxy but do not indicate how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 </w:t>
      </w:r>
      <w:r>
        <w:br w:type="page"/>
      </w:r>
    </w:p>
    <w:p>
      <w:pPr>
        <w:pStyle w:val="HorizontalLine"/>
        <w:bidi w:val="0"/>
        <w:jc w:val="left"/>
        <w:rPr/>
      </w:pPr>
      <w:r>
        <w:rPr/>
      </w:r>
    </w:p>
    <w:p>
      <w:pPr>
        <w:pStyle w:val="TextBody"/>
        <w:bidi w:val="0"/>
        <w:spacing w:before="0" w:after="0"/>
        <w:jc w:val="left"/>
        <w:rPr>
          <w:rFonts w:ascii="ARIAL" w:hAnsi="ARIAL"/>
          <w:sz w:val="20"/>
        </w:rPr>
      </w:pPr>
      <w:r>
        <w:rPr>
          <w:rFonts w:ascii="ARIAL" w:hAnsi="ARIAL"/>
          <w:sz w:val="20"/>
        </w:rPr>
        <w:t>you want your shares to be voted on one or more items, your shares will be voted on such items in accordance with the recommendations of our Board as set forth above under “</w:t>
      </w:r>
      <w:r>
        <w:rPr>
          <w:rFonts w:ascii="ARIAL" w:hAnsi="ARIAL"/>
          <w:i/>
          <w:sz w:val="20"/>
        </w:rPr>
        <w:t>What will I be voting on?</w:t>
      </w:r>
      <w:r>
        <w:rPr>
          <w:rFonts w:ascii="ARIAL" w:hAnsi="ARIAL"/>
          <w:sz w:val="20"/>
        </w:rPr>
        <w:t xml:space="preserve">” With respect to any other matter properly presented at the Annual Meeting, your proxy, if properly submitted, gives authority to the proxy holders to vote your shares on such matter in accordance with their best judgment. </w:t>
      </w:r>
    </w:p>
    <w:p>
      <w:pPr>
        <w:pStyle w:val="TextBody"/>
        <w:bidi w:val="0"/>
        <w:spacing w:before="240" w:after="0"/>
        <w:jc w:val="left"/>
        <w:rPr>
          <w:rFonts w:ascii="ARIAL" w:hAnsi="ARIAL"/>
          <w:b/>
          <w:color w:val="1F497D"/>
          <w:sz w:val="20"/>
        </w:rPr>
      </w:pPr>
      <w:r>
        <w:rPr>
          <w:rFonts w:ascii="ARIAL" w:hAnsi="ARIAL"/>
          <w:b/>
          <w:color w:val="1F497D"/>
          <w:sz w:val="20"/>
        </w:rPr>
        <w:t xml:space="preserve">Can I access the proxy materials electronically? </w:t>
      </w:r>
    </w:p>
    <w:p>
      <w:pPr>
        <w:pStyle w:val="TextBody"/>
        <w:bidi w:val="0"/>
        <w:spacing w:before="240" w:after="0"/>
        <w:jc w:val="left"/>
        <w:rPr>
          <w:rFonts w:ascii="ARIAL" w:hAnsi="ARIAL"/>
          <w:sz w:val="20"/>
        </w:rPr>
      </w:pPr>
      <w:r>
        <w:rPr>
          <w:rFonts w:ascii="ARIAL" w:hAnsi="ARIAL"/>
          <w:sz w:val="20"/>
        </w:rPr>
        <w:t xml:space="preserve">Yes. Your notice, proxy card or voting instruction card will contain instructions on how to: </w:t>
      </w:r>
    </w:p>
    <w:p>
      <w:pPr>
        <w:pStyle w:val="TextBody"/>
        <w:bidi w:val="0"/>
        <w:spacing w:before="0" w:after="0"/>
        <w:jc w:val="left"/>
        <w:rPr/>
      </w:pPr>
      <w:r>
        <w:rPr/>
        <w:t> </w:t>
      </w:r>
    </w:p>
    <w:tbl>
      <w:tblPr>
        <w:tblW w:w="6265" w:type="dxa"/>
        <w:jc w:val="left"/>
        <w:tblInd w:w="0" w:type="dxa"/>
        <w:tblLayout w:type="fixed"/>
        <w:tblCellMar>
          <w:top w:w="0" w:type="dxa"/>
          <w:left w:w="0" w:type="dxa"/>
          <w:bottom w:w="0" w:type="dxa"/>
          <w:right w:w="0" w:type="dxa"/>
        </w:tblCellMar>
      </w:tblPr>
      <w:tblGrid>
        <w:gridCol w:w="75"/>
        <w:gridCol w:w="200"/>
        <w:gridCol w:w="599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5990" w:type="dxa"/>
            <w:tcBorders/>
            <w:vAlign w:val="center"/>
          </w:tcPr>
          <w:p>
            <w:pPr>
              <w:pStyle w:val="TableContents"/>
              <w:bidi w:val="0"/>
              <w:spacing w:before="0" w:after="0"/>
              <w:jc w:val="left"/>
              <w:rPr>
                <w:rFonts w:ascii="ARIAL" w:hAnsi="ARIAL"/>
                <w:sz w:val="20"/>
              </w:rPr>
            </w:pPr>
            <w:r>
              <w:rPr>
                <w:rFonts w:ascii="ARIAL" w:hAnsi="ARIAL"/>
                <w:sz w:val="20"/>
              </w:rPr>
              <w:t xml:space="preserve">view our proxy materials for the Annual Meeting on the Internet; and </w:t>
            </w:r>
          </w:p>
        </w:tc>
      </w:tr>
    </w:tbl>
    <w:p>
      <w:pPr>
        <w:pStyle w:val="TextBody"/>
        <w:bidi w:val="0"/>
        <w:spacing w:before="0" w:after="0"/>
        <w:jc w:val="left"/>
        <w:rPr/>
      </w:pPr>
      <w:r>
        <w:rPr/>
        <w:t> </w:t>
      </w:r>
    </w:p>
    <w:tbl>
      <w:tblPr>
        <w:tblW w:w="6985" w:type="dxa"/>
        <w:jc w:val="left"/>
        <w:tblInd w:w="0" w:type="dxa"/>
        <w:tblLayout w:type="fixed"/>
        <w:tblCellMar>
          <w:top w:w="0" w:type="dxa"/>
          <w:left w:w="0" w:type="dxa"/>
          <w:bottom w:w="0" w:type="dxa"/>
          <w:right w:w="0" w:type="dxa"/>
        </w:tblCellMar>
      </w:tblPr>
      <w:tblGrid>
        <w:gridCol w:w="75"/>
        <w:gridCol w:w="200"/>
        <w:gridCol w:w="67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2.</w:t>
            </w:r>
          </w:p>
        </w:tc>
        <w:tc>
          <w:tcPr>
            <w:tcW w:w="6710" w:type="dxa"/>
            <w:tcBorders/>
            <w:vAlign w:val="center"/>
          </w:tcPr>
          <w:p>
            <w:pPr>
              <w:pStyle w:val="TableContents"/>
              <w:bidi w:val="0"/>
              <w:spacing w:before="0" w:after="0"/>
              <w:jc w:val="left"/>
              <w:rPr>
                <w:rFonts w:ascii="ARIAL" w:hAnsi="ARIAL"/>
                <w:sz w:val="20"/>
              </w:rPr>
            </w:pPr>
            <w:r>
              <w:rPr>
                <w:rFonts w:ascii="ARIAL" w:hAnsi="ARIAL"/>
                <w:sz w:val="20"/>
              </w:rPr>
              <w:t xml:space="preserve">instruct us to send our future proxy materials to you electronically by e-mail. </w:t>
            </w:r>
          </w:p>
        </w:tc>
      </w:tr>
    </w:tbl>
    <w:p>
      <w:pPr>
        <w:pStyle w:val="TextBody"/>
        <w:bidi w:val="0"/>
        <w:spacing w:before="240" w:after="0"/>
        <w:jc w:val="left"/>
        <w:rPr>
          <w:rFonts w:ascii="ARIAL" w:hAnsi="ARIAL"/>
          <w:sz w:val="20"/>
        </w:rPr>
      </w:pPr>
      <w:r>
        <w:rPr>
          <w:rFonts w:ascii="ARIAL" w:hAnsi="ARIAL"/>
          <w:sz w:val="20"/>
        </w:rPr>
        <w:t xml:space="preserve">Our proxy materials are also available at www.proxydocs.com/ALHC and our proxy materials will be available starting on [   ], 2024. </w:t>
      </w:r>
    </w:p>
    <w:p>
      <w:pPr>
        <w:pStyle w:val="TextBody"/>
        <w:bidi w:val="0"/>
        <w:spacing w:before="240" w:after="0"/>
        <w:jc w:val="left"/>
        <w:rPr>
          <w:rFonts w:ascii="ARIAL" w:hAnsi="ARIAL"/>
          <w:sz w:val="20"/>
        </w:rPr>
      </w:pPr>
      <w:r>
        <w:rPr>
          <w:rFonts w:ascii="ARIAL" w:hAnsi="ARIAL"/>
          <w:sz w:val="20"/>
        </w:rPr>
        <w:t xml:space="preserve">Instead of receiving future copies of our proxy statements and annual reports by mail, stockholders of record and most beneficial owners can elect to receive an email that will provide an electronic link to these documents. Your election to receive future proxy materials by email will remain in effect until you revoke it. </w:t>
      </w:r>
    </w:p>
    <w:p>
      <w:pPr>
        <w:pStyle w:val="TextBody"/>
        <w:bidi w:val="0"/>
        <w:spacing w:before="240" w:after="0"/>
        <w:jc w:val="left"/>
        <w:rPr>
          <w:rFonts w:ascii="ARIAL" w:hAnsi="ARIAL"/>
          <w:b/>
          <w:color w:val="1F497D"/>
          <w:sz w:val="20"/>
        </w:rPr>
      </w:pPr>
      <w:r>
        <w:rPr>
          <w:rFonts w:ascii="ARIAL" w:hAnsi="ARIAL"/>
          <w:b/>
          <w:color w:val="1F497D"/>
          <w:sz w:val="20"/>
        </w:rPr>
        <w:t xml:space="preserve">How may I change or revoke my proxy? </w:t>
      </w:r>
    </w:p>
    <w:p>
      <w:pPr>
        <w:pStyle w:val="TextBody"/>
        <w:bidi w:val="0"/>
        <w:spacing w:before="240" w:after="0"/>
        <w:jc w:val="left"/>
        <w:rPr>
          <w:rFonts w:ascii="ARIAL" w:hAnsi="ARIAL"/>
          <w:sz w:val="20"/>
        </w:rPr>
      </w:pPr>
      <w:r>
        <w:rPr>
          <w:rFonts w:ascii="ARIAL" w:hAnsi="ARIAL"/>
          <w:i/>
          <w:sz w:val="20"/>
        </w:rPr>
        <w:t>Beneficial Stockholders</w:t>
      </w:r>
      <w:r>
        <w:rPr>
          <w:rFonts w:ascii="ARIAL" w:hAnsi="ARIAL"/>
          <w:sz w:val="20"/>
        </w:rPr>
        <w:t xml:space="preserve">. Beneficial stockholders should contact their broker, trustee or nominee for instructions on how to change their proxy vote. </w:t>
      </w:r>
    </w:p>
    <w:p>
      <w:pPr>
        <w:pStyle w:val="TextBody"/>
        <w:bidi w:val="0"/>
        <w:spacing w:before="240" w:after="0"/>
        <w:jc w:val="left"/>
        <w:rPr>
          <w:rFonts w:ascii="ARIAL" w:hAnsi="ARIAL"/>
          <w:sz w:val="20"/>
        </w:rPr>
      </w:pPr>
      <w:r>
        <w:rPr>
          <w:rFonts w:ascii="ARIAL" w:hAnsi="ARIAL"/>
          <w:i/>
          <w:sz w:val="20"/>
        </w:rPr>
        <w:t>Registered Stockholders</w:t>
      </w:r>
      <w:r>
        <w:rPr>
          <w:rFonts w:ascii="ARIAL" w:hAnsi="ARIAL"/>
          <w:sz w:val="20"/>
        </w:rPr>
        <w:t xml:space="preserve">. Registered stockholders may change a properly executed proxy at any time before its exercise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5"/>
        <w:gridCol w:w="9955"/>
      </w:tblGrid>
      <w:tr>
        <w:trPr/>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1.</w:t>
            </w:r>
          </w:p>
        </w:tc>
        <w:tc>
          <w:tcPr>
            <w:tcW w:w="9955" w:type="dxa"/>
            <w:tcBorders/>
            <w:vAlign w:val="center"/>
          </w:tcPr>
          <w:p>
            <w:pPr>
              <w:pStyle w:val="TableContents"/>
              <w:bidi w:val="0"/>
              <w:spacing w:before="0" w:after="0"/>
              <w:jc w:val="left"/>
              <w:rPr>
                <w:rFonts w:ascii="ARIAL" w:hAnsi="ARIAL"/>
                <w:sz w:val="20"/>
              </w:rPr>
            </w:pPr>
            <w:r>
              <w:rPr>
                <w:rFonts w:ascii="ARIAL" w:hAnsi="ARIAL"/>
                <w:sz w:val="20"/>
              </w:rPr>
              <w:t xml:space="preserve">delivering written notice of revocation to the Chief Legal &amp; Administrative Officer at our principal executive offices at 1100 W. Town &amp; Country Rd., Suite 1600, Orange, CA 92868; </w:t>
            </w:r>
          </w:p>
        </w:tc>
      </w:tr>
    </w:tbl>
    <w:p>
      <w:pPr>
        <w:pStyle w:val="TextBody"/>
        <w:bidi w:val="0"/>
        <w:spacing w:before="0" w:after="0"/>
        <w:jc w:val="left"/>
        <w:rPr/>
      </w:pPr>
      <w:r>
        <w:rPr/>
        <w:t> </w:t>
      </w:r>
    </w:p>
    <w:tbl>
      <w:tblPr>
        <w:tblW w:w="10165" w:type="dxa"/>
        <w:jc w:val="left"/>
        <w:tblInd w:w="0" w:type="dxa"/>
        <w:tblLayout w:type="fixed"/>
        <w:tblCellMar>
          <w:top w:w="0" w:type="dxa"/>
          <w:left w:w="0" w:type="dxa"/>
          <w:bottom w:w="0" w:type="dxa"/>
          <w:right w:w="0" w:type="dxa"/>
        </w:tblCellMar>
      </w:tblPr>
      <w:tblGrid>
        <w:gridCol w:w="75"/>
        <w:gridCol w:w="200"/>
        <w:gridCol w:w="989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2.</w:t>
            </w:r>
          </w:p>
        </w:tc>
        <w:tc>
          <w:tcPr>
            <w:tcW w:w="9890" w:type="dxa"/>
            <w:tcBorders/>
            <w:vAlign w:val="center"/>
          </w:tcPr>
          <w:p>
            <w:pPr>
              <w:pStyle w:val="TableContents"/>
              <w:bidi w:val="0"/>
              <w:spacing w:before="0" w:after="0"/>
              <w:jc w:val="left"/>
              <w:rPr>
                <w:rFonts w:ascii="ARIAL" w:hAnsi="ARIAL"/>
                <w:sz w:val="20"/>
              </w:rPr>
            </w:pPr>
            <w:r>
              <w:rPr>
                <w:rFonts w:ascii="ARIAL" w:hAnsi="ARIAL"/>
                <w:sz w:val="20"/>
              </w:rPr>
              <w:t xml:space="preserve">submitting another proxy that is dated later than the original proxy (including a proxy via telephone or Internet); or </w:t>
            </w:r>
          </w:p>
        </w:tc>
      </w:tr>
    </w:tbl>
    <w:p>
      <w:pPr>
        <w:pStyle w:val="TextBody"/>
        <w:bidi w:val="0"/>
        <w:spacing w:before="0" w:after="0"/>
        <w:jc w:val="left"/>
        <w:rPr/>
      </w:pPr>
      <w:r>
        <w:rPr/>
        <w:t> </w:t>
      </w:r>
    </w:p>
    <w:tbl>
      <w:tblPr>
        <w:tblW w:w="4285" w:type="dxa"/>
        <w:jc w:val="left"/>
        <w:tblInd w:w="0" w:type="dxa"/>
        <w:tblLayout w:type="fixed"/>
        <w:tblCellMar>
          <w:top w:w="0" w:type="dxa"/>
          <w:left w:w="0" w:type="dxa"/>
          <w:bottom w:w="0" w:type="dxa"/>
          <w:right w:w="0" w:type="dxa"/>
        </w:tblCellMar>
      </w:tblPr>
      <w:tblGrid>
        <w:gridCol w:w="75"/>
        <w:gridCol w:w="200"/>
        <w:gridCol w:w="40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4010" w:type="dxa"/>
            <w:tcBorders/>
            <w:vAlign w:val="center"/>
          </w:tcPr>
          <w:p>
            <w:pPr>
              <w:pStyle w:val="TableContents"/>
              <w:bidi w:val="0"/>
              <w:spacing w:before="0" w:after="0"/>
              <w:jc w:val="left"/>
              <w:rPr>
                <w:rFonts w:ascii="ARIAL" w:hAnsi="ARIAL"/>
                <w:sz w:val="20"/>
              </w:rPr>
            </w:pPr>
            <w:r>
              <w:rPr>
                <w:rFonts w:ascii="ARIAL" w:hAnsi="ARIAL"/>
                <w:sz w:val="20"/>
              </w:rPr>
              <w:t xml:space="preserve">voting via the Internet at the Annual Meeting.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 </w:t>
      </w:r>
      <w:r>
        <w:br w:type="page"/>
      </w:r>
    </w:p>
    <w:p>
      <w:pPr>
        <w:pStyle w:val="HorizontalLine"/>
        <w:bidi w:val="0"/>
        <w:jc w:val="left"/>
        <w:rPr/>
      </w:pPr>
      <w:r>
        <w:rPr/>
      </w:r>
    </w:p>
    <w:p>
      <w:pPr>
        <w:pStyle w:val="TextBody"/>
        <w:bidi w:val="0"/>
        <w:spacing w:before="0" w:after="0"/>
        <w:jc w:val="left"/>
        <w:rPr>
          <w:rFonts w:ascii="ARIAL" w:hAnsi="ARIAL"/>
          <w:b/>
          <w:color w:val="1F497D"/>
          <w:sz w:val="20"/>
        </w:rPr>
      </w:pPr>
      <w:r>
        <w:rPr>
          <w:rFonts w:ascii="ARIAL" w:hAnsi="ARIAL"/>
          <w:b/>
          <w:color w:val="1F497D"/>
          <w:sz w:val="20"/>
        </w:rPr>
        <w:t xml:space="preserve">What is the voting requirement to approve each of the proposals, and how are the votes counted?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20"/>
        <w:gridCol w:w="120"/>
        <w:gridCol w:w="3748"/>
        <w:gridCol w:w="60"/>
        <w:gridCol w:w="1246"/>
        <w:gridCol w:w="120"/>
        <w:gridCol w:w="1991"/>
      </w:tblGrid>
      <w:tr>
        <w:trPr/>
        <w:tc>
          <w:tcPr>
            <w:tcW w:w="2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r>
      <w:tr>
        <w:trPr/>
        <w:tc>
          <w:tcPr>
            <w:tcW w:w="2920" w:type="dxa"/>
            <w:tcBorders>
              <w:bottom w:val="single" w:sz="6" w:space="0" w:color="95B3D7"/>
            </w:tcBorders>
            <w:tcMar>
              <w:bottom w:w="60" w:type="dxa"/>
            </w:tcMar>
            <w:vAlign w:val="center"/>
          </w:tcPr>
          <w:p>
            <w:pPr>
              <w:pStyle w:val="TableContents"/>
              <w:bidi w:val="0"/>
              <w:spacing w:before="0" w:after="283"/>
              <w:jc w:val="center"/>
              <w:rPr>
                <w:b/>
                <w:i/>
              </w:rPr>
            </w:pPr>
            <w:r>
              <w:rPr>
                <w:b/>
                <w:i/>
              </w:rPr>
              <w:t>Proposal</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3748" w:type="dxa"/>
            <w:tcBorders>
              <w:bottom w:val="single" w:sz="6" w:space="0" w:color="95B3D7"/>
            </w:tcBorders>
            <w:tcMar>
              <w:bottom w:w="60" w:type="dxa"/>
            </w:tcMar>
            <w:vAlign w:val="center"/>
          </w:tcPr>
          <w:p>
            <w:pPr>
              <w:pStyle w:val="TableContents"/>
              <w:bidi w:val="0"/>
              <w:spacing w:before="0" w:after="0"/>
              <w:jc w:val="center"/>
              <w:rPr>
                <w:rFonts w:ascii="ARIAL" w:hAnsi="ARIAL"/>
                <w:b/>
                <w:i/>
                <w:sz w:val="18"/>
              </w:rPr>
            </w:pPr>
            <w:r>
              <w:rPr>
                <w:rFonts w:ascii="ARIAL" w:hAnsi="ARIAL"/>
                <w:b/>
                <w:i/>
                <w:sz w:val="18"/>
              </w:rPr>
              <w:t>Vote Required for</w:t>
            </w:r>
          </w:p>
          <w:p>
            <w:pPr>
              <w:pStyle w:val="TableContents"/>
              <w:bidi w:val="0"/>
              <w:spacing w:before="0" w:after="20"/>
              <w:jc w:val="center"/>
              <w:rPr>
                <w:rFonts w:ascii="ARIAL" w:hAnsi="ARIAL"/>
                <w:b/>
                <w:i/>
                <w:sz w:val="18"/>
              </w:rPr>
            </w:pPr>
            <w:r>
              <w:rPr>
                <w:rFonts w:ascii="ARIAL" w:hAnsi="ARIAL"/>
                <w:b/>
                <w:i/>
                <w:sz w:val="18"/>
              </w:rPr>
              <w:t>Approval(1)</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1246" w:type="dxa"/>
            <w:tcBorders>
              <w:bottom w:val="single" w:sz="6" w:space="0" w:color="95B3D7"/>
            </w:tcBorders>
            <w:tcMar>
              <w:bottom w:w="60" w:type="dxa"/>
            </w:tcMar>
            <w:vAlign w:val="center"/>
          </w:tcPr>
          <w:p>
            <w:pPr>
              <w:pStyle w:val="TableContents"/>
              <w:bidi w:val="0"/>
              <w:spacing w:before="0" w:after="0"/>
              <w:jc w:val="center"/>
              <w:rPr>
                <w:rFonts w:ascii="ARIAL" w:hAnsi="ARIAL"/>
                <w:b/>
                <w:i/>
                <w:sz w:val="18"/>
              </w:rPr>
            </w:pPr>
            <w:r>
              <w:rPr>
                <w:rFonts w:ascii="ARIAL" w:hAnsi="ARIAL"/>
                <w:b/>
                <w:i/>
                <w:sz w:val="18"/>
              </w:rPr>
              <w:t>Effect of</w:t>
            </w:r>
          </w:p>
          <w:p>
            <w:pPr>
              <w:pStyle w:val="TableContents"/>
              <w:bidi w:val="0"/>
              <w:spacing w:before="0" w:after="20"/>
              <w:jc w:val="center"/>
              <w:rPr>
                <w:rFonts w:ascii="ARIAL" w:hAnsi="ARIAL"/>
                <w:b/>
                <w:i/>
                <w:sz w:val="18"/>
              </w:rPr>
            </w:pPr>
            <w:r>
              <w:rPr>
                <w:rFonts w:ascii="ARIAL" w:hAnsi="ARIAL"/>
                <w:b/>
                <w:i/>
                <w:sz w:val="18"/>
              </w:rPr>
              <w:t>Abstentions(2)</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991" w:type="dxa"/>
            <w:tcBorders>
              <w:bottom w:val="single" w:sz="6" w:space="0" w:color="95B3D7"/>
            </w:tcBorders>
            <w:tcMar>
              <w:bottom w:w="60" w:type="dxa"/>
            </w:tcMar>
            <w:vAlign w:val="center"/>
          </w:tcPr>
          <w:p>
            <w:pPr>
              <w:pStyle w:val="TableContents"/>
              <w:bidi w:val="0"/>
              <w:spacing w:before="0" w:after="0"/>
              <w:jc w:val="center"/>
              <w:rPr>
                <w:rFonts w:ascii="ARIAL" w:hAnsi="ARIAL"/>
                <w:b/>
                <w:i/>
                <w:sz w:val="18"/>
              </w:rPr>
            </w:pPr>
            <w:r>
              <w:rPr>
                <w:rFonts w:ascii="ARIAL" w:hAnsi="ARIAL"/>
                <w:b/>
                <w:i/>
                <w:sz w:val="18"/>
              </w:rPr>
              <w:t>Effect of</w:t>
            </w:r>
          </w:p>
          <w:p>
            <w:pPr>
              <w:pStyle w:val="TableContents"/>
              <w:bidi w:val="0"/>
              <w:spacing w:before="0" w:after="20"/>
              <w:jc w:val="center"/>
              <w:rPr>
                <w:rFonts w:ascii="ARIAL" w:hAnsi="ARIAL"/>
                <w:b/>
                <w:i/>
                <w:sz w:val="18"/>
              </w:rPr>
            </w:pPr>
            <w:r>
              <w:rPr>
                <w:rFonts w:ascii="ARIAL" w:hAnsi="ARIAL"/>
                <w:b/>
                <w:i/>
                <w:sz w:val="18"/>
              </w:rPr>
              <w:t>Broker Non-</w:t>
              <w:br/>
              <w:t>Votes(2)</w:t>
            </w:r>
          </w:p>
        </w:tc>
      </w:tr>
      <w:tr>
        <w:trPr/>
        <w:tc>
          <w:tcPr>
            <w:tcW w:w="2920" w:type="dxa"/>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3868"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1306"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2111" w:type="dxa"/>
            <w:gridSpan w:val="2"/>
            <w:tcBorders/>
            <w:shd w:fill="DBE5F1" w:val="clear"/>
            <w:vAlign w:val="center"/>
          </w:tcPr>
          <w:p>
            <w:pPr>
              <w:pStyle w:val="TableContents"/>
              <w:bidi w:val="0"/>
              <w:spacing w:before="0" w:after="283"/>
              <w:jc w:val="left"/>
              <w:rPr>
                <w:sz w:val="4"/>
                <w:szCs w:val="4"/>
              </w:rPr>
            </w:pPr>
            <w:r>
              <w:rPr>
                <w:sz w:val="4"/>
                <w:szCs w:val="4"/>
              </w:rPr>
            </w:r>
          </w:p>
        </w:tc>
      </w:tr>
      <w:tr>
        <w:trPr/>
        <w:tc>
          <w:tcPr>
            <w:tcW w:w="2920" w:type="dxa"/>
            <w:tcBorders>
              <w:bottom w:val="single" w:sz="6" w:space="0" w:color="95B3D7"/>
              <w:right w:val="single" w:sz="6" w:space="0" w:color="95B3D7"/>
            </w:tcBorders>
            <w:shd w:fill="DBE5F1" w:val="clear"/>
            <w:tcMar>
              <w:bottom w:w="60" w:type="dxa"/>
              <w:right w:w="28" w:type="dxa"/>
            </w:tcMar>
            <w:vAlign w:val="center"/>
          </w:tcPr>
          <w:p>
            <w:pPr>
              <w:pStyle w:val="TableContents"/>
              <w:bidi w:val="0"/>
              <w:spacing w:before="0" w:after="283"/>
              <w:jc w:val="left"/>
              <w:rPr>
                <w:b/>
              </w:rPr>
            </w:pPr>
            <w:r>
              <w:rPr>
                <w:b/>
              </w:rPr>
              <w:t>(1) Election of Directors</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3748" w:type="dxa"/>
            <w:tcBorders>
              <w:bottom w:val="single" w:sz="6" w:space="0" w:color="95B3D7"/>
              <w:right w:val="single" w:sz="6" w:space="0" w:color="95B3D7"/>
            </w:tcBorders>
            <w:shd w:fill="DBE5F1" w:val="clear"/>
            <w:tcMar>
              <w:bottom w:w="60" w:type="dxa"/>
              <w:right w:w="28" w:type="dxa"/>
            </w:tcMar>
            <w:vAlign w:val="center"/>
          </w:tcPr>
          <w:p>
            <w:pPr>
              <w:pStyle w:val="TableContents"/>
              <w:bidi w:val="0"/>
              <w:spacing w:before="0" w:after="283"/>
              <w:jc w:val="left"/>
              <w:rPr/>
            </w:pPr>
            <w:r>
              <w:rPr/>
              <w:t>Plurality of the votes cast at the Annual Meeting(3)</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246" w:type="dxa"/>
            <w:tcBorders>
              <w:bottom w:val="single" w:sz="6" w:space="0" w:color="95B3D7"/>
              <w:right w:val="single" w:sz="6" w:space="0" w:color="95B3D7"/>
            </w:tcBorders>
            <w:shd w:fill="DBE5F1" w:val="clear"/>
            <w:tcMar>
              <w:bottom w:w="60" w:type="dxa"/>
              <w:right w:w="28" w:type="dxa"/>
            </w:tcMar>
            <w:vAlign w:val="center"/>
          </w:tcPr>
          <w:p>
            <w:pPr>
              <w:pStyle w:val="TableContents"/>
              <w:bidi w:val="0"/>
              <w:spacing w:before="0" w:after="283"/>
              <w:jc w:val="left"/>
              <w:rPr/>
            </w:pPr>
            <w:r>
              <w:rPr/>
              <w:t>Not applicable</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991" w:type="dxa"/>
            <w:tcBorders>
              <w:bottom w:val="single" w:sz="6" w:space="0" w:color="95B3D7"/>
            </w:tcBorders>
            <w:shd w:fill="DBE5F1" w:val="clear"/>
            <w:tcMar>
              <w:bottom w:w="60" w:type="dxa"/>
            </w:tcMar>
            <w:vAlign w:val="center"/>
          </w:tcPr>
          <w:p>
            <w:pPr>
              <w:pStyle w:val="TableContents"/>
              <w:bidi w:val="0"/>
              <w:spacing w:before="0" w:after="283"/>
              <w:jc w:val="left"/>
              <w:rPr/>
            </w:pPr>
            <w:r>
              <w:rPr/>
              <w:t>No effect</w:t>
            </w:r>
          </w:p>
        </w:tc>
      </w:tr>
      <w:tr>
        <w:trPr/>
        <w:tc>
          <w:tcPr>
            <w:tcW w:w="2920" w:type="dxa"/>
            <w:tcBorders>
              <w:right w:val="single" w:sz="6" w:space="0" w:color="95B3D7"/>
            </w:tcBorders>
            <w:tcMar>
              <w:right w:w="28" w:type="dxa"/>
            </w:tcMar>
            <w:vAlign w:val="center"/>
          </w:tcPr>
          <w:p>
            <w:pPr>
              <w:pStyle w:val="TableContents"/>
              <w:bidi w:val="0"/>
              <w:spacing w:before="0" w:after="283"/>
              <w:jc w:val="left"/>
              <w:rPr/>
            </w:pPr>
            <w:r>
              <w:rPr/>
              <w:t> </w:t>
            </w:r>
          </w:p>
        </w:tc>
        <w:tc>
          <w:tcPr>
            <w:tcW w:w="3868" w:type="dxa"/>
            <w:gridSpan w:val="2"/>
            <w:tcBorders>
              <w:right w:val="single" w:sz="6" w:space="0" w:color="95B3D7"/>
            </w:tcBorders>
            <w:tcMar>
              <w:right w:w="28" w:type="dxa"/>
            </w:tcMar>
            <w:vAlign w:val="center"/>
          </w:tcPr>
          <w:p>
            <w:pPr>
              <w:pStyle w:val="TableContents"/>
              <w:bidi w:val="0"/>
              <w:spacing w:before="0" w:after="283"/>
              <w:jc w:val="left"/>
              <w:rPr/>
            </w:pPr>
            <w:r>
              <w:rPr/>
              <w:t> </w:t>
            </w:r>
          </w:p>
        </w:tc>
        <w:tc>
          <w:tcPr>
            <w:tcW w:w="1306" w:type="dxa"/>
            <w:gridSpan w:val="2"/>
            <w:tcBorders>
              <w:right w:val="single" w:sz="6" w:space="0" w:color="95B3D7"/>
            </w:tcBorders>
            <w:tcMar>
              <w:right w:w="28" w:type="dxa"/>
            </w:tcMar>
            <w:vAlign w:val="center"/>
          </w:tcPr>
          <w:p>
            <w:pPr>
              <w:pStyle w:val="TableContents"/>
              <w:bidi w:val="0"/>
              <w:spacing w:before="0" w:after="283"/>
              <w:jc w:val="left"/>
              <w:rPr/>
            </w:pPr>
            <w:r>
              <w:rPr/>
              <w:t> </w:t>
            </w:r>
          </w:p>
        </w:tc>
        <w:tc>
          <w:tcPr>
            <w:tcW w:w="2111" w:type="dxa"/>
            <w:gridSpan w:val="2"/>
            <w:tcBorders/>
            <w:vAlign w:val="center"/>
          </w:tcPr>
          <w:p>
            <w:pPr>
              <w:pStyle w:val="TableContents"/>
              <w:bidi w:val="0"/>
              <w:spacing w:before="0" w:after="283"/>
              <w:jc w:val="left"/>
              <w:rPr>
                <w:sz w:val="4"/>
                <w:szCs w:val="4"/>
              </w:rPr>
            </w:pPr>
            <w:r>
              <w:rPr>
                <w:sz w:val="4"/>
                <w:szCs w:val="4"/>
              </w:rPr>
            </w:r>
          </w:p>
        </w:tc>
      </w:tr>
      <w:tr>
        <w:trPr/>
        <w:tc>
          <w:tcPr>
            <w:tcW w:w="2920" w:type="dxa"/>
            <w:tcBorders>
              <w:bottom w:val="single" w:sz="8" w:space="0" w:color="95B3D7"/>
              <w:right w:val="single" w:sz="6" w:space="0" w:color="95B3D7"/>
            </w:tcBorders>
            <w:tcMar>
              <w:bottom w:w="60" w:type="dxa"/>
              <w:right w:w="28" w:type="dxa"/>
            </w:tcMar>
            <w:vAlign w:val="center"/>
          </w:tcPr>
          <w:p>
            <w:pPr>
              <w:pStyle w:val="TableContents"/>
              <w:bidi w:val="0"/>
              <w:spacing w:before="0" w:after="283"/>
              <w:jc w:val="left"/>
              <w:rPr>
                <w:b/>
              </w:rPr>
            </w:pPr>
            <w:r>
              <w:rPr>
                <w:b/>
              </w:rPr>
              <w:t>(2) Approval of Charter Amendment Providing for Exculpation of Officers</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3748" w:type="dxa"/>
            <w:tcBorders>
              <w:bottom w:val="single" w:sz="8" w:space="0" w:color="95B3D7"/>
              <w:right w:val="single" w:sz="6" w:space="0" w:color="95B3D7"/>
            </w:tcBorders>
            <w:tcMar>
              <w:bottom w:w="60" w:type="dxa"/>
              <w:right w:w="28" w:type="dxa"/>
            </w:tcMar>
            <w:vAlign w:val="center"/>
          </w:tcPr>
          <w:p>
            <w:pPr>
              <w:pStyle w:val="TableContents"/>
              <w:bidi w:val="0"/>
              <w:spacing w:before="0" w:after="283"/>
              <w:jc w:val="left"/>
              <w:rPr/>
            </w:pPr>
            <w:r>
              <w:rPr/>
              <w:t>Affirmative vote of at least sixty-six and two-thirds percent (662/3%) of the voting power of all outstanding shares</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246" w:type="dxa"/>
            <w:tcBorders>
              <w:bottom w:val="single" w:sz="8" w:space="0" w:color="95B3D7"/>
              <w:right w:val="single" w:sz="6" w:space="0" w:color="95B3D7"/>
            </w:tcBorders>
            <w:tcMar>
              <w:bottom w:w="60" w:type="dxa"/>
              <w:right w:w="28" w:type="dxa"/>
            </w:tcMar>
            <w:vAlign w:val="center"/>
          </w:tcPr>
          <w:p>
            <w:pPr>
              <w:pStyle w:val="TableContents"/>
              <w:bidi w:val="0"/>
              <w:spacing w:before="0" w:after="283"/>
              <w:jc w:val="left"/>
              <w:rPr/>
            </w:pPr>
            <w:r>
              <w:rPr/>
              <w:t>Vote “Against”(4)</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991" w:type="dxa"/>
            <w:tcBorders>
              <w:bottom w:val="single" w:sz="8" w:space="0" w:color="95B3D7"/>
            </w:tcBorders>
            <w:tcMar>
              <w:bottom w:w="60" w:type="dxa"/>
            </w:tcMar>
            <w:vAlign w:val="center"/>
          </w:tcPr>
          <w:p>
            <w:pPr>
              <w:pStyle w:val="TableContents"/>
              <w:bidi w:val="0"/>
              <w:spacing w:before="0" w:after="283"/>
              <w:jc w:val="left"/>
              <w:rPr/>
            </w:pPr>
            <w:r>
              <w:rPr/>
              <w:t>Vote “Against”(4)</w:t>
            </w:r>
          </w:p>
        </w:tc>
      </w:tr>
      <w:tr>
        <w:trPr/>
        <w:tc>
          <w:tcPr>
            <w:tcW w:w="2920" w:type="dxa"/>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3868"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1306"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2111" w:type="dxa"/>
            <w:gridSpan w:val="2"/>
            <w:tcBorders/>
            <w:shd w:fill="DBE5F1" w:val="clear"/>
            <w:vAlign w:val="center"/>
          </w:tcPr>
          <w:p>
            <w:pPr>
              <w:pStyle w:val="TableContents"/>
              <w:bidi w:val="0"/>
              <w:spacing w:before="0" w:after="283"/>
              <w:jc w:val="left"/>
              <w:rPr>
                <w:sz w:val="4"/>
                <w:szCs w:val="4"/>
              </w:rPr>
            </w:pPr>
            <w:r>
              <w:rPr>
                <w:sz w:val="4"/>
                <w:szCs w:val="4"/>
              </w:rPr>
            </w:r>
          </w:p>
        </w:tc>
      </w:tr>
      <w:tr>
        <w:trPr/>
        <w:tc>
          <w:tcPr>
            <w:tcW w:w="2920" w:type="dxa"/>
            <w:tcBorders>
              <w:bottom w:val="single" w:sz="6" w:space="0" w:color="95B3D7"/>
              <w:right w:val="single" w:sz="6" w:space="0" w:color="95B3D7"/>
            </w:tcBorders>
            <w:shd w:fill="DBE5F1" w:val="clear"/>
            <w:tcMar>
              <w:bottom w:w="60" w:type="dxa"/>
              <w:right w:w="28" w:type="dxa"/>
            </w:tcMar>
            <w:vAlign w:val="center"/>
          </w:tcPr>
          <w:p>
            <w:pPr>
              <w:pStyle w:val="TableContents"/>
              <w:bidi w:val="0"/>
              <w:spacing w:before="0" w:after="283"/>
              <w:jc w:val="left"/>
              <w:rPr>
                <w:b/>
              </w:rPr>
            </w:pPr>
            <w:r>
              <w:rPr>
                <w:b/>
              </w:rPr>
              <w:t>(3) Ratification of Appointment of Independent Registered Public Accounting Firm</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3748" w:type="dxa"/>
            <w:tcBorders>
              <w:bottom w:val="single" w:sz="6" w:space="0" w:color="95B3D7"/>
              <w:right w:val="single" w:sz="6" w:space="0" w:color="95B3D7"/>
            </w:tcBorders>
            <w:shd w:fill="DBE5F1" w:val="clear"/>
            <w:tcMar>
              <w:bottom w:w="60" w:type="dxa"/>
              <w:right w:w="28" w:type="dxa"/>
            </w:tcMar>
            <w:vAlign w:val="center"/>
          </w:tcPr>
          <w:p>
            <w:pPr>
              <w:pStyle w:val="TableContents"/>
              <w:bidi w:val="0"/>
              <w:spacing w:before="0" w:after="283"/>
              <w:jc w:val="left"/>
              <w:rPr/>
            </w:pPr>
            <w:r>
              <w:rPr/>
              <w:t>Affirmative vote of a majority of the voting power present in person or represented by proxy at the Annual Meeting and entitled to vote on the matter</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246" w:type="dxa"/>
            <w:tcBorders>
              <w:bottom w:val="single" w:sz="6" w:space="0" w:color="95B3D7"/>
              <w:right w:val="single" w:sz="6" w:space="0" w:color="95B3D7"/>
            </w:tcBorders>
            <w:shd w:fill="DBE5F1" w:val="clear"/>
            <w:tcMar>
              <w:bottom w:w="60" w:type="dxa"/>
              <w:right w:w="28" w:type="dxa"/>
            </w:tcMar>
            <w:vAlign w:val="center"/>
          </w:tcPr>
          <w:p>
            <w:pPr>
              <w:pStyle w:val="TableContents"/>
              <w:bidi w:val="0"/>
              <w:spacing w:before="0" w:after="283"/>
              <w:jc w:val="left"/>
              <w:rPr/>
            </w:pPr>
            <w:r>
              <w:rPr/>
              <w:t>Vote “Against”(4)</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991" w:type="dxa"/>
            <w:tcBorders>
              <w:bottom w:val="single" w:sz="6" w:space="0" w:color="95B3D7"/>
            </w:tcBorders>
            <w:shd w:fill="DBE5F1" w:val="clear"/>
            <w:tcMar>
              <w:bottom w:w="60" w:type="dxa"/>
            </w:tcMar>
            <w:vAlign w:val="center"/>
          </w:tcPr>
          <w:p>
            <w:pPr>
              <w:pStyle w:val="TableContents"/>
              <w:bidi w:val="0"/>
              <w:spacing w:before="0" w:after="283"/>
              <w:jc w:val="left"/>
              <w:rPr/>
            </w:pPr>
            <w:r>
              <w:rPr/>
              <w:t>Not applicable (brokers may vote uninstructed shares)</w:t>
            </w:r>
          </w:p>
        </w:tc>
      </w:tr>
      <w:tr>
        <w:trPr/>
        <w:tc>
          <w:tcPr>
            <w:tcW w:w="2920" w:type="dxa"/>
            <w:tcBorders>
              <w:right w:val="single" w:sz="6" w:space="0" w:color="95B3D7"/>
            </w:tcBorders>
            <w:tcMar>
              <w:right w:w="28" w:type="dxa"/>
            </w:tcMar>
            <w:vAlign w:val="center"/>
          </w:tcPr>
          <w:p>
            <w:pPr>
              <w:pStyle w:val="TableContents"/>
              <w:bidi w:val="0"/>
              <w:spacing w:before="0" w:after="283"/>
              <w:jc w:val="left"/>
              <w:rPr/>
            </w:pPr>
            <w:r>
              <w:rPr/>
              <w:t> </w:t>
            </w:r>
          </w:p>
        </w:tc>
        <w:tc>
          <w:tcPr>
            <w:tcW w:w="3868" w:type="dxa"/>
            <w:gridSpan w:val="2"/>
            <w:tcBorders>
              <w:right w:val="single" w:sz="6" w:space="0" w:color="95B3D7"/>
            </w:tcBorders>
            <w:tcMar>
              <w:right w:w="28" w:type="dxa"/>
            </w:tcMar>
            <w:vAlign w:val="center"/>
          </w:tcPr>
          <w:p>
            <w:pPr>
              <w:pStyle w:val="TableContents"/>
              <w:bidi w:val="0"/>
              <w:spacing w:before="0" w:after="283"/>
              <w:jc w:val="left"/>
              <w:rPr/>
            </w:pPr>
            <w:r>
              <w:rPr/>
              <w:t> </w:t>
            </w:r>
          </w:p>
        </w:tc>
        <w:tc>
          <w:tcPr>
            <w:tcW w:w="1306" w:type="dxa"/>
            <w:gridSpan w:val="2"/>
            <w:tcBorders>
              <w:right w:val="single" w:sz="6" w:space="0" w:color="95B3D7"/>
            </w:tcBorders>
            <w:tcMar>
              <w:right w:w="28" w:type="dxa"/>
            </w:tcMar>
            <w:vAlign w:val="center"/>
          </w:tcPr>
          <w:p>
            <w:pPr>
              <w:pStyle w:val="TableContents"/>
              <w:bidi w:val="0"/>
              <w:spacing w:before="0" w:after="283"/>
              <w:jc w:val="left"/>
              <w:rPr/>
            </w:pPr>
            <w:r>
              <w:rPr/>
              <w:t> </w:t>
            </w:r>
          </w:p>
        </w:tc>
        <w:tc>
          <w:tcPr>
            <w:tcW w:w="2111" w:type="dxa"/>
            <w:gridSpan w:val="2"/>
            <w:tcBorders/>
            <w:vAlign w:val="center"/>
          </w:tcPr>
          <w:p>
            <w:pPr>
              <w:pStyle w:val="TableContents"/>
              <w:bidi w:val="0"/>
              <w:spacing w:before="0" w:after="283"/>
              <w:jc w:val="left"/>
              <w:rPr>
                <w:sz w:val="4"/>
                <w:szCs w:val="4"/>
              </w:rPr>
            </w:pPr>
            <w:r>
              <w:rPr>
                <w:sz w:val="4"/>
                <w:szCs w:val="4"/>
              </w:rPr>
            </w:r>
          </w:p>
        </w:tc>
      </w:tr>
      <w:tr>
        <w:trPr/>
        <w:tc>
          <w:tcPr>
            <w:tcW w:w="2920" w:type="dxa"/>
            <w:tcBorders>
              <w:bottom w:val="single" w:sz="6" w:space="0" w:color="95B3D7"/>
              <w:right w:val="single" w:sz="6" w:space="0" w:color="95B3D7"/>
            </w:tcBorders>
            <w:tcMar>
              <w:bottom w:w="60" w:type="dxa"/>
              <w:right w:w="28" w:type="dxa"/>
            </w:tcMar>
            <w:vAlign w:val="center"/>
          </w:tcPr>
          <w:p>
            <w:pPr>
              <w:pStyle w:val="TableContents"/>
              <w:bidi w:val="0"/>
              <w:spacing w:before="0" w:after="283"/>
              <w:jc w:val="left"/>
              <w:rPr>
                <w:b/>
              </w:rPr>
            </w:pPr>
            <w:r>
              <w:rPr>
                <w:b/>
              </w:rPr>
              <w:t>(4) Approval, on an Advisory Basis, of Executive Compensation</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3748" w:type="dxa"/>
            <w:tcBorders>
              <w:bottom w:val="single" w:sz="6" w:space="0" w:color="95B3D7"/>
              <w:right w:val="single" w:sz="6" w:space="0" w:color="95B3D7"/>
            </w:tcBorders>
            <w:tcMar>
              <w:bottom w:w="60" w:type="dxa"/>
              <w:right w:w="28" w:type="dxa"/>
            </w:tcMar>
            <w:vAlign w:val="center"/>
          </w:tcPr>
          <w:p>
            <w:pPr>
              <w:pStyle w:val="TableContents"/>
              <w:bidi w:val="0"/>
              <w:spacing w:before="0" w:after="283"/>
              <w:jc w:val="left"/>
              <w:rPr/>
            </w:pPr>
            <w:r>
              <w:rPr/>
              <w:t>Affirmative vote of a majority of the voting power present in person or represented by proxy at the Annual Meeting and entitled to vote on the matter</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1246" w:type="dxa"/>
            <w:tcBorders>
              <w:bottom w:val="single" w:sz="6" w:space="0" w:color="95B3D7"/>
              <w:right w:val="single" w:sz="6" w:space="0" w:color="95B3D7"/>
            </w:tcBorders>
            <w:tcMar>
              <w:bottom w:w="60" w:type="dxa"/>
              <w:right w:w="28" w:type="dxa"/>
            </w:tcMar>
            <w:vAlign w:val="center"/>
          </w:tcPr>
          <w:p>
            <w:pPr>
              <w:pStyle w:val="TableContents"/>
              <w:bidi w:val="0"/>
              <w:spacing w:before="0" w:after="283"/>
              <w:jc w:val="left"/>
              <w:rPr/>
            </w:pPr>
            <w:r>
              <w:rPr/>
              <w:t>Vote “Against”(4)</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991" w:type="dxa"/>
            <w:tcBorders>
              <w:bottom w:val="single" w:sz="6" w:space="0" w:color="95B3D7"/>
            </w:tcBorders>
            <w:tcMar>
              <w:bottom w:w="60" w:type="dxa"/>
            </w:tcMar>
            <w:vAlign w:val="center"/>
          </w:tcPr>
          <w:p>
            <w:pPr>
              <w:pStyle w:val="TableContents"/>
              <w:bidi w:val="0"/>
              <w:spacing w:before="0" w:after="283"/>
              <w:jc w:val="left"/>
              <w:rPr/>
            </w:pPr>
            <w:r>
              <w:rPr/>
              <w:t>No effect</w:t>
            </w:r>
          </w:p>
        </w:tc>
      </w:tr>
    </w:tbl>
    <w:p>
      <w:pPr>
        <w:pStyle w:val="TextBody"/>
        <w:bidi w:val="0"/>
        <w:spacing w:before="0" w:after="0"/>
        <w:jc w:val="left"/>
        <w:rPr/>
      </w:pPr>
      <w:r>
        <w:rPr/>
        <w:t> </w:t>
      </w:r>
    </w:p>
    <w:tbl>
      <w:tblPr>
        <w:tblW w:w="10120" w:type="dxa"/>
        <w:jc w:val="left"/>
        <w:tblInd w:w="0" w:type="dxa"/>
        <w:tblLayout w:type="fixed"/>
        <w:tblCellMar>
          <w:top w:w="0" w:type="dxa"/>
          <w:left w:w="0" w:type="dxa"/>
          <w:bottom w:w="0" w:type="dxa"/>
          <w:right w:w="0" w:type="dxa"/>
        </w:tblCellMar>
      </w:tblPr>
      <w:tblGrid>
        <w:gridCol w:w="75"/>
        <w:gridCol w:w="290"/>
        <w:gridCol w:w="975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9755" w:type="dxa"/>
            <w:tcBorders/>
            <w:vAlign w:val="center"/>
          </w:tcPr>
          <w:p>
            <w:pPr>
              <w:pStyle w:val="TableContents"/>
              <w:bidi w:val="0"/>
              <w:spacing w:before="0" w:after="0"/>
              <w:jc w:val="left"/>
              <w:rPr>
                <w:rFonts w:ascii="ARIAL" w:hAnsi="ARIAL"/>
                <w:sz w:val="16"/>
              </w:rPr>
            </w:pPr>
            <w:r>
              <w:rPr>
                <w:rFonts w:ascii="ARIAL" w:hAnsi="ARIAL"/>
                <w:sz w:val="16"/>
              </w:rPr>
              <w:t xml:space="preserve">Proxy cards that are signed and returned but include unmarked votes will be voted in accordance with our Board’s recommendations.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(2)</w:t>
            </w:r>
          </w:p>
        </w:tc>
        <w:tc>
          <w:tcPr>
            <w:tcW w:w="9905" w:type="dxa"/>
            <w:tcBorders/>
            <w:vAlign w:val="center"/>
          </w:tcPr>
          <w:p>
            <w:pPr>
              <w:pStyle w:val="TableContents"/>
              <w:bidi w:val="0"/>
              <w:spacing w:before="0" w:after="0"/>
              <w:jc w:val="left"/>
              <w:rPr>
                <w:rFonts w:ascii="ARIAL" w:hAnsi="ARIAL"/>
                <w:sz w:val="16"/>
              </w:rPr>
            </w:pPr>
            <w:r>
              <w:rPr>
                <w:rFonts w:ascii="ARIAL" w:hAnsi="ARIAL"/>
                <w:sz w:val="16"/>
              </w:rPr>
              <w:t xml:space="preserve">If you are a beneficial owner whose shares are held of record by a broker or other New York Stock Exchange (“NYSE”) member organization, you must instruct the broker how to vote your shares. If you do not provide voting instructions, your shares will not be voted on any proposal on which the broker does not have discretionary authority to vote. This is called a “broker non-vote.” A broker non-vote will not affect the outcome of the vote for Proposal 1 or Proposal 4, because they are not considered to be shares entitled to vote on these “non-routine” matters. Proposal 2 requires the affirmative approval of at least sixty-six and two-thirds percent (662/3%) of the voting power of all outstanding shares and therefore a broker non-vote has the effect of a negative vote. Proposal 3 is a “routine” matter, and so brokers are permitted discretionary authority to vote.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(3)</w:t>
            </w:r>
          </w:p>
        </w:tc>
        <w:tc>
          <w:tcPr>
            <w:tcW w:w="9889" w:type="dxa"/>
            <w:tcBorders/>
            <w:vAlign w:val="center"/>
          </w:tcPr>
          <w:p>
            <w:pPr>
              <w:pStyle w:val="TableContents"/>
              <w:bidi w:val="0"/>
              <w:spacing w:before="0" w:after="0"/>
              <w:jc w:val="left"/>
              <w:rPr>
                <w:rFonts w:ascii="ARIAL" w:hAnsi="ARIAL"/>
                <w:sz w:val="16"/>
              </w:rPr>
            </w:pPr>
            <w:r>
              <w:rPr>
                <w:rFonts w:ascii="ARIAL" w:hAnsi="ARIAL"/>
                <w:sz w:val="16"/>
              </w:rPr>
              <w:t xml:space="preserve">A plurality of the votes cast by the shares of common stock present or represented by proxy at the meeting and entitled to vote thereon is required to elect each nominee named herein. This means that the four nominees receiving the highest number of votes at the Annual Meeting will be elected, even if those votes do not constitute a majority of the votes cast.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(4)</w:t>
            </w:r>
          </w:p>
        </w:tc>
        <w:tc>
          <w:tcPr>
            <w:tcW w:w="9885" w:type="dxa"/>
            <w:tcBorders/>
            <w:vAlign w:val="center"/>
          </w:tcPr>
          <w:p>
            <w:pPr>
              <w:pStyle w:val="TableContents"/>
              <w:bidi w:val="0"/>
              <w:spacing w:before="0" w:after="0"/>
              <w:jc w:val="left"/>
              <w:rPr>
                <w:rFonts w:ascii="ARIAL" w:hAnsi="ARIAL"/>
                <w:sz w:val="16"/>
              </w:rPr>
            </w:pPr>
            <w:r>
              <w:rPr>
                <w:rFonts w:ascii="ARIAL" w:hAnsi="ARIAL"/>
                <w:sz w:val="16"/>
              </w:rPr>
              <w:t xml:space="preserve">Abstentions will be counted as present and entitled to vote on the proposals and will therefore have the effect of a negative vote. If you hold your shares through a bank, broker or other holder of record and you do not instruct them on how to vote on this proposal, they will not have the authority to vote your shares. </w:t>
            </w:r>
          </w:p>
        </w:tc>
      </w:tr>
    </w:tbl>
    <w:p>
      <w:pPr>
        <w:pStyle w:val="TextBody"/>
        <w:bidi w:val="0"/>
        <w:spacing w:before="240" w:after="0"/>
        <w:jc w:val="left"/>
        <w:rPr>
          <w:rFonts w:ascii="ARIAL" w:hAnsi="ARIAL"/>
          <w:b/>
          <w:color w:val="1F497D"/>
          <w:sz w:val="20"/>
        </w:rPr>
      </w:pPr>
      <w:r>
        <w:rPr>
          <w:rFonts w:ascii="ARIAL" w:hAnsi="ARIAL"/>
          <w:b/>
          <w:color w:val="1F497D"/>
          <w:sz w:val="20"/>
        </w:rPr>
        <w:t xml:space="preserve">What is a “broker non-vote”? </w:t>
      </w:r>
    </w:p>
    <w:p>
      <w:pPr>
        <w:pStyle w:val="TextBody"/>
        <w:bidi w:val="0"/>
        <w:spacing w:before="240" w:after="0"/>
        <w:jc w:val="left"/>
        <w:rPr>
          <w:rFonts w:ascii="ARIAL" w:hAnsi="ARIAL"/>
          <w:sz w:val="20"/>
        </w:rPr>
      </w:pPr>
      <w:r>
        <w:rPr>
          <w:rFonts w:ascii="ARIAL" w:hAnsi="ARIAL"/>
          <w:sz w:val="20"/>
        </w:rPr>
        <w:t xml:space="preserve">A broker non-vote occurs when a broker holding shares for a beneficial owner does not vote on a particular proposal because the broker does not have discretionary voting power with respect to that item and has not received voting instructions from the beneficial owner, but does have discretionary voting power over other items and submits votes for those matters. As discussed above, if you hold shares through a broker or other nominee and do not provide voting instructions to your broker, your shares may not be voted with respect to certain proposals, including the proposals listed above that are not considered “routine” and therefore discretionary voting by the broker or other NYSE member is not permitted. Among the matters submitted to the vote of stockholders at the Annual Meeting, only Proposal 3 is considered a “routine” matter.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 </w:t>
      </w:r>
      <w:r>
        <w:br w:type="page"/>
      </w:r>
    </w:p>
    <w:p>
      <w:pPr>
        <w:pStyle w:val="HorizontalLine"/>
        <w:bidi w:val="0"/>
        <w:jc w:val="left"/>
        <w:rPr/>
      </w:pPr>
      <w:r>
        <w:rPr/>
      </w:r>
    </w:p>
    <w:p>
      <w:pPr>
        <w:pStyle w:val="TextBody"/>
        <w:bidi w:val="0"/>
        <w:spacing w:before="0" w:after="0"/>
        <w:jc w:val="left"/>
        <w:rPr>
          <w:rFonts w:ascii="ARIAL" w:hAnsi="ARIAL"/>
          <w:b/>
          <w:color w:val="1F497D"/>
          <w:sz w:val="20"/>
        </w:rPr>
      </w:pPr>
      <w:r>
        <w:rPr>
          <w:rFonts w:ascii="ARIAL" w:hAnsi="ARIAL"/>
          <w:b/>
          <w:color w:val="1F497D"/>
          <w:sz w:val="20"/>
        </w:rPr>
        <w:t xml:space="preserve">What constitutes a “quorum”? </w:t>
      </w:r>
    </w:p>
    <w:p>
      <w:pPr>
        <w:pStyle w:val="TextBody"/>
        <w:bidi w:val="0"/>
        <w:spacing w:before="240" w:after="0"/>
        <w:jc w:val="left"/>
        <w:rPr>
          <w:rFonts w:ascii="ARIAL" w:hAnsi="ARIAL"/>
          <w:sz w:val="20"/>
        </w:rPr>
      </w:pPr>
      <w:r>
        <w:rPr>
          <w:rFonts w:ascii="ARIAL" w:hAnsi="ARIAL"/>
          <w:sz w:val="20"/>
        </w:rPr>
        <w:t xml:space="preserve">A “quorum” is the presence at the Annual Meeting, virtually or by proxy, of a majority of the outstanding shares entitled to vote at the Annual Meeting. Shares may be voted at the Annual Meeting by a signed proxy card, by telephone instruction, or electronically on the Internet. There must be a quorum for the Annual Meeting to be held. Abstentions and broker non-votes are counted as present and entitled to vote for purposes of determining whether a quorum exists. </w:t>
      </w:r>
    </w:p>
    <w:p>
      <w:pPr>
        <w:pStyle w:val="TextBody"/>
        <w:bidi w:val="0"/>
        <w:spacing w:before="240" w:after="0"/>
        <w:jc w:val="left"/>
        <w:rPr>
          <w:rFonts w:ascii="ARIAL" w:hAnsi="ARIAL"/>
          <w:b/>
          <w:color w:val="1F497D"/>
          <w:sz w:val="20"/>
        </w:rPr>
      </w:pPr>
      <w:r>
        <w:rPr>
          <w:rFonts w:ascii="ARIAL" w:hAnsi="ARIAL"/>
          <w:b/>
          <w:color w:val="1F497D"/>
          <w:sz w:val="20"/>
        </w:rPr>
        <w:t xml:space="preserve">When will the results of the vote be announced? </w:t>
      </w:r>
    </w:p>
    <w:p>
      <w:pPr>
        <w:pStyle w:val="TextBody"/>
        <w:bidi w:val="0"/>
        <w:spacing w:before="240" w:after="0"/>
        <w:jc w:val="left"/>
        <w:rPr>
          <w:rFonts w:ascii="ARIAL" w:hAnsi="ARIAL"/>
          <w:sz w:val="20"/>
        </w:rPr>
      </w:pPr>
      <w:r>
        <w:rPr>
          <w:rFonts w:ascii="ARIAL" w:hAnsi="ARIAL"/>
          <w:sz w:val="20"/>
        </w:rPr>
        <w:t xml:space="preserve">The preliminary voting results will be announced at the Annual Meeting. The final voting results will be published in a Current Report on Form 8-K filed with the SEC within four business days after the Annual Meeting. </w:t>
      </w:r>
    </w:p>
    <w:p>
      <w:pPr>
        <w:pStyle w:val="TextBody"/>
        <w:bidi w:val="0"/>
        <w:spacing w:before="240" w:after="0"/>
        <w:jc w:val="left"/>
        <w:rPr>
          <w:rFonts w:ascii="ARIAL" w:hAnsi="ARIAL"/>
          <w:b/>
          <w:color w:val="1F497D"/>
          <w:sz w:val="20"/>
        </w:rPr>
      </w:pPr>
      <w:r>
        <w:rPr>
          <w:rFonts w:ascii="ARIAL" w:hAnsi="ARIAL"/>
          <w:b/>
          <w:color w:val="1F497D"/>
          <w:sz w:val="20"/>
        </w:rPr>
        <w:t xml:space="preserve">What is the deadline for submitting a stockholder proposal or director nomination for the 2025 Annual Meeting? </w:t>
      </w:r>
    </w:p>
    <w:p>
      <w:pPr>
        <w:pStyle w:val="TextBody"/>
        <w:bidi w:val="0"/>
        <w:spacing w:before="240" w:after="0"/>
        <w:jc w:val="left"/>
        <w:rPr>
          <w:rFonts w:ascii="ARIAL" w:hAnsi="ARIAL"/>
          <w:sz w:val="20"/>
        </w:rPr>
      </w:pPr>
      <w:r>
        <w:rPr>
          <w:rFonts w:ascii="ARIAL" w:hAnsi="ARIAL"/>
          <w:sz w:val="20"/>
        </w:rPr>
        <w:t xml:space="preserve">Stockholder proposals pursuant to SEC Rule 14a-8 for inclusion in the proxy statement and form of proxy for Alignment’s Annual Meeting of Stockholders to be held in 2025 must be received by us at our principal executive offices at 1100 W. Town &amp; Country Rd., Suite 1600, Orange, CA 92868 no later than the close of business on [   ], 2024. Stockholders wishing to make a director nomination or bring a proposal before the annual meeting to be held in 2025 (but not include it in our proxy materials) must provide written notice of such nomination or proposal to the General Counsel and Secretary at our principal executive offices no later than the close of business on March 9, 2025 and not earlier than the close of business on February 7, 2025, assuming we do not change the date of the 2025 annual meeting of stockholders by more than 30 days before or after the anniversary of the 2024 Annual Meeting. If we do, written notice of the proposal or nomination must be delivered by the later of (x) the tenth day following the day that public announcement of the date of the 2025 annual meeting is first made, or (y) the date which is ninety (90) days prior to the date of the 2025 annual meeting. Any stockholder proposal or director nomination must comply with the other provisions of our Amended and Restated Bylaws and be submitted in writing to the General Counsel and Secretary at our principal executive offices in the form provided for in our Amended and Restated Bylaws. </w:t>
      </w:r>
    </w:p>
    <w:p>
      <w:pPr>
        <w:pStyle w:val="TextBody"/>
        <w:bidi w:val="0"/>
        <w:spacing w:before="240" w:after="0"/>
        <w:jc w:val="left"/>
        <w:rPr>
          <w:rFonts w:ascii="ARIAL" w:hAnsi="ARIAL"/>
          <w:sz w:val="20"/>
        </w:rPr>
      </w:pPr>
      <w:r>
        <w:rPr>
          <w:rFonts w:ascii="ARIAL" w:hAnsi="ARIAL"/>
          <w:sz w:val="20"/>
        </w:rPr>
        <w:t xml:space="preserve">Additionally, to comply with the SEC’s universal proxy rules, stockholders who intend to solicit proxies in support of director nominees other than the Company’s nominees must provide notice that sets forth the information required by Rule 14a-19 under the Exchange Act no later than April 8, 2025. If the date of the 2025 annual meeting changes by more than 30 calendar days before or after the anniversary of the 2024 Annual Meeting, such notice must instead be provided by the later of 60 calendar days prior to the date of the 2025 annual meeting or the 10th calendar day following public announcement by the Company of the date of the 2025 annual meeting.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 </w:t>
      </w:r>
      <w:r>
        <w:br w:type="page"/>
      </w:r>
    </w:p>
    <w:p>
      <w:pPr>
        <w:pStyle w:val="HorizontalLine"/>
        <w:bidi w:val="0"/>
        <w:jc w:val="left"/>
        <w:rPr/>
      </w:pPr>
      <w:r>
        <w:rPr/>
      </w:r>
    </w:p>
    <w:p>
      <w:pPr>
        <w:pStyle w:val="TextBody"/>
        <w:bidi w:val="0"/>
        <w:spacing w:before="0" w:after="0"/>
        <w:jc w:val="center"/>
        <w:rPr>
          <w:rFonts w:ascii="ARIAL" w:hAnsi="ARIAL"/>
          <w:b/>
          <w:sz w:val="20"/>
        </w:rPr>
      </w:pPr>
      <w:bookmarkStart w:id="4" w:name="txa496243_2"/>
      <w:bookmarkEnd w:id="4"/>
      <w:r>
        <w:rPr>
          <w:rFonts w:ascii="ARIAL" w:hAnsi="ARIAL"/>
          <w:b/>
          <w:sz w:val="20"/>
        </w:rPr>
        <w:t xml:space="preserve">PROXY SUMMARY </w:t>
      </w:r>
    </w:p>
    <w:p>
      <w:pPr>
        <w:pStyle w:val="TextBody"/>
        <w:bidi w:val="0"/>
        <w:spacing w:before="240" w:after="0"/>
        <w:jc w:val="left"/>
        <w:rPr>
          <w:rFonts w:ascii="ARIAL" w:hAnsi="ARIAL"/>
          <w:i/>
          <w:sz w:val="20"/>
        </w:rPr>
      </w:pPr>
      <w:r>
        <w:rPr>
          <w:rFonts w:ascii="ARIAL" w:hAnsi="ARIAL"/>
          <w:i/>
          <w:sz w:val="20"/>
        </w:rPr>
        <w:t xml:space="preserve">This summary highlights certain information contained elsewhere in our proxy statement. This summary does not contain all of the information that you should consider, and you should carefully read the entire proxy statement and our 2023 Annual Report to Stockholders before voting. </w:t>
      </w:r>
    </w:p>
    <w:p>
      <w:pPr>
        <w:pStyle w:val="TextBody"/>
        <w:bidi w:val="0"/>
        <w:spacing w:before="240" w:after="0"/>
        <w:jc w:val="left"/>
        <w:rPr>
          <w:rFonts w:ascii="ARIAL" w:hAnsi="ARIAL"/>
          <w:b/>
          <w:color w:val="1F497D"/>
          <w:sz w:val="20"/>
        </w:rPr>
      </w:pPr>
      <w:r>
        <w:rPr>
          <w:rFonts w:ascii="ARIAL" w:hAnsi="ARIAL"/>
          <w:b/>
          <w:color w:val="1F497D"/>
          <w:sz w:val="20"/>
        </w:rPr>
        <w:t xml:space="preserve">About Us </w:t>
      </w:r>
    </w:p>
    <w:p>
      <w:pPr>
        <w:pStyle w:val="TextBody"/>
        <w:bidi w:val="0"/>
        <w:spacing w:before="240" w:after="0"/>
        <w:jc w:val="left"/>
        <w:rPr>
          <w:rFonts w:ascii="ARIAL" w:hAnsi="ARIAL"/>
          <w:sz w:val="20"/>
        </w:rPr>
      </w:pPr>
      <w:r>
        <w:rPr>
          <w:rFonts w:ascii="ARIAL" w:hAnsi="ARIAL"/>
          <w:sz w:val="20"/>
        </w:rPr>
        <w:t xml:space="preserve">Alignment is a next generation, consumer-centric platform designed to improve the health care experience for seniors. We deliver this experience through our Medicare Advantage plans, which are customized to meet the needs of a diverse array of seniors. Our innovative model of consumer-centric health care is purpose-built to provide seniors with care as it should be: high quality, low cost and accompanied by a vastly improved consumer experience. We combine a proprietary technology platform and a high-touch clinical model that enhances our members’ lifestyles and health outcomes while simultaneously controlling costs, which allows us to reinvest savings back into our platform and products to directly benefit the senior consumer. As of January 1, 2024, we had approximately 155,500 members enrolled in our health maintenance organization and preferred provider organization contracts in 53 markets across six states. Our ultimate goal is to bring this differentiated, advocacy-driven health care experience to millions of senior consumers in the United States and to become the most trusted senior health care brand in the country. </w:t>
      </w:r>
    </w:p>
    <w:p>
      <w:pPr>
        <w:pStyle w:val="TextBody"/>
        <w:bidi w:val="0"/>
        <w:spacing w:before="0" w:after="0"/>
        <w:jc w:val="left"/>
        <w:rPr/>
      </w:pPr>
      <w:r>
        <w:rPr/>
        <w:t> </w:t>
      </w:r>
    </w:p>
    <w:p>
      <w:pPr>
        <w:pStyle w:val="TextBody"/>
        <w:bidi w:val="0"/>
        <w:spacing w:before="0" w:after="0"/>
        <w:jc w:val="center"/>
        <w:rPr/>
      </w:pPr>
      <w:r>
        <w:rPr/>
        <w:drawing>
          <wp:inline distT="0" distB="0" distL="0" distR="0">
            <wp:extent cx="5924550" cy="381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24550" cy="381000"/>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Our platform was developed to align with the six core principles that we believe will be required to successfully deliver health care in the 21st century and that we believe represent our key competitive strengths. Our platform enables us to: </w:t>
      </w:r>
    </w:p>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75"/>
        <w:gridCol w:w="170"/>
        <w:gridCol w:w="60"/>
        <w:gridCol w:w="6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0"/>
              <w:jc w:val="left"/>
              <w:rPr>
                <w:rFonts w:ascii="ARIAL" w:hAnsi="ARIAL"/>
                <w:sz w:val="20"/>
              </w:rPr>
            </w:pPr>
            <w:r>
              <w:rPr>
                <w:rFonts w:ascii="ARIAL" w:hAnsi="ARIAL"/>
                <w:sz w:val="20"/>
              </w:rPr>
              <w:t xml:space="preserve">leverage data, technology and analytics to power all aspects of our model; </w:t>
            </w:r>
          </w:p>
        </w:tc>
      </w:tr>
    </w:tbl>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75"/>
        <w:gridCol w:w="170"/>
        <w:gridCol w:w="60"/>
        <w:gridCol w:w="61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jc w:val="left"/>
              <w:rPr>
                <w:rFonts w:ascii="ARIAL" w:hAnsi="ARIAL"/>
                <w:sz w:val="20"/>
              </w:rPr>
            </w:pPr>
            <w:r>
              <w:rPr>
                <w:rFonts w:ascii="ARIAL" w:hAnsi="ARIAL"/>
                <w:sz w:val="20"/>
              </w:rPr>
              <w:t xml:space="preserve">engage consumers directly and develop products to meet their needs; </w:t>
            </w:r>
          </w:p>
        </w:tc>
      </w:tr>
    </w:tbl>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75"/>
        <w:gridCol w:w="170"/>
        <w:gridCol w:w="60"/>
        <w:gridCol w:w="6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0"/>
              <w:jc w:val="left"/>
              <w:rPr>
                <w:rFonts w:ascii="ARIAL" w:hAnsi="ARIAL"/>
                <w:sz w:val="20"/>
              </w:rPr>
            </w:pPr>
            <w:r>
              <w:rPr>
                <w:rFonts w:ascii="ARIAL" w:hAnsi="ARIAL"/>
                <w:sz w:val="20"/>
              </w:rPr>
              <w:t xml:space="preserve">proactively manage and coordinate care for our most vulnerable members; </w:t>
            </w:r>
          </w:p>
        </w:tc>
      </w:tr>
    </w:tbl>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75"/>
        <w:gridCol w:w="170"/>
        <w:gridCol w:w="60"/>
        <w:gridCol w:w="53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ARIAL" w:hAnsi="ARIAL"/>
                <w:sz w:val="20"/>
              </w:rPr>
            </w:pPr>
            <w:r>
              <w:rPr>
                <w:rFonts w:ascii="ARIAL" w:hAnsi="ARIAL"/>
                <w:sz w:val="20"/>
              </w:rPr>
              <w:t xml:space="preserve">empower providers and employ flexible care delivery models;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170"/>
        <w:gridCol w:w="60"/>
        <w:gridCol w:w="56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ARIAL" w:hAnsi="ARIAL"/>
                <w:sz w:val="20"/>
              </w:rPr>
            </w:pPr>
            <w:r>
              <w:rPr>
                <w:rFonts w:ascii="ARIAL" w:hAnsi="ARIAL"/>
                <w:sz w:val="20"/>
              </w:rPr>
              <w:t xml:space="preserve">design and deploy innovative value-based payment models; and </w:t>
            </w:r>
          </w:p>
        </w:tc>
      </w:tr>
    </w:tbl>
    <w:p>
      <w:pPr>
        <w:pStyle w:val="TextBody"/>
        <w:bidi w:val="0"/>
        <w:spacing w:before="0" w:after="0"/>
        <w:jc w:val="left"/>
        <w:rPr/>
      </w:pPr>
      <w:r>
        <w:rPr/>
        <w:t> </w:t>
      </w:r>
    </w:p>
    <w:tbl>
      <w:tblPr>
        <w:tblW w:w="3175" w:type="dxa"/>
        <w:jc w:val="left"/>
        <w:tblInd w:w="0" w:type="dxa"/>
        <w:tblLayout w:type="fixed"/>
        <w:tblCellMar>
          <w:top w:w="0" w:type="dxa"/>
          <w:left w:w="0" w:type="dxa"/>
          <w:bottom w:w="0" w:type="dxa"/>
          <w:right w:w="0" w:type="dxa"/>
        </w:tblCellMar>
      </w:tblPr>
      <w:tblGrid>
        <w:gridCol w:w="75"/>
        <w:gridCol w:w="170"/>
        <w:gridCol w:w="60"/>
        <w:gridCol w:w="2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0"/>
              <w:jc w:val="left"/>
              <w:rPr>
                <w:rFonts w:ascii="ARIAL" w:hAnsi="ARIAL"/>
                <w:sz w:val="20"/>
              </w:rPr>
            </w:pPr>
            <w:r>
              <w:rPr>
                <w:rFonts w:ascii="ARIAL" w:hAnsi="ARIAL"/>
                <w:sz w:val="20"/>
              </w:rPr>
              <w:t xml:space="preserve">cultivate a culture of innovation. </w:t>
            </w:r>
          </w:p>
        </w:tc>
      </w:tr>
    </w:tbl>
    <w:p>
      <w:pPr>
        <w:pStyle w:val="TextBody"/>
        <w:bidi w:val="0"/>
        <w:spacing w:before="240" w:after="0"/>
        <w:jc w:val="left"/>
        <w:rPr>
          <w:rFonts w:ascii="ARIAL" w:hAnsi="ARIAL"/>
          <w:b/>
          <w:color w:val="1F497D"/>
          <w:sz w:val="20"/>
        </w:rPr>
      </w:pPr>
      <w:r>
        <w:rPr>
          <w:rFonts w:ascii="ARIAL" w:hAnsi="ARIAL"/>
          <w:b/>
          <w:color w:val="1F497D"/>
          <w:sz w:val="20"/>
        </w:rPr>
        <w:t xml:space="preserve">Voting Matters and Board Recommendations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80"/>
        <w:gridCol w:w="120"/>
        <w:gridCol w:w="2588"/>
        <w:gridCol w:w="120"/>
        <w:gridCol w:w="3768"/>
        <w:gridCol w:w="120"/>
        <w:gridCol w:w="1756"/>
        <w:gridCol w:w="120"/>
        <w:gridCol w:w="633"/>
      </w:tblGrid>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6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980" w:type="dxa"/>
            <w:tcBorders>
              <w:bottom w:val="single" w:sz="6" w:space="0" w:color="95B3D7"/>
            </w:tcBorders>
            <w:tcMar>
              <w:bottom w:w="28" w:type="dxa"/>
            </w:tcMar>
            <w:vAlign w:val="center"/>
          </w:tcPr>
          <w:p>
            <w:pPr>
              <w:pStyle w:val="TableContents"/>
              <w:bidi w:val="0"/>
              <w:spacing w:before="0" w:after="283"/>
              <w:jc w:val="left"/>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2588" w:type="dxa"/>
            <w:tcBorders>
              <w:bottom w:val="single" w:sz="6" w:space="0" w:color="95B3D7"/>
            </w:tcBorders>
            <w:tcMar>
              <w:bottom w:w="60" w:type="dxa"/>
            </w:tcMar>
            <w:vAlign w:val="center"/>
          </w:tcPr>
          <w:p>
            <w:pPr>
              <w:pStyle w:val="TableContents"/>
              <w:bidi w:val="0"/>
              <w:spacing w:before="0" w:after="283"/>
              <w:jc w:val="left"/>
              <w:rPr>
                <w:b/>
              </w:rPr>
            </w:pPr>
            <w:r>
              <w:rPr>
                <w:b/>
              </w:rPr>
              <w:t>Voting Matter</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3768" w:type="dxa"/>
            <w:tcBorders>
              <w:bottom w:val="single" w:sz="6" w:space="0" w:color="95B3D7"/>
            </w:tcBorders>
            <w:tcMar>
              <w:bottom w:w="60" w:type="dxa"/>
            </w:tcMar>
            <w:vAlign w:val="center"/>
          </w:tcPr>
          <w:p>
            <w:pPr>
              <w:pStyle w:val="TableContents"/>
              <w:bidi w:val="0"/>
              <w:spacing w:before="0" w:after="283"/>
              <w:jc w:val="left"/>
              <w:rPr>
                <w:b/>
              </w:rPr>
            </w:pPr>
            <w:r>
              <w:rPr>
                <w:b/>
              </w:rPr>
              <w:t>Vote Standard</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756" w:type="dxa"/>
            <w:tcBorders>
              <w:bottom w:val="single" w:sz="6" w:space="0" w:color="95B3D7"/>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Board Vote</w:t>
            </w:r>
          </w:p>
          <w:p>
            <w:pPr>
              <w:pStyle w:val="TableContents"/>
              <w:bidi w:val="0"/>
              <w:spacing w:before="0" w:after="20"/>
              <w:jc w:val="left"/>
              <w:rPr>
                <w:rFonts w:ascii="ARIAL" w:hAnsi="ARIAL"/>
                <w:b/>
                <w:sz w:val="18"/>
              </w:rPr>
            </w:pPr>
            <w:r>
              <w:rPr>
                <w:rFonts w:ascii="ARIAL" w:hAnsi="ARIAL"/>
                <w:b/>
                <w:sz w:val="18"/>
              </w:rPr>
              <w:t>Recommendation</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633" w:type="dxa"/>
            <w:tcBorders>
              <w:bottom w:val="single" w:sz="6" w:space="0" w:color="95B3D7"/>
            </w:tcBorders>
            <w:tcMar>
              <w:bottom w:w="60" w:type="dxa"/>
            </w:tcMar>
            <w:vAlign w:val="center"/>
          </w:tcPr>
          <w:p>
            <w:pPr>
              <w:pStyle w:val="TableContents"/>
              <w:bidi w:val="0"/>
              <w:spacing w:before="0" w:after="283"/>
              <w:jc w:val="left"/>
              <w:rPr>
                <w:b/>
              </w:rPr>
            </w:pPr>
            <w:r>
              <w:rPr>
                <w:b/>
              </w:rPr>
              <w:t>See Page</w:t>
            </w:r>
          </w:p>
        </w:tc>
      </w:tr>
      <w:tr>
        <w:trPr/>
        <w:tc>
          <w:tcPr>
            <w:tcW w:w="980" w:type="dxa"/>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2708" w:type="dxa"/>
            <w:gridSpan w:val="2"/>
            <w:tcBorders>
              <w:right w:val="single" w:sz="8" w:space="0" w:color="95B3D7"/>
            </w:tcBorders>
            <w:shd w:fill="DBE5F1" w:val="clear"/>
            <w:tcMar>
              <w:right w:w="28" w:type="dxa"/>
            </w:tcMar>
            <w:vAlign w:val="center"/>
          </w:tcPr>
          <w:p>
            <w:pPr>
              <w:pStyle w:val="TableContents"/>
              <w:bidi w:val="0"/>
              <w:spacing w:before="0" w:after="283"/>
              <w:jc w:val="left"/>
              <w:rPr/>
            </w:pPr>
            <w:r>
              <w:rPr/>
              <w:t> </w:t>
            </w:r>
          </w:p>
        </w:tc>
        <w:tc>
          <w:tcPr>
            <w:tcW w:w="3888"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1876"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753" w:type="dxa"/>
            <w:gridSpan w:val="2"/>
            <w:tcBorders/>
            <w:shd w:fill="DBE5F1" w:val="clear"/>
            <w:vAlign w:val="center"/>
          </w:tcPr>
          <w:p>
            <w:pPr>
              <w:pStyle w:val="TableContents"/>
              <w:bidi w:val="0"/>
              <w:spacing w:before="0" w:after="283"/>
              <w:jc w:val="left"/>
              <w:rPr>
                <w:sz w:val="4"/>
                <w:szCs w:val="4"/>
              </w:rPr>
            </w:pPr>
            <w:r>
              <w:rPr>
                <w:sz w:val="4"/>
                <w:szCs w:val="4"/>
              </w:rPr>
            </w:r>
          </w:p>
        </w:tc>
      </w:tr>
      <w:tr>
        <w:trPr/>
        <w:tc>
          <w:tcPr>
            <w:tcW w:w="980" w:type="dxa"/>
            <w:tcBorders>
              <w:bottom w:val="single" w:sz="8" w:space="0" w:color="95B3D7"/>
              <w:right w:val="single" w:sz="6" w:space="0" w:color="95B3D7"/>
            </w:tcBorders>
            <w:shd w:fill="DBE5F1" w:val="clear"/>
            <w:tcMar>
              <w:bottom w:w="80" w:type="dxa"/>
              <w:right w:w="28" w:type="dxa"/>
            </w:tcMar>
            <w:vAlign w:val="center"/>
          </w:tcPr>
          <w:p>
            <w:pPr>
              <w:pStyle w:val="TableContents"/>
              <w:bidi w:val="0"/>
              <w:spacing w:before="0" w:after="283"/>
              <w:jc w:val="left"/>
              <w:rPr>
                <w:b/>
              </w:rPr>
            </w:pPr>
            <w:r>
              <w:rPr>
                <w:b/>
              </w:rPr>
              <w:t>Proposal 1</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2588" w:type="dxa"/>
            <w:tcBorders>
              <w:bottom w:val="single" w:sz="8" w:space="0" w:color="95B3D7"/>
              <w:right w:val="single" w:sz="8" w:space="0" w:color="95B3D7"/>
            </w:tcBorders>
            <w:shd w:fill="DBE5F1" w:val="clear"/>
            <w:tcMar>
              <w:bottom w:w="80" w:type="dxa"/>
              <w:right w:w="28" w:type="dxa"/>
            </w:tcMar>
            <w:vAlign w:val="center"/>
          </w:tcPr>
          <w:p>
            <w:pPr>
              <w:pStyle w:val="TableContents"/>
              <w:bidi w:val="0"/>
              <w:spacing w:before="0" w:after="283"/>
              <w:jc w:val="left"/>
              <w:rPr/>
            </w:pPr>
            <w:r>
              <w:rPr/>
              <w:t>Election of Directors</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3768" w:type="dxa"/>
            <w:tcBorders>
              <w:bottom w:val="single" w:sz="8" w:space="0" w:color="95B3D7"/>
              <w:right w:val="single" w:sz="6" w:space="0" w:color="95B3D7"/>
            </w:tcBorders>
            <w:shd w:fill="DBE5F1" w:val="clear"/>
            <w:tcMar>
              <w:bottom w:w="80" w:type="dxa"/>
              <w:right w:w="28" w:type="dxa"/>
            </w:tcMar>
            <w:vAlign w:val="center"/>
          </w:tcPr>
          <w:p>
            <w:pPr>
              <w:pStyle w:val="TableContents"/>
              <w:bidi w:val="0"/>
              <w:spacing w:before="0" w:after="283"/>
              <w:jc w:val="left"/>
              <w:rPr/>
            </w:pPr>
            <w:r>
              <w:rPr/>
              <w:t>Plurality of votes cast</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756" w:type="dxa"/>
            <w:tcBorders>
              <w:bottom w:val="single" w:sz="8" w:space="0" w:color="95B3D7"/>
              <w:right w:val="single" w:sz="6" w:space="0" w:color="95B3D7"/>
            </w:tcBorders>
            <w:shd w:fill="DBE5F1" w:val="clear"/>
            <w:tcMar>
              <w:bottom w:w="80" w:type="dxa"/>
              <w:right w:w="28" w:type="dxa"/>
            </w:tcMar>
            <w:vAlign w:val="center"/>
          </w:tcPr>
          <w:p>
            <w:pPr>
              <w:pStyle w:val="TableContents"/>
              <w:bidi w:val="0"/>
              <w:spacing w:before="0" w:after="283"/>
              <w:jc w:val="left"/>
              <w:rPr/>
            </w:pPr>
            <w:r>
              <w:rPr/>
              <w:t>FOR EACH NOMINEE</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33" w:type="dxa"/>
            <w:tcBorders>
              <w:bottom w:val="single" w:sz="8" w:space="0" w:color="95B3D7"/>
            </w:tcBorders>
            <w:shd w:fill="DBE5F1" w:val="clear"/>
            <w:tcMar>
              <w:bottom w:w="80" w:type="dxa"/>
            </w:tcMar>
            <w:vAlign w:val="center"/>
          </w:tcPr>
          <w:p>
            <w:pPr>
              <w:pStyle w:val="TableContents"/>
              <w:bidi w:val="0"/>
              <w:spacing w:before="0" w:after="283"/>
              <w:jc w:val="left"/>
              <w:rPr/>
            </w:pPr>
            <w:r>
              <w:rPr/>
              <w:t>13</w:t>
            </w:r>
          </w:p>
        </w:tc>
      </w:tr>
      <w:tr>
        <w:trPr/>
        <w:tc>
          <w:tcPr>
            <w:tcW w:w="980" w:type="dxa"/>
            <w:tcBorders>
              <w:right w:val="single" w:sz="6" w:space="0" w:color="95B3D7"/>
            </w:tcBorders>
            <w:tcMar>
              <w:right w:w="28" w:type="dxa"/>
            </w:tcMar>
            <w:vAlign w:val="center"/>
          </w:tcPr>
          <w:p>
            <w:pPr>
              <w:pStyle w:val="TableContents"/>
              <w:bidi w:val="0"/>
              <w:spacing w:before="0" w:after="283"/>
              <w:jc w:val="left"/>
              <w:rPr/>
            </w:pPr>
            <w:r>
              <w:rPr/>
              <w:t> </w:t>
            </w:r>
          </w:p>
        </w:tc>
        <w:tc>
          <w:tcPr>
            <w:tcW w:w="2708" w:type="dxa"/>
            <w:gridSpan w:val="2"/>
            <w:tcBorders>
              <w:right w:val="single" w:sz="8" w:space="0" w:color="95B3D7"/>
            </w:tcBorders>
            <w:tcMar>
              <w:right w:w="28" w:type="dxa"/>
            </w:tcMar>
            <w:vAlign w:val="center"/>
          </w:tcPr>
          <w:p>
            <w:pPr>
              <w:pStyle w:val="TableContents"/>
              <w:bidi w:val="0"/>
              <w:spacing w:before="0" w:after="283"/>
              <w:jc w:val="left"/>
              <w:rPr/>
            </w:pPr>
            <w:r>
              <w:rPr/>
              <w:t> </w:t>
            </w:r>
          </w:p>
        </w:tc>
        <w:tc>
          <w:tcPr>
            <w:tcW w:w="3888" w:type="dxa"/>
            <w:gridSpan w:val="2"/>
            <w:tcBorders>
              <w:right w:val="single" w:sz="6" w:space="0" w:color="95B3D7"/>
            </w:tcBorders>
            <w:tcMar>
              <w:right w:w="28" w:type="dxa"/>
            </w:tcMar>
            <w:vAlign w:val="center"/>
          </w:tcPr>
          <w:p>
            <w:pPr>
              <w:pStyle w:val="TableContents"/>
              <w:bidi w:val="0"/>
              <w:spacing w:before="0" w:after="283"/>
              <w:jc w:val="left"/>
              <w:rPr/>
            </w:pPr>
            <w:r>
              <w:rPr/>
              <w:t> </w:t>
            </w:r>
          </w:p>
        </w:tc>
        <w:tc>
          <w:tcPr>
            <w:tcW w:w="1876" w:type="dxa"/>
            <w:gridSpan w:val="2"/>
            <w:tcBorders>
              <w:right w:val="single" w:sz="6" w:space="0" w:color="95B3D7"/>
            </w:tcBorders>
            <w:tcMar>
              <w:right w:w="28" w:type="dxa"/>
            </w:tcMar>
            <w:vAlign w:val="center"/>
          </w:tcPr>
          <w:p>
            <w:pPr>
              <w:pStyle w:val="TableContents"/>
              <w:bidi w:val="0"/>
              <w:spacing w:before="0" w:after="283"/>
              <w:jc w:val="left"/>
              <w:rPr/>
            </w:pPr>
            <w:r>
              <w:rPr/>
              <w:t> </w:t>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80" w:type="dxa"/>
            <w:tcBorders>
              <w:bottom w:val="single" w:sz="8" w:space="0" w:color="95B3D7"/>
              <w:right w:val="single" w:sz="6" w:space="0" w:color="95B3D7"/>
            </w:tcBorders>
            <w:tcMar>
              <w:bottom w:w="80" w:type="dxa"/>
              <w:right w:w="28" w:type="dxa"/>
            </w:tcMar>
            <w:vAlign w:val="center"/>
          </w:tcPr>
          <w:p>
            <w:pPr>
              <w:pStyle w:val="TableContents"/>
              <w:bidi w:val="0"/>
              <w:spacing w:before="0" w:after="283"/>
              <w:jc w:val="left"/>
              <w:rPr>
                <w:b/>
              </w:rPr>
            </w:pPr>
            <w:r>
              <w:rPr>
                <w:b/>
              </w:rPr>
              <w:t>Proposal 2</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2588" w:type="dxa"/>
            <w:tcBorders>
              <w:bottom w:val="single" w:sz="8" w:space="0" w:color="95B3D7"/>
              <w:right w:val="single" w:sz="8" w:space="0" w:color="95B3D7"/>
            </w:tcBorders>
            <w:tcMar>
              <w:bottom w:w="80" w:type="dxa"/>
              <w:right w:w="28" w:type="dxa"/>
            </w:tcMar>
            <w:vAlign w:val="center"/>
          </w:tcPr>
          <w:p>
            <w:pPr>
              <w:pStyle w:val="TableContents"/>
              <w:bidi w:val="0"/>
              <w:spacing w:before="0" w:after="283"/>
              <w:jc w:val="left"/>
              <w:rPr/>
            </w:pPr>
            <w:r>
              <w:rPr/>
              <w:t>Approval of Charter Amendment Providing for Exculpation of Officers</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3768" w:type="dxa"/>
            <w:tcBorders>
              <w:bottom w:val="single" w:sz="8" w:space="0" w:color="95B3D7"/>
              <w:right w:val="single" w:sz="6" w:space="0" w:color="95B3D7"/>
            </w:tcBorders>
            <w:tcMar>
              <w:bottom w:w="80" w:type="dxa"/>
              <w:right w:w="28" w:type="dxa"/>
            </w:tcMar>
            <w:vAlign w:val="center"/>
          </w:tcPr>
          <w:p>
            <w:pPr>
              <w:pStyle w:val="TableContents"/>
              <w:bidi w:val="0"/>
              <w:spacing w:before="0" w:after="283"/>
              <w:jc w:val="left"/>
              <w:rPr/>
            </w:pPr>
            <w:r>
              <w:rPr/>
              <w:t>Approval of sixty-six and two-thirds percent (662/3%) of the voting power of all outstanding shares</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756" w:type="dxa"/>
            <w:tcBorders>
              <w:bottom w:val="single" w:sz="8" w:space="0" w:color="95B3D7"/>
              <w:right w:val="single" w:sz="6" w:space="0" w:color="95B3D7"/>
            </w:tcBorders>
            <w:tcMar>
              <w:bottom w:w="80" w:type="dxa"/>
              <w:right w:w="28" w:type="dxa"/>
            </w:tcMar>
            <w:vAlign w:val="center"/>
          </w:tcPr>
          <w:p>
            <w:pPr>
              <w:pStyle w:val="TableContents"/>
              <w:bidi w:val="0"/>
              <w:spacing w:before="0" w:after="283"/>
              <w:jc w:val="left"/>
              <w:rPr/>
            </w:pPr>
            <w:r>
              <w:rPr/>
              <w:t>FOR</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633" w:type="dxa"/>
            <w:tcBorders>
              <w:bottom w:val="single" w:sz="8" w:space="0" w:color="95B3D7"/>
            </w:tcBorders>
            <w:tcMar>
              <w:bottom w:w="80" w:type="dxa"/>
            </w:tcMar>
            <w:vAlign w:val="center"/>
          </w:tcPr>
          <w:p>
            <w:pPr>
              <w:pStyle w:val="TableContents"/>
              <w:bidi w:val="0"/>
              <w:spacing w:before="0" w:after="283"/>
              <w:jc w:val="left"/>
              <w:rPr/>
            </w:pPr>
            <w:r>
              <w:rPr/>
              <w:t>81</w:t>
            </w:r>
          </w:p>
        </w:tc>
      </w:tr>
      <w:tr>
        <w:trPr/>
        <w:tc>
          <w:tcPr>
            <w:tcW w:w="980" w:type="dxa"/>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2708" w:type="dxa"/>
            <w:gridSpan w:val="2"/>
            <w:tcBorders>
              <w:right w:val="single" w:sz="8" w:space="0" w:color="95B3D7"/>
            </w:tcBorders>
            <w:shd w:fill="DBE5F1" w:val="clear"/>
            <w:tcMar>
              <w:right w:w="28" w:type="dxa"/>
            </w:tcMar>
            <w:vAlign w:val="center"/>
          </w:tcPr>
          <w:p>
            <w:pPr>
              <w:pStyle w:val="TableContents"/>
              <w:bidi w:val="0"/>
              <w:spacing w:before="0" w:after="283"/>
              <w:jc w:val="left"/>
              <w:rPr/>
            </w:pPr>
            <w:r>
              <w:rPr/>
              <w:t> </w:t>
            </w:r>
          </w:p>
        </w:tc>
        <w:tc>
          <w:tcPr>
            <w:tcW w:w="3888"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1876"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753" w:type="dxa"/>
            <w:gridSpan w:val="2"/>
            <w:tcBorders/>
            <w:shd w:fill="DBE5F1" w:val="clear"/>
            <w:vAlign w:val="center"/>
          </w:tcPr>
          <w:p>
            <w:pPr>
              <w:pStyle w:val="TableContents"/>
              <w:bidi w:val="0"/>
              <w:spacing w:before="0" w:after="283"/>
              <w:jc w:val="left"/>
              <w:rPr>
                <w:sz w:val="4"/>
                <w:szCs w:val="4"/>
              </w:rPr>
            </w:pPr>
            <w:r>
              <w:rPr>
                <w:sz w:val="4"/>
                <w:szCs w:val="4"/>
              </w:rPr>
            </w:r>
          </w:p>
        </w:tc>
      </w:tr>
      <w:tr>
        <w:trPr/>
        <w:tc>
          <w:tcPr>
            <w:tcW w:w="980" w:type="dxa"/>
            <w:tcBorders>
              <w:bottom w:val="single" w:sz="8" w:space="0" w:color="95B3D7"/>
              <w:right w:val="single" w:sz="6" w:space="0" w:color="95B3D7"/>
            </w:tcBorders>
            <w:shd w:fill="DBE5F1" w:val="clear"/>
            <w:tcMar>
              <w:bottom w:w="80" w:type="dxa"/>
              <w:right w:w="28" w:type="dxa"/>
            </w:tcMar>
            <w:vAlign w:val="center"/>
          </w:tcPr>
          <w:p>
            <w:pPr>
              <w:pStyle w:val="TableContents"/>
              <w:bidi w:val="0"/>
              <w:spacing w:before="0" w:after="283"/>
              <w:jc w:val="left"/>
              <w:rPr>
                <w:b/>
              </w:rPr>
            </w:pPr>
            <w:r>
              <w:rPr>
                <w:b/>
              </w:rPr>
              <w:t>Proposal 3</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2588" w:type="dxa"/>
            <w:tcBorders>
              <w:bottom w:val="single" w:sz="8" w:space="0" w:color="95B3D7"/>
              <w:right w:val="single" w:sz="8" w:space="0" w:color="95B3D7"/>
            </w:tcBorders>
            <w:shd w:fill="DBE5F1" w:val="clear"/>
            <w:tcMar>
              <w:bottom w:w="80" w:type="dxa"/>
              <w:right w:w="28" w:type="dxa"/>
            </w:tcMar>
            <w:vAlign w:val="center"/>
          </w:tcPr>
          <w:p>
            <w:pPr>
              <w:pStyle w:val="TableContents"/>
              <w:bidi w:val="0"/>
              <w:spacing w:before="0" w:after="283"/>
              <w:jc w:val="left"/>
              <w:rPr/>
            </w:pPr>
            <w:r>
              <w:rPr/>
              <w:t>Ratification of Independent Registered Public Accounting Firm</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3768" w:type="dxa"/>
            <w:tcBorders>
              <w:bottom w:val="single" w:sz="8" w:space="0" w:color="95B3D7"/>
              <w:right w:val="single" w:sz="6" w:space="0" w:color="95B3D7"/>
            </w:tcBorders>
            <w:shd w:fill="DBE5F1" w:val="clear"/>
            <w:tcMar>
              <w:bottom w:w="80" w:type="dxa"/>
              <w:right w:w="28" w:type="dxa"/>
            </w:tcMar>
            <w:vAlign w:val="center"/>
          </w:tcPr>
          <w:p>
            <w:pPr>
              <w:pStyle w:val="TableContents"/>
              <w:bidi w:val="0"/>
              <w:spacing w:before="0" w:after="283"/>
              <w:jc w:val="left"/>
              <w:rPr/>
            </w:pPr>
            <w:r>
              <w:rPr/>
              <w:t>Majority of voting power present in person or represented by proxy at the Annual Meeting and entitled to vote on the matter</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756" w:type="dxa"/>
            <w:tcBorders>
              <w:bottom w:val="single" w:sz="8" w:space="0" w:color="95B3D7"/>
              <w:right w:val="single" w:sz="6" w:space="0" w:color="95B3D7"/>
            </w:tcBorders>
            <w:shd w:fill="DBE5F1" w:val="clear"/>
            <w:tcMar>
              <w:bottom w:w="80" w:type="dxa"/>
              <w:right w:w="28" w:type="dxa"/>
            </w:tcMar>
            <w:vAlign w:val="center"/>
          </w:tcPr>
          <w:p>
            <w:pPr>
              <w:pStyle w:val="TableContents"/>
              <w:bidi w:val="0"/>
              <w:spacing w:before="0" w:after="283"/>
              <w:jc w:val="left"/>
              <w:rPr/>
            </w:pPr>
            <w:r>
              <w:rPr/>
              <w:t>FOR</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33" w:type="dxa"/>
            <w:tcBorders>
              <w:bottom w:val="single" w:sz="8" w:space="0" w:color="95B3D7"/>
            </w:tcBorders>
            <w:shd w:fill="DBE5F1" w:val="clear"/>
            <w:tcMar>
              <w:bottom w:w="80" w:type="dxa"/>
            </w:tcMar>
            <w:vAlign w:val="center"/>
          </w:tcPr>
          <w:p>
            <w:pPr>
              <w:pStyle w:val="TableContents"/>
              <w:bidi w:val="0"/>
              <w:spacing w:before="0" w:after="283"/>
              <w:jc w:val="left"/>
              <w:rPr/>
            </w:pPr>
            <w:r>
              <w:rPr/>
              <w:t>83</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984"/>
        <w:gridCol w:w="120"/>
        <w:gridCol w:w="2533"/>
        <w:gridCol w:w="120"/>
        <w:gridCol w:w="4030"/>
        <w:gridCol w:w="120"/>
        <w:gridCol w:w="1535"/>
        <w:gridCol w:w="120"/>
        <w:gridCol w:w="643"/>
      </w:tblGrid>
      <w:tr>
        <w:trPr/>
        <w:tc>
          <w:tcPr>
            <w:tcW w:w="9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984" w:type="dxa"/>
            <w:tcBorders>
              <w:bottom w:val="single" w:sz="8" w:space="0" w:color="95B3D7"/>
            </w:tcBorders>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2533" w:type="dxa"/>
            <w:tcBorders>
              <w:bottom w:val="single" w:sz="8" w:space="0" w:color="95B3D7"/>
            </w:tcBorders>
            <w:tcMar>
              <w:bottom w:w="60" w:type="dxa"/>
            </w:tcMar>
            <w:vAlign w:val="center"/>
          </w:tcPr>
          <w:p>
            <w:pPr>
              <w:pStyle w:val="TableContents"/>
              <w:bidi w:val="0"/>
              <w:spacing w:before="0" w:after="283"/>
              <w:jc w:val="left"/>
              <w:rPr>
                <w:b/>
              </w:rPr>
            </w:pPr>
            <w:r>
              <w:rPr>
                <w:b/>
              </w:rPr>
              <w:t>Voting Matter</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4030" w:type="dxa"/>
            <w:tcBorders>
              <w:bottom w:val="single" w:sz="8" w:space="0" w:color="95B3D7"/>
            </w:tcBorders>
            <w:tcMar>
              <w:bottom w:w="60" w:type="dxa"/>
            </w:tcMar>
            <w:vAlign w:val="center"/>
          </w:tcPr>
          <w:p>
            <w:pPr>
              <w:pStyle w:val="TableContents"/>
              <w:bidi w:val="0"/>
              <w:spacing w:before="0" w:after="283"/>
              <w:jc w:val="left"/>
              <w:rPr>
                <w:b/>
              </w:rPr>
            </w:pPr>
            <w:r>
              <w:rPr>
                <w:b/>
              </w:rPr>
              <w:t>Vote Standard</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535" w:type="dxa"/>
            <w:tcBorders>
              <w:bottom w:val="single" w:sz="8" w:space="0" w:color="95B3D7"/>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Board Vote</w:t>
            </w:r>
          </w:p>
          <w:p>
            <w:pPr>
              <w:pStyle w:val="TableContents"/>
              <w:bidi w:val="0"/>
              <w:spacing w:before="0" w:after="20"/>
              <w:jc w:val="left"/>
              <w:rPr>
                <w:rFonts w:ascii="ARIAL" w:hAnsi="ARIAL"/>
                <w:b/>
                <w:sz w:val="18"/>
              </w:rPr>
            </w:pPr>
            <w:r>
              <w:rPr>
                <w:rFonts w:ascii="ARIAL" w:hAnsi="ARIAL"/>
                <w:b/>
                <w:sz w:val="18"/>
              </w:rPr>
              <w:t>Recommendation</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643" w:type="dxa"/>
            <w:tcBorders>
              <w:bottom w:val="single" w:sz="8" w:space="0" w:color="95B3D7"/>
            </w:tcBorders>
            <w:tcMar>
              <w:bottom w:w="60" w:type="dxa"/>
            </w:tcMar>
            <w:vAlign w:val="center"/>
          </w:tcPr>
          <w:p>
            <w:pPr>
              <w:pStyle w:val="TableContents"/>
              <w:bidi w:val="0"/>
              <w:spacing w:before="0" w:after="283"/>
              <w:jc w:val="left"/>
              <w:rPr>
                <w:b/>
              </w:rPr>
            </w:pPr>
            <w:r>
              <w:rPr>
                <w:b/>
              </w:rPr>
              <w:t>See Page</w:t>
            </w:r>
          </w:p>
        </w:tc>
      </w:tr>
      <w:tr>
        <w:trPr/>
        <w:tc>
          <w:tcPr>
            <w:tcW w:w="984" w:type="dxa"/>
            <w:tcBorders>
              <w:right w:val="single" w:sz="6" w:space="0" w:color="95B3D7"/>
            </w:tcBorders>
            <w:tcMar>
              <w:right w:w="28" w:type="dxa"/>
            </w:tcMar>
            <w:vAlign w:val="center"/>
          </w:tcPr>
          <w:p>
            <w:pPr>
              <w:pStyle w:val="TableContents"/>
              <w:bidi w:val="0"/>
              <w:spacing w:before="0" w:after="283"/>
              <w:jc w:val="left"/>
              <w:rPr/>
            </w:pPr>
            <w:r>
              <w:rPr/>
              <w:t> </w:t>
            </w:r>
          </w:p>
        </w:tc>
        <w:tc>
          <w:tcPr>
            <w:tcW w:w="2653" w:type="dxa"/>
            <w:gridSpan w:val="2"/>
            <w:tcBorders>
              <w:right w:val="single" w:sz="8" w:space="0" w:color="95B3D7"/>
            </w:tcBorders>
            <w:tcMar>
              <w:right w:w="28" w:type="dxa"/>
            </w:tcMar>
            <w:vAlign w:val="center"/>
          </w:tcPr>
          <w:p>
            <w:pPr>
              <w:pStyle w:val="TableContents"/>
              <w:bidi w:val="0"/>
              <w:spacing w:before="0" w:after="283"/>
              <w:jc w:val="left"/>
              <w:rPr/>
            </w:pPr>
            <w:r>
              <w:rPr/>
              <w:t> </w:t>
            </w:r>
          </w:p>
        </w:tc>
        <w:tc>
          <w:tcPr>
            <w:tcW w:w="4150" w:type="dxa"/>
            <w:gridSpan w:val="2"/>
            <w:tcBorders>
              <w:right w:val="single" w:sz="6" w:space="0" w:color="95B3D7"/>
            </w:tcBorders>
            <w:tcMar>
              <w:right w:w="28" w:type="dxa"/>
            </w:tcMar>
            <w:vAlign w:val="center"/>
          </w:tcPr>
          <w:p>
            <w:pPr>
              <w:pStyle w:val="TableContents"/>
              <w:bidi w:val="0"/>
              <w:spacing w:before="0" w:after="283"/>
              <w:jc w:val="left"/>
              <w:rPr/>
            </w:pPr>
            <w:r>
              <w:rPr/>
              <w:t> </w:t>
            </w:r>
          </w:p>
        </w:tc>
        <w:tc>
          <w:tcPr>
            <w:tcW w:w="1655" w:type="dxa"/>
            <w:gridSpan w:val="2"/>
            <w:tcBorders>
              <w:right w:val="single" w:sz="6" w:space="0" w:color="95B3D7"/>
            </w:tcBorders>
            <w:tcMar>
              <w:right w:w="28" w:type="dxa"/>
            </w:tcMar>
            <w:vAlign w:val="center"/>
          </w:tcPr>
          <w:p>
            <w:pPr>
              <w:pStyle w:val="TableContents"/>
              <w:bidi w:val="0"/>
              <w:spacing w:before="0" w:after="283"/>
              <w:jc w:val="left"/>
              <w:rPr/>
            </w:pPr>
            <w:r>
              <w:rPr/>
              <w:t> </w:t>
            </w:r>
          </w:p>
        </w:tc>
        <w:tc>
          <w:tcPr>
            <w:tcW w:w="763" w:type="dxa"/>
            <w:gridSpan w:val="2"/>
            <w:tcBorders/>
            <w:vAlign w:val="center"/>
          </w:tcPr>
          <w:p>
            <w:pPr>
              <w:pStyle w:val="TableContents"/>
              <w:bidi w:val="0"/>
              <w:spacing w:before="0" w:after="283"/>
              <w:jc w:val="left"/>
              <w:rPr>
                <w:sz w:val="4"/>
                <w:szCs w:val="4"/>
              </w:rPr>
            </w:pPr>
            <w:r>
              <w:rPr>
                <w:sz w:val="4"/>
                <w:szCs w:val="4"/>
              </w:rPr>
            </w:r>
          </w:p>
        </w:tc>
      </w:tr>
      <w:tr>
        <w:trPr/>
        <w:tc>
          <w:tcPr>
            <w:tcW w:w="984" w:type="dxa"/>
            <w:tcBorders>
              <w:bottom w:val="single" w:sz="8" w:space="0" w:color="95B3D7"/>
              <w:right w:val="single" w:sz="6" w:space="0" w:color="95B3D7"/>
            </w:tcBorders>
            <w:tcMar>
              <w:bottom w:w="28" w:type="dxa"/>
              <w:right w:w="28" w:type="dxa"/>
            </w:tcMar>
            <w:vAlign w:val="center"/>
          </w:tcPr>
          <w:p>
            <w:pPr>
              <w:pStyle w:val="TableContents"/>
              <w:bidi w:val="0"/>
              <w:spacing w:before="0" w:after="283"/>
              <w:jc w:val="left"/>
              <w:rPr>
                <w:b/>
              </w:rPr>
            </w:pPr>
            <w:r>
              <w:rPr>
                <w:b/>
              </w:rPr>
              <w:t>Proposal 4</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2533" w:type="dxa"/>
            <w:tcBorders>
              <w:bottom w:val="single" w:sz="8" w:space="0" w:color="95B3D7"/>
              <w:right w:val="single" w:sz="8" w:space="0" w:color="95B3D7"/>
            </w:tcBorders>
            <w:tcMar>
              <w:bottom w:w="28" w:type="dxa"/>
              <w:right w:w="28" w:type="dxa"/>
            </w:tcMar>
            <w:vAlign w:val="center"/>
          </w:tcPr>
          <w:p>
            <w:pPr>
              <w:pStyle w:val="TableContents"/>
              <w:bidi w:val="0"/>
              <w:spacing w:before="0" w:after="283"/>
              <w:jc w:val="left"/>
              <w:rPr/>
            </w:pPr>
            <w:r>
              <w:rPr/>
              <w:t>Non-Binding, Advisory Vote on Executive Compensation</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4030" w:type="dxa"/>
            <w:tcBorders>
              <w:bottom w:val="single" w:sz="8" w:space="0" w:color="95B3D7"/>
              <w:right w:val="single" w:sz="6" w:space="0" w:color="95B3D7"/>
            </w:tcBorders>
            <w:tcMar>
              <w:bottom w:w="28" w:type="dxa"/>
              <w:right w:w="28" w:type="dxa"/>
            </w:tcMar>
            <w:vAlign w:val="center"/>
          </w:tcPr>
          <w:p>
            <w:pPr>
              <w:pStyle w:val="TableContents"/>
              <w:bidi w:val="0"/>
              <w:spacing w:before="0" w:after="283"/>
              <w:jc w:val="left"/>
              <w:rPr/>
            </w:pPr>
            <w:r>
              <w:rPr/>
              <w:t>Majority of voting power present in person or represented by proxy at the Annual Meeting and entitled to vote on the matter</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535" w:type="dxa"/>
            <w:tcBorders>
              <w:bottom w:val="single" w:sz="8" w:space="0" w:color="95B3D7"/>
              <w:right w:val="single" w:sz="6" w:space="0" w:color="95B3D7"/>
            </w:tcBorders>
            <w:tcMar>
              <w:bottom w:w="28" w:type="dxa"/>
              <w:right w:w="28" w:type="dxa"/>
            </w:tcMar>
            <w:vAlign w:val="center"/>
          </w:tcPr>
          <w:p>
            <w:pPr>
              <w:pStyle w:val="TableContents"/>
              <w:bidi w:val="0"/>
              <w:spacing w:before="0" w:after="283"/>
              <w:jc w:val="left"/>
              <w:rPr/>
            </w:pPr>
            <w:r>
              <w:rPr/>
              <w:t>FOR</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643" w:type="dxa"/>
            <w:tcBorders>
              <w:bottom w:val="single" w:sz="8" w:space="0" w:color="95B3D7"/>
            </w:tcBorders>
            <w:tcMar>
              <w:bottom w:w="28" w:type="dxa"/>
            </w:tcMar>
            <w:vAlign w:val="center"/>
          </w:tcPr>
          <w:p>
            <w:pPr>
              <w:pStyle w:val="TableContents"/>
              <w:bidi w:val="0"/>
              <w:spacing w:before="0" w:after="283"/>
              <w:jc w:val="left"/>
              <w:rPr/>
            </w:pPr>
            <w:r>
              <w:rPr/>
              <w:t>86</w:t>
            </w:r>
          </w:p>
        </w:tc>
      </w:tr>
    </w:tbl>
    <w:p>
      <w:pPr>
        <w:pStyle w:val="TextBody"/>
        <w:bidi w:val="0"/>
        <w:spacing w:before="240" w:after="0"/>
        <w:jc w:val="left"/>
        <w:rPr>
          <w:rFonts w:ascii="ARIAL" w:hAnsi="ARIAL"/>
          <w:b/>
          <w:color w:val="1F497D"/>
          <w:sz w:val="20"/>
        </w:rPr>
      </w:pPr>
      <w:r>
        <w:rPr>
          <w:rFonts w:ascii="ARIAL" w:hAnsi="ARIAL"/>
          <w:b/>
          <w:color w:val="1F497D"/>
          <w:sz w:val="20"/>
        </w:rPr>
        <w:t xml:space="preserve">Our Director Nominees </w:t>
      </w:r>
    </w:p>
    <w:p>
      <w:pPr>
        <w:pStyle w:val="TextBody"/>
        <w:bidi w:val="0"/>
        <w:spacing w:before="240" w:after="0"/>
        <w:jc w:val="left"/>
        <w:rPr>
          <w:rFonts w:ascii="ARIAL" w:hAnsi="ARIAL"/>
          <w:sz w:val="20"/>
        </w:rPr>
      </w:pPr>
      <w:r>
        <w:rPr>
          <w:rFonts w:ascii="ARIAL" w:hAnsi="ARIAL"/>
          <w:sz w:val="20"/>
        </w:rPr>
        <w:t>You are being asked to vote on the election of the four Class III Directors listed below. For additional information about each nominee’s background and experience, please see “</w:t>
      </w:r>
      <w:r>
        <w:rPr>
          <w:rFonts w:ascii="ARIAL" w:hAnsi="ARIAL"/>
          <w:i/>
          <w:sz w:val="20"/>
        </w:rPr>
        <w:t>Proposal 1 – Election of Directors—Director Nominees to Serve for a Three-Year Term Expiring at the 2027 Annual Meeting</w:t>
      </w:r>
      <w:r>
        <w:rPr>
          <w:rFonts w:ascii="ARIAL" w:hAnsi="ARIAL"/>
          <w:sz w:val="20"/>
        </w:rPr>
        <w:t xml:space="preserve">” beginning on page 13.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23"/>
        <w:gridCol w:w="60"/>
        <w:gridCol w:w="540"/>
        <w:gridCol w:w="120"/>
        <w:gridCol w:w="1162"/>
        <w:gridCol w:w="60"/>
        <w:gridCol w:w="1310"/>
        <w:gridCol w:w="120"/>
        <w:gridCol w:w="2653"/>
        <w:gridCol w:w="120"/>
        <w:gridCol w:w="1237"/>
      </w:tblGrid>
      <w:tr>
        <w:trPr/>
        <w:tc>
          <w:tcPr>
            <w:tcW w:w="2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2823" w:type="dxa"/>
            <w:tcBorders/>
            <w:vAlign w:val="center"/>
          </w:tcPr>
          <w:p>
            <w:pPr>
              <w:pStyle w:val="TableContents"/>
              <w:bidi w:val="0"/>
              <w:spacing w:before="0" w:after="283"/>
              <w:jc w:val="left"/>
              <w:rPr>
                <w:sz w:val="4"/>
                <w:szCs w:val="4"/>
              </w:rPr>
            </w:pPr>
            <w:r>
              <w:rPr>
                <w:sz w:val="4"/>
                <w:szCs w:val="4"/>
              </w:rPr>
            </w:r>
          </w:p>
        </w:tc>
        <w:tc>
          <w:tcPr>
            <w:tcW w:w="600" w:type="dxa"/>
            <w:gridSpan w:val="2"/>
            <w:tcBorders/>
            <w:vAlign w:val="center"/>
          </w:tcPr>
          <w:p>
            <w:pPr>
              <w:pStyle w:val="TableContents"/>
              <w:bidi w:val="0"/>
              <w:spacing w:before="0" w:after="283"/>
              <w:jc w:val="left"/>
              <w:rPr>
                <w:sz w:val="4"/>
                <w:szCs w:val="4"/>
              </w:rPr>
            </w:pPr>
            <w:r>
              <w:rPr>
                <w:sz w:val="4"/>
                <w:szCs w:val="4"/>
              </w:rPr>
            </w:r>
          </w:p>
        </w:tc>
        <w:tc>
          <w:tcPr>
            <w:tcW w:w="1282" w:type="dxa"/>
            <w:gridSpan w:val="2"/>
            <w:tcBorders/>
            <w:vAlign w:val="center"/>
          </w:tcPr>
          <w:p>
            <w:pPr>
              <w:pStyle w:val="TableContents"/>
              <w:bidi w:val="0"/>
              <w:spacing w:before="0" w:after="283"/>
              <w:jc w:val="left"/>
              <w:rPr>
                <w:sz w:val="4"/>
                <w:szCs w:val="4"/>
              </w:rPr>
            </w:pPr>
            <w:r>
              <w:rPr>
                <w:sz w:val="4"/>
                <w:szCs w:val="4"/>
              </w:rPr>
            </w:r>
          </w:p>
        </w:tc>
        <w:tc>
          <w:tcPr>
            <w:tcW w:w="1370" w:type="dxa"/>
            <w:gridSpan w:val="2"/>
            <w:tcBorders/>
            <w:vAlign w:val="center"/>
          </w:tcPr>
          <w:p>
            <w:pPr>
              <w:pStyle w:val="TableContents"/>
              <w:bidi w:val="0"/>
              <w:spacing w:before="0" w:after="283"/>
              <w:jc w:val="left"/>
              <w:rPr>
                <w:sz w:val="4"/>
                <w:szCs w:val="4"/>
              </w:rPr>
            </w:pPr>
            <w:r>
              <w:rPr>
                <w:sz w:val="4"/>
                <w:szCs w:val="4"/>
              </w:rPr>
            </w:r>
          </w:p>
        </w:tc>
        <w:tc>
          <w:tcPr>
            <w:tcW w:w="2773" w:type="dxa"/>
            <w:gridSpan w:val="2"/>
            <w:tcBorders/>
            <w:vAlign w:val="center"/>
          </w:tcPr>
          <w:p>
            <w:pPr>
              <w:pStyle w:val="TableContents"/>
              <w:bidi w:val="0"/>
              <w:spacing w:before="0" w:after="283"/>
              <w:jc w:val="left"/>
              <w:rPr>
                <w:sz w:val="4"/>
                <w:szCs w:val="4"/>
              </w:rPr>
            </w:pPr>
            <w:r>
              <w:rPr>
                <w:sz w:val="4"/>
                <w:szCs w:val="4"/>
              </w:rPr>
            </w:r>
          </w:p>
        </w:tc>
        <w:tc>
          <w:tcPr>
            <w:tcW w:w="1357" w:type="dxa"/>
            <w:gridSpan w:val="2"/>
            <w:tcBorders/>
            <w:vAlign w:val="center"/>
          </w:tcPr>
          <w:p>
            <w:pPr>
              <w:pStyle w:val="TableContents"/>
              <w:bidi w:val="0"/>
              <w:spacing w:before="0" w:after="283"/>
              <w:jc w:val="left"/>
              <w:rPr>
                <w:sz w:val="4"/>
                <w:szCs w:val="4"/>
              </w:rPr>
            </w:pPr>
            <w:r>
              <w:rPr>
                <w:sz w:val="4"/>
                <w:szCs w:val="4"/>
              </w:rPr>
            </w:r>
          </w:p>
        </w:tc>
      </w:tr>
      <w:tr>
        <w:trPr/>
        <w:tc>
          <w:tcPr>
            <w:tcW w:w="2823" w:type="dxa"/>
            <w:tcBorders>
              <w:bottom w:val="single" w:sz="6" w:space="0" w:color="000000"/>
            </w:tcBorders>
            <w:tcMar>
              <w:bottom w:w="80" w:type="dxa"/>
            </w:tcMar>
            <w:vAlign w:val="center"/>
          </w:tcPr>
          <w:p>
            <w:pPr>
              <w:pStyle w:val="TableContents"/>
              <w:bidi w:val="0"/>
              <w:spacing w:before="0" w:after="283"/>
              <w:jc w:val="left"/>
              <w:rPr>
                <w:b/>
              </w:rPr>
            </w:pPr>
            <w:r>
              <w:rPr>
                <w:b/>
              </w:rPr>
              <w:t>Name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40" w:type="dxa"/>
            <w:tcBorders>
              <w:bottom w:val="single" w:sz="6" w:space="0" w:color="000000"/>
            </w:tcBorders>
            <w:tcMar>
              <w:bottom w:w="80" w:type="dxa"/>
            </w:tcMar>
            <w:vAlign w:val="center"/>
          </w:tcPr>
          <w:p>
            <w:pPr>
              <w:pStyle w:val="TableContents"/>
              <w:bidi w:val="0"/>
              <w:spacing w:before="0" w:after="283"/>
              <w:jc w:val="center"/>
              <w:rPr/>
            </w:pPr>
            <w:r>
              <w:rPr/>
              <w:t> </w:t>
            </w:r>
            <w:r>
              <w:rPr>
                <w:b/>
              </w:rPr>
              <w:t>Age 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2" w:type="dxa"/>
            <w:tcBorders>
              <w:bottom w:val="single" w:sz="6" w:space="0" w:color="000000"/>
            </w:tcBorders>
            <w:tcMar>
              <w:bottom w:w="80" w:type="dxa"/>
            </w:tcMar>
            <w:vAlign w:val="center"/>
          </w:tcPr>
          <w:p>
            <w:pPr>
              <w:pStyle w:val="TableContents"/>
              <w:bidi w:val="0"/>
              <w:spacing w:before="0" w:after="283"/>
              <w:jc w:val="left"/>
              <w:rPr>
                <w:b/>
              </w:rPr>
            </w:pPr>
            <w:r>
              <w:rPr>
                <w:b/>
              </w:rPr>
              <w:t>Director Since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10" w:type="dxa"/>
            <w:tcBorders>
              <w:bottom w:val="single" w:sz="6" w:space="0" w:color="000000"/>
            </w:tcBorders>
            <w:tcMar>
              <w:bottom w:w="80" w:type="dxa"/>
            </w:tcMar>
            <w:vAlign w:val="center"/>
          </w:tcPr>
          <w:p>
            <w:pPr>
              <w:pStyle w:val="TableContents"/>
              <w:bidi w:val="0"/>
              <w:spacing w:before="0" w:after="283"/>
              <w:jc w:val="center"/>
              <w:rPr>
                <w:b/>
              </w:rPr>
            </w:pPr>
            <w:r>
              <w:rPr>
                <w:b/>
              </w:rPr>
              <w:t>Independent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653" w:type="dxa"/>
            <w:tcBorders>
              <w:bottom w:val="single" w:sz="6" w:space="0" w:color="000000"/>
            </w:tcBorders>
            <w:tcMar>
              <w:bottom w:w="80" w:type="dxa"/>
            </w:tcMar>
            <w:vAlign w:val="center"/>
          </w:tcPr>
          <w:p>
            <w:pPr>
              <w:pStyle w:val="TableContents"/>
              <w:bidi w:val="0"/>
              <w:spacing w:before="0" w:after="283"/>
              <w:jc w:val="left"/>
              <w:rPr>
                <w:b/>
              </w:rPr>
            </w:pPr>
            <w:r>
              <w:rPr>
                <w:b/>
              </w:rPr>
              <w:t>Selected Skills &amp;Qualifications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7" w:type="dxa"/>
            <w:tcBorders>
              <w:bottom w:val="single" w:sz="6" w:space="0" w:color="000000"/>
            </w:tcBorders>
            <w:tcMar>
              <w:bottom w:w="80" w:type="dxa"/>
            </w:tcMar>
            <w:vAlign w:val="center"/>
          </w:tcPr>
          <w:p>
            <w:pPr>
              <w:pStyle w:val="TableContents"/>
              <w:bidi w:val="0"/>
              <w:spacing w:before="0" w:after="283"/>
              <w:jc w:val="left"/>
              <w:rPr>
                <w:b/>
              </w:rPr>
            </w:pPr>
            <w:r>
              <w:rPr>
                <w:b/>
              </w:rPr>
              <w:t>Committees</w:t>
            </w:r>
          </w:p>
        </w:tc>
      </w:tr>
      <w:tr>
        <w:trPr/>
        <w:tc>
          <w:tcPr>
            <w:tcW w:w="2823"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Yon Jorden</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540" w:type="dxa"/>
            <w:tcBorders>
              <w:bottom w:val="single" w:sz="6" w:space="0" w:color="95B3D7"/>
              <w:right w:val="single" w:sz="8" w:space="0" w:color="95B3D7"/>
            </w:tcBorders>
            <w:shd w:fill="DBE5F1" w:val="clear"/>
            <w:tcMar>
              <w:bottom w:w="28" w:type="dxa"/>
              <w:right w:w="28" w:type="dxa"/>
            </w:tcMar>
            <w:vAlign w:val="center"/>
          </w:tcPr>
          <w:p>
            <w:pPr>
              <w:pStyle w:val="TableContents"/>
              <w:bidi w:val="0"/>
              <w:spacing w:before="0" w:after="283"/>
              <w:jc w:val="center"/>
              <w:rPr/>
            </w:pPr>
            <w:r>
              <w:rPr/>
              <w:t>69</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162" w:type="dxa"/>
            <w:tcBorders>
              <w:bottom w:val="single" w:sz="6" w:space="0" w:color="95B3D7"/>
              <w:right w:val="single" w:sz="8" w:space="0" w:color="95B3D7"/>
            </w:tcBorders>
            <w:shd w:fill="DBE5F1" w:val="clear"/>
            <w:tcMar>
              <w:bottom w:w="28" w:type="dxa"/>
              <w:right w:w="28" w:type="dxa"/>
            </w:tcMar>
            <w:vAlign w:val="center"/>
          </w:tcPr>
          <w:p>
            <w:pPr>
              <w:pStyle w:val="TableContents"/>
              <w:bidi w:val="0"/>
              <w:spacing w:before="0" w:after="283"/>
              <w:jc w:val="center"/>
              <w:rPr/>
            </w:pPr>
            <w:r>
              <w:rPr/>
              <w:t>2022</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310" w:type="dxa"/>
            <w:tcBorders>
              <w:bottom w:val="single" w:sz="6" w:space="0" w:color="95B3D7"/>
              <w:right w:val="single" w:sz="8" w:space="0" w:color="95B3D7"/>
            </w:tcBorders>
            <w:shd w:fill="DBE5F1" w:val="clear"/>
            <w:tcMar>
              <w:bottom w:w="28" w:type="dxa"/>
              <w:right w:w="28" w:type="dxa"/>
            </w:tcMar>
            <w:vAlign w:val="center"/>
          </w:tcPr>
          <w:p>
            <w:pPr>
              <w:pStyle w:val="TableContents"/>
              <w:bidi w:val="0"/>
              <w:spacing w:before="0" w:after="283"/>
              <w:jc w:val="center"/>
              <w:rPr/>
            </w:pPr>
            <w:r>
              <w:rPr/>
              <w:t>Yes</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2653" w:type="dxa"/>
            <w:tcBorders>
              <w:bottom w:val="single" w:sz="6" w:space="0" w:color="95B3D7"/>
              <w:right w:val="single" w:sz="8" w:space="0" w:color="95B3D7"/>
            </w:tcBorders>
            <w:shd w:fill="DBE5F1" w:val="clear"/>
            <w:tcMar>
              <w:bottom w:w="28" w:type="dxa"/>
              <w:right w:w="28" w:type="dxa"/>
            </w:tcMar>
            <w:vAlign w:val="center"/>
          </w:tcPr>
          <w:p>
            <w:pPr>
              <w:pStyle w:val="TableContents"/>
              <w:bidi w:val="0"/>
              <w:spacing w:before="0" w:after="0"/>
              <w:jc w:val="left"/>
              <w:rPr/>
            </w:pPr>
            <w:r>
              <w:rPr/>
              <w:t>●   </w:t>
            </w:r>
            <w:r>
              <w:rPr>
                <w:rFonts w:ascii="ARIAL" w:hAnsi="ARIAL"/>
                <w:sz w:val="18"/>
              </w:rPr>
              <w:t>Executive Leadership</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Health Care Industry Experience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Audit Committee Experience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Accounting/Finance Expert</w:t>
            </w:r>
          </w:p>
          <w:p>
            <w:pPr>
              <w:pStyle w:val="TableContents"/>
              <w:bidi w:val="0"/>
              <w:spacing w:before="0" w:after="20"/>
              <w:jc w:val="left"/>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237" w:type="dxa"/>
            <w:tcBorders>
              <w:bottom w:val="single" w:sz="6" w:space="0" w:color="95B3D7"/>
              <w:right w:val="single" w:sz="8" w:space="0" w:color="95B3D7"/>
            </w:tcBorders>
            <w:shd w:fill="DBE5F1" w:val="clear"/>
            <w:tcMar>
              <w:bottom w:w="28" w:type="dxa"/>
              <w:right w:w="40" w:type="dxa"/>
            </w:tcMar>
            <w:vAlign w:val="center"/>
          </w:tcPr>
          <w:p>
            <w:pPr>
              <w:pStyle w:val="TableContents"/>
              <w:bidi w:val="0"/>
              <w:spacing w:before="0" w:after="283"/>
              <w:jc w:val="left"/>
              <w:rPr/>
            </w:pPr>
            <w:r>
              <w:rPr/>
              <w:t>Audit</w:t>
            </w:r>
          </w:p>
        </w:tc>
      </w:tr>
      <w:tr>
        <w:trPr/>
        <w:tc>
          <w:tcPr>
            <w:tcW w:w="2823"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John Kao</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540" w:type="dxa"/>
            <w:tcBorders>
              <w:bottom w:val="single" w:sz="6" w:space="0" w:color="95B3D7"/>
              <w:right w:val="single" w:sz="8" w:space="0" w:color="95B3D7"/>
            </w:tcBorders>
            <w:tcMar>
              <w:bottom w:w="28" w:type="dxa"/>
              <w:right w:w="28" w:type="dxa"/>
            </w:tcMar>
            <w:vAlign w:val="center"/>
          </w:tcPr>
          <w:p>
            <w:pPr>
              <w:pStyle w:val="TableContents"/>
              <w:bidi w:val="0"/>
              <w:spacing w:before="0" w:after="283"/>
              <w:jc w:val="center"/>
              <w:rPr/>
            </w:pPr>
            <w:r>
              <w:rPr/>
              <w:t>62</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162" w:type="dxa"/>
            <w:tcBorders>
              <w:bottom w:val="single" w:sz="6" w:space="0" w:color="95B3D7"/>
              <w:right w:val="single" w:sz="8" w:space="0" w:color="95B3D7"/>
            </w:tcBorders>
            <w:tcMar>
              <w:bottom w:w="28" w:type="dxa"/>
              <w:right w:w="28" w:type="dxa"/>
            </w:tcMar>
            <w:vAlign w:val="center"/>
          </w:tcPr>
          <w:p>
            <w:pPr>
              <w:pStyle w:val="TableContents"/>
              <w:bidi w:val="0"/>
              <w:spacing w:before="0" w:after="283"/>
              <w:jc w:val="center"/>
              <w:rPr/>
            </w:pPr>
            <w:r>
              <w:rPr/>
              <w:t>2014</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1310" w:type="dxa"/>
            <w:tcBorders>
              <w:bottom w:val="single" w:sz="6" w:space="0" w:color="95B3D7"/>
              <w:right w:val="single" w:sz="8" w:space="0" w:color="95B3D7"/>
            </w:tcBorders>
            <w:tcMar>
              <w:bottom w:w="28" w:type="dxa"/>
              <w:right w:w="28" w:type="dxa"/>
            </w:tcMar>
            <w:vAlign w:val="center"/>
          </w:tcPr>
          <w:p>
            <w:pPr>
              <w:pStyle w:val="TableContents"/>
              <w:bidi w:val="0"/>
              <w:spacing w:before="0" w:after="283"/>
              <w:jc w:val="center"/>
              <w:rPr/>
            </w:pPr>
            <w:r>
              <w:rPr/>
              <w:t>No</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2653" w:type="dxa"/>
            <w:tcBorders>
              <w:bottom w:val="single" w:sz="6" w:space="0" w:color="95B3D7"/>
              <w:right w:val="single" w:sz="8" w:space="0" w:color="95B3D7"/>
            </w:tcBorders>
            <w:tcMar>
              <w:bottom w:w="28" w:type="dxa"/>
              <w:right w:w="28" w:type="dxa"/>
            </w:tcMar>
            <w:vAlign w:val="center"/>
          </w:tcPr>
          <w:p>
            <w:pPr>
              <w:pStyle w:val="TableContents"/>
              <w:bidi w:val="0"/>
              <w:spacing w:before="0" w:after="0"/>
              <w:jc w:val="left"/>
              <w:rPr/>
            </w:pPr>
            <w:r>
              <w:rPr/>
              <w:t>●   </w:t>
            </w:r>
            <w:r>
              <w:rPr>
                <w:rFonts w:ascii="ARIAL" w:hAnsi="ARIAL"/>
                <w:sz w:val="18"/>
              </w:rPr>
              <w:t>Executive Leadership</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Health Care Industry Experience</w:t>
            </w:r>
          </w:p>
          <w:p>
            <w:pPr>
              <w:pStyle w:val="TableContents"/>
              <w:bidi w:val="0"/>
              <w:spacing w:before="0" w:after="20"/>
              <w:jc w:val="left"/>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237" w:type="dxa"/>
            <w:tcBorders>
              <w:bottom w:val="single" w:sz="6" w:space="0" w:color="95B3D7"/>
              <w:right w:val="single" w:sz="8" w:space="0" w:color="95B3D7"/>
            </w:tcBorders>
            <w:tcMar>
              <w:bottom w:w="28" w:type="dxa"/>
              <w:right w:w="40" w:type="dxa"/>
            </w:tcMar>
            <w:vAlign w:val="center"/>
          </w:tcPr>
          <w:p>
            <w:pPr>
              <w:pStyle w:val="TableContents"/>
              <w:bidi w:val="0"/>
              <w:spacing w:before="0" w:after="283"/>
              <w:jc w:val="left"/>
              <w:rPr/>
            </w:pPr>
            <w:r>
              <w:rPr/>
              <w:t>—</w:t>
            </w:r>
          </w:p>
        </w:tc>
      </w:tr>
      <w:tr>
        <w:trPr/>
        <w:tc>
          <w:tcPr>
            <w:tcW w:w="2823"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0"/>
              <w:jc w:val="left"/>
              <w:rPr>
                <w:rFonts w:ascii="ARIAL" w:hAnsi="ARIAL"/>
                <w:sz w:val="18"/>
              </w:rPr>
            </w:pPr>
            <w:r>
              <w:rPr>
                <w:rFonts w:ascii="ARIAL" w:hAnsi="ARIAL"/>
                <w:sz w:val="18"/>
              </w:rPr>
              <w:t>Joseph Konowiecki,</w:t>
            </w:r>
          </w:p>
          <w:p>
            <w:pPr>
              <w:pStyle w:val="TableContents"/>
              <w:bidi w:val="0"/>
              <w:spacing w:before="0" w:after="20"/>
              <w:jc w:val="left"/>
              <w:rPr>
                <w:rFonts w:ascii="ARIAL" w:hAnsi="ARIAL"/>
                <w:sz w:val="18"/>
              </w:rPr>
            </w:pPr>
            <w:r>
              <w:rPr>
                <w:rFonts w:ascii="ARIAL" w:hAnsi="ARIAL"/>
                <w:sz w:val="18"/>
              </w:rPr>
              <w:t>Chairman</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540" w:type="dxa"/>
            <w:tcBorders>
              <w:bottom w:val="single" w:sz="6" w:space="0" w:color="95B3D7"/>
              <w:right w:val="single" w:sz="8" w:space="0" w:color="95B3D7"/>
            </w:tcBorders>
            <w:shd w:fill="DBE5F1" w:val="clear"/>
            <w:tcMar>
              <w:bottom w:w="28" w:type="dxa"/>
              <w:right w:w="28" w:type="dxa"/>
            </w:tcMar>
            <w:vAlign w:val="center"/>
          </w:tcPr>
          <w:p>
            <w:pPr>
              <w:pStyle w:val="TableContents"/>
              <w:bidi w:val="0"/>
              <w:spacing w:before="0" w:after="283"/>
              <w:jc w:val="center"/>
              <w:rPr/>
            </w:pPr>
            <w:r>
              <w:rPr/>
              <w:t>70</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162" w:type="dxa"/>
            <w:tcBorders>
              <w:bottom w:val="single" w:sz="6" w:space="0" w:color="95B3D7"/>
              <w:right w:val="single" w:sz="8" w:space="0" w:color="95B3D7"/>
            </w:tcBorders>
            <w:shd w:fill="DBE5F1" w:val="clear"/>
            <w:tcMar>
              <w:bottom w:w="28" w:type="dxa"/>
              <w:right w:w="28" w:type="dxa"/>
            </w:tcMar>
            <w:vAlign w:val="center"/>
          </w:tcPr>
          <w:p>
            <w:pPr>
              <w:pStyle w:val="TableContents"/>
              <w:bidi w:val="0"/>
              <w:spacing w:before="0" w:after="283"/>
              <w:jc w:val="center"/>
              <w:rPr/>
            </w:pPr>
            <w:r>
              <w:rPr/>
              <w:t>2014</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310" w:type="dxa"/>
            <w:tcBorders>
              <w:bottom w:val="single" w:sz="6" w:space="0" w:color="95B3D7"/>
              <w:right w:val="single" w:sz="8" w:space="0" w:color="95B3D7"/>
            </w:tcBorders>
            <w:shd w:fill="DBE5F1" w:val="clear"/>
            <w:tcMar>
              <w:bottom w:w="28" w:type="dxa"/>
              <w:right w:w="28" w:type="dxa"/>
            </w:tcMar>
            <w:vAlign w:val="center"/>
          </w:tcPr>
          <w:p>
            <w:pPr>
              <w:pStyle w:val="TableContents"/>
              <w:bidi w:val="0"/>
              <w:spacing w:before="0" w:after="283"/>
              <w:jc w:val="center"/>
              <w:rPr/>
            </w:pPr>
            <w:r>
              <w:rPr/>
              <w:t>No</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2653" w:type="dxa"/>
            <w:tcBorders>
              <w:bottom w:val="single" w:sz="6" w:space="0" w:color="95B3D7"/>
              <w:right w:val="single" w:sz="8" w:space="0" w:color="95B3D7"/>
            </w:tcBorders>
            <w:shd w:fill="DBE5F1" w:val="clear"/>
            <w:tcMar>
              <w:bottom w:w="28" w:type="dxa"/>
              <w:right w:w="28" w:type="dxa"/>
            </w:tcMar>
            <w:vAlign w:val="center"/>
          </w:tcPr>
          <w:p>
            <w:pPr>
              <w:pStyle w:val="TableContents"/>
              <w:bidi w:val="0"/>
              <w:spacing w:before="0" w:after="0"/>
              <w:jc w:val="left"/>
              <w:rPr/>
            </w:pPr>
            <w:r>
              <w:rPr/>
              <w:t>●   </w:t>
            </w:r>
            <w:r>
              <w:rPr>
                <w:rFonts w:ascii="ARIAL" w:hAnsi="ARIAL"/>
                <w:sz w:val="18"/>
              </w:rPr>
              <w:t>Executive Leadership</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Health Care Industry Experience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Legal/Securities Regulatory  Compliance</w:t>
            </w:r>
          </w:p>
          <w:p>
            <w:pPr>
              <w:pStyle w:val="TableContents"/>
              <w:bidi w:val="0"/>
              <w:spacing w:before="0" w:after="20"/>
              <w:jc w:val="left"/>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237" w:type="dxa"/>
            <w:tcBorders>
              <w:bottom w:val="single" w:sz="6" w:space="0" w:color="95B3D7"/>
              <w:right w:val="single" w:sz="8" w:space="0" w:color="95B3D7"/>
            </w:tcBorders>
            <w:shd w:fill="DBE5F1" w:val="clear"/>
            <w:tcMar>
              <w:bottom w:w="28" w:type="dxa"/>
              <w:right w:w="40" w:type="dxa"/>
            </w:tcMar>
            <w:vAlign w:val="center"/>
          </w:tcPr>
          <w:p>
            <w:pPr>
              <w:pStyle w:val="TableContents"/>
              <w:bidi w:val="0"/>
              <w:spacing w:before="0" w:after="283"/>
              <w:jc w:val="left"/>
              <w:rPr/>
            </w:pPr>
            <w:r>
              <w:rPr/>
              <w:t>—</w:t>
            </w:r>
          </w:p>
        </w:tc>
      </w:tr>
      <w:tr>
        <w:trPr/>
        <w:tc>
          <w:tcPr>
            <w:tcW w:w="2823"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Margaret McCarthy, Lead Independent Director</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540" w:type="dxa"/>
            <w:tcBorders>
              <w:bottom w:val="single" w:sz="6" w:space="0" w:color="95B3D7"/>
              <w:right w:val="single" w:sz="8" w:space="0" w:color="95B3D7"/>
            </w:tcBorders>
            <w:tcMar>
              <w:bottom w:w="28" w:type="dxa"/>
              <w:right w:w="28" w:type="dxa"/>
            </w:tcMar>
            <w:vAlign w:val="center"/>
          </w:tcPr>
          <w:p>
            <w:pPr>
              <w:pStyle w:val="TableContents"/>
              <w:bidi w:val="0"/>
              <w:spacing w:before="0" w:after="283"/>
              <w:jc w:val="center"/>
              <w:rPr/>
            </w:pPr>
            <w:r>
              <w:rPr/>
              <w:t>70</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162" w:type="dxa"/>
            <w:tcBorders>
              <w:bottom w:val="single" w:sz="6" w:space="0" w:color="95B3D7"/>
              <w:right w:val="single" w:sz="8" w:space="0" w:color="95B3D7"/>
            </w:tcBorders>
            <w:tcMar>
              <w:bottom w:w="28" w:type="dxa"/>
              <w:right w:w="28" w:type="dxa"/>
            </w:tcMar>
            <w:vAlign w:val="center"/>
          </w:tcPr>
          <w:p>
            <w:pPr>
              <w:pStyle w:val="TableContents"/>
              <w:bidi w:val="0"/>
              <w:spacing w:before="0" w:after="283"/>
              <w:jc w:val="center"/>
              <w:rPr/>
            </w:pPr>
            <w:r>
              <w:rPr/>
              <w:t>2020</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1310" w:type="dxa"/>
            <w:tcBorders>
              <w:bottom w:val="single" w:sz="6" w:space="0" w:color="95B3D7"/>
              <w:right w:val="single" w:sz="8" w:space="0" w:color="95B3D7"/>
            </w:tcBorders>
            <w:tcMar>
              <w:bottom w:w="28" w:type="dxa"/>
              <w:right w:w="28" w:type="dxa"/>
            </w:tcMar>
            <w:vAlign w:val="center"/>
          </w:tcPr>
          <w:p>
            <w:pPr>
              <w:pStyle w:val="TableContents"/>
              <w:bidi w:val="0"/>
              <w:spacing w:before="0" w:after="283"/>
              <w:jc w:val="center"/>
              <w:rPr/>
            </w:pPr>
            <w:r>
              <w:rPr/>
              <w:t>Yes</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2653" w:type="dxa"/>
            <w:tcBorders>
              <w:bottom w:val="single" w:sz="6" w:space="0" w:color="95B3D7"/>
              <w:right w:val="single" w:sz="8" w:space="0" w:color="95B3D7"/>
            </w:tcBorders>
            <w:tcMar>
              <w:bottom w:w="28" w:type="dxa"/>
              <w:right w:w="28" w:type="dxa"/>
            </w:tcMar>
            <w:vAlign w:val="center"/>
          </w:tcPr>
          <w:p>
            <w:pPr>
              <w:pStyle w:val="TableContents"/>
              <w:bidi w:val="0"/>
              <w:spacing w:before="0" w:after="0"/>
              <w:jc w:val="left"/>
              <w:rPr/>
            </w:pPr>
            <w:r>
              <w:rPr/>
              <w:t>●   </w:t>
            </w:r>
            <w:r>
              <w:rPr>
                <w:rFonts w:ascii="ARIAL" w:hAnsi="ARIAL"/>
                <w:sz w:val="18"/>
              </w:rPr>
              <w:t>Executive Leadership</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Health Care Industry Experience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Audit Committee Experience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Technology/Business Processes</w:t>
            </w:r>
          </w:p>
          <w:p>
            <w:pPr>
              <w:pStyle w:val="TableContents"/>
              <w:bidi w:val="0"/>
              <w:spacing w:before="0" w:after="20"/>
              <w:jc w:val="left"/>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237" w:type="dxa"/>
            <w:tcBorders>
              <w:bottom w:val="single" w:sz="6" w:space="0" w:color="95B3D7"/>
              <w:right w:val="single" w:sz="8" w:space="0" w:color="95B3D7"/>
            </w:tcBorders>
            <w:tcMar>
              <w:bottom w:w="28" w:type="dxa"/>
              <w:right w:w="40" w:type="dxa"/>
            </w:tcMar>
            <w:vAlign w:val="center"/>
          </w:tcPr>
          <w:p>
            <w:pPr>
              <w:pStyle w:val="TableContents"/>
              <w:bidi w:val="0"/>
              <w:spacing w:before="0" w:after="283"/>
              <w:jc w:val="left"/>
              <w:rPr/>
            </w:pPr>
            <w:r>
              <w:rPr/>
              <w:t>Audit</w:t>
            </w:r>
          </w:p>
        </w:tc>
      </w:tr>
    </w:tbl>
    <w:p>
      <w:pPr>
        <w:pStyle w:val="TextBody"/>
        <w:bidi w:val="0"/>
        <w:spacing w:before="240" w:after="0"/>
        <w:jc w:val="left"/>
        <w:rPr>
          <w:rFonts w:ascii="ARIAL" w:hAnsi="ARIAL"/>
          <w:b/>
          <w:color w:val="1F497D"/>
          <w:sz w:val="20"/>
        </w:rPr>
      </w:pPr>
      <w:r>
        <w:rPr>
          <w:rFonts w:ascii="ARIAL" w:hAnsi="ARIAL"/>
          <w:b/>
          <w:color w:val="1F497D"/>
          <w:sz w:val="20"/>
        </w:rPr>
        <w:t xml:space="preserve">Board Diversity </w:t>
      </w:r>
    </w:p>
    <w:p>
      <w:pPr>
        <w:pStyle w:val="TextBody"/>
        <w:bidi w:val="0"/>
        <w:spacing w:before="240" w:after="0"/>
        <w:jc w:val="left"/>
        <w:rPr>
          <w:rFonts w:ascii="ARIAL" w:hAnsi="ARIAL"/>
          <w:sz w:val="20"/>
        </w:rPr>
      </w:pPr>
      <w:r>
        <w:rPr>
          <w:rFonts w:ascii="ARIAL" w:hAnsi="ARIAL"/>
          <w:sz w:val="20"/>
        </w:rPr>
        <w:t xml:space="preserve">The Board believes that a diverse board is better able to effectively oversee the Company’s management and strategy and better positions us to deliver long-term value for our stockholders. Our Board recognizes that gender, racial or ethnic diversity, tenure and experience add to the overall mix of perspectives of our Board as a whole. The following charts present the diversity profile of the directors currently serving on our Board: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 </w:t>
      </w:r>
      <w:r>
        <w:br w:type="page"/>
      </w:r>
    </w:p>
    <w:p>
      <w:pPr>
        <w:pStyle w:val="HorizontalLine"/>
        <w:bidi w:val="0"/>
        <w:jc w:val="left"/>
        <w:rPr/>
      </w:pPr>
      <w:r>
        <w:rPr/>
      </w:r>
    </w:p>
    <w:tbl>
      <w:tblPr>
        <w:tblW w:w="4365" w:type="dxa"/>
        <w:jc w:val="left"/>
        <w:tblInd w:w="0" w:type="dxa"/>
        <w:tblLayout w:type="fixed"/>
        <w:tblCellMar>
          <w:top w:w="0" w:type="dxa"/>
          <w:left w:w="0" w:type="dxa"/>
          <w:bottom w:w="0" w:type="dxa"/>
          <w:right w:w="0" w:type="dxa"/>
        </w:tblCellMar>
      </w:tblPr>
      <w:tblGrid>
        <w:gridCol w:w="1755"/>
        <w:gridCol w:w="120"/>
        <w:gridCol w:w="2490"/>
      </w:tblGrid>
      <w:tr>
        <w:trPr/>
        <w:tc>
          <w:tcPr>
            <w:tcW w:w="1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r>
      <w:tr>
        <w:trPr/>
        <w:tc>
          <w:tcPr>
            <w:tcW w:w="1755" w:type="dxa"/>
            <w:tcBorders/>
            <w:vAlign w:val="center"/>
          </w:tcPr>
          <w:p>
            <w:pPr>
              <w:pStyle w:val="TableContents"/>
              <w:bidi w:val="0"/>
              <w:spacing w:before="0" w:after="283"/>
              <w:jc w:val="right"/>
              <w:rPr/>
            </w:pPr>
            <w:r>
              <w:rPr/>
              <w:drawing>
                <wp:inline distT="0" distB="0" distL="0" distR="0">
                  <wp:extent cx="1066800" cy="1514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66800" cy="151447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2490" w:type="dxa"/>
            <w:tcBorders/>
            <w:vAlign w:val="center"/>
          </w:tcPr>
          <w:p>
            <w:pPr>
              <w:pStyle w:val="TableContents"/>
              <w:bidi w:val="0"/>
              <w:spacing w:before="0" w:after="283"/>
              <w:jc w:val="left"/>
              <w:rPr/>
            </w:pPr>
            <w:r>
              <w:rPr/>
              <w:drawing>
                <wp:inline distT="0" distB="0" distL="0" distR="0">
                  <wp:extent cx="1533525" cy="1514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533525" cy="1514475"/>
                          </a:xfrm>
                          <a:prstGeom prst="rect">
                            <a:avLst/>
                          </a:prstGeom>
                        </pic:spPr>
                      </pic:pic>
                    </a:graphicData>
                  </a:graphic>
                </wp:inline>
              </w:drawing>
            </w:r>
            <w:r>
              <w:rPr/>
              <w:t xml:space="preserve"> </w:t>
            </w:r>
          </w:p>
        </w:tc>
      </w:tr>
    </w:tbl>
    <w:p>
      <w:pPr>
        <w:pStyle w:val="TextBody"/>
        <w:bidi w:val="0"/>
        <w:spacing w:before="240" w:after="0"/>
        <w:jc w:val="left"/>
        <w:rPr>
          <w:rFonts w:ascii="ARIAL" w:hAnsi="ARIAL"/>
          <w:b/>
          <w:color w:val="1F497D"/>
          <w:sz w:val="20"/>
        </w:rPr>
      </w:pPr>
      <w:r>
        <w:rPr>
          <w:rFonts w:ascii="ARIAL" w:hAnsi="ARIAL"/>
          <w:b/>
          <w:color w:val="1F497D"/>
          <w:sz w:val="20"/>
        </w:rPr>
        <w:t xml:space="preserve">Stockholder Engagement Highlights </w:t>
      </w:r>
    </w:p>
    <w:p>
      <w:pPr>
        <w:pStyle w:val="TextBody"/>
        <w:bidi w:val="0"/>
        <w:spacing w:before="120" w:after="0"/>
        <w:jc w:val="left"/>
        <w:rPr>
          <w:rFonts w:ascii="ARIAL" w:hAnsi="ARIAL"/>
          <w:sz w:val="20"/>
        </w:rPr>
      </w:pPr>
      <w:r>
        <w:rPr>
          <w:rFonts w:ascii="ARIAL" w:hAnsi="ARIAL"/>
          <w:sz w:val="20"/>
        </w:rPr>
        <w:t>In 2023-2024, we continued our robust stockholder engagement program. We proactively engage with stockholders and other stakeholders throughout the year to learn more about their perspectives on significant issues, including company performance and strategy, executive compensation and environmental, social and governance (“ESG”) matters. We take feedback and insights from our engagement with stockholders and other stakeholders into consideration as we review and evolve our practices and disclosures, and share this feedback with our Board, as appropriate. For more information, see “</w:t>
      </w:r>
      <w:r>
        <w:rPr>
          <w:rFonts w:ascii="ARIAL" w:hAnsi="ARIAL"/>
          <w:i/>
          <w:sz w:val="20"/>
        </w:rPr>
        <w:t>Corporate Governance—Stockholder Engagement</w:t>
      </w:r>
      <w:r>
        <w:rPr>
          <w:rFonts w:ascii="ARIAL" w:hAnsi="ARIAL"/>
          <w:sz w:val="20"/>
        </w:rPr>
        <w:t xml:space="preserve">” on page 34. </w:t>
      </w:r>
    </w:p>
    <w:p>
      <w:pPr>
        <w:pStyle w:val="TextBody"/>
        <w:bidi w:val="0"/>
        <w:spacing w:before="240" w:after="0"/>
        <w:jc w:val="left"/>
        <w:rPr>
          <w:rFonts w:ascii="ARIAL" w:hAnsi="ARIAL"/>
          <w:b/>
          <w:color w:val="1F497D"/>
          <w:sz w:val="20"/>
        </w:rPr>
      </w:pPr>
      <w:r>
        <w:rPr>
          <w:rFonts w:ascii="ARIAL" w:hAnsi="ARIAL"/>
          <w:b/>
          <w:color w:val="1F497D"/>
          <w:sz w:val="20"/>
        </w:rPr>
        <w:t xml:space="preserve">Corporate Governance Highlights </w:t>
      </w:r>
    </w:p>
    <w:p>
      <w:pPr>
        <w:pStyle w:val="TextBody"/>
        <w:bidi w:val="0"/>
        <w:spacing w:before="120" w:after="0"/>
        <w:jc w:val="left"/>
        <w:rPr>
          <w:rFonts w:ascii="ARIAL" w:hAnsi="ARIAL"/>
          <w:sz w:val="20"/>
        </w:rPr>
      </w:pPr>
      <w:r>
        <w:rPr>
          <w:rFonts w:ascii="ARIAL" w:hAnsi="ARIAL"/>
          <w:sz w:val="20"/>
        </w:rPr>
        <w:t>We are committed to governance practices that promote the long-term interests of our stockholders, strengthen Board and management accountability and continue to build trust in our Company. The Board regularly reviews our governance profile to ensure that it reflects the evolving governance landscape applicable to our Company and appropriately supports and serves the best interests of the Company and our stockholders. For more information, see “</w:t>
      </w:r>
      <w:r>
        <w:rPr>
          <w:rFonts w:ascii="ARIAL" w:hAnsi="ARIAL"/>
          <w:i/>
          <w:sz w:val="20"/>
        </w:rPr>
        <w:t>Corporate Governance</w:t>
      </w:r>
      <w:r>
        <w:rPr>
          <w:rFonts w:ascii="ARIAL" w:hAnsi="ARIAL"/>
          <w:sz w:val="20"/>
        </w:rPr>
        <w:t xml:space="preserve">” beginning on page 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29"/>
        <w:gridCol w:w="120"/>
        <w:gridCol w:w="4053"/>
        <w:gridCol w:w="120"/>
        <w:gridCol w:w="2483"/>
      </w:tblGrid>
      <w:tr>
        <w:trPr/>
        <w:tc>
          <w:tcPr>
            <w:tcW w:w="34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op w:val="single" w:sz="6" w:space="0" w:color="000000"/>
            </w:tcBorders>
            <w:shd w:fill="DBE5F1" w:val="clear"/>
            <w:tcMar>
              <w:top w:w="28" w:type="dxa"/>
            </w:tcMar>
            <w:vAlign w:val="center"/>
          </w:tcPr>
          <w:p>
            <w:pPr>
              <w:pStyle w:val="TableContents"/>
              <w:bidi w:val="0"/>
              <w:spacing w:before="0" w:after="283"/>
              <w:jc w:val="left"/>
              <w:rPr/>
            </w:pPr>
            <w:r>
              <w:rPr/>
              <w:t> </w:t>
            </w:r>
          </w:p>
        </w:tc>
      </w:tr>
      <w:tr>
        <w:trPr/>
        <w:tc>
          <w:tcPr>
            <w:tcW w:w="10205" w:type="dxa"/>
            <w:gridSpan w:val="5"/>
            <w:tcBorders/>
            <w:shd w:fill="DBE5F1" w:val="clear"/>
            <w:vAlign w:val="center"/>
          </w:tcPr>
          <w:p>
            <w:pPr>
              <w:pStyle w:val="TableContents"/>
              <w:bidi w:val="0"/>
              <w:spacing w:before="0" w:after="0"/>
              <w:jc w:val="left"/>
              <w:rPr>
                <w:rFonts w:ascii="ARIAL" w:hAnsi="ARIAL"/>
                <w:b/>
                <w:i/>
                <w:sz w:val="20"/>
              </w:rPr>
            </w:pPr>
            <w:r>
              <w:rPr>
                <w:rFonts w:ascii="ARIAL" w:hAnsi="ARIAL"/>
                <w:b/>
                <w:i/>
                <w:sz w:val="20"/>
              </w:rPr>
              <w:t>Board Structure &amp; Composition</w:t>
            </w:r>
          </w:p>
        </w:tc>
      </w:tr>
      <w:tr>
        <w:trPr/>
        <w:tc>
          <w:tcPr>
            <w:tcW w:w="3429" w:type="dxa"/>
            <w:tcBorders/>
            <w:shd w:fill="DBE5F1" w:val="clear"/>
            <w:vAlign w:val="center"/>
          </w:tcPr>
          <w:p>
            <w:pPr>
              <w:pStyle w:val="TableContents"/>
              <w:bidi w:val="0"/>
              <w:spacing w:before="0" w:after="283"/>
              <w:jc w:val="left"/>
              <w:rPr>
                <w:sz w:val="4"/>
                <w:szCs w:val="4"/>
              </w:rPr>
            </w:pPr>
            <w:r>
              <w:rPr>
                <w:sz w:val="4"/>
                <w:szCs w:val="4"/>
              </w:rPr>
            </w:r>
          </w:p>
        </w:tc>
        <w:tc>
          <w:tcPr>
            <w:tcW w:w="4173" w:type="dxa"/>
            <w:gridSpan w:val="2"/>
            <w:tcBorders/>
            <w:shd w:fill="DBE5F1" w:val="clear"/>
            <w:vAlign w:val="center"/>
          </w:tcPr>
          <w:p>
            <w:pPr>
              <w:pStyle w:val="TableContents"/>
              <w:bidi w:val="0"/>
              <w:spacing w:before="0" w:after="283"/>
              <w:jc w:val="left"/>
              <w:rPr>
                <w:sz w:val="4"/>
                <w:szCs w:val="4"/>
              </w:rPr>
            </w:pPr>
            <w:r>
              <w:rPr>
                <w:sz w:val="4"/>
                <w:szCs w:val="4"/>
              </w:rPr>
            </w:r>
          </w:p>
        </w:tc>
        <w:tc>
          <w:tcPr>
            <w:tcW w:w="2603" w:type="dxa"/>
            <w:gridSpan w:val="2"/>
            <w:tcBorders/>
            <w:shd w:fill="DBE5F1" w:val="clear"/>
            <w:vAlign w:val="center"/>
          </w:tcPr>
          <w:p>
            <w:pPr>
              <w:pStyle w:val="TableContents"/>
              <w:bidi w:val="0"/>
              <w:spacing w:before="0" w:after="283"/>
              <w:jc w:val="left"/>
              <w:rPr>
                <w:sz w:val="4"/>
                <w:szCs w:val="4"/>
              </w:rPr>
            </w:pPr>
            <w:r>
              <w:rPr>
                <w:sz w:val="4"/>
                <w:szCs w:val="4"/>
              </w:rPr>
            </w:r>
          </w:p>
        </w:tc>
      </w:tr>
      <w:tr>
        <w:trPr/>
        <w:tc>
          <w:tcPr>
            <w:tcW w:w="3429" w:type="dxa"/>
            <w:tcBorders>
              <w:bottom w:val="single" w:sz="6" w:space="0" w:color="000000"/>
            </w:tcBorders>
            <w:shd w:fill="DBE5F1" w:val="clear"/>
            <w:tcMar>
              <w:bottom w:w="28" w:type="dxa"/>
            </w:tcMar>
            <w:vAlign w:val="center"/>
          </w:tcPr>
          <w:p>
            <w:pPr>
              <w:pStyle w:val="TableContents"/>
              <w:bidi w:val="0"/>
              <w:spacing w:before="0" w:after="0"/>
              <w:jc w:val="left"/>
              <w:rPr/>
            </w:pPr>
            <w:r>
              <w:rPr/>
              <w:t>●   </w:t>
            </w:r>
            <w:r>
              <w:rPr>
                <w:rFonts w:ascii="ARIAL" w:hAnsi="ARIAL"/>
                <w:sz w:val="20"/>
              </w:rPr>
              <w:t>9 of 11 Directors, and all Board Committee members, are independent</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Board composed of a mix of long-tenured and new directors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Directors reflect a variety of experiences and skills that give the Board the collective capability necessary to oversee the Company’s activities</w:t>
            </w:r>
          </w:p>
          <w:p>
            <w:pPr>
              <w:pStyle w:val="TableContents"/>
              <w:bidi w:val="0"/>
              <w:spacing w:before="0" w:after="20"/>
              <w:jc w:val="left"/>
              <w:rPr/>
            </w:pPr>
            <w:r>
              <w:rPr/>
              <w:t> </w:t>
            </w:r>
          </w:p>
        </w:tc>
        <w:tc>
          <w:tcPr>
            <w:tcW w:w="120" w:type="dxa"/>
            <w:tcBorders>
              <w:bottom w:val="single" w:sz="6" w:space="0" w:color="000000"/>
            </w:tcBorders>
            <w:shd w:fill="DBE5F1" w:val="clear"/>
            <w:tcMar>
              <w:bottom w:w="28" w:type="dxa"/>
            </w:tcMar>
            <w:vAlign w:val="center"/>
          </w:tcPr>
          <w:p>
            <w:pPr>
              <w:pStyle w:val="TableContents"/>
              <w:bidi w:val="0"/>
              <w:spacing w:before="0" w:after="283"/>
              <w:jc w:val="left"/>
              <w:rPr/>
            </w:pPr>
            <w:r>
              <w:rPr/>
              <w:t>  </w:t>
            </w:r>
          </w:p>
        </w:tc>
        <w:tc>
          <w:tcPr>
            <w:tcW w:w="4053" w:type="dxa"/>
            <w:tcBorders>
              <w:bottom w:val="single" w:sz="6" w:space="0" w:color="000000"/>
            </w:tcBorders>
            <w:shd w:fill="DBE5F1" w:val="clear"/>
            <w:tcMar>
              <w:bottom w:w="28" w:type="dxa"/>
            </w:tcMar>
            <w:vAlign w:val="center"/>
          </w:tcPr>
          <w:p>
            <w:pPr>
              <w:pStyle w:val="TableContents"/>
              <w:bidi w:val="0"/>
              <w:spacing w:before="0" w:after="0"/>
              <w:jc w:val="left"/>
              <w:rPr/>
            </w:pPr>
            <w:r>
              <w:rPr/>
              <w:t>●   </w:t>
            </w:r>
            <w:r>
              <w:rPr>
                <w:rFonts w:ascii="ARIAL" w:hAnsi="ARIAL"/>
                <w:sz w:val="20"/>
              </w:rPr>
              <w:t>Lead Independent Director empowered with agenda-setting authority and active involvement in oversight of Board functions, elected annually by the independent directors</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Active and empowered committee chairs, all of whom are independent</w:t>
            </w:r>
          </w:p>
        </w:tc>
        <w:tc>
          <w:tcPr>
            <w:tcW w:w="120" w:type="dxa"/>
            <w:tcBorders>
              <w:bottom w:val="single" w:sz="6" w:space="0" w:color="000000"/>
            </w:tcBorders>
            <w:shd w:fill="DBE5F1" w:val="clear"/>
            <w:tcMar>
              <w:bottom w:w="28" w:type="dxa"/>
            </w:tcMar>
            <w:vAlign w:val="center"/>
          </w:tcPr>
          <w:p>
            <w:pPr>
              <w:pStyle w:val="TableContents"/>
              <w:bidi w:val="0"/>
              <w:spacing w:before="0" w:after="283"/>
              <w:jc w:val="left"/>
              <w:rPr/>
            </w:pPr>
            <w:r>
              <w:rPr/>
              <w:t>  </w:t>
            </w:r>
          </w:p>
        </w:tc>
        <w:tc>
          <w:tcPr>
            <w:tcW w:w="2483" w:type="dxa"/>
            <w:tcBorders>
              <w:bottom w:val="single" w:sz="6" w:space="0" w:color="000000"/>
            </w:tcBorders>
            <w:shd w:fill="DBE5F1" w:val="clear"/>
            <w:tcMar>
              <w:bottom w:w="28" w:type="dxa"/>
            </w:tcMar>
            <w:vAlign w:val="center"/>
          </w:tcPr>
          <w:p>
            <w:pPr>
              <w:pStyle w:val="TableContents"/>
              <w:bidi w:val="0"/>
              <w:spacing w:before="0" w:after="0"/>
              <w:jc w:val="left"/>
              <w:rPr/>
            </w:pPr>
            <w:r>
              <w:rPr/>
              <w:t>●   </w:t>
            </w:r>
            <w:r>
              <w:rPr>
                <w:rFonts w:ascii="ARIAL" w:hAnsi="ARIAL"/>
                <w:sz w:val="20"/>
              </w:rPr>
              <w:t>Annual assessment and determination of optimal Board leadership structure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Commitment to Board diversity of perspective, gender, and race or ethnicity</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Directors attended about 92% of Board and Committee meetings combined in 2023</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36"/>
        <w:gridCol w:w="120"/>
        <w:gridCol w:w="3394"/>
        <w:gridCol w:w="120"/>
        <w:gridCol w:w="3735"/>
      </w:tblGrid>
      <w:tr>
        <w:trPr/>
        <w:tc>
          <w:tcPr>
            <w:tcW w:w="28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3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35" w:type="dxa"/>
            <w:tcBorders/>
            <w:vAlign w:val="center"/>
          </w:tcPr>
          <w:p>
            <w:pPr>
              <w:pStyle w:val="TableContents"/>
              <w:bidi w:val="0"/>
              <w:spacing w:before="0" w:after="283"/>
              <w:jc w:val="left"/>
              <w:rPr>
                <w:sz w:val="4"/>
                <w:szCs w:val="4"/>
              </w:rPr>
            </w:pPr>
            <w:r>
              <w:rPr>
                <w:sz w:val="4"/>
                <w:szCs w:val="4"/>
              </w:rPr>
            </w:r>
          </w:p>
        </w:tc>
      </w:tr>
      <w:tr>
        <w:trPr/>
        <w:tc>
          <w:tcPr>
            <w:tcW w:w="2836" w:type="dxa"/>
            <w:tcBorders/>
            <w:vAlign w:val="center"/>
          </w:tcPr>
          <w:p>
            <w:pPr>
              <w:pStyle w:val="TableContents"/>
              <w:bidi w:val="0"/>
              <w:spacing w:before="0" w:after="0"/>
              <w:jc w:val="left"/>
              <w:rPr>
                <w:rFonts w:ascii="ARIAL" w:hAnsi="ARIAL"/>
                <w:b/>
                <w:i/>
                <w:sz w:val="20"/>
              </w:rPr>
            </w:pPr>
            <w:r>
              <w:rPr>
                <w:rFonts w:ascii="ARIAL" w:hAnsi="ARIAL"/>
                <w:b/>
                <w:i/>
                <w:sz w:val="20"/>
              </w:rPr>
              <w:t>Good Governance Practices</w:t>
            </w:r>
          </w:p>
        </w:tc>
        <w:tc>
          <w:tcPr>
            <w:tcW w:w="120" w:type="dxa"/>
            <w:tcBorders/>
            <w:vAlign w:val="center"/>
          </w:tcPr>
          <w:p>
            <w:pPr>
              <w:pStyle w:val="TableContents"/>
              <w:bidi w:val="0"/>
              <w:spacing w:before="0" w:after="283"/>
              <w:jc w:val="left"/>
              <w:rPr/>
            </w:pPr>
            <w:r>
              <w:rPr/>
              <w:t>  </w:t>
            </w:r>
          </w:p>
        </w:tc>
        <w:tc>
          <w:tcPr>
            <w:tcW w:w="33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735" w:type="dxa"/>
            <w:tcBorders/>
            <w:vAlign w:val="center"/>
          </w:tcPr>
          <w:p>
            <w:pPr>
              <w:pStyle w:val="TableContents"/>
              <w:bidi w:val="0"/>
              <w:spacing w:before="0" w:after="283"/>
              <w:jc w:val="left"/>
              <w:rPr>
                <w:sz w:val="4"/>
                <w:szCs w:val="4"/>
              </w:rPr>
            </w:pPr>
            <w:r>
              <w:rPr>
                <w:sz w:val="4"/>
                <w:szCs w:val="4"/>
              </w:rPr>
            </w:r>
          </w:p>
        </w:tc>
      </w:tr>
      <w:tr>
        <w:trPr/>
        <w:tc>
          <w:tcPr>
            <w:tcW w:w="2836" w:type="dxa"/>
            <w:tcBorders/>
            <w:vAlign w:val="center"/>
          </w:tcPr>
          <w:p>
            <w:pPr>
              <w:pStyle w:val="TableContents"/>
              <w:bidi w:val="0"/>
              <w:spacing w:before="0" w:after="283"/>
              <w:jc w:val="left"/>
              <w:rPr>
                <w:sz w:val="4"/>
                <w:szCs w:val="4"/>
              </w:rPr>
            </w:pPr>
            <w:r>
              <w:rPr>
                <w:sz w:val="4"/>
                <w:szCs w:val="4"/>
              </w:rPr>
            </w:r>
          </w:p>
        </w:tc>
        <w:tc>
          <w:tcPr>
            <w:tcW w:w="3514" w:type="dxa"/>
            <w:gridSpan w:val="2"/>
            <w:tcBorders/>
            <w:vAlign w:val="center"/>
          </w:tcPr>
          <w:p>
            <w:pPr>
              <w:pStyle w:val="TableContents"/>
              <w:bidi w:val="0"/>
              <w:spacing w:before="0" w:after="283"/>
              <w:jc w:val="left"/>
              <w:rPr>
                <w:sz w:val="4"/>
                <w:szCs w:val="4"/>
              </w:rPr>
            </w:pPr>
            <w:r>
              <w:rPr>
                <w:sz w:val="4"/>
                <w:szCs w:val="4"/>
              </w:rPr>
            </w:r>
          </w:p>
        </w:tc>
        <w:tc>
          <w:tcPr>
            <w:tcW w:w="3855" w:type="dxa"/>
            <w:gridSpan w:val="2"/>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6" w:space="0" w:color="000000"/>
            </w:tcBorders>
            <w:tcMar>
              <w:bottom w:w="28" w:type="dxa"/>
            </w:tcMar>
            <w:vAlign w:val="center"/>
          </w:tcPr>
          <w:p>
            <w:pPr>
              <w:pStyle w:val="TableContents"/>
              <w:bidi w:val="0"/>
              <w:spacing w:before="0" w:after="0"/>
              <w:jc w:val="left"/>
              <w:rPr/>
            </w:pPr>
            <w:r>
              <w:rPr/>
              <w:t>●   </w:t>
            </w:r>
            <w:r>
              <w:rPr>
                <w:rFonts w:ascii="ARIAL" w:hAnsi="ARIAL"/>
                <w:sz w:val="20"/>
              </w:rPr>
              <w:t>Ongoing Board assessment and refreshment led by the NCGCC</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Annual Board and Committee self-assessments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Insider trading policy, including prohibitions on pledging and short-sales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Incentive-based compensation clawback policy</w:t>
            </w:r>
          </w:p>
          <w:p>
            <w:pPr>
              <w:pStyle w:val="TableContents"/>
              <w:bidi w:val="0"/>
              <w:spacing w:before="0" w:after="2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394" w:type="dxa"/>
            <w:tcBorders>
              <w:bottom w:val="single" w:sz="6" w:space="0" w:color="000000"/>
            </w:tcBorders>
            <w:tcMar>
              <w:bottom w:w="28" w:type="dxa"/>
            </w:tcMar>
            <w:vAlign w:val="center"/>
          </w:tcPr>
          <w:p>
            <w:pPr>
              <w:pStyle w:val="TableContents"/>
              <w:bidi w:val="0"/>
              <w:spacing w:before="0" w:after="0"/>
              <w:jc w:val="left"/>
              <w:rPr/>
            </w:pPr>
            <w:r>
              <w:rPr/>
              <w:t>●   </w:t>
            </w:r>
            <w:r>
              <w:rPr>
                <w:rFonts w:ascii="ARIAL" w:hAnsi="ARIAL"/>
                <w:sz w:val="20"/>
              </w:rPr>
              <w:t>Regular executive sessions of the independent directors at meetings of the Board, without management present</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Officer and director stock ownership requirements</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Code of Conduct overseen by Board</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735" w:type="dxa"/>
            <w:tcBorders>
              <w:bottom w:val="single" w:sz="6" w:space="0" w:color="000000"/>
            </w:tcBorders>
            <w:tcMar>
              <w:bottom w:w="28" w:type="dxa"/>
            </w:tcMar>
            <w:vAlign w:val="center"/>
          </w:tcPr>
          <w:p>
            <w:pPr>
              <w:pStyle w:val="TableContents"/>
              <w:bidi w:val="0"/>
              <w:spacing w:before="0" w:after="0"/>
              <w:jc w:val="left"/>
              <w:rPr/>
            </w:pPr>
            <w:r>
              <w:rPr/>
              <w:t>●   </w:t>
            </w:r>
            <w:r>
              <w:rPr>
                <w:rFonts w:ascii="ARIAL" w:hAnsi="ARIAL"/>
                <w:sz w:val="20"/>
              </w:rPr>
              <w:t>Robust stockholder engagement program, with the participation of our Chairman, to share our perspectives and solicit feedback</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Lead Sponsors can call special stockholder meetings</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3635"/>
        <w:gridCol w:w="120"/>
        <w:gridCol w:w="3116"/>
        <w:gridCol w:w="120"/>
        <w:gridCol w:w="3214"/>
      </w:tblGrid>
      <w:tr>
        <w:trPr/>
        <w:tc>
          <w:tcPr>
            <w:tcW w:w="3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14"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op w:val="single" w:sz="6" w:space="0" w:color="000000"/>
            </w:tcBorders>
            <w:shd w:fill="DBE5F1" w:val="clear"/>
            <w:tcMar>
              <w:top w:w="28" w:type="dxa"/>
            </w:tcMar>
            <w:vAlign w:val="center"/>
          </w:tcPr>
          <w:p>
            <w:pPr>
              <w:pStyle w:val="TableContents"/>
              <w:bidi w:val="0"/>
              <w:spacing w:before="0" w:after="283"/>
              <w:jc w:val="left"/>
              <w:rPr/>
            </w:pPr>
            <w:r>
              <w:rPr/>
              <w:t> </w:t>
            </w:r>
          </w:p>
        </w:tc>
      </w:tr>
      <w:tr>
        <w:trPr/>
        <w:tc>
          <w:tcPr>
            <w:tcW w:w="10205" w:type="dxa"/>
            <w:gridSpan w:val="5"/>
            <w:tcBorders/>
            <w:shd w:fill="DBE5F1" w:val="clear"/>
            <w:vAlign w:val="center"/>
          </w:tcPr>
          <w:p>
            <w:pPr>
              <w:pStyle w:val="TableContents"/>
              <w:bidi w:val="0"/>
              <w:spacing w:before="0" w:after="0"/>
              <w:jc w:val="left"/>
              <w:rPr>
                <w:rFonts w:ascii="ARIAL" w:hAnsi="ARIAL"/>
                <w:b/>
                <w:i/>
                <w:sz w:val="18"/>
              </w:rPr>
            </w:pPr>
            <w:r>
              <w:rPr>
                <w:rFonts w:ascii="ARIAL" w:hAnsi="ARIAL"/>
                <w:b/>
                <w:i/>
                <w:sz w:val="18"/>
              </w:rPr>
              <w:t>Board Operations and Oversight</w:t>
            </w:r>
          </w:p>
        </w:tc>
      </w:tr>
      <w:tr>
        <w:trPr/>
        <w:tc>
          <w:tcPr>
            <w:tcW w:w="3635" w:type="dxa"/>
            <w:tcBorders/>
            <w:shd w:fill="DBE5F1" w:val="clear"/>
            <w:vAlign w:val="center"/>
          </w:tcPr>
          <w:p>
            <w:pPr>
              <w:pStyle w:val="TableContents"/>
              <w:bidi w:val="0"/>
              <w:spacing w:before="0" w:after="283"/>
              <w:jc w:val="left"/>
              <w:rPr>
                <w:sz w:val="4"/>
                <w:szCs w:val="4"/>
              </w:rPr>
            </w:pPr>
            <w:r>
              <w:rPr>
                <w:sz w:val="4"/>
                <w:szCs w:val="4"/>
              </w:rPr>
            </w:r>
          </w:p>
        </w:tc>
        <w:tc>
          <w:tcPr>
            <w:tcW w:w="3236" w:type="dxa"/>
            <w:gridSpan w:val="2"/>
            <w:tcBorders/>
            <w:shd w:fill="DBE5F1" w:val="clear"/>
            <w:vAlign w:val="center"/>
          </w:tcPr>
          <w:p>
            <w:pPr>
              <w:pStyle w:val="TableContents"/>
              <w:bidi w:val="0"/>
              <w:spacing w:before="0" w:after="283"/>
              <w:jc w:val="left"/>
              <w:rPr>
                <w:sz w:val="4"/>
                <w:szCs w:val="4"/>
              </w:rPr>
            </w:pPr>
            <w:r>
              <w:rPr>
                <w:sz w:val="4"/>
                <w:szCs w:val="4"/>
              </w:rPr>
            </w:r>
          </w:p>
        </w:tc>
        <w:tc>
          <w:tcPr>
            <w:tcW w:w="3334" w:type="dxa"/>
            <w:gridSpan w:val="2"/>
            <w:tcBorders/>
            <w:shd w:fill="DBE5F1" w:val="clear"/>
            <w:vAlign w:val="center"/>
          </w:tcPr>
          <w:p>
            <w:pPr>
              <w:pStyle w:val="TableContents"/>
              <w:bidi w:val="0"/>
              <w:spacing w:before="0" w:after="283"/>
              <w:jc w:val="left"/>
              <w:rPr>
                <w:sz w:val="4"/>
                <w:szCs w:val="4"/>
              </w:rPr>
            </w:pPr>
            <w:r>
              <w:rPr>
                <w:sz w:val="4"/>
                <w:szCs w:val="4"/>
              </w:rPr>
            </w:r>
          </w:p>
        </w:tc>
      </w:tr>
      <w:tr>
        <w:trPr/>
        <w:tc>
          <w:tcPr>
            <w:tcW w:w="3635" w:type="dxa"/>
            <w:tcBorders>
              <w:bottom w:val="single" w:sz="6" w:space="0" w:color="000000"/>
            </w:tcBorders>
            <w:shd w:fill="DBE5F1" w:val="clear"/>
            <w:tcMar>
              <w:bottom w:w="28" w:type="dxa"/>
            </w:tcMar>
            <w:vAlign w:val="center"/>
          </w:tcPr>
          <w:p>
            <w:pPr>
              <w:pStyle w:val="TableContents"/>
              <w:bidi w:val="0"/>
              <w:spacing w:before="0" w:after="0"/>
              <w:jc w:val="left"/>
              <w:rPr/>
            </w:pPr>
            <w:r>
              <w:rPr/>
              <w:t>●   </w:t>
            </w:r>
            <w:r>
              <w:rPr>
                <w:rFonts w:ascii="ARIAL" w:hAnsi="ARIAL"/>
                <w:sz w:val="18"/>
              </w:rPr>
              <w:t>Active board oversight of strategic planning</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Robust oversight framework to assess and manage risks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Committee charters provide clear allocation of committee and full Board oversight roles</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t>Regular talent and succession planning discussions</w:t>
            </w:r>
          </w:p>
        </w:tc>
        <w:tc>
          <w:tcPr>
            <w:tcW w:w="120" w:type="dxa"/>
            <w:tcBorders>
              <w:bottom w:val="single" w:sz="6" w:space="0" w:color="000000"/>
            </w:tcBorders>
            <w:shd w:fill="DBE5F1" w:val="clear"/>
            <w:tcMar>
              <w:bottom w:w="28" w:type="dxa"/>
            </w:tcMar>
            <w:vAlign w:val="center"/>
          </w:tcPr>
          <w:p>
            <w:pPr>
              <w:pStyle w:val="TableContents"/>
              <w:bidi w:val="0"/>
              <w:spacing w:before="0" w:after="283"/>
              <w:jc w:val="left"/>
              <w:rPr/>
            </w:pPr>
            <w:r>
              <w:rPr/>
              <w:t>  </w:t>
            </w:r>
          </w:p>
        </w:tc>
        <w:tc>
          <w:tcPr>
            <w:tcW w:w="3116" w:type="dxa"/>
            <w:tcBorders>
              <w:bottom w:val="single" w:sz="6" w:space="0" w:color="000000"/>
            </w:tcBorders>
            <w:shd w:fill="DBE5F1" w:val="clear"/>
            <w:tcMar>
              <w:bottom w:w="28" w:type="dxa"/>
            </w:tcMar>
            <w:vAlign w:val="center"/>
          </w:tcPr>
          <w:p>
            <w:pPr>
              <w:pStyle w:val="TableContents"/>
              <w:bidi w:val="0"/>
              <w:spacing w:before="0" w:after="0"/>
              <w:jc w:val="left"/>
              <w:rPr/>
            </w:pPr>
            <w:r>
              <w:rPr/>
              <w:t>●   </w:t>
            </w:r>
            <w:r>
              <w:rPr>
                <w:rFonts w:ascii="ARIAL" w:hAnsi="ARIAL"/>
                <w:sz w:val="18"/>
              </w:rPr>
              <w:t>Audit Committee oversight of financial risks, cybersecurity</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NCGCC oversight of nominating process and criteria, legal and regulatory compliance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Compensation Committee oversight of compensation program, annual CEO evaluation</w:t>
            </w:r>
          </w:p>
          <w:p>
            <w:pPr>
              <w:pStyle w:val="TableContents"/>
              <w:bidi w:val="0"/>
              <w:spacing w:before="0" w:after="20"/>
              <w:jc w:val="left"/>
              <w:rPr/>
            </w:pPr>
            <w:r>
              <w:rPr/>
              <w:t> </w:t>
            </w:r>
          </w:p>
        </w:tc>
        <w:tc>
          <w:tcPr>
            <w:tcW w:w="120" w:type="dxa"/>
            <w:tcBorders>
              <w:bottom w:val="single" w:sz="6" w:space="0" w:color="000000"/>
            </w:tcBorders>
            <w:shd w:fill="DBE5F1" w:val="clear"/>
            <w:tcMar>
              <w:bottom w:w="28" w:type="dxa"/>
            </w:tcMar>
            <w:vAlign w:val="center"/>
          </w:tcPr>
          <w:p>
            <w:pPr>
              <w:pStyle w:val="TableContents"/>
              <w:bidi w:val="0"/>
              <w:spacing w:before="0" w:after="283"/>
              <w:jc w:val="left"/>
              <w:rPr/>
            </w:pPr>
            <w:r>
              <w:rPr/>
              <w:t>  </w:t>
            </w:r>
          </w:p>
        </w:tc>
        <w:tc>
          <w:tcPr>
            <w:tcW w:w="3214" w:type="dxa"/>
            <w:tcBorders>
              <w:bottom w:val="single" w:sz="6" w:space="0" w:color="000000"/>
            </w:tcBorders>
            <w:shd w:fill="DBE5F1" w:val="clear"/>
            <w:tcMar>
              <w:bottom w:w="28" w:type="dxa"/>
            </w:tcMar>
            <w:vAlign w:val="center"/>
          </w:tcPr>
          <w:p>
            <w:pPr>
              <w:pStyle w:val="TableContents"/>
              <w:bidi w:val="0"/>
              <w:spacing w:before="0" w:after="0"/>
              <w:jc w:val="left"/>
              <w:rPr/>
            </w:pPr>
            <w:r>
              <w:rPr/>
              <w:t>●   </w:t>
            </w:r>
            <w:r>
              <w:rPr>
                <w:rFonts w:ascii="ARIAL" w:hAnsi="ARIAL"/>
                <w:sz w:val="18"/>
              </w:rPr>
              <w:t>Direct access by the Board to members of management, including Chief Compliance Officer</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Regular briefings on corporate governance practices and emerging corporate governance issues</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t>Monthly “teach-ins” addressing key strategic areas</w:t>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0"/>
              <w:jc w:val="left"/>
              <w:rPr>
                <w:rFonts w:ascii="ARIAL" w:hAnsi="ARIAL"/>
                <w:b/>
                <w:i/>
                <w:sz w:val="18"/>
              </w:rPr>
            </w:pPr>
            <w:r>
              <w:rPr>
                <w:rFonts w:ascii="ARIAL" w:hAnsi="ARIAL"/>
                <w:b/>
                <w:i/>
                <w:sz w:val="18"/>
              </w:rPr>
              <w:t>Commitment to Environmental, Social &amp; Governance Principles</w:t>
            </w:r>
          </w:p>
        </w:tc>
      </w:tr>
      <w:tr>
        <w:trPr/>
        <w:tc>
          <w:tcPr>
            <w:tcW w:w="3635" w:type="dxa"/>
            <w:tcBorders/>
            <w:vAlign w:val="center"/>
          </w:tcPr>
          <w:p>
            <w:pPr>
              <w:pStyle w:val="TableContents"/>
              <w:bidi w:val="0"/>
              <w:spacing w:before="0" w:after="283"/>
              <w:jc w:val="left"/>
              <w:rPr>
                <w:sz w:val="4"/>
                <w:szCs w:val="4"/>
              </w:rPr>
            </w:pPr>
            <w:r>
              <w:rPr>
                <w:sz w:val="4"/>
                <w:szCs w:val="4"/>
              </w:rPr>
            </w:r>
          </w:p>
        </w:tc>
        <w:tc>
          <w:tcPr>
            <w:tcW w:w="3236" w:type="dxa"/>
            <w:gridSpan w:val="2"/>
            <w:tcBorders/>
            <w:vAlign w:val="center"/>
          </w:tcPr>
          <w:p>
            <w:pPr>
              <w:pStyle w:val="TableContents"/>
              <w:bidi w:val="0"/>
              <w:spacing w:before="0" w:after="283"/>
              <w:jc w:val="left"/>
              <w:rPr>
                <w:sz w:val="4"/>
                <w:szCs w:val="4"/>
              </w:rPr>
            </w:pPr>
            <w:r>
              <w:rPr>
                <w:sz w:val="4"/>
                <w:szCs w:val="4"/>
              </w:rPr>
            </w:r>
          </w:p>
        </w:tc>
        <w:tc>
          <w:tcPr>
            <w:tcW w:w="3334" w:type="dxa"/>
            <w:gridSpan w:val="2"/>
            <w:tcBorders/>
            <w:vAlign w:val="center"/>
          </w:tcPr>
          <w:p>
            <w:pPr>
              <w:pStyle w:val="TableContents"/>
              <w:bidi w:val="0"/>
              <w:spacing w:before="0" w:after="283"/>
              <w:jc w:val="left"/>
              <w:rPr>
                <w:sz w:val="4"/>
                <w:szCs w:val="4"/>
              </w:rPr>
            </w:pPr>
            <w:r>
              <w:rPr>
                <w:sz w:val="4"/>
                <w:szCs w:val="4"/>
              </w:rPr>
            </w:r>
          </w:p>
        </w:tc>
      </w:tr>
      <w:tr>
        <w:trPr/>
        <w:tc>
          <w:tcPr>
            <w:tcW w:w="3635" w:type="dxa"/>
            <w:tcBorders>
              <w:bottom w:val="single" w:sz="6" w:space="0" w:color="000000"/>
            </w:tcBorders>
            <w:tcMar>
              <w:bottom w:w="28" w:type="dxa"/>
            </w:tcMar>
            <w:vAlign w:val="center"/>
          </w:tcPr>
          <w:p>
            <w:pPr>
              <w:pStyle w:val="TableContents"/>
              <w:bidi w:val="0"/>
              <w:spacing w:before="0" w:after="0"/>
              <w:jc w:val="left"/>
              <w:rPr/>
            </w:pPr>
            <w:r>
              <w:rPr/>
              <w:t>●   </w:t>
            </w:r>
            <w:r>
              <w:rPr>
                <w:rFonts w:ascii="ARIAL" w:hAnsi="ARIAL"/>
                <w:sz w:val="18"/>
              </w:rPr>
              <w:t>Strong commitment to ESG principles as part of Company’s core mission, including focus on social determinants of health</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Oversight by the NCGCC of the Company’s strategy, initiatives, risks, opportunities and related reporting on ESG matters</w:t>
            </w:r>
          </w:p>
          <w:p>
            <w:pPr>
              <w:pStyle w:val="TableContents"/>
              <w:bidi w:val="0"/>
              <w:spacing w:before="0" w:after="2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116" w:type="dxa"/>
            <w:tcBorders>
              <w:bottom w:val="single" w:sz="6" w:space="0" w:color="000000"/>
            </w:tcBorders>
            <w:tcMar>
              <w:bottom w:w="28" w:type="dxa"/>
            </w:tcMar>
            <w:vAlign w:val="center"/>
          </w:tcPr>
          <w:p>
            <w:pPr>
              <w:pStyle w:val="TableContents"/>
              <w:bidi w:val="0"/>
              <w:spacing w:before="0" w:after="0"/>
              <w:jc w:val="left"/>
              <w:rPr/>
            </w:pPr>
            <w:r>
              <w:rPr/>
              <w:t>●   </w:t>
            </w:r>
            <w:r>
              <w:rPr>
                <w:rFonts w:ascii="ARIAL" w:hAnsi="ARIAL"/>
                <w:sz w:val="18"/>
              </w:rPr>
              <w:t>Establishment of a management-led, interdepartmental ESG steering committee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214" w:type="dxa"/>
            <w:tcBorders>
              <w:bottom w:val="single" w:sz="6" w:space="0" w:color="000000"/>
            </w:tcBorders>
            <w:tcMar>
              <w:bottom w:w="28" w:type="dxa"/>
            </w:tcMar>
            <w:vAlign w:val="center"/>
          </w:tcPr>
          <w:p>
            <w:pPr>
              <w:pStyle w:val="TableContents"/>
              <w:bidi w:val="0"/>
              <w:spacing w:before="0" w:after="0"/>
              <w:jc w:val="left"/>
              <w:rPr/>
            </w:pPr>
            <w:r>
              <w:rPr/>
              <w:t>●   </w:t>
            </w:r>
            <w:r>
              <w:rPr>
                <w:rFonts w:ascii="ARIAL" w:hAnsi="ARIAL"/>
                <w:sz w:val="18"/>
              </w:rPr>
              <w:t>Annual reporting via standalone Environmental, Social and Governance Report</w:t>
            </w:r>
          </w:p>
        </w:tc>
      </w:tr>
    </w:tbl>
    <w:p>
      <w:pPr>
        <w:pStyle w:val="TextBody"/>
        <w:bidi w:val="0"/>
        <w:spacing w:before="240" w:after="0"/>
        <w:jc w:val="left"/>
        <w:rPr>
          <w:rFonts w:ascii="ARIAL" w:hAnsi="ARIAL"/>
          <w:b/>
          <w:color w:val="1F497D"/>
          <w:sz w:val="20"/>
        </w:rPr>
      </w:pPr>
      <w:r>
        <w:rPr>
          <w:rFonts w:ascii="ARIAL" w:hAnsi="ARIAL"/>
          <w:b/>
          <w:color w:val="1F497D"/>
          <w:sz w:val="20"/>
        </w:rPr>
        <w:t xml:space="preserve">Executive Compensation Highlights </w:t>
      </w:r>
    </w:p>
    <w:p>
      <w:pPr>
        <w:pStyle w:val="TextBody"/>
        <w:bidi w:val="0"/>
        <w:spacing w:before="240" w:after="0"/>
        <w:jc w:val="left"/>
        <w:rPr>
          <w:rFonts w:ascii="ARIAL" w:hAnsi="ARIAL"/>
          <w:sz w:val="20"/>
        </w:rPr>
      </w:pPr>
      <w:r>
        <w:rPr>
          <w:rFonts w:ascii="ARIAL" w:hAnsi="ARIAL"/>
          <w:sz w:val="20"/>
        </w:rPr>
        <w:t>Our executive compensation philosophy is to forge critical connections between performance, long-term value creation, employee engagement and retention, compensation governance and our cultural values. The Compensation Committee reviews and approves the elements of our compensation program at least annually, with input from an independent compensation consultant. In 2023, we included within our executive compensation program performance share units aimed at trying executive compensation directly to the achievement of certain corporate metrics. Otherwise, the 2023 program remained largely consistent with our 2022 program. The program is described in the “</w:t>
      </w:r>
      <w:r>
        <w:rPr>
          <w:rFonts w:ascii="ARIAL" w:hAnsi="ARIAL"/>
          <w:i/>
          <w:sz w:val="20"/>
        </w:rPr>
        <w:t>Compensation Discussion and Analysis</w:t>
      </w:r>
      <w:r>
        <w:rPr>
          <w:rFonts w:ascii="ARIAL" w:hAnsi="ARIAL"/>
          <w:sz w:val="20"/>
        </w:rPr>
        <w:t xml:space="preserve">” section of this proxy statement beginning on page 41. We believe the following practices and policies within our program promote sound compensation governance and are in the best interests of our stockholders and executives: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60"/>
        <w:gridCol w:w="230"/>
        <w:gridCol w:w="120"/>
        <w:gridCol w:w="5093"/>
        <w:gridCol w:w="60"/>
        <w:gridCol w:w="155"/>
        <w:gridCol w:w="120"/>
        <w:gridCol w:w="3996"/>
        <w:gridCol w:w="60"/>
        <w:gridCol w:w="156"/>
      </w:tblGrid>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5" w:type="dxa"/>
            <w:tcBorders>
              <w:bottom w:val="single" w:sz="6" w:space="0" w:color="95B3D7"/>
            </w:tcBorders>
            <w:tcMar>
              <w:bottom w:w="28" w:type="dxa"/>
            </w:tcMar>
            <w:vAlign w:val="center"/>
          </w:tcPr>
          <w:p>
            <w:pPr>
              <w:pStyle w:val="TableContents"/>
              <w:bidi w:val="0"/>
              <w:spacing w:before="0" w:after="283"/>
              <w:jc w:val="left"/>
              <w:rPr/>
            </w:pPr>
            <w:r>
              <w:rPr/>
              <w:t> </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5443" w:type="dxa"/>
            <w:gridSpan w:val="3"/>
            <w:tcBorders>
              <w:bottom w:val="single" w:sz="6" w:space="0" w:color="95B3D7"/>
            </w:tcBorders>
            <w:tcMar>
              <w:bottom w:w="28" w:type="dxa"/>
            </w:tcMar>
            <w:vAlign w:val="center"/>
          </w:tcPr>
          <w:p>
            <w:pPr>
              <w:pStyle w:val="TableContents"/>
              <w:bidi w:val="0"/>
              <w:spacing w:before="0" w:after="283"/>
              <w:jc w:val="center"/>
              <w:rPr>
                <w:b/>
              </w:rPr>
            </w:pPr>
            <w:r>
              <w:rPr>
                <w:b/>
              </w:rPr>
              <w:t>What We Do</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4271" w:type="dxa"/>
            <w:gridSpan w:val="3"/>
            <w:tcBorders>
              <w:bottom w:val="single" w:sz="6" w:space="0" w:color="95B3D7"/>
            </w:tcBorders>
            <w:tcMar>
              <w:bottom w:w="28" w:type="dxa"/>
            </w:tcMar>
            <w:vAlign w:val="center"/>
          </w:tcPr>
          <w:p>
            <w:pPr>
              <w:pStyle w:val="TableContents"/>
              <w:bidi w:val="0"/>
              <w:spacing w:before="0" w:after="283"/>
              <w:jc w:val="center"/>
              <w:rPr>
                <w:b/>
              </w:rPr>
            </w:pPr>
            <w:r>
              <w:rPr>
                <w:b/>
              </w:rPr>
              <w:t>What We Don’t Do</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156" w:type="dxa"/>
            <w:tcBorders>
              <w:bottom w:val="single" w:sz="6" w:space="0" w:color="95B3D7"/>
            </w:tcBorders>
            <w:tcMar>
              <w:bottom w:w="28" w:type="dxa"/>
            </w:tcMar>
            <w:vAlign w:val="center"/>
          </w:tcPr>
          <w:p>
            <w:pPr>
              <w:pStyle w:val="TableContents"/>
              <w:bidi w:val="0"/>
              <w:spacing w:before="0" w:after="283"/>
              <w:jc w:val="left"/>
              <w:rPr/>
            </w:pPr>
            <w:r>
              <w:rPr/>
              <w:t> </w:t>
            </w:r>
          </w:p>
        </w:tc>
      </w:tr>
      <w:tr>
        <w:trPr/>
        <w:tc>
          <w:tcPr>
            <w:tcW w:w="155" w:type="dxa"/>
            <w:tcBorders/>
            <w:vAlign w:val="center"/>
          </w:tcPr>
          <w:p>
            <w:pPr>
              <w:pStyle w:val="TableContents"/>
              <w:bidi w:val="0"/>
              <w:spacing w:before="0" w:after="283"/>
              <w:jc w:val="left"/>
              <w:rPr/>
            </w:pPr>
            <w:r>
              <w:rPr/>
              <w:t> </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23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5093"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Emphasize variable pay over fixed pay, with a significant portion focused on long-term value creation</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5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rFonts w:ascii="Times New Roman" w:hAnsi="Times New Roman"/>
                <w:b/>
                <w:i/>
              </w:rPr>
            </w:pPr>
            <w:r>
              <w:rPr>
                <w:rFonts w:ascii="Times New Roman" w:hAnsi="Times New Roman"/>
                <w:b/>
                <w:i/>
              </w:rPr>
              <w:t>×</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3996" w:type="dxa"/>
            <w:tcBorders>
              <w:bottom w:val="single" w:sz="6" w:space="0" w:color="95B3D7"/>
            </w:tcBorders>
            <w:shd w:fill="DBE5F1" w:val="clear"/>
            <w:tcMar>
              <w:bottom w:w="28" w:type="dxa"/>
            </w:tcMar>
            <w:vAlign w:val="center"/>
          </w:tcPr>
          <w:p>
            <w:pPr>
              <w:pStyle w:val="TableContents"/>
              <w:bidi w:val="0"/>
              <w:spacing w:before="0" w:after="283"/>
              <w:jc w:val="left"/>
              <w:rPr/>
            </w:pPr>
            <w:r>
              <w:rPr/>
              <w:t>No guaranteed or uncapped incentive payouts in our annual bonus plan</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23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5093"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Disclose our corporate performance goals and achievements relative to these goals</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155"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rFonts w:ascii="Times New Roman" w:hAnsi="Times New Roman"/>
                <w:b/>
                <w:i/>
              </w:rPr>
            </w:pPr>
            <w:r>
              <w:rPr>
                <w:rFonts w:ascii="Times New Roman" w:hAnsi="Times New Roman"/>
                <w:b/>
                <w:i/>
              </w:rPr>
              <w:t>×</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3996" w:type="dxa"/>
            <w:tcBorders>
              <w:bottom w:val="single" w:sz="6" w:space="0" w:color="95B3D7"/>
            </w:tcBorders>
            <w:tcMar>
              <w:bottom w:w="28" w:type="dxa"/>
            </w:tcMar>
            <w:vAlign w:val="center"/>
          </w:tcPr>
          <w:p>
            <w:pPr>
              <w:pStyle w:val="TableContents"/>
              <w:bidi w:val="0"/>
              <w:spacing w:before="0" w:after="283"/>
              <w:jc w:val="left"/>
              <w:rPr/>
            </w:pPr>
            <w:r>
              <w:rPr/>
              <w:t>No repricing or exchange of underwater options without stockholder approval</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23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5093"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Use an independent compensation consultant</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5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rFonts w:ascii="Times New Roman" w:hAnsi="Times New Roman"/>
                <w:b/>
                <w:i/>
              </w:rPr>
            </w:pPr>
            <w:r>
              <w:rPr>
                <w:rFonts w:ascii="Times New Roman" w:hAnsi="Times New Roman"/>
                <w:b/>
                <w:i/>
              </w:rPr>
              <w:t>×</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3996" w:type="dxa"/>
            <w:tcBorders>
              <w:bottom w:val="single" w:sz="6" w:space="0" w:color="95B3D7"/>
            </w:tcBorders>
            <w:shd w:fill="DBE5F1" w:val="clear"/>
            <w:tcMar>
              <w:bottom w:w="28" w:type="dxa"/>
            </w:tcMar>
            <w:vAlign w:val="center"/>
          </w:tcPr>
          <w:p>
            <w:pPr>
              <w:pStyle w:val="TableContents"/>
              <w:bidi w:val="0"/>
              <w:spacing w:before="0" w:after="283"/>
              <w:jc w:val="left"/>
              <w:rPr/>
            </w:pPr>
            <w:r>
              <w:rPr/>
              <w:t>No option or stock appreciation rights granted below fair market value</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23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5093"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Maintain anti-hedging and anti-pledging policies</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155"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rFonts w:ascii="Times New Roman" w:hAnsi="Times New Roman"/>
                <w:b/>
                <w:i/>
              </w:rPr>
            </w:pPr>
            <w:r>
              <w:rPr>
                <w:rFonts w:ascii="Times New Roman" w:hAnsi="Times New Roman"/>
                <w:b/>
                <w:i/>
              </w:rPr>
              <w:t>×</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3996" w:type="dxa"/>
            <w:tcBorders>
              <w:bottom w:val="single" w:sz="6" w:space="0" w:color="95B3D7"/>
            </w:tcBorders>
            <w:tcMar>
              <w:bottom w:w="28" w:type="dxa"/>
            </w:tcMar>
            <w:vAlign w:val="center"/>
          </w:tcPr>
          <w:p>
            <w:pPr>
              <w:pStyle w:val="TableContents"/>
              <w:bidi w:val="0"/>
              <w:spacing w:before="0" w:after="283"/>
              <w:jc w:val="left"/>
              <w:rPr/>
            </w:pPr>
            <w:r>
              <w:rPr/>
              <w:t>No significant perquisites</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23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5093"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Conduct an annual advisory vote on the compensation of our NEOs.</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5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rFonts w:ascii="Times New Roman" w:hAnsi="Times New Roman"/>
                <w:b/>
                <w:i/>
              </w:rPr>
            </w:pPr>
            <w:r>
              <w:rPr>
                <w:rFonts w:ascii="Times New Roman" w:hAnsi="Times New Roman"/>
                <w:b/>
                <w:i/>
              </w:rPr>
              <w:t>×</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3996" w:type="dxa"/>
            <w:tcBorders>
              <w:bottom w:val="single" w:sz="6" w:space="0" w:color="95B3D7"/>
            </w:tcBorders>
            <w:shd w:fill="DBE5F1" w:val="clear"/>
            <w:tcMar>
              <w:bottom w:w="28" w:type="dxa"/>
            </w:tcMar>
            <w:vAlign w:val="center"/>
          </w:tcPr>
          <w:p>
            <w:pPr>
              <w:pStyle w:val="TableContents"/>
              <w:bidi w:val="0"/>
              <w:spacing w:before="0" w:after="283"/>
              <w:jc w:val="left"/>
              <w:rPr/>
            </w:pPr>
            <w:r>
              <w:rPr/>
              <w:t>No tax gross-ups, other than for certain relocation expenses</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55"/>
        <w:gridCol w:w="60"/>
        <w:gridCol w:w="230"/>
        <w:gridCol w:w="120"/>
        <w:gridCol w:w="7502"/>
        <w:gridCol w:w="60"/>
        <w:gridCol w:w="464"/>
        <w:gridCol w:w="929"/>
        <w:gridCol w:w="467"/>
        <w:gridCol w:w="60"/>
        <w:gridCol w:w="158"/>
      </w:tblGrid>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5" w:type="dxa"/>
            <w:tcBorders>
              <w:bottom w:val="single" w:sz="6" w:space="0" w:color="95B3D7"/>
            </w:tcBorders>
            <w:tcMar>
              <w:bottom w:w="28" w:type="dxa"/>
            </w:tcMar>
            <w:vAlign w:val="center"/>
          </w:tcPr>
          <w:p>
            <w:pPr>
              <w:pStyle w:val="TableContents"/>
              <w:bidi w:val="0"/>
              <w:spacing w:before="0" w:after="283"/>
              <w:jc w:val="left"/>
              <w:rPr/>
            </w:pPr>
            <w:r>
              <w:rPr/>
              <w:t> </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7852" w:type="dxa"/>
            <w:gridSpan w:val="3"/>
            <w:tcBorders>
              <w:bottom w:val="single" w:sz="6" w:space="0" w:color="95B3D7"/>
            </w:tcBorders>
            <w:tcMar>
              <w:bottom w:w="28" w:type="dxa"/>
            </w:tcMar>
            <w:vAlign w:val="center"/>
          </w:tcPr>
          <w:p>
            <w:pPr>
              <w:pStyle w:val="TableContents"/>
              <w:bidi w:val="0"/>
              <w:spacing w:before="0" w:after="283"/>
              <w:jc w:val="center"/>
              <w:rPr>
                <w:b/>
              </w:rPr>
            </w:pPr>
            <w:r>
              <w:rPr>
                <w:b/>
              </w:rPr>
              <w:t>What We Do</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1860" w:type="dxa"/>
            <w:gridSpan w:val="3"/>
            <w:tcBorders>
              <w:bottom w:val="single" w:sz="6" w:space="0" w:color="95B3D7"/>
            </w:tcBorders>
            <w:tcMar>
              <w:bottom w:w="28" w:type="dxa"/>
            </w:tcMar>
            <w:vAlign w:val="center"/>
          </w:tcPr>
          <w:p>
            <w:pPr>
              <w:pStyle w:val="TableContents"/>
              <w:bidi w:val="0"/>
              <w:spacing w:before="0" w:after="283"/>
              <w:jc w:val="center"/>
              <w:rPr>
                <w:b/>
              </w:rPr>
            </w:pPr>
            <w:r>
              <w:rPr>
                <w:b/>
              </w:rPr>
              <w:t>What We Don’t Do</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158" w:type="dxa"/>
            <w:tcBorders>
              <w:bottom w:val="single" w:sz="6" w:space="0" w:color="95B3D7"/>
            </w:tcBorders>
            <w:tcMar>
              <w:bottom w:w="28" w:type="dxa"/>
            </w:tcMar>
            <w:vAlign w:val="center"/>
          </w:tcPr>
          <w:p>
            <w:pPr>
              <w:pStyle w:val="TableContents"/>
              <w:bidi w:val="0"/>
              <w:spacing w:before="0" w:after="283"/>
              <w:jc w:val="left"/>
              <w:rPr/>
            </w:pPr>
            <w:r>
              <w:rPr/>
              <w:t> </w:t>
            </w:r>
          </w:p>
        </w:tc>
      </w:tr>
      <w:tr>
        <w:trPr/>
        <w:tc>
          <w:tcPr>
            <w:tcW w:w="155" w:type="dxa"/>
            <w:tcBorders/>
            <w:vAlign w:val="center"/>
          </w:tcPr>
          <w:p>
            <w:pPr>
              <w:pStyle w:val="TableContents"/>
              <w:bidi w:val="0"/>
              <w:spacing w:before="0" w:after="283"/>
              <w:jc w:val="left"/>
              <w:rPr/>
            </w:pPr>
            <w:r>
              <w:rPr/>
              <w:t> </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23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7502"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Maintain stock ownership guidelines for our executive officers and Board of Directors.</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464"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 </w:t>
            </w:r>
          </w:p>
        </w:tc>
        <w:tc>
          <w:tcPr>
            <w:tcW w:w="929" w:type="dxa"/>
            <w:tcBorders>
              <w:bottom w:val="single" w:sz="6" w:space="0" w:color="95B3D7"/>
            </w:tcBorders>
            <w:tcMar>
              <w:bottom w:w="28" w:type="dxa"/>
            </w:tcMar>
            <w:vAlign w:val="center"/>
          </w:tcPr>
          <w:p>
            <w:pPr>
              <w:pStyle w:val="TableContents"/>
              <w:bidi w:val="0"/>
              <w:spacing w:before="0" w:after="283"/>
              <w:jc w:val="left"/>
              <w:rPr/>
            </w:pPr>
            <w:r>
              <w:rPr/>
              <w:t>  </w:t>
            </w:r>
          </w:p>
        </w:tc>
        <w:tc>
          <w:tcPr>
            <w:tcW w:w="467" w:type="dxa"/>
            <w:tcBorders>
              <w:bottom w:val="single" w:sz="6" w:space="0" w:color="95B3D7"/>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23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7502"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Maintain a Clawback Policy consistent with the SEC and Nasdaq listing standards.</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464"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 </w:t>
            </w:r>
          </w:p>
        </w:tc>
        <w:tc>
          <w:tcPr>
            <w:tcW w:w="929"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467"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sz w:val="20"/>
        </w:rPr>
      </w:pPr>
      <w:r>
        <w:rPr>
          <w:rFonts w:ascii="ARIAL" w:hAnsi="ARIAL"/>
          <w:sz w:val="20"/>
        </w:rPr>
        <w:t xml:space="preserve">The following table illustrates the elements of pay we currently employ, the manner in which we position these elements relative to the market and the objectives achieved by each element: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20"/>
        <w:gridCol w:w="60"/>
        <w:gridCol w:w="1241"/>
        <w:gridCol w:w="120"/>
        <w:gridCol w:w="2608"/>
        <w:gridCol w:w="120"/>
        <w:gridCol w:w="4736"/>
      </w:tblGrid>
      <w:tr>
        <w:trPr/>
        <w:tc>
          <w:tcPr>
            <w:tcW w:w="1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36" w:type="dxa"/>
            <w:tcBorders/>
            <w:vAlign w:val="center"/>
          </w:tcPr>
          <w:p>
            <w:pPr>
              <w:pStyle w:val="TableContents"/>
              <w:bidi w:val="0"/>
              <w:spacing w:before="0" w:after="283"/>
              <w:jc w:val="left"/>
              <w:rPr>
                <w:sz w:val="4"/>
                <w:szCs w:val="4"/>
              </w:rPr>
            </w:pPr>
            <w:r>
              <w:rPr>
                <w:sz w:val="4"/>
                <w:szCs w:val="4"/>
              </w:rPr>
            </w:r>
          </w:p>
        </w:tc>
      </w:tr>
      <w:tr>
        <w:trPr/>
        <w:tc>
          <w:tcPr>
            <w:tcW w:w="1320" w:type="dxa"/>
            <w:tcBorders>
              <w:bottom w:val="single" w:sz="6" w:space="0" w:color="95B3D7"/>
            </w:tcBorders>
            <w:tcMar>
              <w:bottom w:w="28" w:type="dxa"/>
            </w:tcMar>
            <w:vAlign w:val="center"/>
          </w:tcPr>
          <w:p>
            <w:pPr>
              <w:pStyle w:val="TableContents"/>
              <w:bidi w:val="0"/>
              <w:spacing w:before="0" w:after="283"/>
              <w:jc w:val="center"/>
              <w:rPr>
                <w:b/>
              </w:rPr>
            </w:pPr>
            <w:r>
              <w:rPr>
                <w:b/>
              </w:rPr>
              <w:t>Element</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1241" w:type="dxa"/>
            <w:tcBorders>
              <w:bottom w:val="single" w:sz="6" w:space="0" w:color="95B3D7"/>
            </w:tcBorders>
            <w:tcMar>
              <w:bottom w:w="28" w:type="dxa"/>
            </w:tcMar>
            <w:vAlign w:val="center"/>
          </w:tcPr>
          <w:p>
            <w:pPr>
              <w:pStyle w:val="TableContents"/>
              <w:bidi w:val="0"/>
              <w:spacing w:before="0" w:after="0"/>
              <w:jc w:val="center"/>
              <w:rPr>
                <w:rFonts w:ascii="ARIAL" w:hAnsi="ARIAL"/>
                <w:b/>
                <w:sz w:val="20"/>
              </w:rPr>
            </w:pPr>
            <w:r>
              <w:rPr>
                <w:rFonts w:ascii="ARIAL" w:hAnsi="ARIAL"/>
                <w:b/>
                <w:sz w:val="20"/>
              </w:rPr>
              <w:t>Target</w:t>
            </w:r>
          </w:p>
          <w:p>
            <w:pPr>
              <w:pStyle w:val="TableContents"/>
              <w:bidi w:val="0"/>
              <w:spacing w:before="0" w:after="0"/>
              <w:jc w:val="center"/>
              <w:rPr>
                <w:rFonts w:ascii="ARIAL" w:hAnsi="ARIAL"/>
                <w:b/>
                <w:sz w:val="20"/>
              </w:rPr>
            </w:pPr>
            <w:r>
              <w:rPr>
                <w:rFonts w:ascii="ARIAL" w:hAnsi="ARIAL"/>
                <w:b/>
                <w:sz w:val="20"/>
              </w:rPr>
              <w:t>Positioning</w:t>
            </w:r>
          </w:p>
          <w:p>
            <w:pPr>
              <w:pStyle w:val="TableContents"/>
              <w:bidi w:val="0"/>
              <w:spacing w:before="0" w:after="0"/>
              <w:jc w:val="center"/>
              <w:rPr>
                <w:rFonts w:ascii="ARIAL" w:hAnsi="ARIAL"/>
                <w:b/>
                <w:sz w:val="20"/>
              </w:rPr>
            </w:pPr>
            <w:r>
              <w:rPr>
                <w:rFonts w:ascii="ARIAL" w:hAnsi="ARIAL"/>
                <w:b/>
                <w:sz w:val="20"/>
              </w:rPr>
              <w:t>vs.</w:t>
            </w:r>
          </w:p>
          <w:p>
            <w:pPr>
              <w:pStyle w:val="TableContents"/>
              <w:bidi w:val="0"/>
              <w:spacing w:before="0" w:after="20"/>
              <w:jc w:val="center"/>
              <w:rPr>
                <w:rFonts w:ascii="ARIAL" w:hAnsi="ARIAL"/>
                <w:b/>
                <w:sz w:val="20"/>
              </w:rPr>
            </w:pPr>
            <w:r>
              <w:rPr>
                <w:rFonts w:ascii="ARIAL" w:hAnsi="ARIAL"/>
                <w:b/>
                <w:sz w:val="20"/>
              </w:rPr>
              <w:t>Market</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2608" w:type="dxa"/>
            <w:tcBorders>
              <w:bottom w:val="single" w:sz="6" w:space="0" w:color="95B3D7"/>
            </w:tcBorders>
            <w:tcMar>
              <w:bottom w:w="28" w:type="dxa"/>
            </w:tcMar>
            <w:vAlign w:val="center"/>
          </w:tcPr>
          <w:p>
            <w:pPr>
              <w:pStyle w:val="TableContents"/>
              <w:bidi w:val="0"/>
              <w:spacing w:before="0" w:after="283"/>
              <w:jc w:val="center"/>
              <w:rPr>
                <w:b/>
              </w:rPr>
            </w:pPr>
            <w:r>
              <w:rPr>
                <w:b/>
              </w:rPr>
              <w:t>Primary Objective</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4736" w:type="dxa"/>
            <w:tcBorders>
              <w:bottom w:val="single" w:sz="6" w:space="0" w:color="95B3D7"/>
            </w:tcBorders>
            <w:tcMar>
              <w:bottom w:w="28" w:type="dxa"/>
            </w:tcMar>
            <w:vAlign w:val="center"/>
          </w:tcPr>
          <w:p>
            <w:pPr>
              <w:pStyle w:val="TableContents"/>
              <w:bidi w:val="0"/>
              <w:spacing w:before="0" w:after="283"/>
              <w:jc w:val="center"/>
              <w:rPr>
                <w:b/>
              </w:rPr>
            </w:pPr>
            <w:r>
              <w:rPr>
                <w:b/>
              </w:rPr>
              <w:t>Determination Factors</w:t>
            </w:r>
          </w:p>
        </w:tc>
      </w:tr>
      <w:tr>
        <w:trPr/>
        <w:tc>
          <w:tcPr>
            <w:tcW w:w="132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0"/>
              <w:jc w:val="left"/>
              <w:rPr>
                <w:rFonts w:ascii="ARIAL" w:hAnsi="ARIAL"/>
                <w:b/>
                <w:sz w:val="20"/>
              </w:rPr>
            </w:pPr>
            <w:r>
              <w:rPr>
                <w:rFonts w:ascii="ARIAL" w:hAnsi="ARIAL"/>
                <w:b/>
                <w:sz w:val="20"/>
              </w:rPr>
              <w:t>Base</w:t>
            </w:r>
          </w:p>
          <w:p>
            <w:pPr>
              <w:pStyle w:val="TableContents"/>
              <w:bidi w:val="0"/>
              <w:spacing w:before="0" w:after="20"/>
              <w:jc w:val="left"/>
              <w:rPr>
                <w:rFonts w:ascii="ARIAL" w:hAnsi="ARIAL"/>
                <w:b/>
                <w:sz w:val="20"/>
              </w:rPr>
            </w:pPr>
            <w:r>
              <w:rPr>
                <w:rFonts w:ascii="ARIAL" w:hAnsi="ARIAL"/>
                <w:b/>
                <w:sz w:val="20"/>
              </w:rPr>
              <w:t>Salary</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241"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pPr>
            <w:r>
              <w:rPr/>
              <w:t>Target at Median</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2608"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0"/>
              <w:jc w:val="left"/>
              <w:rPr/>
            </w:pPr>
            <w:r>
              <w:rPr/>
              <w:t>●   </w:t>
            </w:r>
            <w:r>
              <w:rPr>
                <w:rFonts w:ascii="ARIAL" w:hAnsi="ARIAL"/>
                <w:sz w:val="20"/>
              </w:rPr>
              <w:t>Attract and retain high-performing and experienced individuals</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Provide steady source of income so executives can focus on the needs of the business</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4736" w:type="dxa"/>
            <w:tcBorders>
              <w:bottom w:val="single" w:sz="6" w:space="0" w:color="95B3D7"/>
            </w:tcBorders>
            <w:shd w:fill="DBE5F1" w:val="clear"/>
            <w:tcMar>
              <w:bottom w:w="28" w:type="dxa"/>
            </w:tcMar>
            <w:vAlign w:val="center"/>
          </w:tcPr>
          <w:p>
            <w:pPr>
              <w:pStyle w:val="TableContents"/>
              <w:bidi w:val="0"/>
              <w:spacing w:before="0" w:after="0"/>
              <w:jc w:val="left"/>
              <w:rPr/>
            </w:pPr>
            <w:r>
              <w:rPr/>
              <w:t>●   </w:t>
            </w:r>
            <w:r>
              <w:rPr>
                <w:rFonts w:ascii="ARIAL" w:hAnsi="ARIAL"/>
                <w:sz w:val="20"/>
              </w:rPr>
              <w:t>Value of role in competitive marketplace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Value of role to the Company</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Skills, experience and performance of individual compared to the market as well as others in the Company</w:t>
            </w:r>
          </w:p>
        </w:tc>
      </w:tr>
      <w:tr>
        <w:trPr/>
        <w:tc>
          <w:tcPr>
            <w:tcW w:w="132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b/>
              </w:rPr>
            </w:pPr>
            <w:r>
              <w:rPr>
                <w:b/>
              </w:rPr>
              <w:t>Annual Cash Incentives</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1241"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pPr>
            <w:r>
              <w:rPr/>
              <w:t>Target at Median</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2608" w:type="dxa"/>
            <w:tcBorders>
              <w:bottom w:val="single" w:sz="6" w:space="0" w:color="95B3D7"/>
              <w:right w:val="single" w:sz="6" w:space="0" w:color="95B3D7"/>
            </w:tcBorders>
            <w:tcMar>
              <w:bottom w:w="28" w:type="dxa"/>
              <w:right w:w="28" w:type="dxa"/>
            </w:tcMar>
            <w:vAlign w:val="center"/>
          </w:tcPr>
          <w:p>
            <w:pPr>
              <w:pStyle w:val="TableContents"/>
              <w:bidi w:val="0"/>
              <w:spacing w:before="0" w:after="0"/>
              <w:jc w:val="left"/>
              <w:rPr/>
            </w:pPr>
            <w:r>
              <w:rPr/>
              <w:t>●   </w:t>
            </w:r>
            <w:r>
              <w:rPr>
                <w:rFonts w:ascii="ARIAL" w:hAnsi="ARIAL"/>
                <w:sz w:val="20"/>
              </w:rPr>
              <w:t>Motivate executives to achieve challenging short-term performance goals</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Align with annual financial objectives</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4736" w:type="dxa"/>
            <w:tcBorders>
              <w:bottom w:val="single" w:sz="6" w:space="0" w:color="95B3D7"/>
            </w:tcBorders>
            <w:tcMar>
              <w:bottom w:w="28" w:type="dxa"/>
            </w:tcMar>
            <w:vAlign w:val="center"/>
          </w:tcPr>
          <w:p>
            <w:pPr>
              <w:pStyle w:val="TableContents"/>
              <w:bidi w:val="0"/>
              <w:spacing w:before="0" w:after="0"/>
              <w:jc w:val="left"/>
              <w:rPr/>
            </w:pPr>
            <w:r>
              <w:rPr/>
              <w:t>●   </w:t>
            </w:r>
            <w:r>
              <w:rPr>
                <w:rFonts w:ascii="ARIAL" w:hAnsi="ARIAL"/>
                <w:sz w:val="20"/>
              </w:rPr>
              <w:t>Target awards based on competitive marketplace, level of position, skills and performance of executive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75% of actual awards based on achievement against the following corporate metrics: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Health Plan membership</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Adjusted gross profit</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Adjusted EBITDA</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25% of actual awards based on achievement of individual and/or departmental goals (other than for the CEO)</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For 2023, awards were subject to a modifier (-25% to +50%) based on the Company’s CMS Star Ratings, with potential payouts ranging from 0% to 200% of target bonus</w:t>
            </w:r>
          </w:p>
        </w:tc>
      </w:tr>
      <w:tr>
        <w:trPr/>
        <w:tc>
          <w:tcPr>
            <w:tcW w:w="132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0"/>
              <w:jc w:val="left"/>
              <w:rPr>
                <w:rFonts w:ascii="ARIAL" w:hAnsi="ARIAL"/>
                <w:b/>
                <w:sz w:val="20"/>
              </w:rPr>
            </w:pPr>
            <w:r>
              <w:rPr>
                <w:rFonts w:ascii="ARIAL" w:hAnsi="ARIAL"/>
                <w:b/>
                <w:sz w:val="20"/>
              </w:rPr>
              <w:t>Long-</w:t>
            </w:r>
          </w:p>
          <w:p>
            <w:pPr>
              <w:pStyle w:val="TableContents"/>
              <w:bidi w:val="0"/>
              <w:spacing w:before="0" w:after="20"/>
              <w:jc w:val="left"/>
              <w:rPr>
                <w:rFonts w:ascii="ARIAL" w:hAnsi="ARIAL"/>
                <w:b/>
                <w:sz w:val="20"/>
              </w:rPr>
            </w:pPr>
            <w:r>
              <w:rPr>
                <w:rFonts w:ascii="ARIAL" w:hAnsi="ARIAL"/>
                <w:b/>
                <w:sz w:val="20"/>
              </w:rPr>
              <w:t>Term Equity Incentives</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241"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0"/>
              <w:jc w:val="center"/>
              <w:rPr>
                <w:rFonts w:ascii="ARIAL" w:hAnsi="ARIAL"/>
                <w:sz w:val="20"/>
              </w:rPr>
            </w:pPr>
            <w:r>
              <w:rPr>
                <w:rFonts w:ascii="ARIAL" w:hAnsi="ARIAL"/>
                <w:sz w:val="20"/>
              </w:rPr>
              <w:t>Target at</w:t>
            </w:r>
          </w:p>
          <w:p>
            <w:pPr>
              <w:pStyle w:val="TableContents"/>
              <w:bidi w:val="0"/>
              <w:spacing w:before="0" w:after="20"/>
              <w:jc w:val="center"/>
              <w:rPr>
                <w:rFonts w:ascii="ARIAL" w:hAnsi="ARIAL"/>
                <w:sz w:val="20"/>
              </w:rPr>
            </w:pPr>
            <w:r>
              <w:rPr>
                <w:rFonts w:ascii="ARIAL" w:hAnsi="ARIAL"/>
                <w:sz w:val="20"/>
              </w:rPr>
              <w:t>50th - 75th percentile</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2608"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0"/>
              <w:jc w:val="left"/>
              <w:rPr/>
            </w:pPr>
            <w:r>
              <w:rPr/>
              <w:t>●   </w:t>
            </w:r>
            <w:r>
              <w:rPr>
                <w:rFonts w:ascii="ARIAL" w:hAnsi="ARIAL"/>
                <w:sz w:val="20"/>
              </w:rPr>
              <w:t>Align executives’ interests with those of stockholders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Align with long-term business strategy</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Retain executive talent through multi-year vesting schedules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Motivate sustainable performance that creates long-term value for stockholders</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Foster our purpose and values to build teams that think and act like owners</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4736" w:type="dxa"/>
            <w:tcBorders>
              <w:bottom w:val="single" w:sz="6" w:space="0" w:color="95B3D7"/>
            </w:tcBorders>
            <w:shd w:fill="DBE5F1" w:val="clear"/>
            <w:tcMar>
              <w:bottom w:w="28" w:type="dxa"/>
            </w:tcMar>
            <w:vAlign w:val="center"/>
          </w:tcPr>
          <w:p>
            <w:pPr>
              <w:pStyle w:val="TableContents"/>
              <w:bidi w:val="0"/>
              <w:spacing w:before="0" w:after="0"/>
              <w:jc w:val="left"/>
              <w:rPr/>
            </w:pPr>
            <w:r>
              <w:rPr/>
              <w:t>●   </w:t>
            </w:r>
            <w:r>
              <w:rPr>
                <w:rFonts w:ascii="ARIAL" w:hAnsi="ARIAL"/>
                <w:sz w:val="20"/>
              </w:rPr>
              <w:t>Awards based on competitive marketplace, level of position, skills and performance of the executive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For 2023, awards were issued using 100% PSUs that vest after the end of the performance period based on the following metrics: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Health Plan Revenue Growth Percentage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At-Risk Returning Member Medical Benefit Ratio</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Adjusted EBITDA, less Capital Expenditures</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 </w:t>
      </w:r>
      <w:r>
        <w:br w:type="page"/>
      </w:r>
    </w:p>
    <w:p>
      <w:pPr>
        <w:pStyle w:val="HorizontalLine"/>
        <w:bidi w:val="0"/>
        <w:jc w:val="left"/>
        <w:rPr/>
      </w:pPr>
      <w:r>
        <w:rPr/>
      </w:r>
    </w:p>
    <w:p>
      <w:pPr>
        <w:pStyle w:val="TextBody"/>
        <w:bidi w:val="0"/>
        <w:spacing w:before="0" w:after="0"/>
        <w:jc w:val="left"/>
        <w:rPr>
          <w:rFonts w:ascii="ARIAL" w:hAnsi="ARIAL"/>
          <w:sz w:val="20"/>
        </w:rPr>
      </w:pPr>
      <w:r>
        <w:rPr>
          <w:rFonts w:ascii="ARIAL" w:hAnsi="ARIAL"/>
          <w:sz w:val="20"/>
        </w:rPr>
        <w:t>For more information regarding our executive compensation program, please see “</w:t>
      </w:r>
      <w:r>
        <w:rPr>
          <w:rFonts w:ascii="ARIAL" w:hAnsi="ARIAL"/>
          <w:i/>
          <w:sz w:val="20"/>
        </w:rPr>
        <w:t>Compensation Discussion and Analysis—2023 Executive Compensation Program in Detail</w:t>
      </w:r>
      <w:r>
        <w:rPr>
          <w:rFonts w:ascii="ARIAL" w:hAnsi="ARIAL"/>
          <w:sz w:val="20"/>
        </w:rPr>
        <w:t>” beginning on page 47. For information regarding the 2023 compensation paid to our Named Executive Officers, please see “</w:t>
      </w:r>
      <w:r>
        <w:rPr>
          <w:rFonts w:ascii="ARIAL" w:hAnsi="ARIAL"/>
          <w:i/>
          <w:sz w:val="20"/>
        </w:rPr>
        <w:t>Executive and Director Compensation</w:t>
      </w:r>
      <w:r>
        <w:rPr>
          <w:rFonts w:ascii="ARIAL" w:hAnsi="ARIAL"/>
          <w:sz w:val="20"/>
        </w:rPr>
        <w:t xml:space="preserve">” beginning on page 55.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 </w:t>
      </w:r>
      <w:r>
        <w:br w:type="page"/>
      </w:r>
    </w:p>
    <w:p>
      <w:pPr>
        <w:pStyle w:val="HorizontalLine"/>
        <w:bidi w:val="0"/>
        <w:jc w:val="left"/>
        <w:rPr/>
      </w:pPr>
      <w:r>
        <w:rPr/>
      </w:r>
    </w:p>
    <w:p>
      <w:pPr>
        <w:pStyle w:val="TextBody"/>
        <w:bidi w:val="0"/>
        <w:spacing w:before="0" w:after="0"/>
        <w:jc w:val="center"/>
        <w:rPr>
          <w:rFonts w:ascii="ARIAL" w:hAnsi="ARIAL"/>
          <w:b/>
          <w:sz w:val="20"/>
        </w:rPr>
      </w:pPr>
      <w:bookmarkStart w:id="5" w:name="txa496243_3"/>
      <w:bookmarkEnd w:id="5"/>
      <w:r>
        <w:rPr>
          <w:rFonts w:ascii="ARIAL" w:hAnsi="ARIAL"/>
          <w:b/>
          <w:sz w:val="20"/>
        </w:rPr>
        <w:t xml:space="preserve">PROPOSAL 1 – ELECTION OF DIRECTORS </w:t>
      </w:r>
    </w:p>
    <w:p>
      <w:pPr>
        <w:pStyle w:val="TextBody"/>
        <w:bidi w:val="0"/>
        <w:spacing w:before="240" w:after="0"/>
        <w:jc w:val="left"/>
        <w:rPr>
          <w:rFonts w:ascii="ARIAL" w:hAnsi="ARIAL"/>
          <w:sz w:val="20"/>
        </w:rPr>
      </w:pPr>
      <w:r>
        <w:rPr>
          <w:rFonts w:ascii="ARIAL" w:hAnsi="ARIAL"/>
          <w:sz w:val="20"/>
        </w:rPr>
        <w:t xml:space="preserve">Our Board recommends that the nominees below be elected as Class III members of the Board at the Annual Meeting for a term expiring at the 2027 Meeting of Stockholders: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88"/>
        <w:gridCol w:w="120"/>
        <w:gridCol w:w="843"/>
        <w:gridCol w:w="120"/>
        <w:gridCol w:w="1115"/>
        <w:gridCol w:w="120"/>
        <w:gridCol w:w="1519"/>
        <w:gridCol w:w="120"/>
        <w:gridCol w:w="1429"/>
        <w:gridCol w:w="120"/>
        <w:gridCol w:w="3011"/>
      </w:tblGrid>
      <w:tr>
        <w:trPr/>
        <w:tc>
          <w:tcPr>
            <w:tcW w:w="168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11" w:type="dxa"/>
            <w:tcBorders/>
            <w:vAlign w:val="center"/>
          </w:tcPr>
          <w:p>
            <w:pPr>
              <w:pStyle w:val="TableContents"/>
              <w:bidi w:val="0"/>
              <w:spacing w:before="0" w:after="283"/>
              <w:jc w:val="left"/>
              <w:rPr>
                <w:sz w:val="4"/>
                <w:szCs w:val="4"/>
              </w:rPr>
            </w:pPr>
            <w:r>
              <w:rPr>
                <w:sz w:val="4"/>
                <w:szCs w:val="4"/>
              </w:rPr>
            </w:r>
          </w:p>
        </w:tc>
      </w:tr>
      <w:tr>
        <w:trPr/>
        <w:tc>
          <w:tcPr>
            <w:tcW w:w="1688" w:type="dxa"/>
            <w:tcBorders>
              <w:bottom w:val="single" w:sz="6" w:space="0" w:color="000000"/>
            </w:tcBorders>
            <w:tcMar>
              <w:bottom w:w="28" w:type="dxa"/>
            </w:tcMar>
            <w:vAlign w:val="center"/>
          </w:tcPr>
          <w:p>
            <w:pPr>
              <w:pStyle w:val="TableContents"/>
              <w:bidi w:val="0"/>
              <w:spacing w:before="0" w:after="283"/>
              <w:jc w:val="left"/>
              <w:rPr/>
            </w:pPr>
            <w:r>
              <w:rPr/>
              <w:t>  </w:t>
            </w:r>
            <w:r>
              <w:rPr>
                <w:b/>
              </w:rPr>
              <w:t>Name</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43" w:type="dxa"/>
            <w:tcBorders>
              <w:bottom w:val="single" w:sz="6" w:space="0" w:color="000000"/>
            </w:tcBorders>
            <w:tcMar>
              <w:bottom w:w="28" w:type="dxa"/>
            </w:tcMar>
            <w:vAlign w:val="center"/>
          </w:tcPr>
          <w:p>
            <w:pPr>
              <w:pStyle w:val="TableContents"/>
              <w:bidi w:val="0"/>
              <w:spacing w:before="0" w:after="283"/>
              <w:jc w:val="center"/>
              <w:rPr/>
            </w:pPr>
            <w:r>
              <w:rPr/>
              <w:t> </w:t>
            </w:r>
            <w:r>
              <w:rPr>
                <w:b/>
              </w:rPr>
              <w:t>Age 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115" w:type="dxa"/>
            <w:tcBorders>
              <w:bottom w:val="single" w:sz="6" w:space="0" w:color="000000"/>
            </w:tcBorders>
            <w:tcMar>
              <w:bottom w:w="28" w:type="dxa"/>
            </w:tcMar>
            <w:vAlign w:val="center"/>
          </w:tcPr>
          <w:p>
            <w:pPr>
              <w:pStyle w:val="TableContents"/>
              <w:bidi w:val="0"/>
              <w:spacing w:before="0" w:after="283"/>
              <w:jc w:val="left"/>
              <w:rPr>
                <w:b/>
              </w:rPr>
            </w:pPr>
            <w:r>
              <w:rPr>
                <w:b/>
              </w:rPr>
              <w:t>Director </w:t>
              <w:br/>
              <w:t>Since 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519" w:type="dxa"/>
            <w:tcBorders>
              <w:bottom w:val="single" w:sz="6" w:space="0" w:color="000000"/>
            </w:tcBorders>
            <w:tcMar>
              <w:bottom w:w="28" w:type="dxa"/>
            </w:tcMar>
            <w:vAlign w:val="center"/>
          </w:tcPr>
          <w:p>
            <w:pPr>
              <w:pStyle w:val="TableContents"/>
              <w:bidi w:val="0"/>
              <w:spacing w:before="0" w:after="283"/>
              <w:jc w:val="center"/>
              <w:rPr>
                <w:b/>
              </w:rPr>
            </w:pPr>
            <w:r>
              <w:rPr>
                <w:b/>
              </w:rPr>
              <w:t>Independent 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429" w:type="dxa"/>
            <w:tcBorders>
              <w:bottom w:val="single" w:sz="6" w:space="0" w:color="000000"/>
            </w:tcBorders>
            <w:tcMar>
              <w:bottom w:w="28" w:type="dxa"/>
            </w:tcMar>
            <w:vAlign w:val="center"/>
          </w:tcPr>
          <w:p>
            <w:pPr>
              <w:pStyle w:val="TableContents"/>
              <w:bidi w:val="0"/>
              <w:spacing w:before="0" w:after="283"/>
              <w:jc w:val="left"/>
              <w:rPr>
                <w:b/>
              </w:rPr>
            </w:pPr>
            <w:r>
              <w:rPr>
                <w:b/>
              </w:rPr>
              <w:t>Committees 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011" w:type="dxa"/>
            <w:tcBorders>
              <w:bottom w:val="single" w:sz="6" w:space="0" w:color="000000"/>
            </w:tcBorders>
            <w:tcMar>
              <w:bottom w:w="28" w:type="dxa"/>
            </w:tcMar>
            <w:vAlign w:val="center"/>
          </w:tcPr>
          <w:p>
            <w:pPr>
              <w:pStyle w:val="TableContents"/>
              <w:bidi w:val="0"/>
              <w:spacing w:before="0" w:after="283"/>
              <w:jc w:val="left"/>
              <w:rPr>
                <w:b/>
              </w:rPr>
            </w:pPr>
            <w:r>
              <w:rPr>
                <w:b/>
              </w:rPr>
              <w:t>Other Public Company Boards</w:t>
            </w:r>
          </w:p>
        </w:tc>
      </w:tr>
      <w:tr>
        <w:trPr/>
        <w:tc>
          <w:tcPr>
            <w:tcW w:w="1688" w:type="dxa"/>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963"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1235"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1639"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1549"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3131" w:type="dxa"/>
            <w:gridSpan w:val="2"/>
            <w:tcBorders/>
            <w:shd w:fill="DBE5F1" w:val="clear"/>
            <w:vAlign w:val="center"/>
          </w:tcPr>
          <w:p>
            <w:pPr>
              <w:pStyle w:val="TableContents"/>
              <w:bidi w:val="0"/>
              <w:spacing w:before="0" w:after="283"/>
              <w:jc w:val="left"/>
              <w:rPr>
                <w:sz w:val="4"/>
                <w:szCs w:val="4"/>
              </w:rPr>
            </w:pPr>
            <w:r>
              <w:rPr>
                <w:sz w:val="4"/>
                <w:szCs w:val="4"/>
              </w:rPr>
            </w:r>
          </w:p>
        </w:tc>
      </w:tr>
      <w:tr>
        <w:trPr/>
        <w:tc>
          <w:tcPr>
            <w:tcW w:w="1688"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Yon Jorden</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843"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69</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11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2022</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519"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pPr>
            <w:r>
              <w:rPr/>
              <w:t>Yes</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429"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Audit</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3011" w:type="dxa"/>
            <w:tcBorders>
              <w:bottom w:val="single" w:sz="6" w:space="0" w:color="95B3D7"/>
            </w:tcBorders>
            <w:shd w:fill="DBE5F1" w:val="clear"/>
            <w:tcMar>
              <w:bottom w:w="28" w:type="dxa"/>
            </w:tcMar>
            <w:vAlign w:val="center"/>
          </w:tcPr>
          <w:p>
            <w:pPr>
              <w:pStyle w:val="TableContents"/>
              <w:bidi w:val="0"/>
              <w:spacing w:before="0" w:after="0"/>
              <w:jc w:val="left"/>
              <w:rPr/>
            </w:pPr>
            <w:r>
              <w:rPr/>
              <w:t>●   </w:t>
            </w:r>
            <w:r>
              <w:rPr>
                <w:rFonts w:ascii="ARIAL" w:hAnsi="ARIAL"/>
                <w:sz w:val="20"/>
              </w:rPr>
              <w:t>Cohu, Inc.</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Capstone Green Energy Corp.</w:t>
            </w:r>
          </w:p>
        </w:tc>
      </w:tr>
      <w:tr>
        <w:trPr/>
        <w:tc>
          <w:tcPr>
            <w:tcW w:w="1688" w:type="dxa"/>
            <w:tcBorders>
              <w:right w:val="single" w:sz="6" w:space="0" w:color="95B3D7"/>
            </w:tcBorders>
            <w:tcMar>
              <w:right w:w="28" w:type="dxa"/>
            </w:tcMar>
            <w:vAlign w:val="center"/>
          </w:tcPr>
          <w:p>
            <w:pPr>
              <w:pStyle w:val="TableContents"/>
              <w:bidi w:val="0"/>
              <w:spacing w:before="0" w:after="283"/>
              <w:jc w:val="left"/>
              <w:rPr/>
            </w:pPr>
            <w:r>
              <w:rPr/>
              <w:t> </w:t>
            </w:r>
          </w:p>
        </w:tc>
        <w:tc>
          <w:tcPr>
            <w:tcW w:w="963" w:type="dxa"/>
            <w:gridSpan w:val="2"/>
            <w:tcBorders>
              <w:right w:val="single" w:sz="6" w:space="0" w:color="95B3D7"/>
            </w:tcBorders>
            <w:tcMar>
              <w:right w:w="28" w:type="dxa"/>
            </w:tcMar>
            <w:vAlign w:val="center"/>
          </w:tcPr>
          <w:p>
            <w:pPr>
              <w:pStyle w:val="TableContents"/>
              <w:bidi w:val="0"/>
              <w:spacing w:before="0" w:after="283"/>
              <w:jc w:val="left"/>
              <w:rPr/>
            </w:pPr>
            <w:r>
              <w:rPr/>
              <w:t> </w:t>
            </w:r>
          </w:p>
        </w:tc>
        <w:tc>
          <w:tcPr>
            <w:tcW w:w="1235" w:type="dxa"/>
            <w:gridSpan w:val="2"/>
            <w:tcBorders>
              <w:right w:val="single" w:sz="6" w:space="0" w:color="95B3D7"/>
            </w:tcBorders>
            <w:tcMar>
              <w:right w:w="28" w:type="dxa"/>
            </w:tcMar>
            <w:vAlign w:val="center"/>
          </w:tcPr>
          <w:p>
            <w:pPr>
              <w:pStyle w:val="TableContents"/>
              <w:bidi w:val="0"/>
              <w:spacing w:before="0" w:after="283"/>
              <w:jc w:val="left"/>
              <w:rPr/>
            </w:pPr>
            <w:r>
              <w:rPr/>
              <w:t> </w:t>
            </w:r>
          </w:p>
        </w:tc>
        <w:tc>
          <w:tcPr>
            <w:tcW w:w="1639" w:type="dxa"/>
            <w:gridSpan w:val="2"/>
            <w:tcBorders>
              <w:right w:val="single" w:sz="6" w:space="0" w:color="95B3D7"/>
            </w:tcBorders>
            <w:tcMar>
              <w:right w:w="28" w:type="dxa"/>
            </w:tcMar>
            <w:vAlign w:val="center"/>
          </w:tcPr>
          <w:p>
            <w:pPr>
              <w:pStyle w:val="TableContents"/>
              <w:bidi w:val="0"/>
              <w:spacing w:before="0" w:after="283"/>
              <w:jc w:val="left"/>
              <w:rPr/>
            </w:pPr>
            <w:r>
              <w:rPr/>
              <w:t> </w:t>
            </w:r>
          </w:p>
        </w:tc>
        <w:tc>
          <w:tcPr>
            <w:tcW w:w="1549" w:type="dxa"/>
            <w:gridSpan w:val="2"/>
            <w:tcBorders>
              <w:right w:val="single" w:sz="6" w:space="0" w:color="95B3D7"/>
            </w:tcBorders>
            <w:tcMar>
              <w:right w:w="28" w:type="dxa"/>
            </w:tcMar>
            <w:vAlign w:val="center"/>
          </w:tcPr>
          <w:p>
            <w:pPr>
              <w:pStyle w:val="TableContents"/>
              <w:bidi w:val="0"/>
              <w:spacing w:before="0" w:after="283"/>
              <w:jc w:val="left"/>
              <w:rPr/>
            </w:pPr>
            <w:r>
              <w:rPr/>
              <w:t> </w:t>
            </w:r>
          </w:p>
        </w:tc>
        <w:tc>
          <w:tcPr>
            <w:tcW w:w="3131" w:type="dxa"/>
            <w:gridSpan w:val="2"/>
            <w:tcBorders/>
            <w:vAlign w:val="center"/>
          </w:tcPr>
          <w:p>
            <w:pPr>
              <w:pStyle w:val="TableContents"/>
              <w:bidi w:val="0"/>
              <w:spacing w:before="0" w:after="283"/>
              <w:jc w:val="left"/>
              <w:rPr>
                <w:sz w:val="4"/>
                <w:szCs w:val="4"/>
              </w:rPr>
            </w:pPr>
            <w:r>
              <w:rPr>
                <w:sz w:val="4"/>
                <w:szCs w:val="4"/>
              </w:rPr>
            </w:r>
          </w:p>
        </w:tc>
      </w:tr>
      <w:tr>
        <w:trPr/>
        <w:tc>
          <w:tcPr>
            <w:tcW w:w="1688"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John Kao</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843"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62</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115"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2014</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519"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pPr>
            <w:r>
              <w:rPr/>
              <w:t>No</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429"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3011" w:type="dxa"/>
            <w:tcBorders>
              <w:bottom w:val="single" w:sz="6" w:space="0" w:color="95B3D7"/>
            </w:tcBorders>
            <w:tcMar>
              <w:bottom w:w="28" w:type="dxa"/>
            </w:tcMar>
            <w:vAlign w:val="center"/>
          </w:tcPr>
          <w:p>
            <w:pPr>
              <w:pStyle w:val="TableContents"/>
              <w:bidi w:val="0"/>
              <w:spacing w:before="0" w:after="283"/>
              <w:jc w:val="left"/>
              <w:rPr/>
            </w:pPr>
            <w:r>
              <w:rPr/>
              <w:t>—</w:t>
            </w:r>
          </w:p>
        </w:tc>
      </w:tr>
      <w:tr>
        <w:trPr/>
        <w:tc>
          <w:tcPr>
            <w:tcW w:w="1688" w:type="dxa"/>
            <w:tcBorders>
              <w:top w:val="single" w:sz="8" w:space="0" w:color="95B3D7"/>
              <w:right w:val="single" w:sz="6" w:space="0" w:color="95B3D7"/>
            </w:tcBorders>
            <w:shd w:fill="DBE5F1" w:val="clear"/>
            <w:tcMar>
              <w:top w:w="28" w:type="dxa"/>
              <w:right w:w="28" w:type="dxa"/>
            </w:tcMar>
            <w:vAlign w:val="center"/>
          </w:tcPr>
          <w:p>
            <w:pPr>
              <w:pStyle w:val="TableContents"/>
              <w:bidi w:val="0"/>
              <w:spacing w:before="0" w:after="283"/>
              <w:jc w:val="left"/>
              <w:rPr/>
            </w:pPr>
            <w:r>
              <w:rPr/>
              <w:t> </w:t>
            </w:r>
          </w:p>
        </w:tc>
        <w:tc>
          <w:tcPr>
            <w:tcW w:w="963" w:type="dxa"/>
            <w:gridSpan w:val="2"/>
            <w:tcBorders>
              <w:top w:val="single" w:sz="8" w:space="0" w:color="95B3D7"/>
              <w:right w:val="single" w:sz="6" w:space="0" w:color="95B3D7"/>
            </w:tcBorders>
            <w:shd w:fill="DBE5F1" w:val="clear"/>
            <w:tcMar>
              <w:top w:w="28" w:type="dxa"/>
              <w:right w:w="28" w:type="dxa"/>
            </w:tcMar>
            <w:vAlign w:val="center"/>
          </w:tcPr>
          <w:p>
            <w:pPr>
              <w:pStyle w:val="TableContents"/>
              <w:bidi w:val="0"/>
              <w:spacing w:before="0" w:after="283"/>
              <w:jc w:val="left"/>
              <w:rPr/>
            </w:pPr>
            <w:r>
              <w:rPr/>
              <w:t> </w:t>
            </w:r>
          </w:p>
        </w:tc>
        <w:tc>
          <w:tcPr>
            <w:tcW w:w="1235" w:type="dxa"/>
            <w:gridSpan w:val="2"/>
            <w:tcBorders>
              <w:top w:val="single" w:sz="8" w:space="0" w:color="95B3D7"/>
              <w:right w:val="single" w:sz="6" w:space="0" w:color="95B3D7"/>
            </w:tcBorders>
            <w:shd w:fill="DBE5F1" w:val="clear"/>
            <w:tcMar>
              <w:top w:w="28" w:type="dxa"/>
              <w:right w:w="28" w:type="dxa"/>
            </w:tcMar>
            <w:vAlign w:val="center"/>
          </w:tcPr>
          <w:p>
            <w:pPr>
              <w:pStyle w:val="TableContents"/>
              <w:bidi w:val="0"/>
              <w:spacing w:before="0" w:after="283"/>
              <w:jc w:val="left"/>
              <w:rPr/>
            </w:pPr>
            <w:r>
              <w:rPr/>
              <w:t> </w:t>
            </w:r>
          </w:p>
        </w:tc>
        <w:tc>
          <w:tcPr>
            <w:tcW w:w="1639" w:type="dxa"/>
            <w:gridSpan w:val="2"/>
            <w:tcBorders>
              <w:top w:val="single" w:sz="8" w:space="0" w:color="95B3D7"/>
              <w:right w:val="single" w:sz="6" w:space="0" w:color="95B3D7"/>
            </w:tcBorders>
            <w:shd w:fill="DBE5F1" w:val="clear"/>
            <w:tcMar>
              <w:top w:w="28" w:type="dxa"/>
              <w:right w:w="28" w:type="dxa"/>
            </w:tcMar>
            <w:vAlign w:val="center"/>
          </w:tcPr>
          <w:p>
            <w:pPr>
              <w:pStyle w:val="TableContents"/>
              <w:bidi w:val="0"/>
              <w:spacing w:before="0" w:after="283"/>
              <w:jc w:val="left"/>
              <w:rPr/>
            </w:pPr>
            <w:r>
              <w:rPr/>
              <w:t> </w:t>
            </w:r>
          </w:p>
        </w:tc>
        <w:tc>
          <w:tcPr>
            <w:tcW w:w="1549" w:type="dxa"/>
            <w:gridSpan w:val="2"/>
            <w:tcBorders>
              <w:top w:val="single" w:sz="8" w:space="0" w:color="95B3D7"/>
              <w:right w:val="single" w:sz="6" w:space="0" w:color="95B3D7"/>
            </w:tcBorders>
            <w:shd w:fill="DBE5F1" w:val="clear"/>
            <w:tcMar>
              <w:top w:w="28" w:type="dxa"/>
              <w:right w:w="28" w:type="dxa"/>
            </w:tcMar>
            <w:vAlign w:val="center"/>
          </w:tcPr>
          <w:p>
            <w:pPr>
              <w:pStyle w:val="TableContents"/>
              <w:bidi w:val="0"/>
              <w:spacing w:before="0" w:after="283"/>
              <w:jc w:val="left"/>
              <w:rPr/>
            </w:pPr>
            <w:r>
              <w:rPr/>
              <w:t> </w:t>
            </w:r>
          </w:p>
        </w:tc>
        <w:tc>
          <w:tcPr>
            <w:tcW w:w="3131" w:type="dxa"/>
            <w:gridSpan w:val="2"/>
            <w:tcBorders>
              <w:top w:val="single" w:sz="8" w:space="0" w:color="95B3D7"/>
            </w:tcBorders>
            <w:shd w:fill="DBE5F1" w:val="clear"/>
            <w:tcMar>
              <w:top w:w="28" w:type="dxa"/>
            </w:tcMar>
            <w:vAlign w:val="center"/>
          </w:tcPr>
          <w:p>
            <w:pPr>
              <w:pStyle w:val="TableContents"/>
              <w:bidi w:val="0"/>
              <w:spacing w:before="0" w:after="283"/>
              <w:jc w:val="left"/>
              <w:rPr/>
            </w:pPr>
            <w:r>
              <w:rPr/>
              <w:t> </w:t>
            </w:r>
          </w:p>
        </w:tc>
      </w:tr>
      <w:tr>
        <w:trPr/>
        <w:tc>
          <w:tcPr>
            <w:tcW w:w="1688" w:type="dxa"/>
            <w:tcBorders>
              <w:right w:val="single" w:sz="6" w:space="0" w:color="95B3D7"/>
            </w:tcBorders>
            <w:shd w:fill="DBE5F1" w:val="clear"/>
            <w:tcMar>
              <w:right w:w="28" w:type="dxa"/>
            </w:tcMar>
            <w:vAlign w:val="center"/>
          </w:tcPr>
          <w:p>
            <w:pPr>
              <w:pStyle w:val="TableContents"/>
              <w:bidi w:val="0"/>
              <w:spacing w:before="0" w:after="0"/>
              <w:jc w:val="left"/>
              <w:rPr>
                <w:rFonts w:ascii="ARIAL" w:hAnsi="ARIAL"/>
                <w:sz w:val="20"/>
              </w:rPr>
            </w:pPr>
            <w:r>
              <w:rPr>
                <w:rFonts w:ascii="ARIAL" w:hAnsi="ARIAL"/>
                <w:sz w:val="20"/>
              </w:rPr>
              <w:t>Joseph Konowiecki,</w:t>
            </w:r>
          </w:p>
          <w:p>
            <w:pPr>
              <w:pStyle w:val="TableContents"/>
              <w:bidi w:val="0"/>
              <w:spacing w:before="0" w:after="20"/>
              <w:jc w:val="left"/>
              <w:rPr>
                <w:rFonts w:ascii="ARIAL" w:hAnsi="ARIAL"/>
                <w:sz w:val="20"/>
              </w:rPr>
            </w:pPr>
            <w:r>
              <w:rPr>
                <w:rFonts w:ascii="ARIAL" w:hAnsi="ARIAL"/>
                <w:sz w:val="20"/>
              </w:rPr>
              <w:t>Chairman</w:t>
            </w:r>
          </w:p>
        </w:tc>
        <w:tc>
          <w:tcPr>
            <w:tcW w:w="120" w:type="dxa"/>
            <w:tcBorders/>
            <w:shd w:fill="DBE5F1" w:val="clear"/>
            <w:vAlign w:val="center"/>
          </w:tcPr>
          <w:p>
            <w:pPr>
              <w:pStyle w:val="TableContents"/>
              <w:bidi w:val="0"/>
              <w:spacing w:before="0" w:after="283"/>
              <w:jc w:val="left"/>
              <w:rPr/>
            </w:pPr>
            <w:r>
              <w:rPr/>
              <w:t>  </w:t>
            </w:r>
          </w:p>
        </w:tc>
        <w:tc>
          <w:tcPr>
            <w:tcW w:w="843" w:type="dxa"/>
            <w:tcBorders>
              <w:right w:val="single" w:sz="6" w:space="0" w:color="95B3D7"/>
            </w:tcBorders>
            <w:shd w:fill="DBE5F1" w:val="clear"/>
            <w:tcMar>
              <w:right w:w="28" w:type="dxa"/>
            </w:tcMar>
            <w:vAlign w:val="center"/>
          </w:tcPr>
          <w:p>
            <w:pPr>
              <w:pStyle w:val="TableContents"/>
              <w:bidi w:val="0"/>
              <w:spacing w:before="0" w:after="283"/>
              <w:jc w:val="left"/>
              <w:rPr/>
            </w:pPr>
            <w:r>
              <w:rPr/>
              <w:t>70</w:t>
            </w:r>
          </w:p>
        </w:tc>
        <w:tc>
          <w:tcPr>
            <w:tcW w:w="120" w:type="dxa"/>
            <w:tcBorders/>
            <w:shd w:fill="DBE5F1" w:val="clear"/>
            <w:vAlign w:val="center"/>
          </w:tcPr>
          <w:p>
            <w:pPr>
              <w:pStyle w:val="TableContents"/>
              <w:bidi w:val="0"/>
              <w:spacing w:before="0" w:after="283"/>
              <w:jc w:val="left"/>
              <w:rPr/>
            </w:pPr>
            <w:r>
              <w:rPr/>
              <w:t>  </w:t>
            </w:r>
          </w:p>
        </w:tc>
        <w:tc>
          <w:tcPr>
            <w:tcW w:w="1115" w:type="dxa"/>
            <w:tcBorders>
              <w:right w:val="single" w:sz="6" w:space="0" w:color="95B3D7"/>
            </w:tcBorders>
            <w:shd w:fill="DBE5F1" w:val="clear"/>
            <w:tcMar>
              <w:right w:w="28" w:type="dxa"/>
            </w:tcMar>
            <w:vAlign w:val="center"/>
          </w:tcPr>
          <w:p>
            <w:pPr>
              <w:pStyle w:val="TableContents"/>
              <w:bidi w:val="0"/>
              <w:spacing w:before="0" w:after="283"/>
              <w:jc w:val="left"/>
              <w:rPr/>
            </w:pPr>
            <w:r>
              <w:rPr/>
              <w:t>2014</w:t>
            </w:r>
          </w:p>
        </w:tc>
        <w:tc>
          <w:tcPr>
            <w:tcW w:w="120" w:type="dxa"/>
            <w:tcBorders/>
            <w:shd w:fill="DBE5F1" w:val="clear"/>
            <w:vAlign w:val="center"/>
          </w:tcPr>
          <w:p>
            <w:pPr>
              <w:pStyle w:val="TableContents"/>
              <w:bidi w:val="0"/>
              <w:spacing w:before="0" w:after="283"/>
              <w:jc w:val="left"/>
              <w:rPr/>
            </w:pPr>
            <w:r>
              <w:rPr/>
              <w:t>  </w:t>
            </w:r>
          </w:p>
        </w:tc>
        <w:tc>
          <w:tcPr>
            <w:tcW w:w="1519" w:type="dxa"/>
            <w:tcBorders>
              <w:right w:val="single" w:sz="6" w:space="0" w:color="95B3D7"/>
            </w:tcBorders>
            <w:shd w:fill="DBE5F1" w:val="clear"/>
            <w:tcMar>
              <w:right w:w="28" w:type="dxa"/>
            </w:tcMar>
            <w:vAlign w:val="center"/>
          </w:tcPr>
          <w:p>
            <w:pPr>
              <w:pStyle w:val="TableContents"/>
              <w:bidi w:val="0"/>
              <w:spacing w:before="0" w:after="283"/>
              <w:jc w:val="center"/>
              <w:rPr/>
            </w:pPr>
            <w:r>
              <w:rPr/>
              <w:t>No</w:t>
            </w:r>
          </w:p>
        </w:tc>
        <w:tc>
          <w:tcPr>
            <w:tcW w:w="120" w:type="dxa"/>
            <w:tcBorders/>
            <w:shd w:fill="DBE5F1" w:val="clear"/>
            <w:vAlign w:val="center"/>
          </w:tcPr>
          <w:p>
            <w:pPr>
              <w:pStyle w:val="TableContents"/>
              <w:bidi w:val="0"/>
              <w:spacing w:before="0" w:after="283"/>
              <w:jc w:val="left"/>
              <w:rPr/>
            </w:pPr>
            <w:r>
              <w:rPr/>
              <w:t>  </w:t>
            </w:r>
          </w:p>
        </w:tc>
        <w:tc>
          <w:tcPr>
            <w:tcW w:w="1429" w:type="dxa"/>
            <w:tcBorders>
              <w:right w:val="single" w:sz="6" w:space="0" w:color="95B3D7"/>
            </w:tcBorders>
            <w:shd w:fill="DBE5F1" w:val="clear"/>
            <w:tcMar>
              <w:right w:w="28" w:type="dxa"/>
            </w:tcMar>
            <w:vAlign w:val="center"/>
          </w:tcPr>
          <w:p>
            <w:pPr>
              <w:pStyle w:val="TableContents"/>
              <w:bidi w:val="0"/>
              <w:spacing w:before="0" w:after="283"/>
              <w:jc w:val="left"/>
              <w:rPr/>
            </w:pPr>
            <w:r>
              <w:rPr/>
              <w:t>—</w:t>
            </w:r>
          </w:p>
        </w:tc>
        <w:tc>
          <w:tcPr>
            <w:tcW w:w="120" w:type="dxa"/>
            <w:tcBorders/>
            <w:shd w:fill="DBE5F1" w:val="clear"/>
            <w:vAlign w:val="center"/>
          </w:tcPr>
          <w:p>
            <w:pPr>
              <w:pStyle w:val="TableContents"/>
              <w:bidi w:val="0"/>
              <w:spacing w:before="0" w:after="283"/>
              <w:jc w:val="left"/>
              <w:rPr/>
            </w:pPr>
            <w:r>
              <w:rPr/>
              <w:t>  </w:t>
            </w:r>
          </w:p>
        </w:tc>
        <w:tc>
          <w:tcPr>
            <w:tcW w:w="3011" w:type="dxa"/>
            <w:tcBorders/>
            <w:shd w:fill="DBE5F1" w:val="clear"/>
            <w:vAlign w:val="center"/>
          </w:tcPr>
          <w:p>
            <w:pPr>
              <w:pStyle w:val="TableContents"/>
              <w:bidi w:val="0"/>
              <w:spacing w:before="0" w:after="283"/>
              <w:jc w:val="left"/>
              <w:rPr/>
            </w:pPr>
            <w:r>
              <w:rPr/>
              <w:t>—</w:t>
            </w:r>
          </w:p>
        </w:tc>
      </w:tr>
      <w:tr>
        <w:trPr/>
        <w:tc>
          <w:tcPr>
            <w:tcW w:w="1688" w:type="dxa"/>
            <w:tcBorders>
              <w:top w:val="single" w:sz="8" w:space="0" w:color="95B3D7"/>
              <w:right w:val="single" w:sz="6" w:space="0" w:color="95B3D7"/>
            </w:tcBorders>
            <w:tcMar>
              <w:top w:w="28" w:type="dxa"/>
              <w:right w:w="28" w:type="dxa"/>
            </w:tcMar>
            <w:vAlign w:val="center"/>
          </w:tcPr>
          <w:p>
            <w:pPr>
              <w:pStyle w:val="TableContents"/>
              <w:bidi w:val="0"/>
              <w:spacing w:before="0" w:after="283"/>
              <w:jc w:val="left"/>
              <w:rPr/>
            </w:pPr>
            <w:r>
              <w:rPr/>
              <w:t> </w:t>
            </w:r>
          </w:p>
        </w:tc>
        <w:tc>
          <w:tcPr>
            <w:tcW w:w="963" w:type="dxa"/>
            <w:gridSpan w:val="2"/>
            <w:tcBorders>
              <w:top w:val="single" w:sz="8" w:space="0" w:color="95B3D7"/>
              <w:right w:val="single" w:sz="6" w:space="0" w:color="95B3D7"/>
            </w:tcBorders>
            <w:tcMar>
              <w:top w:w="28" w:type="dxa"/>
              <w:right w:w="28" w:type="dxa"/>
            </w:tcMar>
            <w:vAlign w:val="center"/>
          </w:tcPr>
          <w:p>
            <w:pPr>
              <w:pStyle w:val="TableContents"/>
              <w:bidi w:val="0"/>
              <w:spacing w:before="0" w:after="283"/>
              <w:jc w:val="left"/>
              <w:rPr/>
            </w:pPr>
            <w:r>
              <w:rPr/>
              <w:t> </w:t>
            </w:r>
          </w:p>
        </w:tc>
        <w:tc>
          <w:tcPr>
            <w:tcW w:w="1235" w:type="dxa"/>
            <w:gridSpan w:val="2"/>
            <w:tcBorders>
              <w:top w:val="single" w:sz="8" w:space="0" w:color="95B3D7"/>
              <w:right w:val="single" w:sz="6" w:space="0" w:color="95B3D7"/>
            </w:tcBorders>
            <w:tcMar>
              <w:top w:w="28" w:type="dxa"/>
              <w:right w:w="28" w:type="dxa"/>
            </w:tcMar>
            <w:vAlign w:val="center"/>
          </w:tcPr>
          <w:p>
            <w:pPr>
              <w:pStyle w:val="TableContents"/>
              <w:bidi w:val="0"/>
              <w:spacing w:before="0" w:after="283"/>
              <w:jc w:val="left"/>
              <w:rPr/>
            </w:pPr>
            <w:r>
              <w:rPr/>
              <w:t> </w:t>
            </w:r>
          </w:p>
        </w:tc>
        <w:tc>
          <w:tcPr>
            <w:tcW w:w="1639" w:type="dxa"/>
            <w:gridSpan w:val="2"/>
            <w:tcBorders>
              <w:top w:val="single" w:sz="8" w:space="0" w:color="95B3D7"/>
              <w:right w:val="single" w:sz="6" w:space="0" w:color="95B3D7"/>
            </w:tcBorders>
            <w:tcMar>
              <w:top w:w="28" w:type="dxa"/>
              <w:right w:w="28" w:type="dxa"/>
            </w:tcMar>
            <w:vAlign w:val="center"/>
          </w:tcPr>
          <w:p>
            <w:pPr>
              <w:pStyle w:val="TableContents"/>
              <w:bidi w:val="0"/>
              <w:spacing w:before="0" w:after="283"/>
              <w:jc w:val="left"/>
              <w:rPr/>
            </w:pPr>
            <w:r>
              <w:rPr/>
              <w:t> </w:t>
            </w:r>
          </w:p>
        </w:tc>
        <w:tc>
          <w:tcPr>
            <w:tcW w:w="1549" w:type="dxa"/>
            <w:gridSpan w:val="2"/>
            <w:tcBorders>
              <w:top w:val="single" w:sz="8" w:space="0" w:color="95B3D7"/>
              <w:right w:val="single" w:sz="6" w:space="0" w:color="95B3D7"/>
            </w:tcBorders>
            <w:tcMar>
              <w:top w:w="28" w:type="dxa"/>
              <w:right w:w="28" w:type="dxa"/>
            </w:tcMar>
            <w:vAlign w:val="center"/>
          </w:tcPr>
          <w:p>
            <w:pPr>
              <w:pStyle w:val="TableContents"/>
              <w:bidi w:val="0"/>
              <w:spacing w:before="0" w:after="283"/>
              <w:jc w:val="left"/>
              <w:rPr/>
            </w:pPr>
            <w:r>
              <w:rPr/>
              <w:t> </w:t>
            </w:r>
          </w:p>
        </w:tc>
        <w:tc>
          <w:tcPr>
            <w:tcW w:w="3131" w:type="dxa"/>
            <w:gridSpan w:val="2"/>
            <w:tcBorders>
              <w:top w:val="single" w:sz="8" w:space="0" w:color="95B3D7"/>
            </w:tcBorders>
            <w:tcMar>
              <w:top w:w="28" w:type="dxa"/>
            </w:tcMar>
            <w:vAlign w:val="center"/>
          </w:tcPr>
          <w:p>
            <w:pPr>
              <w:pStyle w:val="TableContents"/>
              <w:bidi w:val="0"/>
              <w:spacing w:before="0" w:after="283"/>
              <w:jc w:val="left"/>
              <w:rPr/>
            </w:pPr>
            <w:r>
              <w:rPr/>
              <w:t> </w:t>
            </w:r>
          </w:p>
        </w:tc>
      </w:tr>
      <w:tr>
        <w:trPr/>
        <w:tc>
          <w:tcPr>
            <w:tcW w:w="1688" w:type="dxa"/>
            <w:tcBorders>
              <w:bottom w:val="single" w:sz="6" w:space="0" w:color="95B3D7"/>
              <w:right w:val="single" w:sz="6" w:space="0" w:color="95B3D7"/>
            </w:tcBorders>
            <w:tcMar>
              <w:bottom w:w="28" w:type="dxa"/>
              <w:right w:w="28" w:type="dxa"/>
            </w:tcMar>
            <w:vAlign w:val="center"/>
          </w:tcPr>
          <w:p>
            <w:pPr>
              <w:pStyle w:val="TableContents"/>
              <w:bidi w:val="0"/>
              <w:spacing w:before="0" w:after="0"/>
              <w:jc w:val="left"/>
              <w:rPr>
                <w:rFonts w:ascii="ARIAL" w:hAnsi="ARIAL"/>
                <w:sz w:val="20"/>
              </w:rPr>
            </w:pPr>
            <w:r>
              <w:rPr>
                <w:rFonts w:ascii="ARIAL" w:hAnsi="ARIAL"/>
                <w:sz w:val="20"/>
              </w:rPr>
              <w:t>Margaret McCarthy,</w:t>
            </w:r>
          </w:p>
          <w:p>
            <w:pPr>
              <w:pStyle w:val="TableContents"/>
              <w:bidi w:val="0"/>
              <w:spacing w:before="0" w:after="0"/>
              <w:jc w:val="left"/>
              <w:rPr>
                <w:rFonts w:ascii="ARIAL" w:hAnsi="ARIAL"/>
                <w:sz w:val="20"/>
              </w:rPr>
            </w:pPr>
            <w:r>
              <w:rPr>
                <w:rFonts w:ascii="ARIAL" w:hAnsi="ARIAL"/>
                <w:sz w:val="20"/>
              </w:rPr>
              <w:t>Lead Independent</w:t>
            </w:r>
          </w:p>
          <w:p>
            <w:pPr>
              <w:pStyle w:val="TableContents"/>
              <w:bidi w:val="0"/>
              <w:spacing w:before="0" w:after="20"/>
              <w:jc w:val="left"/>
              <w:rPr>
                <w:rFonts w:ascii="ARIAL" w:hAnsi="ARIAL"/>
                <w:sz w:val="20"/>
              </w:rPr>
            </w:pPr>
            <w:r>
              <w:rPr>
                <w:rFonts w:ascii="ARIAL" w:hAnsi="ARIAL"/>
                <w:sz w:val="20"/>
              </w:rPr>
              <w:t>Director</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843"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70</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115"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2020</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519"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pPr>
            <w:r>
              <w:rPr/>
              <w:t>Yes</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429"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Audit</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3011" w:type="dxa"/>
            <w:tcBorders>
              <w:bottom w:val="single" w:sz="6" w:space="0" w:color="95B3D7"/>
            </w:tcBorders>
            <w:tcMar>
              <w:bottom w:w="28" w:type="dxa"/>
            </w:tcMar>
            <w:vAlign w:val="center"/>
          </w:tcPr>
          <w:p>
            <w:pPr>
              <w:pStyle w:val="TableContents"/>
              <w:bidi w:val="0"/>
              <w:spacing w:before="0" w:after="0"/>
              <w:jc w:val="left"/>
              <w:rPr/>
            </w:pPr>
            <w:r>
              <w:rPr/>
              <w:t>●   </w:t>
            </w:r>
            <w:r>
              <w:rPr>
                <w:rFonts w:ascii="ARIAL" w:hAnsi="ARIAL"/>
                <w:sz w:val="20"/>
              </w:rPr>
              <w:t>American Electric Power Co. Inc.</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First American Financial Corp.</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Marriott International</w:t>
            </w:r>
          </w:p>
        </w:tc>
      </w:tr>
    </w:tbl>
    <w:p>
      <w:pPr>
        <w:pStyle w:val="TextBody"/>
        <w:bidi w:val="0"/>
        <w:spacing w:before="240" w:after="0"/>
        <w:jc w:val="left"/>
        <w:rPr>
          <w:rFonts w:ascii="ARIAL" w:hAnsi="ARIAL"/>
          <w:sz w:val="20"/>
        </w:rPr>
      </w:pPr>
      <w:r>
        <w:rPr>
          <w:rFonts w:ascii="ARIAL" w:hAnsi="ARIAL"/>
          <w:sz w:val="20"/>
        </w:rPr>
        <w:t xml:space="preserve">Each nominee was recommended for re-election by the NCGCC for consideration by the Board and our stockholders. If, before the Annual Meeting, any nominee becomes unable to serve, or chooses not to serve, the Board may nominate a substitute. If that happens, the persons named as proxies on the proxy card will vote for the substitute. Alternatively, the Board may either let the vacancy stay unfilled until an appropriate candidate is identified or reduce the size of the Board to eliminate the unfilled seat, subject to the Stockholders Agreement (as defined below). </w:t>
      </w:r>
    </w:p>
    <w:p>
      <w:pPr>
        <w:pStyle w:val="TextBody"/>
        <w:bidi w:val="0"/>
        <w:spacing w:before="240" w:after="0"/>
        <w:jc w:val="left"/>
        <w:rPr>
          <w:rFonts w:ascii="ARIAL" w:hAnsi="ARIAL"/>
          <w:b/>
          <w:color w:val="1F497D"/>
          <w:sz w:val="20"/>
        </w:rPr>
      </w:pPr>
      <w:r>
        <w:rPr>
          <w:rFonts w:ascii="ARIAL" w:hAnsi="ARIAL"/>
          <w:b/>
          <w:color w:val="1F497D"/>
          <w:sz w:val="20"/>
        </w:rPr>
        <w:t xml:space="preserve">Director Nominees to Serve for a Three-Year Term Expiring at the 2027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92"/>
        <w:gridCol w:w="60"/>
        <w:gridCol w:w="8253"/>
      </w:tblGrid>
      <w:tr>
        <w:trPr/>
        <w:tc>
          <w:tcPr>
            <w:tcW w:w="1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53" w:type="dxa"/>
            <w:tcBorders/>
            <w:vAlign w:val="center"/>
          </w:tcPr>
          <w:p>
            <w:pPr>
              <w:pStyle w:val="TableContents"/>
              <w:bidi w:val="0"/>
              <w:spacing w:before="0" w:after="283"/>
              <w:jc w:val="left"/>
              <w:rPr>
                <w:sz w:val="4"/>
                <w:szCs w:val="4"/>
              </w:rPr>
            </w:pPr>
            <w:r>
              <w:rPr>
                <w:sz w:val="4"/>
                <w:szCs w:val="4"/>
              </w:rPr>
            </w:r>
          </w:p>
        </w:tc>
      </w:tr>
      <w:tr>
        <w:trPr/>
        <w:tc>
          <w:tcPr>
            <w:tcW w:w="1892" w:type="dxa"/>
            <w:tcBorders/>
            <w:vAlign w:val="center"/>
          </w:tcPr>
          <w:p>
            <w:pPr>
              <w:pStyle w:val="TableContents"/>
              <w:bidi w:val="0"/>
              <w:spacing w:before="0" w:after="0"/>
              <w:jc w:val="left"/>
              <w:rPr/>
            </w:pPr>
            <w:r>
              <w:rPr/>
              <w:drawing>
                <wp:inline distT="0" distB="0" distL="0" distR="0">
                  <wp:extent cx="1190625" cy="11144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90625" cy="1114425"/>
                          </a:xfrm>
                          <a:prstGeom prst="rect">
                            <a:avLst/>
                          </a:prstGeom>
                        </pic:spPr>
                      </pic:pic>
                    </a:graphicData>
                  </a:graphic>
                </wp:inline>
              </w:drawing>
            </w:r>
            <w:r>
              <w:rPr/>
              <w:t xml:space="preserve"> </w:t>
            </w:r>
          </w:p>
          <w:p>
            <w:pPr>
              <w:pStyle w:val="TableContents"/>
              <w:bidi w:val="0"/>
              <w:spacing w:before="0" w:after="20"/>
              <w:jc w:val="left"/>
              <w:rPr>
                <w:rFonts w:ascii="ARIAL" w:hAnsi="ARIAL"/>
                <w:b/>
                <w:i/>
                <w:color w:val="1F497D"/>
                <w:sz w:val="20"/>
              </w:rPr>
            </w:pPr>
            <w:r>
              <w:rPr>
                <w:rFonts w:ascii="ARIAL" w:hAnsi="ARIAL"/>
                <w:b/>
                <w:i/>
                <w:color w:val="1F497D"/>
                <w:sz w:val="20"/>
              </w:rPr>
              <w:t>Yon Jorden</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jc w:val="left"/>
              <w:rPr/>
            </w:pPr>
            <w:r>
              <w:rPr/>
              <w:t>Ms. Jorden has served as a member of our Board since January 2022. Ms. Jorden has served as a director and audit committee member of Cohu, Inc., a manufacturer of semiconductor equipment, since May 2021, and as a director of Capstone Green Energy Corp., a microturbine manufacturer, since April 2017. Additionally, she has served as a director and finance committee member of Methodist Health System, a not-for-profit Texas-based hospital system, since 2008. Prior to her current roles, Ms. Jorden served as director and a member of the audit committee for Maxwell Technologies, a manufacturer of energy storage and power delivery solutions, from 2008 to 2017. In addition, she also served as director and chairperson of the audit committee of Magnatek, Inc., a manufacturer of digital power control systems, U.S. Oncology, a privately held oncology services company, and BioScrip, a national provider of infusion and home care management solutions. During her business career, she served as chief financial officer of four publicly traded companies, including as Executive Vice President and Chief Financial Officer of AdvancePCS, a pharmacy benefits management company, from 2002 to 2004. Previously she was chief financial officer of Informix Corp. (now Ascential Software Corp.), a provider of information management software, Oxford Health Plans, a provider of managed health care services, and WellPoint, Inc., a managed care company. Earlier in her career, she was a senior auditor with Arthur Andersen &amp; Co., where she became a Certified Public Accountant (inactive) in the State of California. Ms. Jorden is a Board Leadership Fellow of the National Association of Corporate Directors. She</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893"/>
        <w:gridCol w:w="60"/>
        <w:gridCol w:w="8252"/>
      </w:tblGrid>
      <w:tr>
        <w:trPr/>
        <w:tc>
          <w:tcPr>
            <w:tcW w:w="18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52" w:type="dxa"/>
            <w:tcBorders/>
            <w:vAlign w:val="center"/>
          </w:tcPr>
          <w:p>
            <w:pPr>
              <w:pStyle w:val="TableContents"/>
              <w:bidi w:val="0"/>
              <w:spacing w:before="0" w:after="283"/>
              <w:jc w:val="left"/>
              <w:rPr>
                <w:sz w:val="4"/>
                <w:szCs w:val="4"/>
              </w:rPr>
            </w:pPr>
            <w:r>
              <w:rPr>
                <w:sz w:val="4"/>
                <w:szCs w:val="4"/>
              </w:rPr>
            </w:r>
          </w:p>
        </w:tc>
      </w:tr>
      <w:tr>
        <w:trPr/>
        <w:tc>
          <w:tcPr>
            <w:tcW w:w="18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52" w:type="dxa"/>
            <w:tcBorders/>
            <w:vAlign w:val="center"/>
          </w:tcPr>
          <w:p>
            <w:pPr>
              <w:pStyle w:val="TableContents"/>
              <w:bidi w:val="0"/>
              <w:spacing w:before="0" w:after="283"/>
              <w:jc w:val="left"/>
              <w:rPr/>
            </w:pPr>
            <w:r>
              <w:rPr/>
              <w:t>received her Bachelor of Science degree in Accounting from the California State University, Los Angeles. Ms. Jorden is a valuable member of our Board because of her extensive experience as a chief financial officer, her financial expertise and her experience as a director of multiple public and private companies.</w:t>
            </w:r>
          </w:p>
        </w:tc>
      </w:tr>
      <w:tr>
        <w:trPr/>
        <w:tc>
          <w:tcPr>
            <w:tcW w:w="1893" w:type="dxa"/>
            <w:tcBorders/>
            <w:vAlign w:val="center"/>
          </w:tcPr>
          <w:p>
            <w:pPr>
              <w:pStyle w:val="TableContents"/>
              <w:bidi w:val="0"/>
              <w:spacing w:before="0" w:after="283"/>
              <w:jc w:val="left"/>
              <w:rPr>
                <w:sz w:val="4"/>
                <w:szCs w:val="4"/>
              </w:rPr>
            </w:pPr>
            <w:r>
              <w:rPr>
                <w:sz w:val="4"/>
                <w:szCs w:val="4"/>
              </w:rPr>
            </w:r>
          </w:p>
        </w:tc>
        <w:tc>
          <w:tcPr>
            <w:tcW w:w="8312" w:type="dxa"/>
            <w:gridSpan w:val="2"/>
            <w:tcBorders/>
            <w:vAlign w:val="center"/>
          </w:tcPr>
          <w:p>
            <w:pPr>
              <w:pStyle w:val="TableContents"/>
              <w:bidi w:val="0"/>
              <w:spacing w:before="0" w:after="283"/>
              <w:jc w:val="left"/>
              <w:rPr>
                <w:sz w:val="4"/>
                <w:szCs w:val="4"/>
              </w:rPr>
            </w:pPr>
            <w:r>
              <w:rPr>
                <w:sz w:val="4"/>
                <w:szCs w:val="4"/>
              </w:rPr>
            </w:r>
          </w:p>
        </w:tc>
      </w:tr>
      <w:tr>
        <w:trPr/>
        <w:tc>
          <w:tcPr>
            <w:tcW w:w="1893" w:type="dxa"/>
            <w:tcBorders/>
            <w:vAlign w:val="center"/>
          </w:tcPr>
          <w:p>
            <w:pPr>
              <w:pStyle w:val="TableContents"/>
              <w:bidi w:val="0"/>
              <w:spacing w:before="0" w:after="0"/>
              <w:jc w:val="left"/>
              <w:rPr/>
            </w:pPr>
            <w:r>
              <w:rPr/>
              <w:drawing>
                <wp:inline distT="0" distB="0" distL="0" distR="0">
                  <wp:extent cx="1190625" cy="11144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90625" cy="1114425"/>
                          </a:xfrm>
                          <a:prstGeom prst="rect">
                            <a:avLst/>
                          </a:prstGeom>
                        </pic:spPr>
                      </pic:pic>
                    </a:graphicData>
                  </a:graphic>
                </wp:inline>
              </w:drawing>
            </w:r>
            <w:r>
              <w:rPr/>
              <w:t xml:space="preserve"> </w:t>
            </w:r>
          </w:p>
          <w:p>
            <w:pPr>
              <w:pStyle w:val="TableContents"/>
              <w:bidi w:val="0"/>
              <w:spacing w:before="0" w:after="20"/>
              <w:jc w:val="left"/>
              <w:rPr>
                <w:rFonts w:ascii="ARIAL" w:hAnsi="ARIAL"/>
                <w:b/>
                <w:i/>
                <w:color w:val="1F497D"/>
                <w:sz w:val="20"/>
              </w:rPr>
            </w:pPr>
            <w:r>
              <w:rPr>
                <w:rFonts w:ascii="ARIAL" w:hAnsi="ARIAL"/>
                <w:b/>
                <w:i/>
                <w:color w:val="1F497D"/>
                <w:sz w:val="20"/>
              </w:rPr>
              <w:t>John Kao</w:t>
            </w:r>
          </w:p>
        </w:tc>
        <w:tc>
          <w:tcPr>
            <w:tcW w:w="60" w:type="dxa"/>
            <w:tcBorders/>
            <w:vAlign w:val="center"/>
          </w:tcPr>
          <w:p>
            <w:pPr>
              <w:pStyle w:val="TableContents"/>
              <w:bidi w:val="0"/>
              <w:spacing w:before="0" w:after="283"/>
              <w:jc w:val="left"/>
              <w:rPr/>
            </w:pPr>
            <w:r>
              <w:rPr/>
              <w:t> </w:t>
            </w:r>
          </w:p>
        </w:tc>
        <w:tc>
          <w:tcPr>
            <w:tcW w:w="8252" w:type="dxa"/>
            <w:tcBorders/>
            <w:vAlign w:val="center"/>
          </w:tcPr>
          <w:p>
            <w:pPr>
              <w:pStyle w:val="TableContents"/>
              <w:bidi w:val="0"/>
              <w:spacing w:before="0" w:after="283"/>
              <w:jc w:val="left"/>
              <w:rPr/>
            </w:pPr>
            <w:r>
              <w:rPr/>
              <w:t>Mr. Kao has served as our Chief Executive Officer and as a member of our Board since 2014. Mr. Kao is our founder, and he was appointed as our Chief Executive Officer and to serve on our board of directors because of his extensive experience in managing organizations in the health care industry. Mr. Kao previously served as president of CareMore Medical Enterprises, Inc. (“CareMore”), which Mr. Kao and his partners acquired in 2006. In August 2011, CareMore was acquired by Wellpoint, Inc. Mr. Kao has also served as executive vice president at The TriZetto Group, and has served as president and CEO of the Ventures Division of PacifiCare Health Systems. While at PacifiCare, Mr. Kao was the chief financial officer at Secure Horizons USA. His earlier work included mergers and acquisitions with FHP International and investment banking with BancAmerica Securities, Inc. Mr. Kao received his Bachelor of Science degree from Santa Clara University and his MBA from the UCLA Anderson Graduate School of Management, where he was honored as a Venture Capital Fellow. Mr. Kao is qualified to serve on our Board because of his executive leadership experience and his extensive experience in the health care industry.</w:t>
            </w:r>
          </w:p>
        </w:tc>
      </w:tr>
      <w:tr>
        <w:trPr/>
        <w:tc>
          <w:tcPr>
            <w:tcW w:w="1893" w:type="dxa"/>
            <w:tcBorders/>
            <w:vAlign w:val="center"/>
          </w:tcPr>
          <w:p>
            <w:pPr>
              <w:pStyle w:val="TableContents"/>
              <w:bidi w:val="0"/>
              <w:spacing w:before="0" w:after="283"/>
              <w:jc w:val="left"/>
              <w:rPr>
                <w:sz w:val="4"/>
                <w:szCs w:val="4"/>
              </w:rPr>
            </w:pPr>
            <w:r>
              <w:rPr>
                <w:sz w:val="4"/>
                <w:szCs w:val="4"/>
              </w:rPr>
            </w:r>
          </w:p>
        </w:tc>
        <w:tc>
          <w:tcPr>
            <w:tcW w:w="8312" w:type="dxa"/>
            <w:gridSpan w:val="2"/>
            <w:tcBorders/>
            <w:vAlign w:val="center"/>
          </w:tcPr>
          <w:p>
            <w:pPr>
              <w:pStyle w:val="TableContents"/>
              <w:bidi w:val="0"/>
              <w:spacing w:before="0" w:after="283"/>
              <w:jc w:val="left"/>
              <w:rPr>
                <w:sz w:val="4"/>
                <w:szCs w:val="4"/>
              </w:rPr>
            </w:pPr>
            <w:r>
              <w:rPr>
                <w:sz w:val="4"/>
                <w:szCs w:val="4"/>
              </w:rPr>
            </w:r>
          </w:p>
        </w:tc>
      </w:tr>
      <w:tr>
        <w:trPr/>
        <w:tc>
          <w:tcPr>
            <w:tcW w:w="1893" w:type="dxa"/>
            <w:tcBorders/>
            <w:vAlign w:val="center"/>
          </w:tcPr>
          <w:p>
            <w:pPr>
              <w:pStyle w:val="TableContents"/>
              <w:bidi w:val="0"/>
              <w:spacing w:before="0" w:after="0"/>
              <w:jc w:val="left"/>
              <w:rPr/>
            </w:pPr>
            <w:r>
              <w:rPr/>
              <w:drawing>
                <wp:inline distT="0" distB="0" distL="0" distR="0">
                  <wp:extent cx="1190625" cy="11144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90625" cy="1114425"/>
                          </a:xfrm>
                          <a:prstGeom prst="rect">
                            <a:avLst/>
                          </a:prstGeom>
                        </pic:spPr>
                      </pic:pic>
                    </a:graphicData>
                  </a:graphic>
                </wp:inline>
              </w:drawing>
            </w:r>
            <w:r>
              <w:rPr/>
              <w:t xml:space="preserve"> </w:t>
            </w:r>
          </w:p>
          <w:p>
            <w:pPr>
              <w:pStyle w:val="TableContents"/>
              <w:bidi w:val="0"/>
              <w:spacing w:before="0" w:after="20"/>
              <w:jc w:val="left"/>
              <w:rPr>
                <w:rFonts w:ascii="ARIAL" w:hAnsi="ARIAL"/>
                <w:b/>
                <w:i/>
                <w:color w:val="1F497D"/>
                <w:sz w:val="20"/>
              </w:rPr>
            </w:pPr>
            <w:r>
              <w:rPr>
                <w:rFonts w:ascii="ARIAL" w:hAnsi="ARIAL"/>
                <w:b/>
                <w:i/>
                <w:color w:val="1F497D"/>
                <w:sz w:val="20"/>
              </w:rPr>
              <w:t>Joseph Konowiecki</w:t>
            </w:r>
          </w:p>
        </w:tc>
        <w:tc>
          <w:tcPr>
            <w:tcW w:w="60" w:type="dxa"/>
            <w:tcBorders/>
            <w:vAlign w:val="center"/>
          </w:tcPr>
          <w:p>
            <w:pPr>
              <w:pStyle w:val="TableContents"/>
              <w:bidi w:val="0"/>
              <w:spacing w:before="0" w:after="283"/>
              <w:jc w:val="left"/>
              <w:rPr/>
            </w:pPr>
            <w:r>
              <w:rPr/>
              <w:t> </w:t>
            </w:r>
          </w:p>
        </w:tc>
        <w:tc>
          <w:tcPr>
            <w:tcW w:w="8252" w:type="dxa"/>
            <w:tcBorders/>
            <w:vAlign w:val="center"/>
          </w:tcPr>
          <w:p>
            <w:pPr>
              <w:pStyle w:val="TableContents"/>
              <w:bidi w:val="0"/>
              <w:spacing w:before="0" w:after="283"/>
              <w:jc w:val="left"/>
              <w:rPr/>
            </w:pPr>
            <w:r>
              <w:rPr/>
              <w:t>Mr. Konowiecki has served as chairman of the Board since 2014. From October 2022 to December 2023, he served in an executive role with the Company, leading strategic network and business development. Since 2009, Mr. Konowiecki has served as managing partner of Moriah Partners, LLC and is the founder and CEO of Advanced Sports Media Group. Mr. Konowiecki previously served as Chairman and CEO of Apollo Enterprise Solutions, Inc. Mr. Konowiecki was previously CEO of Future Solutions with UnitedHealth Group’s Ovations division. Mr. Konowiecki has also held the positions of general counsel and executive vice president corporate affairs at PacifiCare Health Systems, Inc. In addition, he is a founding partner of the law firm Konowiecki &amp; Rank and serves as a member of the RAND Healthcare Advisory Board. Mr. Konowiecki received a Bachelor of Arts degree in Political Science from the University of California, Los Angeles and a JD from Hastings College. Mr. Konowiecki was appointed to serve on our board of directors because of his extensive experience in managing organizations as an executive officer and representing organizations in the health care industry.</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892"/>
        <w:gridCol w:w="60"/>
        <w:gridCol w:w="8253"/>
      </w:tblGrid>
      <w:tr>
        <w:trPr/>
        <w:tc>
          <w:tcPr>
            <w:tcW w:w="1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53" w:type="dxa"/>
            <w:tcBorders/>
            <w:vAlign w:val="center"/>
          </w:tcPr>
          <w:p>
            <w:pPr>
              <w:pStyle w:val="TableContents"/>
              <w:bidi w:val="0"/>
              <w:spacing w:before="0" w:after="283"/>
              <w:jc w:val="left"/>
              <w:rPr>
                <w:sz w:val="4"/>
                <w:szCs w:val="4"/>
              </w:rPr>
            </w:pPr>
            <w:r>
              <w:rPr>
                <w:sz w:val="4"/>
                <w:szCs w:val="4"/>
              </w:rPr>
            </w:r>
          </w:p>
        </w:tc>
      </w:tr>
      <w:tr>
        <w:trPr/>
        <w:tc>
          <w:tcPr>
            <w:tcW w:w="1892" w:type="dxa"/>
            <w:tcBorders/>
            <w:vAlign w:val="center"/>
          </w:tcPr>
          <w:p>
            <w:pPr>
              <w:pStyle w:val="TableContents"/>
              <w:bidi w:val="0"/>
              <w:spacing w:before="0" w:after="0"/>
              <w:jc w:val="left"/>
              <w:rPr/>
            </w:pPr>
            <w:r>
              <w:rPr/>
              <w:drawing>
                <wp:inline distT="0" distB="0" distL="0" distR="0">
                  <wp:extent cx="1190625" cy="11144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90625" cy="1114425"/>
                          </a:xfrm>
                          <a:prstGeom prst="rect">
                            <a:avLst/>
                          </a:prstGeom>
                        </pic:spPr>
                      </pic:pic>
                    </a:graphicData>
                  </a:graphic>
                </wp:inline>
              </w:drawing>
            </w:r>
            <w:r>
              <w:rPr/>
              <w:t xml:space="preserve"> </w:t>
            </w:r>
          </w:p>
          <w:p>
            <w:pPr>
              <w:pStyle w:val="TableContents"/>
              <w:bidi w:val="0"/>
              <w:spacing w:before="0" w:after="0"/>
              <w:jc w:val="left"/>
              <w:rPr>
                <w:rFonts w:ascii="ARIAL" w:hAnsi="ARIAL"/>
                <w:b/>
                <w:i/>
                <w:color w:val="1F497D"/>
                <w:sz w:val="20"/>
              </w:rPr>
            </w:pPr>
            <w:r>
              <w:rPr>
                <w:rFonts w:ascii="ARIAL" w:hAnsi="ARIAL"/>
                <w:b/>
                <w:i/>
                <w:color w:val="1F497D"/>
                <w:sz w:val="20"/>
              </w:rPr>
              <w:t>Margaret McCarthy</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jc w:val="left"/>
              <w:rPr/>
            </w:pPr>
            <w:r>
              <w:rPr/>
              <w:t>Ms. McCarthy has served as a member of our Board since December 2020 and as our Lead Independent Director in October 2022. Ms. McCarthy retired in June 2019 as executive vice president of CVS Health following the completion of CVS Health’s acquisition of Aetna in 2018. She served as Executive Vice President of Operations and Technology for Aetna from 2010 until 2018, where she was responsible for innovation, technology, data security, procurement, real estate and service operations. Prior to joining Aetna in 2003, she served in information technology-related roles at Cigna and Catholic Health Initiatives, among others. Ms. McCarthy also worked in technology consulting at Accenture and was a consulting partner at Ernst &amp; Young. She has served as a director of Marriott International since March 2019, of First American Financial since June 2015, and of American Electric Power Co. Inc. since April 2019. She was director at Brighthouse Financial from November 2018 until June 2021. She also served on various advisory boards, councils and private-company boards. Ms. McCarthy holds a bachelor’s degree from Providence College and a master’s degree in public health, hospital administration from Yale University. Given her extensive experience managing large groups of employees, complex processes and enterprise-critical technology, Ms. McCarthy brings to the board valuable insights into areas of critical import to our operations.</w:t>
            </w:r>
          </w:p>
        </w:tc>
      </w:tr>
    </w:tbl>
    <w:p>
      <w:pPr>
        <w:pStyle w:val="TextBody"/>
        <w:bidi w:val="0"/>
        <w:spacing w:before="240" w:after="0"/>
        <w:jc w:val="left"/>
        <w:rPr>
          <w:rFonts w:ascii="ARIAL" w:hAnsi="ARIAL"/>
          <w:b/>
          <w:i/>
          <w:color w:val="1F497D"/>
          <w:sz w:val="20"/>
        </w:rPr>
      </w:pPr>
      <w:r>
        <w:rPr>
          <w:rFonts w:ascii="ARIAL" w:hAnsi="ARIAL"/>
          <w:b/>
          <w:i/>
          <w:color w:val="1F497D"/>
          <w:sz w:val="20"/>
        </w:rPr>
        <w:t xml:space="preserve">Vote Required and Recommendation of the Board of Directors </w:t>
      </w:r>
    </w:p>
    <w:p>
      <w:pPr>
        <w:pStyle w:val="TextBody"/>
        <w:bidi w:val="0"/>
        <w:spacing w:before="240" w:after="0"/>
        <w:jc w:val="left"/>
        <w:rPr>
          <w:rFonts w:ascii="ARIAL" w:hAnsi="ARIAL"/>
          <w:sz w:val="20"/>
        </w:rPr>
      </w:pPr>
      <w:r>
        <w:rPr>
          <w:rFonts w:ascii="ARIAL" w:hAnsi="ARIAL"/>
          <w:sz w:val="20"/>
        </w:rPr>
        <w:t xml:space="preserve">A plurality of the votes cast by the shares of common stock present in person or represented by proxy at the Annual Meeting and entitled to vote thereon is required to elect each nominee named herein. This means that the four nominees receiving the highest number of votes at the Annual Meeting will be elected, even if those votes do not constitute a majority of the votes cast. Shares not present at the Annual Meeting and broker non-votes have no effect on the election of directors. Abstentions are not applicable to this vote. </w:t>
      </w:r>
    </w:p>
    <w:p>
      <w:pPr>
        <w:pStyle w:val="TextBody"/>
        <w:bidi w:val="0"/>
        <w:spacing w:before="0" w:after="0"/>
        <w:jc w:val="left"/>
        <w:rPr/>
      </w:pPr>
      <w:r>
        <w:rPr/>
        <w:t> </w:t>
      </w:r>
    </w:p>
    <w:tbl>
      <w:tblPr>
        <w:tblW w:w="7445" w:type="dxa"/>
        <w:jc w:val="left"/>
        <w:tblInd w:w="0" w:type="dxa"/>
        <w:tblLayout w:type="fixed"/>
        <w:tblCellMar>
          <w:top w:w="0" w:type="dxa"/>
          <w:left w:w="0" w:type="dxa"/>
          <w:bottom w:w="0" w:type="dxa"/>
          <w:right w:w="0" w:type="dxa"/>
        </w:tblCellMar>
      </w:tblPr>
      <w:tblGrid>
        <w:gridCol w:w="7445"/>
      </w:tblGrid>
      <w:tr>
        <w:trPr/>
        <w:tc>
          <w:tcPr>
            <w:tcW w:w="7445" w:type="dxa"/>
            <w:tcBorders/>
            <w:vAlign w:val="center"/>
          </w:tcPr>
          <w:p>
            <w:pPr>
              <w:pStyle w:val="TableContents"/>
              <w:bidi w:val="0"/>
              <w:spacing w:before="0" w:after="283"/>
              <w:jc w:val="left"/>
              <w:rPr>
                <w:sz w:val="4"/>
                <w:szCs w:val="4"/>
              </w:rPr>
            </w:pPr>
            <w:r>
              <w:rPr>
                <w:sz w:val="4"/>
                <w:szCs w:val="4"/>
              </w:rPr>
            </w:r>
          </w:p>
        </w:tc>
      </w:tr>
      <w:tr>
        <w:trPr/>
        <w:tc>
          <w:tcPr>
            <w:tcW w:w="7445" w:type="dxa"/>
            <w:tcBorders>
              <w:top w:val="single" w:sz="6" w:space="0" w:color="000000"/>
              <w:left w:val="single" w:sz="6" w:space="0" w:color="000000"/>
              <w:right w:val="single" w:sz="6" w:space="0" w:color="000000"/>
            </w:tcBorders>
            <w:shd w:fill="DBE5F1" w:val="clear"/>
            <w:tcMar>
              <w:top w:w="28" w:type="dxa"/>
              <w:left w:w="160" w:type="dxa"/>
              <w:right w:w="28" w:type="dxa"/>
            </w:tcMar>
            <w:vAlign w:val="center"/>
          </w:tcPr>
          <w:p>
            <w:pPr>
              <w:pStyle w:val="TableContents"/>
              <w:bidi w:val="0"/>
              <w:spacing w:before="0" w:after="283"/>
              <w:jc w:val="left"/>
              <w:rPr/>
            </w:pPr>
            <w:r>
              <w:rPr/>
              <w:t> </w:t>
            </w:r>
          </w:p>
        </w:tc>
      </w:tr>
      <w:tr>
        <w:trPr/>
        <w:tc>
          <w:tcPr>
            <w:tcW w:w="7445" w:type="dxa"/>
            <w:tcBorders>
              <w:left w:val="single" w:sz="6" w:space="0" w:color="000000"/>
              <w:bottom w:val="single" w:sz="6" w:space="0" w:color="000000"/>
              <w:right w:val="single" w:sz="6" w:space="0" w:color="000000"/>
            </w:tcBorders>
            <w:shd w:fill="DBE5F1" w:val="clear"/>
            <w:tcMar>
              <w:left w:w="160" w:type="dxa"/>
              <w:bottom w:w="160" w:type="dxa"/>
              <w:right w:w="40" w:type="dxa"/>
            </w:tcMar>
            <w:vAlign w:val="center"/>
          </w:tcPr>
          <w:p>
            <w:pPr>
              <w:pStyle w:val="TableContents"/>
              <w:bidi w:val="0"/>
              <w:spacing w:before="0" w:after="283"/>
              <w:jc w:val="center"/>
              <w:rPr>
                <w:b/>
              </w:rPr>
            </w:pPr>
            <w:r>
              <w:rPr>
                <w:b/>
              </w:rPr>
              <w:t xml:space="preserve">THE BOARD OF DIRECTORS RECOMMENDS THAT YOU VOTE </w:t>
              <w:br/>
              <w:t>“FOR” EACH OF THE ABOVE DIRECTOR NOMINEES.</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 </w:t>
      </w:r>
      <w:r>
        <w:br w:type="page"/>
      </w:r>
    </w:p>
    <w:p>
      <w:pPr>
        <w:pStyle w:val="HorizontalLine"/>
        <w:bidi w:val="0"/>
        <w:jc w:val="left"/>
        <w:rPr/>
      </w:pPr>
      <w:r>
        <w:rPr/>
      </w:r>
    </w:p>
    <w:p>
      <w:pPr>
        <w:pStyle w:val="TextBody"/>
        <w:bidi w:val="0"/>
        <w:spacing w:before="0" w:after="0"/>
        <w:jc w:val="left"/>
        <w:rPr>
          <w:rFonts w:ascii="ARIAL" w:hAnsi="ARIAL"/>
          <w:b/>
          <w:color w:val="1F497D"/>
          <w:sz w:val="20"/>
        </w:rPr>
      </w:pPr>
      <w:bookmarkStart w:id="6" w:name="txa496243_4"/>
      <w:bookmarkEnd w:id="6"/>
      <w:r>
        <w:rPr>
          <w:rFonts w:ascii="ARIAL" w:hAnsi="ARIAL"/>
          <w:b/>
          <w:color w:val="1F497D"/>
          <w:sz w:val="20"/>
        </w:rPr>
        <w:t xml:space="preserve">Continuing Directors </w:t>
      </w:r>
    </w:p>
    <w:p>
      <w:pPr>
        <w:pStyle w:val="TextBody"/>
        <w:bidi w:val="0"/>
        <w:spacing w:before="240" w:after="0"/>
        <w:jc w:val="left"/>
        <w:rPr>
          <w:rFonts w:ascii="ARIAL" w:hAnsi="ARIAL"/>
          <w:sz w:val="20"/>
        </w:rPr>
      </w:pPr>
      <w:r>
        <w:rPr>
          <w:rFonts w:ascii="ARIAL" w:hAnsi="ARIAL"/>
          <w:sz w:val="20"/>
        </w:rPr>
        <w:t xml:space="preserve">The following table summarizes key facts regarding the members of our Board whose terms are continuing beyond the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40"/>
        <w:gridCol w:w="120"/>
        <w:gridCol w:w="708"/>
        <w:gridCol w:w="120"/>
        <w:gridCol w:w="425"/>
        <w:gridCol w:w="120"/>
        <w:gridCol w:w="875"/>
        <w:gridCol w:w="120"/>
        <w:gridCol w:w="800"/>
        <w:gridCol w:w="120"/>
        <w:gridCol w:w="1310"/>
        <w:gridCol w:w="120"/>
        <w:gridCol w:w="1385"/>
        <w:gridCol w:w="120"/>
        <w:gridCol w:w="2622"/>
      </w:tblGrid>
      <w:tr>
        <w:trPr/>
        <w:tc>
          <w:tcPr>
            <w:tcW w:w="12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r>
      <w:tr>
        <w:trPr/>
        <w:tc>
          <w:tcPr>
            <w:tcW w:w="1240" w:type="dxa"/>
            <w:tcBorders/>
            <w:vAlign w:val="center"/>
          </w:tcPr>
          <w:p>
            <w:pPr>
              <w:pStyle w:val="TableContents"/>
              <w:bidi w:val="0"/>
              <w:spacing w:before="0" w:after="283"/>
              <w:jc w:val="left"/>
              <w:rPr>
                <w:sz w:val="4"/>
                <w:szCs w:val="4"/>
              </w:rPr>
            </w:pPr>
            <w:r>
              <w:rPr>
                <w:sz w:val="4"/>
                <w:szCs w:val="4"/>
              </w:rPr>
            </w:r>
          </w:p>
        </w:tc>
        <w:tc>
          <w:tcPr>
            <w:tcW w:w="828" w:type="dxa"/>
            <w:gridSpan w:val="2"/>
            <w:tcBorders/>
            <w:vAlign w:val="center"/>
          </w:tcPr>
          <w:p>
            <w:pPr>
              <w:pStyle w:val="TableContents"/>
              <w:bidi w:val="0"/>
              <w:spacing w:before="0" w:after="283"/>
              <w:jc w:val="left"/>
              <w:rPr>
                <w:sz w:val="4"/>
                <w:szCs w:val="4"/>
              </w:rPr>
            </w:pPr>
            <w:r>
              <w:rPr>
                <w:sz w:val="4"/>
                <w:szCs w:val="4"/>
              </w:rPr>
            </w:r>
          </w:p>
        </w:tc>
        <w:tc>
          <w:tcPr>
            <w:tcW w:w="545"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vAlign w:val="center"/>
          </w:tcPr>
          <w:p>
            <w:pPr>
              <w:pStyle w:val="TableContents"/>
              <w:bidi w:val="0"/>
              <w:spacing w:before="0" w:after="283"/>
              <w:jc w:val="left"/>
              <w:rPr>
                <w:sz w:val="4"/>
                <w:szCs w:val="4"/>
              </w:rPr>
            </w:pPr>
            <w:r>
              <w:rPr>
                <w:sz w:val="4"/>
                <w:szCs w:val="4"/>
              </w:rPr>
            </w:r>
          </w:p>
        </w:tc>
        <w:tc>
          <w:tcPr>
            <w:tcW w:w="920"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r>
      <w:tr>
        <w:trPr/>
        <w:tc>
          <w:tcPr>
            <w:tcW w:w="1240" w:type="dxa"/>
            <w:tcBorders>
              <w:bottom w:val="single" w:sz="6" w:space="0" w:color="95B3D7"/>
            </w:tcBorders>
            <w:tcMar>
              <w:bottom w:w="28" w:type="dxa"/>
            </w:tcMar>
            <w:vAlign w:val="center"/>
          </w:tcPr>
          <w:p>
            <w:pPr>
              <w:pStyle w:val="TableContents"/>
              <w:bidi w:val="0"/>
              <w:spacing w:before="0" w:after="283"/>
              <w:jc w:val="left"/>
              <w:rPr/>
            </w:pPr>
            <w:r>
              <w:rPr/>
              <w:t>  </w:t>
            </w:r>
            <w:r>
              <w:rPr>
                <w:b/>
              </w:rPr>
              <w:t>Name</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708" w:type="dxa"/>
            <w:tcBorders>
              <w:bottom w:val="single" w:sz="6" w:space="0" w:color="95B3D7"/>
            </w:tcBorders>
            <w:tcMar>
              <w:bottom w:w="28" w:type="dxa"/>
            </w:tcMar>
            <w:vAlign w:val="center"/>
          </w:tcPr>
          <w:p>
            <w:pPr>
              <w:pStyle w:val="TableContents"/>
              <w:bidi w:val="0"/>
              <w:spacing w:before="0" w:after="283"/>
              <w:jc w:val="left"/>
              <w:rPr/>
            </w:pPr>
            <w:r>
              <w:rPr/>
              <w:t> </w:t>
            </w:r>
            <w:r>
              <w:rPr>
                <w:b/>
              </w:rPr>
              <w:t>Class</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425" w:type="dxa"/>
            <w:tcBorders>
              <w:bottom w:val="single" w:sz="6" w:space="0" w:color="95B3D7"/>
            </w:tcBorders>
            <w:tcMar>
              <w:bottom w:w="28" w:type="dxa"/>
            </w:tcMar>
            <w:vAlign w:val="center"/>
          </w:tcPr>
          <w:p>
            <w:pPr>
              <w:pStyle w:val="TableContents"/>
              <w:bidi w:val="0"/>
              <w:spacing w:before="0" w:after="283"/>
              <w:jc w:val="center"/>
              <w:rPr>
                <w:b/>
              </w:rPr>
            </w:pPr>
            <w:r>
              <w:rPr>
                <w:b/>
              </w:rPr>
              <w:t>Age</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875" w:type="dxa"/>
            <w:tcBorders>
              <w:bottom w:val="single" w:sz="6" w:space="0" w:color="95B3D7"/>
            </w:tcBorders>
            <w:tcMar>
              <w:bottom w:w="28" w:type="dxa"/>
            </w:tcMar>
            <w:vAlign w:val="center"/>
          </w:tcPr>
          <w:p>
            <w:pPr>
              <w:pStyle w:val="TableContents"/>
              <w:bidi w:val="0"/>
              <w:spacing w:before="0" w:after="283"/>
              <w:jc w:val="left"/>
              <w:rPr>
                <w:b/>
              </w:rPr>
            </w:pPr>
            <w:r>
              <w:rPr>
                <w:b/>
              </w:rPr>
              <w:t>Director</w:t>
              <w:br/>
              <w:t>Since</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800" w:type="dxa"/>
            <w:tcBorders>
              <w:bottom w:val="single" w:sz="6" w:space="0" w:color="95B3D7"/>
            </w:tcBorders>
            <w:tcMar>
              <w:bottom w:w="28" w:type="dxa"/>
            </w:tcMar>
            <w:vAlign w:val="center"/>
          </w:tcPr>
          <w:p>
            <w:pPr>
              <w:pStyle w:val="TableContents"/>
              <w:bidi w:val="0"/>
              <w:spacing w:before="0" w:after="283"/>
              <w:jc w:val="left"/>
              <w:rPr>
                <w:b/>
              </w:rPr>
            </w:pPr>
            <w:r>
              <w:rPr>
                <w:b/>
              </w:rPr>
              <w:t>Term</w:t>
              <w:br/>
              <w:t>Expires</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310" w:type="dxa"/>
            <w:tcBorders>
              <w:bottom w:val="single" w:sz="6" w:space="0" w:color="95B3D7"/>
            </w:tcBorders>
            <w:tcMar>
              <w:bottom w:w="28" w:type="dxa"/>
            </w:tcMar>
            <w:vAlign w:val="center"/>
          </w:tcPr>
          <w:p>
            <w:pPr>
              <w:pStyle w:val="TableContents"/>
              <w:bidi w:val="0"/>
              <w:spacing w:before="0" w:after="283"/>
              <w:jc w:val="left"/>
              <w:rPr>
                <w:b/>
              </w:rPr>
            </w:pPr>
            <w:r>
              <w:rPr>
                <w:b/>
              </w:rPr>
              <w:t>Independent</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385" w:type="dxa"/>
            <w:tcBorders>
              <w:bottom w:val="single" w:sz="6" w:space="0" w:color="95B3D7"/>
            </w:tcBorders>
            <w:tcMar>
              <w:bottom w:w="28" w:type="dxa"/>
            </w:tcMar>
            <w:vAlign w:val="center"/>
          </w:tcPr>
          <w:p>
            <w:pPr>
              <w:pStyle w:val="TableContents"/>
              <w:bidi w:val="0"/>
              <w:spacing w:before="0" w:after="283"/>
              <w:jc w:val="left"/>
              <w:rPr>
                <w:b/>
              </w:rPr>
            </w:pPr>
            <w:r>
              <w:rPr>
                <w:b/>
              </w:rPr>
              <w:t>Committees</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2622" w:type="dxa"/>
            <w:tcBorders>
              <w:bottom w:val="single" w:sz="6" w:space="0" w:color="95B3D7"/>
            </w:tcBorders>
            <w:tcMar>
              <w:bottom w:w="28" w:type="dxa"/>
            </w:tcMar>
            <w:vAlign w:val="center"/>
          </w:tcPr>
          <w:p>
            <w:pPr>
              <w:pStyle w:val="TableContents"/>
              <w:bidi w:val="0"/>
              <w:spacing w:before="0" w:after="283"/>
              <w:jc w:val="left"/>
              <w:rPr>
                <w:b/>
              </w:rPr>
            </w:pPr>
            <w:r>
              <w:rPr>
                <w:b/>
              </w:rPr>
              <w:t>Other Public</w:t>
              <w:br/>
              <w:t>Company Boards</w:t>
            </w:r>
          </w:p>
        </w:tc>
      </w:tr>
      <w:tr>
        <w:trPr/>
        <w:tc>
          <w:tcPr>
            <w:tcW w:w="1240" w:type="dxa"/>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828"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545"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995"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920"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1430"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1505"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2742" w:type="dxa"/>
            <w:gridSpan w:val="2"/>
            <w:tcBorders/>
            <w:shd w:fill="DBE5F1" w:val="clear"/>
            <w:vAlign w:val="center"/>
          </w:tcPr>
          <w:p>
            <w:pPr>
              <w:pStyle w:val="TableContents"/>
              <w:bidi w:val="0"/>
              <w:spacing w:before="0" w:after="283"/>
              <w:jc w:val="left"/>
              <w:rPr>
                <w:sz w:val="4"/>
                <w:szCs w:val="4"/>
              </w:rPr>
            </w:pPr>
            <w:r>
              <w:rPr>
                <w:sz w:val="4"/>
                <w:szCs w:val="4"/>
              </w:rPr>
            </w:r>
          </w:p>
        </w:tc>
      </w:tr>
      <w:tr>
        <w:trPr/>
        <w:tc>
          <w:tcPr>
            <w:tcW w:w="124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0"/>
              <w:jc w:val="left"/>
              <w:rPr>
                <w:rFonts w:ascii="ARIAL" w:hAnsi="ARIAL"/>
                <w:sz w:val="18"/>
              </w:rPr>
            </w:pPr>
            <w:r>
              <w:rPr>
                <w:rFonts w:ascii="ARIAL" w:hAnsi="ARIAL"/>
                <w:sz w:val="18"/>
              </w:rPr>
              <w:t>Thomas</w:t>
            </w:r>
          </w:p>
          <w:p>
            <w:pPr>
              <w:pStyle w:val="TableContents"/>
              <w:bidi w:val="0"/>
              <w:spacing w:before="0" w:after="20"/>
              <w:jc w:val="left"/>
              <w:rPr>
                <w:rFonts w:ascii="ARIAL" w:hAnsi="ARIAL"/>
                <w:sz w:val="18"/>
              </w:rPr>
            </w:pPr>
            <w:r>
              <w:rPr>
                <w:rFonts w:ascii="ARIAL" w:hAnsi="ARIAL"/>
                <w:sz w:val="18"/>
              </w:rPr>
              <w:t>Carella</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708"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pPr>
            <w:r>
              <w:rPr/>
              <w:t>I 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42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pPr>
            <w:r>
              <w:rPr/>
              <w:t>49</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87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pPr>
            <w:r>
              <w:rPr/>
              <w:t>2017</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80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pPr>
            <w:r>
              <w:rPr/>
              <w:t>2025</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31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pPr>
            <w:r>
              <w:rPr/>
              <w:t>Yes</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38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Compensation</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2622" w:type="dxa"/>
            <w:tcBorders>
              <w:bottom w:val="single" w:sz="6" w:space="0" w:color="95B3D7"/>
            </w:tcBorders>
            <w:shd w:fill="DBE5F1" w:val="clear"/>
            <w:tcMar>
              <w:bottom w:w="28" w:type="dxa"/>
            </w:tcMar>
            <w:vAlign w:val="center"/>
          </w:tcPr>
          <w:p>
            <w:pPr>
              <w:pStyle w:val="TableContents"/>
              <w:bidi w:val="0"/>
              <w:spacing w:before="0" w:after="283"/>
              <w:jc w:val="left"/>
              <w:rPr/>
            </w:pPr>
            <w:r>
              <w:rPr/>
              <w:t>—</w:t>
            </w:r>
          </w:p>
        </w:tc>
      </w:tr>
      <w:tr>
        <w:trPr/>
        <w:tc>
          <w:tcPr>
            <w:tcW w:w="1240" w:type="dxa"/>
            <w:tcBorders>
              <w:right w:val="single" w:sz="6" w:space="0" w:color="95B3D7"/>
            </w:tcBorders>
            <w:tcMar>
              <w:right w:w="28" w:type="dxa"/>
            </w:tcMar>
            <w:vAlign w:val="center"/>
          </w:tcPr>
          <w:p>
            <w:pPr>
              <w:pStyle w:val="TableContents"/>
              <w:bidi w:val="0"/>
              <w:spacing w:before="0" w:after="283"/>
              <w:jc w:val="left"/>
              <w:rPr/>
            </w:pPr>
            <w:r>
              <w:rPr/>
              <w:t> </w:t>
            </w:r>
          </w:p>
        </w:tc>
        <w:tc>
          <w:tcPr>
            <w:tcW w:w="828" w:type="dxa"/>
            <w:gridSpan w:val="2"/>
            <w:tcBorders>
              <w:right w:val="single" w:sz="6" w:space="0" w:color="95B3D7"/>
            </w:tcBorders>
            <w:tcMar>
              <w:right w:w="28" w:type="dxa"/>
            </w:tcMar>
            <w:vAlign w:val="center"/>
          </w:tcPr>
          <w:p>
            <w:pPr>
              <w:pStyle w:val="TableContents"/>
              <w:bidi w:val="0"/>
              <w:spacing w:before="0" w:after="283"/>
              <w:jc w:val="left"/>
              <w:rPr/>
            </w:pPr>
            <w:r>
              <w:rPr/>
              <w:t> </w:t>
            </w:r>
          </w:p>
        </w:tc>
        <w:tc>
          <w:tcPr>
            <w:tcW w:w="545" w:type="dxa"/>
            <w:gridSpan w:val="2"/>
            <w:tcBorders>
              <w:right w:val="single" w:sz="6" w:space="0" w:color="95B3D7"/>
            </w:tcBorders>
            <w:tcMar>
              <w:right w:w="28" w:type="dxa"/>
            </w:tcMar>
            <w:vAlign w:val="center"/>
          </w:tcPr>
          <w:p>
            <w:pPr>
              <w:pStyle w:val="TableContents"/>
              <w:bidi w:val="0"/>
              <w:spacing w:before="0" w:after="283"/>
              <w:jc w:val="left"/>
              <w:rPr/>
            </w:pPr>
            <w:r>
              <w:rPr/>
              <w:t> </w:t>
            </w:r>
          </w:p>
        </w:tc>
        <w:tc>
          <w:tcPr>
            <w:tcW w:w="995" w:type="dxa"/>
            <w:gridSpan w:val="2"/>
            <w:tcBorders>
              <w:right w:val="single" w:sz="6" w:space="0" w:color="95B3D7"/>
            </w:tcBorders>
            <w:tcMar>
              <w:right w:w="28" w:type="dxa"/>
            </w:tcMar>
            <w:vAlign w:val="center"/>
          </w:tcPr>
          <w:p>
            <w:pPr>
              <w:pStyle w:val="TableContents"/>
              <w:bidi w:val="0"/>
              <w:spacing w:before="0" w:after="283"/>
              <w:jc w:val="left"/>
              <w:rPr/>
            </w:pPr>
            <w:r>
              <w:rPr/>
              <w:t> </w:t>
            </w:r>
          </w:p>
        </w:tc>
        <w:tc>
          <w:tcPr>
            <w:tcW w:w="920" w:type="dxa"/>
            <w:gridSpan w:val="2"/>
            <w:tcBorders>
              <w:right w:val="single" w:sz="6" w:space="0" w:color="95B3D7"/>
            </w:tcBorders>
            <w:tcMar>
              <w:right w:w="28" w:type="dxa"/>
            </w:tcMar>
            <w:vAlign w:val="center"/>
          </w:tcPr>
          <w:p>
            <w:pPr>
              <w:pStyle w:val="TableContents"/>
              <w:bidi w:val="0"/>
              <w:spacing w:before="0" w:after="283"/>
              <w:jc w:val="left"/>
              <w:rPr/>
            </w:pPr>
            <w:r>
              <w:rPr/>
              <w:t> </w:t>
            </w:r>
          </w:p>
        </w:tc>
        <w:tc>
          <w:tcPr>
            <w:tcW w:w="1430" w:type="dxa"/>
            <w:gridSpan w:val="2"/>
            <w:tcBorders>
              <w:right w:val="single" w:sz="6" w:space="0" w:color="95B3D7"/>
            </w:tcBorders>
            <w:tcMar>
              <w:right w:w="28" w:type="dxa"/>
            </w:tcMar>
            <w:vAlign w:val="center"/>
          </w:tcPr>
          <w:p>
            <w:pPr>
              <w:pStyle w:val="TableContents"/>
              <w:bidi w:val="0"/>
              <w:spacing w:before="0" w:after="283"/>
              <w:jc w:val="left"/>
              <w:rPr/>
            </w:pPr>
            <w:r>
              <w:rPr/>
              <w:t> </w:t>
            </w:r>
          </w:p>
        </w:tc>
        <w:tc>
          <w:tcPr>
            <w:tcW w:w="1505" w:type="dxa"/>
            <w:gridSpan w:val="2"/>
            <w:tcBorders>
              <w:right w:val="single" w:sz="6" w:space="0" w:color="95B3D7"/>
            </w:tcBorders>
            <w:tcMar>
              <w:right w:w="28" w:type="dxa"/>
            </w:tcMar>
            <w:vAlign w:val="center"/>
          </w:tcPr>
          <w:p>
            <w:pPr>
              <w:pStyle w:val="TableContents"/>
              <w:bidi w:val="0"/>
              <w:spacing w:before="0" w:after="283"/>
              <w:jc w:val="left"/>
              <w:rPr/>
            </w:pPr>
            <w:r>
              <w:rPr/>
              <w:t> </w:t>
            </w:r>
          </w:p>
        </w:tc>
        <w:tc>
          <w:tcPr>
            <w:tcW w:w="2742" w:type="dxa"/>
            <w:gridSpan w:val="2"/>
            <w:tcBorders/>
            <w:vAlign w:val="center"/>
          </w:tcPr>
          <w:p>
            <w:pPr>
              <w:pStyle w:val="TableContents"/>
              <w:bidi w:val="0"/>
              <w:spacing w:before="0" w:after="283"/>
              <w:jc w:val="left"/>
              <w:rPr>
                <w:sz w:val="4"/>
                <w:szCs w:val="4"/>
              </w:rPr>
            </w:pPr>
            <w:r>
              <w:rPr>
                <w:sz w:val="4"/>
                <w:szCs w:val="4"/>
              </w:rPr>
            </w:r>
          </w:p>
        </w:tc>
      </w:tr>
      <w:tr>
        <w:trPr/>
        <w:tc>
          <w:tcPr>
            <w:tcW w:w="1240" w:type="dxa"/>
            <w:tcBorders>
              <w:bottom w:val="single" w:sz="6" w:space="0" w:color="95B3D7"/>
              <w:right w:val="single" w:sz="6" w:space="0" w:color="95B3D7"/>
            </w:tcBorders>
            <w:tcMar>
              <w:bottom w:w="28" w:type="dxa"/>
              <w:right w:w="28" w:type="dxa"/>
            </w:tcMar>
            <w:vAlign w:val="center"/>
          </w:tcPr>
          <w:p>
            <w:pPr>
              <w:pStyle w:val="TableContents"/>
              <w:bidi w:val="0"/>
              <w:spacing w:before="0" w:after="0"/>
              <w:jc w:val="left"/>
              <w:rPr>
                <w:rFonts w:ascii="ARIAL" w:hAnsi="ARIAL"/>
                <w:sz w:val="18"/>
              </w:rPr>
            </w:pPr>
            <w:r>
              <w:rPr>
                <w:rFonts w:ascii="ARIAL" w:hAnsi="ARIAL"/>
                <w:sz w:val="18"/>
              </w:rPr>
              <w:t>Mark</w:t>
            </w:r>
          </w:p>
          <w:p>
            <w:pPr>
              <w:pStyle w:val="TableContents"/>
              <w:bidi w:val="0"/>
              <w:spacing w:before="0" w:after="20"/>
              <w:jc w:val="left"/>
              <w:rPr>
                <w:rFonts w:ascii="ARIAL" w:hAnsi="ARIAL"/>
                <w:sz w:val="18"/>
              </w:rPr>
            </w:pPr>
            <w:r>
              <w:rPr>
                <w:rFonts w:ascii="ARIAL" w:hAnsi="ARIAL"/>
                <w:sz w:val="18"/>
              </w:rPr>
              <w:t>McClellan</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708"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sz w:val="18"/>
              </w:rPr>
            </w:pPr>
            <w:r>
              <w:rPr>
                <w:sz w:val="18"/>
              </w:rPr>
              <w:t>I 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425"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sz w:val="18"/>
              </w:rPr>
            </w:pPr>
            <w:r>
              <w:rPr>
                <w:sz w:val="18"/>
              </w:rPr>
              <w:t>60</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875"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sz w:val="18"/>
              </w:rPr>
            </w:pPr>
            <w:r>
              <w:rPr>
                <w:sz w:val="18"/>
              </w:rPr>
              <w:t>2014</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80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sz w:val="18"/>
              </w:rPr>
            </w:pPr>
            <w:r>
              <w:rPr>
                <w:sz w:val="18"/>
              </w:rPr>
              <w:t>2025</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31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sz w:val="18"/>
              </w:rPr>
            </w:pPr>
            <w:r>
              <w:rPr>
                <w:sz w:val="18"/>
              </w:rPr>
              <w:t>Yes</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385"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2622" w:type="dxa"/>
            <w:tcBorders>
              <w:bottom w:val="single" w:sz="6" w:space="0" w:color="95B3D7"/>
            </w:tcBorders>
            <w:tcMar>
              <w:bottom w:w="28" w:type="dxa"/>
            </w:tcMar>
            <w:vAlign w:val="center"/>
          </w:tcPr>
          <w:p>
            <w:pPr>
              <w:pStyle w:val="TableContents"/>
              <w:bidi w:val="0"/>
              <w:spacing w:before="0" w:after="0"/>
              <w:jc w:val="left"/>
              <w:rPr/>
            </w:pPr>
            <w:r>
              <w:rPr/>
              <w:t>●  </w:t>
            </w:r>
            <w:r>
              <w:rPr>
                <w:rFonts w:ascii="ARIAL" w:hAnsi="ARIAL"/>
                <w:sz w:val="20"/>
              </w:rPr>
              <w:t>Cigna Corporation</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Johnson &amp; Johnson</w:t>
            </w:r>
          </w:p>
          <w:p>
            <w:pPr>
              <w:pStyle w:val="TableContents"/>
              <w:bidi w:val="0"/>
              <w:spacing w:before="0" w:after="20"/>
              <w:jc w:val="left"/>
              <w:rPr/>
            </w:pPr>
            <w:r>
              <w:rPr/>
              <w:t> </w:t>
            </w:r>
          </w:p>
        </w:tc>
      </w:tr>
      <w:tr>
        <w:trPr/>
        <w:tc>
          <w:tcPr>
            <w:tcW w:w="1240" w:type="dxa"/>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828"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545"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995"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920"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1430"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1505"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2742" w:type="dxa"/>
            <w:gridSpan w:val="2"/>
            <w:tcBorders/>
            <w:shd w:fill="DBE5F1" w:val="clear"/>
            <w:vAlign w:val="center"/>
          </w:tcPr>
          <w:p>
            <w:pPr>
              <w:pStyle w:val="TableContents"/>
              <w:bidi w:val="0"/>
              <w:spacing w:before="0" w:after="283"/>
              <w:jc w:val="left"/>
              <w:rPr>
                <w:sz w:val="4"/>
                <w:szCs w:val="4"/>
              </w:rPr>
            </w:pPr>
            <w:r>
              <w:rPr>
                <w:sz w:val="4"/>
                <w:szCs w:val="4"/>
              </w:rPr>
            </w:r>
          </w:p>
        </w:tc>
      </w:tr>
      <w:tr>
        <w:trPr/>
        <w:tc>
          <w:tcPr>
            <w:tcW w:w="124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0"/>
              <w:jc w:val="left"/>
              <w:rPr>
                <w:rFonts w:ascii="ARIAL" w:hAnsi="ARIAL"/>
                <w:sz w:val="18"/>
              </w:rPr>
            </w:pPr>
            <w:r>
              <w:rPr>
                <w:rFonts w:ascii="ARIAL" w:hAnsi="ARIAL"/>
                <w:sz w:val="18"/>
              </w:rPr>
              <w:t>Robbert</w:t>
            </w:r>
          </w:p>
          <w:p>
            <w:pPr>
              <w:pStyle w:val="TableContents"/>
              <w:bidi w:val="0"/>
              <w:spacing w:before="0" w:after="20"/>
              <w:jc w:val="left"/>
              <w:rPr>
                <w:rFonts w:ascii="ARIAL" w:hAnsi="ARIAL"/>
                <w:sz w:val="18"/>
              </w:rPr>
            </w:pPr>
            <w:r>
              <w:rPr>
                <w:rFonts w:ascii="ARIAL" w:hAnsi="ARIAL"/>
                <w:sz w:val="18"/>
              </w:rPr>
              <w:t>Vorhoff</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708"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sz w:val="18"/>
              </w:rPr>
            </w:pPr>
            <w:r>
              <w:rPr>
                <w:sz w:val="18"/>
              </w:rPr>
              <w:t>I 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42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sz w:val="18"/>
              </w:rPr>
            </w:pPr>
            <w:r>
              <w:rPr>
                <w:sz w:val="18"/>
              </w:rPr>
              <w:t>45</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87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sz w:val="18"/>
              </w:rPr>
            </w:pPr>
            <w:r>
              <w:rPr>
                <w:sz w:val="18"/>
              </w:rPr>
              <w:t>2014</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80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sz w:val="18"/>
              </w:rPr>
            </w:pPr>
            <w:r>
              <w:rPr>
                <w:sz w:val="18"/>
              </w:rPr>
              <w:t>2025</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31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sz w:val="18"/>
              </w:rPr>
            </w:pPr>
            <w:r>
              <w:rPr>
                <w:sz w:val="18"/>
              </w:rPr>
              <w:t>Yes</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38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0"/>
              <w:jc w:val="left"/>
              <w:rPr>
                <w:rFonts w:ascii="ARIAL" w:hAnsi="ARIAL"/>
                <w:sz w:val="18"/>
              </w:rPr>
            </w:pPr>
            <w:r>
              <w:rPr>
                <w:rFonts w:ascii="ARIAL" w:hAnsi="ARIAL"/>
                <w:sz w:val="18"/>
              </w:rPr>
              <w:t>Compensation</w:t>
            </w:r>
          </w:p>
          <w:p>
            <w:pPr>
              <w:pStyle w:val="TableContents"/>
              <w:bidi w:val="0"/>
              <w:spacing w:before="0" w:after="20"/>
              <w:jc w:val="left"/>
              <w:rPr>
                <w:rFonts w:ascii="ARIAL" w:hAnsi="ARIAL"/>
                <w:sz w:val="18"/>
              </w:rPr>
            </w:pPr>
            <w:r>
              <w:rPr>
                <w:rFonts w:ascii="ARIAL" w:hAnsi="ARIAL"/>
                <w:sz w:val="18"/>
              </w:rPr>
              <w:t>(Chair)</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2622" w:type="dxa"/>
            <w:tcBorders>
              <w:bottom w:val="single" w:sz="6" w:space="0" w:color="95B3D7"/>
            </w:tcBorders>
            <w:shd w:fill="DBE5F1" w:val="clear"/>
            <w:tcMar>
              <w:bottom w:w="28" w:type="dxa"/>
            </w:tcMar>
            <w:vAlign w:val="center"/>
          </w:tcPr>
          <w:p>
            <w:pPr>
              <w:pStyle w:val="TableContents"/>
              <w:bidi w:val="0"/>
              <w:spacing w:before="0" w:after="0"/>
              <w:jc w:val="left"/>
              <w:rPr/>
            </w:pPr>
            <w:r>
              <w:rPr/>
              <w:t>●  </w:t>
            </w:r>
            <w:r>
              <w:rPr>
                <w:rFonts w:ascii="ARIAL" w:hAnsi="ARIAL"/>
                <w:sz w:val="20"/>
              </w:rPr>
              <w:t>Oak Street Health, Inc.</w:t>
            </w:r>
          </w:p>
        </w:tc>
      </w:tr>
      <w:tr>
        <w:trPr/>
        <w:tc>
          <w:tcPr>
            <w:tcW w:w="1240" w:type="dxa"/>
            <w:tcBorders>
              <w:right w:val="single" w:sz="6" w:space="0" w:color="95B3D7"/>
            </w:tcBorders>
            <w:tcMar>
              <w:right w:w="28" w:type="dxa"/>
            </w:tcMar>
            <w:vAlign w:val="center"/>
          </w:tcPr>
          <w:p>
            <w:pPr>
              <w:pStyle w:val="TableContents"/>
              <w:bidi w:val="0"/>
              <w:spacing w:before="0" w:after="283"/>
              <w:jc w:val="left"/>
              <w:rPr/>
            </w:pPr>
            <w:r>
              <w:rPr/>
              <w:t> </w:t>
            </w:r>
          </w:p>
        </w:tc>
        <w:tc>
          <w:tcPr>
            <w:tcW w:w="828" w:type="dxa"/>
            <w:gridSpan w:val="2"/>
            <w:tcBorders>
              <w:right w:val="single" w:sz="6" w:space="0" w:color="95B3D7"/>
            </w:tcBorders>
            <w:tcMar>
              <w:right w:w="28" w:type="dxa"/>
            </w:tcMar>
            <w:vAlign w:val="center"/>
          </w:tcPr>
          <w:p>
            <w:pPr>
              <w:pStyle w:val="TableContents"/>
              <w:bidi w:val="0"/>
              <w:spacing w:before="0" w:after="283"/>
              <w:jc w:val="left"/>
              <w:rPr/>
            </w:pPr>
            <w:r>
              <w:rPr/>
              <w:t> </w:t>
            </w:r>
          </w:p>
        </w:tc>
        <w:tc>
          <w:tcPr>
            <w:tcW w:w="545"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left w:val="single" w:sz="6" w:space="0" w:color="95B3D7"/>
              <w:right w:val="single" w:sz="6" w:space="0" w:color="95B3D7"/>
            </w:tcBorders>
            <w:tcMar>
              <w:left w:w="28" w:type="dxa"/>
              <w:right w:w="28" w:type="dxa"/>
            </w:tcMar>
            <w:vAlign w:val="center"/>
          </w:tcPr>
          <w:p>
            <w:pPr>
              <w:pStyle w:val="TableContents"/>
              <w:bidi w:val="0"/>
              <w:spacing w:before="0" w:after="283"/>
              <w:jc w:val="left"/>
              <w:rPr/>
            </w:pPr>
            <w:r>
              <w:rPr/>
              <w:t> </w:t>
            </w:r>
          </w:p>
        </w:tc>
        <w:tc>
          <w:tcPr>
            <w:tcW w:w="920" w:type="dxa"/>
            <w:gridSpan w:val="2"/>
            <w:tcBorders>
              <w:right w:val="single" w:sz="6" w:space="0" w:color="95B3D7"/>
            </w:tcBorders>
            <w:tcMar>
              <w:right w:w="28" w:type="dxa"/>
            </w:tcMar>
            <w:vAlign w:val="center"/>
          </w:tcPr>
          <w:p>
            <w:pPr>
              <w:pStyle w:val="TableContents"/>
              <w:bidi w:val="0"/>
              <w:spacing w:before="0" w:after="283"/>
              <w:jc w:val="left"/>
              <w:rPr/>
            </w:pPr>
            <w:r>
              <w:rPr/>
              <w:t> </w:t>
            </w:r>
          </w:p>
        </w:tc>
        <w:tc>
          <w:tcPr>
            <w:tcW w:w="1430" w:type="dxa"/>
            <w:gridSpan w:val="2"/>
            <w:tcBorders>
              <w:right w:val="single" w:sz="6" w:space="0" w:color="95B3D7"/>
            </w:tcBorders>
            <w:tcMar>
              <w:right w:w="28" w:type="dxa"/>
            </w:tcMar>
            <w:vAlign w:val="center"/>
          </w:tcPr>
          <w:p>
            <w:pPr>
              <w:pStyle w:val="TableContents"/>
              <w:bidi w:val="0"/>
              <w:spacing w:before="0" w:after="283"/>
              <w:jc w:val="left"/>
              <w:rPr/>
            </w:pPr>
            <w:r>
              <w:rPr/>
              <w:t> </w:t>
            </w:r>
          </w:p>
        </w:tc>
        <w:tc>
          <w:tcPr>
            <w:tcW w:w="1505" w:type="dxa"/>
            <w:gridSpan w:val="2"/>
            <w:tcBorders>
              <w:right w:val="single" w:sz="6" w:space="0" w:color="95B3D7"/>
            </w:tcBorders>
            <w:tcMar>
              <w:right w:w="28" w:type="dxa"/>
            </w:tcMar>
            <w:vAlign w:val="center"/>
          </w:tcPr>
          <w:p>
            <w:pPr>
              <w:pStyle w:val="TableContents"/>
              <w:bidi w:val="0"/>
              <w:spacing w:before="0" w:after="283"/>
              <w:jc w:val="left"/>
              <w:rPr/>
            </w:pPr>
            <w:r>
              <w:rPr/>
              <w:t> </w:t>
            </w:r>
          </w:p>
        </w:tc>
        <w:tc>
          <w:tcPr>
            <w:tcW w:w="2742" w:type="dxa"/>
            <w:gridSpan w:val="2"/>
            <w:tcBorders/>
            <w:vAlign w:val="center"/>
          </w:tcPr>
          <w:p>
            <w:pPr>
              <w:pStyle w:val="TableContents"/>
              <w:bidi w:val="0"/>
              <w:spacing w:before="0" w:after="283"/>
              <w:jc w:val="left"/>
              <w:rPr>
                <w:sz w:val="4"/>
                <w:szCs w:val="4"/>
              </w:rPr>
            </w:pPr>
            <w:r>
              <w:rPr>
                <w:sz w:val="4"/>
                <w:szCs w:val="4"/>
              </w:rPr>
            </w:r>
          </w:p>
        </w:tc>
      </w:tr>
      <w:tr>
        <w:trPr/>
        <w:tc>
          <w:tcPr>
            <w:tcW w:w="124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sz w:val="18"/>
              </w:rPr>
            </w:pPr>
            <w:r>
              <w:rPr>
                <w:sz w:val="18"/>
              </w:rPr>
              <w:t>Jody Bilney</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708"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sz w:val="18"/>
              </w:rPr>
            </w:pPr>
            <w:r>
              <w:rPr>
                <w:sz w:val="18"/>
              </w:rPr>
              <w:t>II 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425" w:type="dxa"/>
            <w:tcBorders>
              <w:bottom w:val="single" w:sz="6" w:space="0" w:color="95B3D7"/>
            </w:tcBorders>
            <w:tcMar>
              <w:bottom w:w="28" w:type="dxa"/>
            </w:tcMar>
            <w:vAlign w:val="center"/>
          </w:tcPr>
          <w:p>
            <w:pPr>
              <w:pStyle w:val="TableContents"/>
              <w:bidi w:val="0"/>
              <w:spacing w:before="0" w:after="283"/>
              <w:jc w:val="center"/>
              <w:rPr>
                <w:sz w:val="18"/>
              </w:rPr>
            </w:pPr>
            <w:r>
              <w:rPr>
                <w:sz w:val="18"/>
              </w:rPr>
              <w:t>62</w:t>
            </w:r>
          </w:p>
        </w:tc>
        <w:tc>
          <w:tcPr>
            <w:tcW w:w="120" w:type="dxa"/>
            <w:tcBorders>
              <w:left w:val="single" w:sz="6" w:space="0" w:color="95B3D7"/>
              <w:bottom w:val="single" w:sz="6" w:space="0" w:color="95B3D7"/>
            </w:tcBorders>
            <w:tcMar>
              <w:left w:w="28" w:type="dxa"/>
              <w:bottom w:w="28" w:type="dxa"/>
            </w:tcMar>
            <w:vAlign w:val="center"/>
          </w:tcPr>
          <w:p>
            <w:pPr>
              <w:pStyle w:val="TableContents"/>
              <w:bidi w:val="0"/>
              <w:spacing w:before="0" w:after="283"/>
              <w:jc w:val="left"/>
              <w:rPr/>
            </w:pPr>
            <w:r>
              <w:rPr/>
              <w:t>  </w:t>
            </w:r>
          </w:p>
        </w:tc>
        <w:tc>
          <w:tcPr>
            <w:tcW w:w="875"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sz w:val="18"/>
              </w:rPr>
            </w:pPr>
            <w:r>
              <w:rPr>
                <w:sz w:val="18"/>
              </w:rPr>
              <w:t>2022</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80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sz w:val="18"/>
              </w:rPr>
            </w:pPr>
            <w:r>
              <w:rPr>
                <w:sz w:val="18"/>
              </w:rPr>
              <w:t>2026</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31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sz w:val="18"/>
              </w:rPr>
            </w:pPr>
            <w:r>
              <w:rPr>
                <w:sz w:val="18"/>
              </w:rPr>
              <w:t>Yes</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385"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sz w:val="18"/>
              </w:rPr>
            </w:pPr>
            <w:r>
              <w:rPr>
                <w:sz w:val="18"/>
              </w:rPr>
              <w:t>NCGCC</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2622" w:type="dxa"/>
            <w:tcBorders>
              <w:bottom w:val="single" w:sz="6" w:space="0" w:color="95B3D7"/>
            </w:tcBorders>
            <w:tcMar>
              <w:bottom w:w="28" w:type="dxa"/>
            </w:tcMar>
            <w:vAlign w:val="center"/>
          </w:tcPr>
          <w:p>
            <w:pPr>
              <w:pStyle w:val="TableContents"/>
              <w:bidi w:val="0"/>
              <w:spacing w:before="0" w:after="0"/>
              <w:jc w:val="left"/>
              <w:rPr/>
            </w:pPr>
            <w:r>
              <w:rPr/>
              <w:t>●  </w:t>
            </w:r>
            <w:r>
              <w:rPr>
                <w:rFonts w:ascii="ARIAL" w:hAnsi="ARIAL"/>
                <w:sz w:val="20"/>
              </w:rPr>
              <w:t>Chuy’s Holdings, Inc.</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Masonite International Corp.</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Cracker Barrel Old Country Store, Inc.</w:t>
            </w:r>
          </w:p>
        </w:tc>
      </w:tr>
      <w:tr>
        <w:trPr/>
        <w:tc>
          <w:tcPr>
            <w:tcW w:w="1240" w:type="dxa"/>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828"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545" w:type="dxa"/>
            <w:gridSpan w:val="2"/>
            <w:tcBorders/>
            <w:shd w:fill="DBE5F1" w:val="clear"/>
            <w:vAlign w:val="center"/>
          </w:tcPr>
          <w:p>
            <w:pPr>
              <w:pStyle w:val="TableContents"/>
              <w:bidi w:val="0"/>
              <w:spacing w:before="0" w:after="283"/>
              <w:jc w:val="left"/>
              <w:rPr>
                <w:sz w:val="4"/>
                <w:szCs w:val="4"/>
              </w:rPr>
            </w:pPr>
            <w:r>
              <w:rPr>
                <w:sz w:val="4"/>
                <w:szCs w:val="4"/>
              </w:rPr>
            </w:r>
          </w:p>
        </w:tc>
        <w:tc>
          <w:tcPr>
            <w:tcW w:w="995" w:type="dxa"/>
            <w:gridSpan w:val="2"/>
            <w:tcBorders>
              <w:left w:val="single" w:sz="6" w:space="0" w:color="95B3D7"/>
              <w:right w:val="single" w:sz="6" w:space="0" w:color="95B3D7"/>
            </w:tcBorders>
            <w:shd w:fill="DBE5F1" w:val="clear"/>
            <w:tcMar>
              <w:left w:w="28" w:type="dxa"/>
              <w:right w:w="28" w:type="dxa"/>
            </w:tcMar>
            <w:vAlign w:val="center"/>
          </w:tcPr>
          <w:p>
            <w:pPr>
              <w:pStyle w:val="TableContents"/>
              <w:bidi w:val="0"/>
              <w:spacing w:before="0" w:after="283"/>
              <w:jc w:val="left"/>
              <w:rPr/>
            </w:pPr>
            <w:r>
              <w:rPr/>
              <w:t> </w:t>
            </w:r>
          </w:p>
        </w:tc>
        <w:tc>
          <w:tcPr>
            <w:tcW w:w="920"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1430"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1505"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2742" w:type="dxa"/>
            <w:gridSpan w:val="2"/>
            <w:tcBorders/>
            <w:shd w:fill="DBE5F1" w:val="clear"/>
            <w:vAlign w:val="center"/>
          </w:tcPr>
          <w:p>
            <w:pPr>
              <w:pStyle w:val="TableContents"/>
              <w:bidi w:val="0"/>
              <w:spacing w:before="0" w:after="283"/>
              <w:jc w:val="left"/>
              <w:rPr>
                <w:sz w:val="4"/>
                <w:szCs w:val="4"/>
              </w:rPr>
            </w:pPr>
            <w:r>
              <w:rPr>
                <w:sz w:val="4"/>
                <w:szCs w:val="4"/>
              </w:rPr>
            </w:r>
          </w:p>
        </w:tc>
      </w:tr>
      <w:tr>
        <w:trPr/>
        <w:tc>
          <w:tcPr>
            <w:tcW w:w="124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0"/>
              <w:jc w:val="left"/>
              <w:rPr>
                <w:rFonts w:ascii="ARIAL" w:hAnsi="ARIAL"/>
                <w:sz w:val="18"/>
              </w:rPr>
            </w:pPr>
            <w:r>
              <w:rPr>
                <w:rFonts w:ascii="ARIAL" w:hAnsi="ARIAL"/>
                <w:sz w:val="18"/>
              </w:rPr>
              <w:t>David</w:t>
            </w:r>
          </w:p>
          <w:p>
            <w:pPr>
              <w:pStyle w:val="TableContents"/>
              <w:bidi w:val="0"/>
              <w:spacing w:before="0" w:after="20"/>
              <w:jc w:val="left"/>
              <w:rPr>
                <w:rFonts w:ascii="ARIAL" w:hAnsi="ARIAL"/>
                <w:sz w:val="18"/>
              </w:rPr>
            </w:pPr>
            <w:r>
              <w:rPr>
                <w:rFonts w:ascii="ARIAL" w:hAnsi="ARIAL"/>
                <w:sz w:val="18"/>
              </w:rPr>
              <w:t>Hodgson</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708"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sz w:val="18"/>
              </w:rPr>
            </w:pPr>
            <w:r>
              <w:rPr>
                <w:sz w:val="18"/>
              </w:rPr>
              <w:t>II 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425" w:type="dxa"/>
            <w:tcBorders>
              <w:bottom w:val="single" w:sz="6" w:space="0" w:color="95B3D7"/>
            </w:tcBorders>
            <w:shd w:fill="DBE5F1" w:val="clear"/>
            <w:tcMar>
              <w:bottom w:w="28" w:type="dxa"/>
            </w:tcMar>
            <w:vAlign w:val="center"/>
          </w:tcPr>
          <w:p>
            <w:pPr>
              <w:pStyle w:val="TableContents"/>
              <w:bidi w:val="0"/>
              <w:spacing w:before="0" w:after="283"/>
              <w:jc w:val="center"/>
              <w:rPr>
                <w:sz w:val="18"/>
              </w:rPr>
            </w:pPr>
            <w:r>
              <w:rPr>
                <w:sz w:val="18"/>
              </w:rPr>
              <w:t>67</w:t>
            </w:r>
          </w:p>
        </w:tc>
        <w:tc>
          <w:tcPr>
            <w:tcW w:w="120" w:type="dxa"/>
            <w:tcBorders>
              <w:left w:val="single" w:sz="6" w:space="0" w:color="95B3D7"/>
              <w:bottom w:val="single" w:sz="6" w:space="0" w:color="95B3D7"/>
            </w:tcBorders>
            <w:shd w:fill="DBE5F1" w:val="clear"/>
            <w:tcMar>
              <w:left w:w="28" w:type="dxa"/>
              <w:bottom w:w="28" w:type="dxa"/>
            </w:tcMar>
            <w:vAlign w:val="center"/>
          </w:tcPr>
          <w:p>
            <w:pPr>
              <w:pStyle w:val="TableContents"/>
              <w:bidi w:val="0"/>
              <w:spacing w:before="0" w:after="283"/>
              <w:jc w:val="left"/>
              <w:rPr/>
            </w:pPr>
            <w:r>
              <w:rPr/>
              <w:t>  </w:t>
            </w:r>
          </w:p>
        </w:tc>
        <w:tc>
          <w:tcPr>
            <w:tcW w:w="87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sz w:val="18"/>
              </w:rPr>
            </w:pPr>
            <w:r>
              <w:rPr>
                <w:sz w:val="18"/>
              </w:rPr>
              <w:t>2014</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80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sz w:val="18"/>
              </w:rPr>
            </w:pPr>
            <w:r>
              <w:rPr>
                <w:sz w:val="18"/>
              </w:rPr>
              <w:t>2026</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31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sz w:val="18"/>
              </w:rPr>
            </w:pPr>
            <w:r>
              <w:rPr>
                <w:sz w:val="18"/>
              </w:rPr>
              <w:t>Yes</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38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0"/>
              <w:jc w:val="left"/>
              <w:rPr>
                <w:rFonts w:ascii="ARIAL" w:hAnsi="ARIAL"/>
                <w:sz w:val="18"/>
              </w:rPr>
            </w:pPr>
            <w:r>
              <w:rPr>
                <w:rFonts w:ascii="ARIAL" w:hAnsi="ARIAL"/>
                <w:sz w:val="18"/>
              </w:rPr>
              <w:t>NCGCC</w:t>
            </w:r>
          </w:p>
          <w:p>
            <w:pPr>
              <w:pStyle w:val="TableContents"/>
              <w:bidi w:val="0"/>
              <w:spacing w:before="0" w:after="20"/>
              <w:jc w:val="left"/>
              <w:rPr>
                <w:rFonts w:ascii="ARIAL" w:hAnsi="ARIAL"/>
                <w:sz w:val="18"/>
              </w:rPr>
            </w:pPr>
            <w:r>
              <w:rPr>
                <w:rFonts w:ascii="ARIAL" w:hAnsi="ARIAL"/>
                <w:sz w:val="18"/>
              </w:rPr>
              <w:t>(Chair)</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2622" w:type="dxa"/>
            <w:tcBorders>
              <w:bottom w:val="single" w:sz="6" w:space="0" w:color="95B3D7"/>
            </w:tcBorders>
            <w:shd w:fill="DBE5F1" w:val="clear"/>
            <w:tcMar>
              <w:bottom w:w="28" w:type="dxa"/>
            </w:tcMar>
            <w:vAlign w:val="center"/>
          </w:tcPr>
          <w:p>
            <w:pPr>
              <w:pStyle w:val="TableContents"/>
              <w:bidi w:val="0"/>
              <w:spacing w:before="0" w:after="0"/>
              <w:jc w:val="left"/>
              <w:rPr/>
            </w:pPr>
            <w:r>
              <w:rPr/>
              <w:t>●  </w:t>
            </w:r>
            <w:r>
              <w:rPr>
                <w:rFonts w:ascii="ARIAL" w:hAnsi="ARIAL"/>
                <w:sz w:val="20"/>
              </w:rPr>
              <w:t>TriNet Group, Inc.</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Royalty Pharma plc</w:t>
            </w:r>
          </w:p>
        </w:tc>
      </w:tr>
      <w:tr>
        <w:trPr/>
        <w:tc>
          <w:tcPr>
            <w:tcW w:w="1240" w:type="dxa"/>
            <w:tcBorders>
              <w:right w:val="single" w:sz="6" w:space="0" w:color="95B3D7"/>
            </w:tcBorders>
            <w:tcMar>
              <w:right w:w="28" w:type="dxa"/>
            </w:tcMar>
            <w:vAlign w:val="center"/>
          </w:tcPr>
          <w:p>
            <w:pPr>
              <w:pStyle w:val="TableContents"/>
              <w:bidi w:val="0"/>
              <w:spacing w:before="0" w:after="283"/>
              <w:jc w:val="left"/>
              <w:rPr/>
            </w:pPr>
            <w:r>
              <w:rPr/>
              <w:t> </w:t>
            </w:r>
          </w:p>
        </w:tc>
        <w:tc>
          <w:tcPr>
            <w:tcW w:w="828" w:type="dxa"/>
            <w:gridSpan w:val="2"/>
            <w:tcBorders>
              <w:right w:val="single" w:sz="6" w:space="0" w:color="95B3D7"/>
            </w:tcBorders>
            <w:tcMar>
              <w:right w:w="28" w:type="dxa"/>
            </w:tcMar>
            <w:vAlign w:val="center"/>
          </w:tcPr>
          <w:p>
            <w:pPr>
              <w:pStyle w:val="TableContents"/>
              <w:bidi w:val="0"/>
              <w:spacing w:before="0" w:after="283"/>
              <w:jc w:val="left"/>
              <w:rPr/>
            </w:pPr>
            <w:r>
              <w:rPr/>
              <w:t> </w:t>
            </w:r>
          </w:p>
        </w:tc>
        <w:tc>
          <w:tcPr>
            <w:tcW w:w="545" w:type="dxa"/>
            <w:gridSpan w:val="2"/>
            <w:tcBorders/>
            <w:vAlign w:val="center"/>
          </w:tcPr>
          <w:p>
            <w:pPr>
              <w:pStyle w:val="TableContents"/>
              <w:bidi w:val="0"/>
              <w:spacing w:before="0" w:after="283"/>
              <w:jc w:val="left"/>
              <w:rPr>
                <w:sz w:val="4"/>
                <w:szCs w:val="4"/>
              </w:rPr>
            </w:pPr>
            <w:r>
              <w:rPr>
                <w:sz w:val="4"/>
                <w:szCs w:val="4"/>
              </w:rPr>
            </w:r>
          </w:p>
        </w:tc>
        <w:tc>
          <w:tcPr>
            <w:tcW w:w="995" w:type="dxa"/>
            <w:gridSpan w:val="2"/>
            <w:tcBorders>
              <w:left w:val="single" w:sz="6" w:space="0" w:color="95B3D7"/>
              <w:right w:val="single" w:sz="6" w:space="0" w:color="95B3D7"/>
            </w:tcBorders>
            <w:tcMar>
              <w:left w:w="28" w:type="dxa"/>
              <w:right w:w="28" w:type="dxa"/>
            </w:tcMar>
            <w:vAlign w:val="center"/>
          </w:tcPr>
          <w:p>
            <w:pPr>
              <w:pStyle w:val="TableContents"/>
              <w:bidi w:val="0"/>
              <w:spacing w:before="0" w:after="283"/>
              <w:jc w:val="left"/>
              <w:rPr/>
            </w:pPr>
            <w:r>
              <w:rPr/>
              <w:t> </w:t>
            </w:r>
          </w:p>
        </w:tc>
        <w:tc>
          <w:tcPr>
            <w:tcW w:w="920" w:type="dxa"/>
            <w:gridSpan w:val="2"/>
            <w:tcBorders>
              <w:right w:val="single" w:sz="6" w:space="0" w:color="95B3D7"/>
            </w:tcBorders>
            <w:tcMar>
              <w:right w:w="28" w:type="dxa"/>
            </w:tcMar>
            <w:vAlign w:val="center"/>
          </w:tcPr>
          <w:p>
            <w:pPr>
              <w:pStyle w:val="TableContents"/>
              <w:bidi w:val="0"/>
              <w:spacing w:before="0" w:after="283"/>
              <w:jc w:val="left"/>
              <w:rPr/>
            </w:pPr>
            <w:r>
              <w:rPr/>
              <w:t> </w:t>
            </w:r>
          </w:p>
        </w:tc>
        <w:tc>
          <w:tcPr>
            <w:tcW w:w="1430" w:type="dxa"/>
            <w:gridSpan w:val="2"/>
            <w:tcBorders>
              <w:right w:val="single" w:sz="6" w:space="0" w:color="95B3D7"/>
            </w:tcBorders>
            <w:tcMar>
              <w:right w:w="28" w:type="dxa"/>
            </w:tcMar>
            <w:vAlign w:val="center"/>
          </w:tcPr>
          <w:p>
            <w:pPr>
              <w:pStyle w:val="TableContents"/>
              <w:bidi w:val="0"/>
              <w:spacing w:before="0" w:after="283"/>
              <w:jc w:val="left"/>
              <w:rPr/>
            </w:pPr>
            <w:r>
              <w:rPr/>
              <w:t> </w:t>
            </w:r>
          </w:p>
        </w:tc>
        <w:tc>
          <w:tcPr>
            <w:tcW w:w="1505" w:type="dxa"/>
            <w:gridSpan w:val="2"/>
            <w:tcBorders>
              <w:right w:val="single" w:sz="6" w:space="0" w:color="95B3D7"/>
            </w:tcBorders>
            <w:tcMar>
              <w:right w:w="28" w:type="dxa"/>
            </w:tcMar>
            <w:vAlign w:val="center"/>
          </w:tcPr>
          <w:p>
            <w:pPr>
              <w:pStyle w:val="TableContents"/>
              <w:bidi w:val="0"/>
              <w:spacing w:before="0" w:after="283"/>
              <w:jc w:val="left"/>
              <w:rPr/>
            </w:pPr>
            <w:r>
              <w:rPr/>
              <w:t> </w:t>
            </w:r>
          </w:p>
        </w:tc>
        <w:tc>
          <w:tcPr>
            <w:tcW w:w="2742" w:type="dxa"/>
            <w:gridSpan w:val="2"/>
            <w:tcBorders/>
            <w:vAlign w:val="center"/>
          </w:tcPr>
          <w:p>
            <w:pPr>
              <w:pStyle w:val="TableContents"/>
              <w:bidi w:val="0"/>
              <w:spacing w:before="0" w:after="283"/>
              <w:jc w:val="left"/>
              <w:rPr>
                <w:sz w:val="4"/>
                <w:szCs w:val="4"/>
              </w:rPr>
            </w:pPr>
            <w:r>
              <w:rPr>
                <w:sz w:val="4"/>
                <w:szCs w:val="4"/>
              </w:rPr>
            </w:r>
          </w:p>
        </w:tc>
      </w:tr>
      <w:tr>
        <w:trPr/>
        <w:tc>
          <w:tcPr>
            <w:tcW w:w="124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sz w:val="18"/>
              </w:rPr>
            </w:pPr>
            <w:r>
              <w:rPr>
                <w:sz w:val="18"/>
              </w:rPr>
              <w:t>Jacqueline Kosecoff</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708"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sz w:val="18"/>
              </w:rPr>
            </w:pPr>
            <w:r>
              <w:rPr>
                <w:sz w:val="18"/>
              </w:rPr>
              <w:t>II 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425" w:type="dxa"/>
            <w:tcBorders>
              <w:bottom w:val="single" w:sz="6" w:space="0" w:color="95B3D7"/>
            </w:tcBorders>
            <w:tcMar>
              <w:bottom w:w="28" w:type="dxa"/>
            </w:tcMar>
            <w:vAlign w:val="center"/>
          </w:tcPr>
          <w:p>
            <w:pPr>
              <w:pStyle w:val="TableContents"/>
              <w:bidi w:val="0"/>
              <w:spacing w:before="0" w:after="283"/>
              <w:jc w:val="center"/>
              <w:rPr>
                <w:sz w:val="18"/>
              </w:rPr>
            </w:pPr>
            <w:r>
              <w:rPr>
                <w:sz w:val="18"/>
              </w:rPr>
              <w:t>74</w:t>
            </w:r>
          </w:p>
        </w:tc>
        <w:tc>
          <w:tcPr>
            <w:tcW w:w="120" w:type="dxa"/>
            <w:tcBorders>
              <w:left w:val="single" w:sz="6" w:space="0" w:color="95B3D7"/>
              <w:bottom w:val="single" w:sz="6" w:space="0" w:color="95B3D7"/>
            </w:tcBorders>
            <w:tcMar>
              <w:left w:w="28" w:type="dxa"/>
              <w:bottom w:w="28" w:type="dxa"/>
            </w:tcMar>
            <w:vAlign w:val="center"/>
          </w:tcPr>
          <w:p>
            <w:pPr>
              <w:pStyle w:val="TableContents"/>
              <w:bidi w:val="0"/>
              <w:spacing w:before="0" w:after="283"/>
              <w:jc w:val="left"/>
              <w:rPr/>
            </w:pPr>
            <w:r>
              <w:rPr/>
              <w:t>  </w:t>
            </w:r>
          </w:p>
        </w:tc>
        <w:tc>
          <w:tcPr>
            <w:tcW w:w="875"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sz w:val="18"/>
              </w:rPr>
            </w:pPr>
            <w:r>
              <w:rPr>
                <w:sz w:val="18"/>
              </w:rPr>
              <w:t>2017</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80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sz w:val="18"/>
              </w:rPr>
            </w:pPr>
            <w:r>
              <w:rPr>
                <w:sz w:val="18"/>
              </w:rPr>
              <w:t>2026</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31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sz w:val="18"/>
              </w:rPr>
            </w:pPr>
            <w:r>
              <w:rPr>
                <w:sz w:val="18"/>
              </w:rPr>
              <w:t>Yes</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385" w:type="dxa"/>
            <w:tcBorders>
              <w:bottom w:val="single" w:sz="6" w:space="0" w:color="95B3D7"/>
              <w:right w:val="single" w:sz="6" w:space="0" w:color="95B3D7"/>
            </w:tcBorders>
            <w:tcMar>
              <w:bottom w:w="28" w:type="dxa"/>
              <w:right w:w="28" w:type="dxa"/>
            </w:tcMar>
            <w:vAlign w:val="center"/>
          </w:tcPr>
          <w:p>
            <w:pPr>
              <w:pStyle w:val="TableContents"/>
              <w:bidi w:val="0"/>
              <w:spacing w:before="0" w:after="0"/>
              <w:jc w:val="left"/>
              <w:rPr>
                <w:rFonts w:ascii="ARIAL" w:hAnsi="ARIAL"/>
                <w:sz w:val="18"/>
              </w:rPr>
            </w:pPr>
            <w:r>
              <w:rPr>
                <w:rFonts w:ascii="ARIAL" w:hAnsi="ARIAL"/>
                <w:sz w:val="18"/>
              </w:rPr>
              <w:t>Compensation</w:t>
            </w:r>
          </w:p>
          <w:p>
            <w:pPr>
              <w:pStyle w:val="TableContents"/>
              <w:bidi w:val="0"/>
              <w:spacing w:before="0" w:after="20"/>
              <w:jc w:val="left"/>
              <w:rPr>
                <w:rFonts w:ascii="ARIAL" w:hAnsi="ARIAL"/>
                <w:sz w:val="18"/>
              </w:rPr>
            </w:pPr>
            <w:r>
              <w:rPr>
                <w:rFonts w:ascii="ARIAL" w:hAnsi="ARIAL"/>
                <w:sz w:val="18"/>
              </w:rPr>
              <w:t>NCGCC</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2622" w:type="dxa"/>
            <w:tcBorders>
              <w:bottom w:val="single" w:sz="6" w:space="0" w:color="95B3D7"/>
            </w:tcBorders>
            <w:tcMar>
              <w:bottom w:w="28" w:type="dxa"/>
            </w:tcMar>
            <w:vAlign w:val="center"/>
          </w:tcPr>
          <w:p>
            <w:pPr>
              <w:pStyle w:val="TableContents"/>
              <w:bidi w:val="0"/>
              <w:spacing w:before="0" w:after="0"/>
              <w:jc w:val="left"/>
              <w:rPr/>
            </w:pPr>
            <w:r>
              <w:rPr/>
              <w:t>●  </w:t>
            </w:r>
            <w:r>
              <w:rPr>
                <w:rFonts w:ascii="ARIAL" w:hAnsi="ARIAL"/>
                <w:sz w:val="20"/>
              </w:rPr>
              <w:t>Houlihan Lokey, Inc.</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Steris plc</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TriNet Group, Inc.</w:t>
            </w:r>
          </w:p>
        </w:tc>
      </w:tr>
      <w:tr>
        <w:trPr/>
        <w:tc>
          <w:tcPr>
            <w:tcW w:w="1240" w:type="dxa"/>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828"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545" w:type="dxa"/>
            <w:gridSpan w:val="2"/>
            <w:tcBorders/>
            <w:shd w:fill="DBE5F1" w:val="clear"/>
            <w:vAlign w:val="center"/>
          </w:tcPr>
          <w:p>
            <w:pPr>
              <w:pStyle w:val="TableContents"/>
              <w:bidi w:val="0"/>
              <w:spacing w:before="0" w:after="283"/>
              <w:jc w:val="left"/>
              <w:rPr>
                <w:sz w:val="4"/>
                <w:szCs w:val="4"/>
              </w:rPr>
            </w:pPr>
            <w:r>
              <w:rPr>
                <w:sz w:val="4"/>
                <w:szCs w:val="4"/>
              </w:rPr>
            </w:r>
          </w:p>
        </w:tc>
        <w:tc>
          <w:tcPr>
            <w:tcW w:w="995" w:type="dxa"/>
            <w:gridSpan w:val="2"/>
            <w:tcBorders>
              <w:left w:val="single" w:sz="6" w:space="0" w:color="95B3D7"/>
              <w:right w:val="single" w:sz="6" w:space="0" w:color="95B3D7"/>
            </w:tcBorders>
            <w:shd w:fill="DBE5F1" w:val="clear"/>
            <w:tcMar>
              <w:left w:w="28" w:type="dxa"/>
              <w:right w:w="28" w:type="dxa"/>
            </w:tcMar>
            <w:vAlign w:val="center"/>
          </w:tcPr>
          <w:p>
            <w:pPr>
              <w:pStyle w:val="TableContents"/>
              <w:bidi w:val="0"/>
              <w:spacing w:before="0" w:after="283"/>
              <w:jc w:val="left"/>
              <w:rPr/>
            </w:pPr>
            <w:r>
              <w:rPr/>
              <w:t> </w:t>
            </w:r>
          </w:p>
        </w:tc>
        <w:tc>
          <w:tcPr>
            <w:tcW w:w="920"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1430"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1505" w:type="dxa"/>
            <w:gridSpan w:val="2"/>
            <w:tcBorders>
              <w:right w:val="single" w:sz="6" w:space="0" w:color="95B3D7"/>
            </w:tcBorders>
            <w:shd w:fill="DBE5F1" w:val="clear"/>
            <w:tcMar>
              <w:right w:w="28" w:type="dxa"/>
            </w:tcMar>
            <w:vAlign w:val="center"/>
          </w:tcPr>
          <w:p>
            <w:pPr>
              <w:pStyle w:val="TableContents"/>
              <w:bidi w:val="0"/>
              <w:spacing w:before="0" w:after="283"/>
              <w:jc w:val="left"/>
              <w:rPr/>
            </w:pPr>
            <w:r>
              <w:rPr/>
              <w:t> </w:t>
            </w:r>
          </w:p>
        </w:tc>
        <w:tc>
          <w:tcPr>
            <w:tcW w:w="2742" w:type="dxa"/>
            <w:gridSpan w:val="2"/>
            <w:tcBorders/>
            <w:shd w:fill="DBE5F1" w:val="clear"/>
            <w:vAlign w:val="center"/>
          </w:tcPr>
          <w:p>
            <w:pPr>
              <w:pStyle w:val="TableContents"/>
              <w:bidi w:val="0"/>
              <w:spacing w:before="0" w:after="283"/>
              <w:jc w:val="left"/>
              <w:rPr>
                <w:sz w:val="4"/>
                <w:szCs w:val="4"/>
              </w:rPr>
            </w:pPr>
            <w:r>
              <w:rPr>
                <w:sz w:val="4"/>
                <w:szCs w:val="4"/>
              </w:rPr>
            </w:r>
          </w:p>
        </w:tc>
      </w:tr>
      <w:tr>
        <w:trPr/>
        <w:tc>
          <w:tcPr>
            <w:tcW w:w="1240" w:type="dxa"/>
            <w:tcBorders>
              <w:bottom w:val="single" w:sz="6" w:space="0" w:color="95B3D7"/>
              <w:right w:val="single" w:sz="6" w:space="0" w:color="95B3D7"/>
            </w:tcBorders>
            <w:shd w:fill="DBE5F1" w:val="clear"/>
            <w:tcMar>
              <w:bottom w:w="80" w:type="dxa"/>
              <w:right w:w="28" w:type="dxa"/>
            </w:tcMar>
            <w:vAlign w:val="center"/>
          </w:tcPr>
          <w:p>
            <w:pPr>
              <w:pStyle w:val="TableContents"/>
              <w:bidi w:val="0"/>
              <w:spacing w:before="0" w:after="0"/>
              <w:jc w:val="left"/>
              <w:rPr>
                <w:rFonts w:ascii="ARIAL" w:hAnsi="ARIAL"/>
                <w:sz w:val="18"/>
              </w:rPr>
            </w:pPr>
            <w:r>
              <w:rPr>
                <w:rFonts w:ascii="ARIAL" w:hAnsi="ARIAL"/>
                <w:sz w:val="18"/>
              </w:rPr>
              <w:t>Jeffrey</w:t>
            </w:r>
          </w:p>
          <w:p>
            <w:pPr>
              <w:pStyle w:val="TableContents"/>
              <w:bidi w:val="0"/>
              <w:spacing w:before="0" w:after="20"/>
              <w:jc w:val="left"/>
              <w:rPr>
                <w:rFonts w:ascii="ARIAL" w:hAnsi="ARIAL"/>
                <w:sz w:val="18"/>
              </w:rPr>
            </w:pPr>
            <w:r>
              <w:rPr>
                <w:rFonts w:ascii="ARIAL" w:hAnsi="ARIAL"/>
                <w:sz w:val="18"/>
              </w:rPr>
              <w:t>Margolis</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708" w:type="dxa"/>
            <w:tcBorders>
              <w:bottom w:val="single" w:sz="6" w:space="0" w:color="95B3D7"/>
              <w:right w:val="single" w:sz="6" w:space="0" w:color="95B3D7"/>
            </w:tcBorders>
            <w:shd w:fill="DBE5F1" w:val="clear"/>
            <w:tcMar>
              <w:bottom w:w="80" w:type="dxa"/>
              <w:right w:w="28" w:type="dxa"/>
            </w:tcMar>
            <w:vAlign w:val="center"/>
          </w:tcPr>
          <w:p>
            <w:pPr>
              <w:pStyle w:val="TableContents"/>
              <w:bidi w:val="0"/>
              <w:spacing w:before="0" w:after="283"/>
              <w:jc w:val="center"/>
              <w:rPr>
                <w:sz w:val="18"/>
              </w:rPr>
            </w:pPr>
            <w:r>
              <w:rPr>
                <w:sz w:val="18"/>
              </w:rPr>
              <w:t>II 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425" w:type="dxa"/>
            <w:tcBorders>
              <w:bottom w:val="single" w:sz="6" w:space="0" w:color="95B3D7"/>
            </w:tcBorders>
            <w:shd w:fill="DBE5F1" w:val="clear"/>
            <w:tcMar>
              <w:bottom w:w="80" w:type="dxa"/>
            </w:tcMar>
            <w:vAlign w:val="center"/>
          </w:tcPr>
          <w:p>
            <w:pPr>
              <w:pStyle w:val="TableContents"/>
              <w:bidi w:val="0"/>
              <w:spacing w:before="0" w:after="283"/>
              <w:jc w:val="center"/>
              <w:rPr>
                <w:sz w:val="18"/>
              </w:rPr>
            </w:pPr>
            <w:r>
              <w:rPr>
                <w:sz w:val="18"/>
              </w:rPr>
              <w:t>60</w:t>
            </w:r>
          </w:p>
        </w:tc>
        <w:tc>
          <w:tcPr>
            <w:tcW w:w="120" w:type="dxa"/>
            <w:tcBorders>
              <w:left w:val="single" w:sz="6" w:space="0" w:color="95B3D7"/>
              <w:bottom w:val="single" w:sz="6" w:space="0" w:color="95B3D7"/>
            </w:tcBorders>
            <w:shd w:fill="DBE5F1" w:val="clear"/>
            <w:tcMar>
              <w:left w:w="28" w:type="dxa"/>
              <w:bottom w:w="28" w:type="dxa"/>
            </w:tcMar>
            <w:vAlign w:val="center"/>
          </w:tcPr>
          <w:p>
            <w:pPr>
              <w:pStyle w:val="TableContents"/>
              <w:bidi w:val="0"/>
              <w:spacing w:before="0" w:after="283"/>
              <w:jc w:val="left"/>
              <w:rPr/>
            </w:pPr>
            <w:r>
              <w:rPr/>
              <w:t>  </w:t>
            </w:r>
          </w:p>
        </w:tc>
        <w:tc>
          <w:tcPr>
            <w:tcW w:w="875" w:type="dxa"/>
            <w:tcBorders>
              <w:bottom w:val="single" w:sz="6" w:space="0" w:color="95B3D7"/>
              <w:right w:val="single" w:sz="6" w:space="0" w:color="95B3D7"/>
            </w:tcBorders>
            <w:shd w:fill="DBE5F1" w:val="clear"/>
            <w:tcMar>
              <w:bottom w:w="80" w:type="dxa"/>
              <w:right w:w="28" w:type="dxa"/>
            </w:tcMar>
            <w:vAlign w:val="center"/>
          </w:tcPr>
          <w:p>
            <w:pPr>
              <w:pStyle w:val="TableContents"/>
              <w:bidi w:val="0"/>
              <w:spacing w:before="0" w:after="283"/>
              <w:jc w:val="center"/>
              <w:rPr>
                <w:sz w:val="18"/>
              </w:rPr>
            </w:pPr>
            <w:r>
              <w:rPr>
                <w:sz w:val="18"/>
              </w:rPr>
              <w:t>2014</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800" w:type="dxa"/>
            <w:tcBorders>
              <w:bottom w:val="single" w:sz="6" w:space="0" w:color="95B3D7"/>
              <w:right w:val="single" w:sz="6" w:space="0" w:color="95B3D7"/>
            </w:tcBorders>
            <w:shd w:fill="DBE5F1" w:val="clear"/>
            <w:tcMar>
              <w:bottom w:w="80" w:type="dxa"/>
              <w:right w:w="28" w:type="dxa"/>
            </w:tcMar>
            <w:vAlign w:val="center"/>
          </w:tcPr>
          <w:p>
            <w:pPr>
              <w:pStyle w:val="TableContents"/>
              <w:bidi w:val="0"/>
              <w:spacing w:before="0" w:after="283"/>
              <w:jc w:val="center"/>
              <w:rPr>
                <w:sz w:val="18"/>
              </w:rPr>
            </w:pPr>
            <w:r>
              <w:rPr>
                <w:sz w:val="18"/>
              </w:rPr>
              <w:t>2026</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310" w:type="dxa"/>
            <w:tcBorders>
              <w:bottom w:val="single" w:sz="6" w:space="0" w:color="95B3D7"/>
              <w:right w:val="single" w:sz="6" w:space="0" w:color="95B3D7"/>
            </w:tcBorders>
            <w:shd w:fill="DBE5F1" w:val="clear"/>
            <w:tcMar>
              <w:bottom w:w="80" w:type="dxa"/>
              <w:right w:w="28" w:type="dxa"/>
            </w:tcMar>
            <w:vAlign w:val="center"/>
          </w:tcPr>
          <w:p>
            <w:pPr>
              <w:pStyle w:val="TableContents"/>
              <w:bidi w:val="0"/>
              <w:spacing w:before="0" w:after="283"/>
              <w:jc w:val="center"/>
              <w:rPr>
                <w:sz w:val="18"/>
              </w:rPr>
            </w:pPr>
            <w:r>
              <w:rPr>
                <w:sz w:val="18"/>
              </w:rPr>
              <w:t>Yes</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385" w:type="dxa"/>
            <w:tcBorders>
              <w:bottom w:val="single" w:sz="6" w:space="0" w:color="95B3D7"/>
              <w:right w:val="single" w:sz="6" w:space="0" w:color="95B3D7"/>
            </w:tcBorders>
            <w:shd w:fill="DBE5F1" w:val="clear"/>
            <w:tcMar>
              <w:bottom w:w="80" w:type="dxa"/>
              <w:right w:w="28" w:type="dxa"/>
            </w:tcMar>
            <w:vAlign w:val="center"/>
          </w:tcPr>
          <w:p>
            <w:pPr>
              <w:pStyle w:val="TableContents"/>
              <w:bidi w:val="0"/>
              <w:spacing w:before="0" w:after="283"/>
              <w:jc w:val="left"/>
              <w:rPr>
                <w:sz w:val="18"/>
              </w:rPr>
            </w:pPr>
            <w:r>
              <w:rPr>
                <w:sz w:val="18"/>
              </w:rPr>
              <w:t>Audit (Chair)</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2622" w:type="dxa"/>
            <w:tcBorders>
              <w:bottom w:val="single" w:sz="6" w:space="0" w:color="95B3D7"/>
            </w:tcBorders>
            <w:shd w:fill="DBE5F1" w:val="clear"/>
            <w:tcMar>
              <w:bottom w:w="80" w:type="dxa"/>
            </w:tcMar>
            <w:vAlign w:val="center"/>
          </w:tcPr>
          <w:p>
            <w:pPr>
              <w:pStyle w:val="TableContents"/>
              <w:bidi w:val="0"/>
              <w:spacing w:before="0" w:after="0"/>
              <w:jc w:val="left"/>
              <w:rPr/>
            </w:pPr>
            <w:r>
              <w:rPr/>
              <w:t>●  </w:t>
            </w:r>
            <w:r>
              <w:rPr>
                <w:rFonts w:ascii="ARIAL" w:hAnsi="ARIAL"/>
                <w:sz w:val="20"/>
              </w:rPr>
              <w:t>NextGen Healthcare, Inc.</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93"/>
        <w:gridCol w:w="60"/>
        <w:gridCol w:w="8252"/>
      </w:tblGrid>
      <w:tr>
        <w:trPr/>
        <w:tc>
          <w:tcPr>
            <w:tcW w:w="18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52" w:type="dxa"/>
            <w:tcBorders/>
            <w:vAlign w:val="center"/>
          </w:tcPr>
          <w:p>
            <w:pPr>
              <w:pStyle w:val="TableContents"/>
              <w:bidi w:val="0"/>
              <w:spacing w:before="0" w:after="283"/>
              <w:jc w:val="left"/>
              <w:rPr>
                <w:sz w:val="4"/>
                <w:szCs w:val="4"/>
              </w:rPr>
            </w:pPr>
            <w:r>
              <w:rPr>
                <w:sz w:val="4"/>
                <w:szCs w:val="4"/>
              </w:rPr>
            </w:r>
          </w:p>
        </w:tc>
      </w:tr>
      <w:tr>
        <w:trPr/>
        <w:tc>
          <w:tcPr>
            <w:tcW w:w="1893" w:type="dxa"/>
            <w:tcBorders/>
            <w:vAlign w:val="center"/>
          </w:tcPr>
          <w:p>
            <w:pPr>
              <w:pStyle w:val="TableContents"/>
              <w:bidi w:val="0"/>
              <w:spacing w:before="0" w:after="0"/>
              <w:jc w:val="left"/>
              <w:rPr/>
            </w:pPr>
            <w:r>
              <w:rPr/>
              <w:drawing>
                <wp:inline distT="0" distB="0" distL="0" distR="0">
                  <wp:extent cx="1190625" cy="11144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90625" cy="11144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ARIAL" w:hAnsi="ARIAL"/>
                <w:b/>
                <w:i/>
                <w:color w:val="1F497D"/>
                <w:sz w:val="20"/>
              </w:rPr>
            </w:pPr>
            <w:r>
              <w:rPr>
                <w:rFonts w:ascii="ARIAL" w:hAnsi="ARIAL"/>
                <w:b/>
                <w:i/>
                <w:color w:val="1F497D"/>
                <w:sz w:val="20"/>
              </w:rPr>
              <w:t>Thomas Carella</w:t>
            </w:r>
          </w:p>
        </w:tc>
        <w:tc>
          <w:tcPr>
            <w:tcW w:w="60" w:type="dxa"/>
            <w:tcBorders/>
            <w:vAlign w:val="center"/>
          </w:tcPr>
          <w:p>
            <w:pPr>
              <w:pStyle w:val="TableContents"/>
              <w:bidi w:val="0"/>
              <w:spacing w:before="0" w:after="283"/>
              <w:jc w:val="left"/>
              <w:rPr/>
            </w:pPr>
            <w:r>
              <w:rPr/>
              <w:t> </w:t>
            </w:r>
          </w:p>
        </w:tc>
        <w:tc>
          <w:tcPr>
            <w:tcW w:w="8252" w:type="dxa"/>
            <w:tcBorders/>
            <w:vAlign w:val="center"/>
          </w:tcPr>
          <w:p>
            <w:pPr>
              <w:pStyle w:val="TableContents"/>
              <w:bidi w:val="0"/>
              <w:spacing w:before="0" w:after="283"/>
              <w:jc w:val="left"/>
              <w:rPr/>
            </w:pPr>
            <w:r>
              <w:rPr/>
              <w:t>Mr. Carella has served as a member of our Board since 2017. Mr. Carella has served as a Managing Director at Warburg Pincus since September 2016 where he is Head of the Healthcare group. Prior to joining Warburg Pincus, Mr. Carella was a Partner in the Merchant Banking Division of Goldman Sachs and Global Head of the division’s private equity activities in the health care sector. While at Goldman Sachs, he led, or was actively involved in several investments across life sciences, health care services and health care information technology. Mr. Carella currently serves on the board of directors of private health care companies including Aetion, Bond Vet, Polyplus, Quantum Health, Ensemble Health Partners, Pareto Health, Simtra BioPharma Solutions and WebPT. Mr. Carella previously served on the board of public companies SOC Telemed, Inc. from October 2020 to April 2022 and Outset Medical, Inc. from April 2019 to January 2021. He also previously served on the board of private companies Summit Health/City MD from 2017 to 2023, and Vertice Pharma from 2020 to 2022. Mr. Carella holds a B.A. from Harvard College and an M.B.A. from Harvard Business School. Mr. Carella serves on our Board because of his private equity experience and his experience on other health care companies’ boards.</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891"/>
        <w:gridCol w:w="60"/>
        <w:gridCol w:w="8254"/>
      </w:tblGrid>
      <w:tr>
        <w:trPr/>
        <w:tc>
          <w:tcPr>
            <w:tcW w:w="18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54" w:type="dxa"/>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before="0" w:after="283"/>
              <w:jc w:val="left"/>
              <w:rPr>
                <w:sz w:val="4"/>
                <w:szCs w:val="4"/>
              </w:rPr>
            </w:pPr>
            <w:r>
              <w:rPr>
                <w:sz w:val="4"/>
                <w:szCs w:val="4"/>
              </w:rPr>
            </w:r>
          </w:p>
        </w:tc>
        <w:tc>
          <w:tcPr>
            <w:tcW w:w="8314" w:type="dxa"/>
            <w:gridSpan w:val="2"/>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before="0" w:after="0"/>
              <w:jc w:val="left"/>
              <w:rPr/>
            </w:pPr>
            <w:r>
              <w:rPr/>
              <w:drawing>
                <wp:inline distT="0" distB="0" distL="0" distR="0">
                  <wp:extent cx="1190625" cy="11144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90625" cy="1114425"/>
                          </a:xfrm>
                          <a:prstGeom prst="rect">
                            <a:avLst/>
                          </a:prstGeom>
                        </pic:spPr>
                      </pic:pic>
                    </a:graphicData>
                  </a:graphic>
                </wp:inline>
              </w:drawing>
            </w:r>
            <w:r>
              <w:rPr/>
              <w:t xml:space="preserve"> </w:t>
            </w:r>
          </w:p>
          <w:p>
            <w:pPr>
              <w:pStyle w:val="TableContents"/>
              <w:bidi w:val="0"/>
              <w:spacing w:before="0" w:after="20"/>
              <w:jc w:val="left"/>
              <w:rPr>
                <w:rFonts w:ascii="ARIAL" w:hAnsi="ARIAL"/>
                <w:b/>
                <w:i/>
                <w:color w:val="1F497D"/>
                <w:sz w:val="20"/>
              </w:rPr>
            </w:pPr>
            <w:r>
              <w:rPr>
                <w:rFonts w:ascii="ARIAL" w:hAnsi="ARIAL"/>
                <w:b/>
                <w:i/>
                <w:color w:val="1F497D"/>
                <w:sz w:val="20"/>
              </w:rPr>
              <w:t>Mark McClellan</w:t>
            </w:r>
          </w:p>
        </w:tc>
        <w:tc>
          <w:tcPr>
            <w:tcW w:w="60" w:type="dxa"/>
            <w:tcBorders/>
            <w:vAlign w:val="center"/>
          </w:tcPr>
          <w:p>
            <w:pPr>
              <w:pStyle w:val="TableContents"/>
              <w:bidi w:val="0"/>
              <w:spacing w:before="0" w:after="283"/>
              <w:jc w:val="left"/>
              <w:rPr/>
            </w:pPr>
            <w:r>
              <w:rPr/>
              <w:t> </w:t>
            </w:r>
          </w:p>
        </w:tc>
        <w:tc>
          <w:tcPr>
            <w:tcW w:w="8254" w:type="dxa"/>
            <w:tcBorders/>
            <w:vAlign w:val="center"/>
          </w:tcPr>
          <w:p>
            <w:pPr>
              <w:pStyle w:val="TableContents"/>
              <w:bidi w:val="0"/>
              <w:spacing w:before="0" w:after="283"/>
              <w:jc w:val="left"/>
              <w:rPr/>
            </w:pPr>
            <w:r>
              <w:rPr/>
              <w:t>Dr. McClellan has served as a member of our Board since 2014. Dr. McClellan became the inaugural Director of the Duke-Robert J. Margolis, MD, Center for Health Policy and the Margolis Professor of Business, Medicine and Policy at Duke University in January 2016. He is also a faculty member at Dell Medical School at The University of Texas in Austin. Previously, he served from 2007 to 2015 as a Senior Fellow in Economic Studies and as Director of the Initiatives on Value and Innovation in Health Care at the Brookings Institution. Dr. McClellan served as Administrator of the Centers for Medicare &amp; Medicaid Services (“CMS”) for the U.S. Department of Health and Human Services from 2004 to 2006 and as Commissioner of the U.S. Food and Drug Administration from 2002 to 2004. He served as a Member of the President’s Council of Economic Advisers and as Senior Director for Healthcare Policy at the White House from 2001 to 2002 and, during the Clinton administration, held the position of Deputy Assistant Secretary for Economic Policy for the Department of the Treasury. Dr. McClellan previously served as an Associate Professor of Economics and Medicine with tenure at Stanford University, where he also directed the Program on Health Outcomes Research. Dr. McClellan was the founding chair and currently serves as an advisor to the Reagan-Udall Foundation. He is also a member of the National Academy of Medicine, chairs the Academy’s Leadership Consortium: Collaboration for a Value and Science-Driven Learning Health System, and co-chairs the Guiding Committee of the Health Care Payment Learning and Action Network. He sits on the boards of directors of various nonprofit organizations including ResearchAmerica!, National Alliance for Hispanic Health, Institute for Accountable Care, PrognomIQ and United States of Care, as well as two public companies, Cigna Corporation and Johnson &amp; Johnson. Dr. McClellan received his Bachelor of Arts degree from the University of Texas, his Masters of Public Administration and Medical Doctorate from Harvard University and his Doctor of Philosophy in Economics from Massachusetts Institute of Technology. Dr. McClellan is a valuable member of our Board because of his extensive experience in public health policy, his academic experience and background as both a regulator and government advisor.</w:t>
            </w:r>
          </w:p>
        </w:tc>
      </w:tr>
      <w:tr>
        <w:trPr/>
        <w:tc>
          <w:tcPr>
            <w:tcW w:w="1891" w:type="dxa"/>
            <w:tcBorders/>
            <w:vAlign w:val="center"/>
          </w:tcPr>
          <w:p>
            <w:pPr>
              <w:pStyle w:val="TableContents"/>
              <w:bidi w:val="0"/>
              <w:spacing w:before="0" w:after="283"/>
              <w:jc w:val="left"/>
              <w:rPr>
                <w:sz w:val="4"/>
                <w:szCs w:val="4"/>
              </w:rPr>
            </w:pPr>
            <w:r>
              <w:rPr>
                <w:sz w:val="4"/>
                <w:szCs w:val="4"/>
              </w:rPr>
            </w:r>
          </w:p>
        </w:tc>
        <w:tc>
          <w:tcPr>
            <w:tcW w:w="8314" w:type="dxa"/>
            <w:gridSpan w:val="2"/>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before="0" w:after="0"/>
              <w:jc w:val="left"/>
              <w:rPr/>
            </w:pPr>
            <w:r>
              <w:rPr/>
              <w:drawing>
                <wp:inline distT="0" distB="0" distL="0" distR="0">
                  <wp:extent cx="1190625" cy="11144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90625" cy="1114425"/>
                          </a:xfrm>
                          <a:prstGeom prst="rect">
                            <a:avLst/>
                          </a:prstGeom>
                        </pic:spPr>
                      </pic:pic>
                    </a:graphicData>
                  </a:graphic>
                </wp:inline>
              </w:drawing>
            </w:r>
            <w:r>
              <w:rPr/>
              <w:t xml:space="preserve"> </w:t>
            </w:r>
          </w:p>
          <w:p>
            <w:pPr>
              <w:pStyle w:val="TableContents"/>
              <w:bidi w:val="0"/>
              <w:spacing w:before="0" w:after="20"/>
              <w:jc w:val="left"/>
              <w:rPr>
                <w:rFonts w:ascii="ARIAL" w:hAnsi="ARIAL"/>
                <w:b/>
                <w:i/>
                <w:color w:val="1F497D"/>
                <w:sz w:val="20"/>
              </w:rPr>
            </w:pPr>
            <w:r>
              <w:rPr>
                <w:rFonts w:ascii="ARIAL" w:hAnsi="ARIAL"/>
                <w:b/>
                <w:i/>
                <w:color w:val="1F497D"/>
                <w:sz w:val="20"/>
              </w:rPr>
              <w:t>Robbert Vorhoff</w:t>
            </w:r>
          </w:p>
        </w:tc>
        <w:tc>
          <w:tcPr>
            <w:tcW w:w="60" w:type="dxa"/>
            <w:tcBorders/>
            <w:vAlign w:val="center"/>
          </w:tcPr>
          <w:p>
            <w:pPr>
              <w:pStyle w:val="TableContents"/>
              <w:bidi w:val="0"/>
              <w:spacing w:before="0" w:after="283"/>
              <w:jc w:val="left"/>
              <w:rPr/>
            </w:pPr>
            <w:r>
              <w:rPr/>
              <w:t> </w:t>
            </w:r>
          </w:p>
        </w:tc>
        <w:tc>
          <w:tcPr>
            <w:tcW w:w="8254" w:type="dxa"/>
            <w:tcBorders/>
            <w:vAlign w:val="center"/>
          </w:tcPr>
          <w:p>
            <w:pPr>
              <w:pStyle w:val="TableContents"/>
              <w:bidi w:val="0"/>
              <w:spacing w:before="0" w:after="283"/>
              <w:jc w:val="left"/>
              <w:rPr/>
            </w:pPr>
            <w:r>
              <w:rPr/>
              <w:t>Mr. Vorhoff has been a member of our Board since 2014. Mr. Vorhoff is a Managing Director, Management Committee member, Investment Committee member and the Head of Global Healthcare at General Atlantic, an investment management firm, in New York City. Before joining General Atlantic in 2003, Mr. Vorhoff worked at Greenhill &amp; Co., an investment bank, first in the mergers &amp; acquisitions and restructuring advisory group, then in the private equity group, Greenhill Capital Partners. Mr. Vorhoff is currently a member of several private health care companies, including Equality Health, Included Health, Marathon Health, NationsBenefits, Suvida Helathcare, Author Health and WelbeHealth, as well as several other private companies and nonprofit organizations. Mr. Vorhoff previously was a member of the boards of Align Networks, Alternate Solutions Health Network, A Place for Mom, eviCore Healthcare, Landmark Health, Oak Street Health, OneOncology and MedExpress. Mr. Vorhoff received a B.S. in Commerce with a concentration in Finance from the McIntire School of Commerce at the University of Virginia. Mr. Vorhoff is a valuable member of our Board because of his private equity experience and his experience on other health care companies’ boards.</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892"/>
        <w:gridCol w:w="60"/>
        <w:gridCol w:w="8253"/>
      </w:tblGrid>
      <w:tr>
        <w:trPr/>
        <w:tc>
          <w:tcPr>
            <w:tcW w:w="1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53" w:type="dxa"/>
            <w:tcBorders/>
            <w:vAlign w:val="center"/>
          </w:tcPr>
          <w:p>
            <w:pPr>
              <w:pStyle w:val="TableContents"/>
              <w:bidi w:val="0"/>
              <w:spacing w:before="0" w:after="283"/>
              <w:jc w:val="left"/>
              <w:rPr>
                <w:sz w:val="4"/>
                <w:szCs w:val="4"/>
              </w:rPr>
            </w:pPr>
            <w:r>
              <w:rPr>
                <w:sz w:val="4"/>
                <w:szCs w:val="4"/>
              </w:rPr>
            </w:r>
          </w:p>
        </w:tc>
      </w:tr>
      <w:tr>
        <w:trPr/>
        <w:tc>
          <w:tcPr>
            <w:tcW w:w="1892" w:type="dxa"/>
            <w:tcBorders/>
            <w:vAlign w:val="center"/>
          </w:tcPr>
          <w:p>
            <w:pPr>
              <w:pStyle w:val="TableContents"/>
              <w:bidi w:val="0"/>
              <w:spacing w:before="0" w:after="0"/>
              <w:jc w:val="left"/>
              <w:rPr/>
            </w:pPr>
            <w:r>
              <w:rPr/>
              <w:drawing>
                <wp:inline distT="0" distB="0" distL="0" distR="0">
                  <wp:extent cx="1190625" cy="11144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90625" cy="1114425"/>
                          </a:xfrm>
                          <a:prstGeom prst="rect">
                            <a:avLst/>
                          </a:prstGeom>
                        </pic:spPr>
                      </pic:pic>
                    </a:graphicData>
                  </a:graphic>
                </wp:inline>
              </w:drawing>
            </w:r>
            <w:r>
              <w:rPr/>
              <w:t xml:space="preserve"> </w:t>
            </w:r>
          </w:p>
          <w:p>
            <w:pPr>
              <w:pStyle w:val="TableContents"/>
              <w:bidi w:val="0"/>
              <w:spacing w:before="0" w:after="20"/>
              <w:jc w:val="left"/>
              <w:rPr>
                <w:rFonts w:ascii="ARIAL" w:hAnsi="ARIAL"/>
                <w:b/>
                <w:i/>
                <w:color w:val="1F497D"/>
                <w:sz w:val="20"/>
              </w:rPr>
            </w:pPr>
            <w:r>
              <w:rPr>
                <w:rFonts w:ascii="ARIAL" w:hAnsi="ARIAL"/>
                <w:b/>
                <w:i/>
                <w:color w:val="1F497D"/>
                <w:sz w:val="20"/>
              </w:rPr>
              <w:t>Jody Bilney</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jc w:val="left"/>
              <w:rPr/>
            </w:pPr>
            <w:r>
              <w:rPr/>
              <w:t>Ms. Bilney has served as a member of our Board since January 2022. Ms. Bilney served as the Chief Consumer Officer of Humana, Inc., a health insurance provider, from April 2013 until her retirement in March 2020. Prior to that, she served in various senior executive marketing roles with Bloomin’ Brands, Inc. from 2006 through March 2013, most recently serving as Executive Vice President and Chief Brand Officer. Prior to joining Bloomin’ Brands, she held senior executive positions with Openwave Systems, Inc., Charles Schwab &amp; Co., Inc., and Verizon Communications, Inc. Ms. Bilney has served as a director of Chuy’s Holdings, Inc. since 2021, Masonite International Corp. since 2014 and Cracker Barrel Old Country Store, Inc. since 2022. She earned a Bachelor of Science degree in Economics, with a minor in Marketing, from Clemson University. Ms. Bilney is a valuable member of our Board because of her leadership and industry-specific and marketing experience.</w:t>
            </w:r>
          </w:p>
        </w:tc>
      </w:tr>
      <w:tr>
        <w:trPr/>
        <w:tc>
          <w:tcPr>
            <w:tcW w:w="1892" w:type="dxa"/>
            <w:tcBorders/>
            <w:vAlign w:val="center"/>
          </w:tcPr>
          <w:p>
            <w:pPr>
              <w:pStyle w:val="TableContents"/>
              <w:bidi w:val="0"/>
              <w:spacing w:before="0" w:after="283"/>
              <w:jc w:val="left"/>
              <w:rPr>
                <w:sz w:val="4"/>
                <w:szCs w:val="4"/>
              </w:rPr>
            </w:pPr>
            <w:r>
              <w:rPr>
                <w:sz w:val="4"/>
                <w:szCs w:val="4"/>
              </w:rPr>
            </w:r>
          </w:p>
        </w:tc>
        <w:tc>
          <w:tcPr>
            <w:tcW w:w="8313" w:type="dxa"/>
            <w:gridSpan w:val="2"/>
            <w:tcBorders/>
            <w:vAlign w:val="center"/>
          </w:tcPr>
          <w:p>
            <w:pPr>
              <w:pStyle w:val="TableContents"/>
              <w:bidi w:val="0"/>
              <w:spacing w:before="0" w:after="283"/>
              <w:jc w:val="left"/>
              <w:rPr>
                <w:sz w:val="4"/>
                <w:szCs w:val="4"/>
              </w:rPr>
            </w:pPr>
            <w:r>
              <w:rPr>
                <w:sz w:val="4"/>
                <w:szCs w:val="4"/>
              </w:rPr>
            </w:r>
          </w:p>
        </w:tc>
      </w:tr>
      <w:tr>
        <w:trPr/>
        <w:tc>
          <w:tcPr>
            <w:tcW w:w="1892" w:type="dxa"/>
            <w:tcBorders/>
            <w:vAlign w:val="center"/>
          </w:tcPr>
          <w:p>
            <w:pPr>
              <w:pStyle w:val="TableContents"/>
              <w:bidi w:val="0"/>
              <w:spacing w:before="0" w:after="0"/>
              <w:jc w:val="left"/>
              <w:rPr/>
            </w:pPr>
            <w:r>
              <w:rPr/>
              <w:drawing>
                <wp:inline distT="0" distB="0" distL="0" distR="0">
                  <wp:extent cx="1190625" cy="11144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90625" cy="1114425"/>
                          </a:xfrm>
                          <a:prstGeom prst="rect">
                            <a:avLst/>
                          </a:prstGeom>
                        </pic:spPr>
                      </pic:pic>
                    </a:graphicData>
                  </a:graphic>
                </wp:inline>
              </w:drawing>
            </w:r>
            <w:r>
              <w:rPr/>
              <w:t xml:space="preserve"> </w:t>
            </w:r>
          </w:p>
          <w:p>
            <w:pPr>
              <w:pStyle w:val="TableContents"/>
              <w:bidi w:val="0"/>
              <w:spacing w:before="0" w:after="20"/>
              <w:jc w:val="left"/>
              <w:rPr>
                <w:rFonts w:ascii="ARIAL" w:hAnsi="ARIAL"/>
                <w:b/>
                <w:i/>
                <w:color w:val="1F497D"/>
                <w:sz w:val="20"/>
              </w:rPr>
            </w:pPr>
            <w:r>
              <w:rPr>
                <w:rFonts w:ascii="ARIAL" w:hAnsi="ARIAL"/>
                <w:b/>
                <w:i/>
                <w:color w:val="1F497D"/>
                <w:sz w:val="20"/>
              </w:rPr>
              <w:t>David Hodgson</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jc w:val="left"/>
              <w:rPr/>
            </w:pPr>
            <w:r>
              <w:rPr/>
              <w:t>Mr. Hodgson has served as a member of our Board since 2014. Mr. Hodgson is a Managing Director and Vice Chairman of General Atlantic. He joined General Atlantic in 1982 and has over 30 years of experience identifying and assisting portfolio companies worldwide in all areas of their development. Currently, Mr. Hodgson is Chair of the board of directors of TriNet Group, Inc., a public human resources provider, and is a member of the board of directors of Royalty Pharma plc, a public pharmaceutical company. Mr. Hodgson has an MBA from Stanford Graduate School of Business (1982) and a Bachelor of Arts in Mathematics and Social Sciences from Dartmouth College (1978). Mr. Hodgson is a valuable member of our Board because of his private equity experience and his experience on other health care companies’ boards.</w:t>
            </w:r>
          </w:p>
        </w:tc>
      </w:tr>
      <w:tr>
        <w:trPr/>
        <w:tc>
          <w:tcPr>
            <w:tcW w:w="1892" w:type="dxa"/>
            <w:tcBorders/>
            <w:vAlign w:val="center"/>
          </w:tcPr>
          <w:p>
            <w:pPr>
              <w:pStyle w:val="TableContents"/>
              <w:bidi w:val="0"/>
              <w:spacing w:before="0" w:after="283"/>
              <w:jc w:val="left"/>
              <w:rPr>
                <w:sz w:val="4"/>
                <w:szCs w:val="4"/>
              </w:rPr>
            </w:pPr>
            <w:r>
              <w:rPr>
                <w:sz w:val="4"/>
                <w:szCs w:val="4"/>
              </w:rPr>
            </w:r>
          </w:p>
        </w:tc>
        <w:tc>
          <w:tcPr>
            <w:tcW w:w="8313" w:type="dxa"/>
            <w:gridSpan w:val="2"/>
            <w:tcBorders/>
            <w:vAlign w:val="center"/>
          </w:tcPr>
          <w:p>
            <w:pPr>
              <w:pStyle w:val="TableContents"/>
              <w:bidi w:val="0"/>
              <w:spacing w:before="0" w:after="283"/>
              <w:jc w:val="left"/>
              <w:rPr>
                <w:sz w:val="4"/>
                <w:szCs w:val="4"/>
              </w:rPr>
            </w:pPr>
            <w:r>
              <w:rPr>
                <w:sz w:val="4"/>
                <w:szCs w:val="4"/>
              </w:rPr>
            </w:r>
          </w:p>
        </w:tc>
      </w:tr>
      <w:tr>
        <w:trPr/>
        <w:tc>
          <w:tcPr>
            <w:tcW w:w="1892" w:type="dxa"/>
            <w:tcBorders/>
            <w:vAlign w:val="center"/>
          </w:tcPr>
          <w:p>
            <w:pPr>
              <w:pStyle w:val="TableContents"/>
              <w:bidi w:val="0"/>
              <w:spacing w:before="0" w:after="0"/>
              <w:jc w:val="left"/>
              <w:rPr/>
            </w:pPr>
            <w:r>
              <w:rPr/>
              <w:drawing>
                <wp:inline distT="0" distB="0" distL="0" distR="0">
                  <wp:extent cx="1190625" cy="11144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90625" cy="1114425"/>
                          </a:xfrm>
                          <a:prstGeom prst="rect">
                            <a:avLst/>
                          </a:prstGeom>
                        </pic:spPr>
                      </pic:pic>
                    </a:graphicData>
                  </a:graphic>
                </wp:inline>
              </w:drawing>
            </w:r>
            <w:r>
              <w:rPr/>
              <w:t xml:space="preserve"> </w:t>
            </w:r>
          </w:p>
          <w:p>
            <w:pPr>
              <w:pStyle w:val="TableContents"/>
              <w:bidi w:val="0"/>
              <w:spacing w:before="0" w:after="20"/>
              <w:jc w:val="left"/>
              <w:rPr>
                <w:rFonts w:ascii="ARIAL" w:hAnsi="ARIAL"/>
                <w:b/>
                <w:i/>
                <w:color w:val="1F497D"/>
                <w:sz w:val="20"/>
              </w:rPr>
            </w:pPr>
            <w:r>
              <w:rPr>
                <w:rFonts w:ascii="ARIAL" w:hAnsi="ARIAL"/>
                <w:b/>
                <w:i/>
                <w:color w:val="1F497D"/>
                <w:sz w:val="20"/>
              </w:rPr>
              <w:t>Jacqueline Kosecoff</w:t>
            </w:r>
          </w:p>
        </w:tc>
        <w:tc>
          <w:tcPr>
            <w:tcW w:w="60" w:type="dxa"/>
            <w:tcBorders/>
            <w:vAlign w:val="center"/>
          </w:tcPr>
          <w:p>
            <w:pPr>
              <w:pStyle w:val="TableContents"/>
              <w:bidi w:val="0"/>
              <w:spacing w:before="0" w:after="283"/>
              <w:jc w:val="left"/>
              <w:rPr/>
            </w:pPr>
            <w:r>
              <w:rPr/>
              <w:t> </w:t>
            </w:r>
          </w:p>
        </w:tc>
        <w:tc>
          <w:tcPr>
            <w:tcW w:w="8253" w:type="dxa"/>
            <w:tcBorders/>
            <w:vAlign w:val="center"/>
          </w:tcPr>
          <w:p>
            <w:pPr>
              <w:pStyle w:val="TableContents"/>
              <w:bidi w:val="0"/>
              <w:spacing w:before="0" w:after="283"/>
              <w:jc w:val="left"/>
              <w:rPr/>
            </w:pPr>
            <w:r>
              <w:rPr/>
              <w:t>Dr. Kosecoff has served as a member of our Board since 2017. Since 2012, Dr. Kosecoff has served as a Managing Partner of Moriah Partners and also a Senior Advisor of Warburg Pincus. From 2002 to 2012, Dr. Kosecoff was a senior executive inside UnitedHealth Group-PacifiCare, which she joined as part of the acquisition of PacifiCare Health Systems in 2005, where she served as Executive Vice President. Upon joining UnitedHealth Group, Dr. Kosecoff was appointed Chief Executive Officer of Prescription Solutions (now known as OptumRx). Prior to joining UnitedHealth Group-PacifiCare, Dr. Kosecoff was founder, President and Chief Operating Officer of Protocare. Currently Dr. Kosecoff sits on the board of directors of Steris, plc, TriNet Group, Inc. and Houlihan Lokey, Inc. Additionally, Dr. Kosecoff served on the boards of directors of GoodRx Holdings, Inc. from May 2016 to June 2023; of Sealed Air Corporation from May 2005 to May 2021; and of athenahealth, Inc. from July 2012 to February 2019. Dr. Kosecoff holds a B.A. from the University of California, Los Angeles, an M.S. in Applied Mathematics from Brown University, and a doctorate from the University of California, Los Angeles. Dr. Kosecoff was appointed to serve on our board of directors because of her knowledge of Medicare Advantage and Medicare Part D, extensive experience in managing organizations and her experience serving on public company boards.</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891"/>
        <w:gridCol w:w="60"/>
        <w:gridCol w:w="8254"/>
      </w:tblGrid>
      <w:tr>
        <w:trPr/>
        <w:tc>
          <w:tcPr>
            <w:tcW w:w="18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54" w:type="dxa"/>
            <w:tcBorders/>
            <w:vAlign w:val="center"/>
          </w:tcPr>
          <w:p>
            <w:pPr>
              <w:pStyle w:val="TableContents"/>
              <w:bidi w:val="0"/>
              <w:spacing w:before="0" w:after="283"/>
              <w:jc w:val="left"/>
              <w:rPr>
                <w:sz w:val="4"/>
                <w:szCs w:val="4"/>
              </w:rPr>
            </w:pPr>
            <w:r>
              <w:rPr>
                <w:sz w:val="4"/>
                <w:szCs w:val="4"/>
              </w:rPr>
            </w:r>
          </w:p>
        </w:tc>
      </w:tr>
      <w:tr>
        <w:trPr/>
        <w:tc>
          <w:tcPr>
            <w:tcW w:w="1891" w:type="dxa"/>
            <w:tcBorders/>
            <w:vAlign w:val="center"/>
          </w:tcPr>
          <w:p>
            <w:pPr>
              <w:pStyle w:val="TableContents"/>
              <w:bidi w:val="0"/>
              <w:spacing w:before="0" w:after="0"/>
              <w:jc w:val="left"/>
              <w:rPr/>
            </w:pPr>
            <w:r>
              <w:rPr/>
              <w:drawing>
                <wp:inline distT="0" distB="0" distL="0" distR="0">
                  <wp:extent cx="1190625" cy="11144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90625" cy="11144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rFonts w:ascii="ARIAL" w:hAnsi="ARIAL"/>
                <w:b/>
                <w:i/>
                <w:color w:val="1F497D"/>
                <w:sz w:val="20"/>
              </w:rPr>
            </w:pPr>
            <w:r>
              <w:rPr>
                <w:rFonts w:ascii="ARIAL" w:hAnsi="ARIAL"/>
                <w:b/>
                <w:i/>
                <w:color w:val="1F497D"/>
                <w:sz w:val="20"/>
              </w:rPr>
              <w:t>Jeffrey Margolis</w:t>
            </w:r>
          </w:p>
        </w:tc>
        <w:tc>
          <w:tcPr>
            <w:tcW w:w="60" w:type="dxa"/>
            <w:tcBorders/>
            <w:vAlign w:val="center"/>
          </w:tcPr>
          <w:p>
            <w:pPr>
              <w:pStyle w:val="TableContents"/>
              <w:bidi w:val="0"/>
              <w:spacing w:before="0" w:after="283"/>
              <w:jc w:val="left"/>
              <w:rPr/>
            </w:pPr>
            <w:r>
              <w:rPr/>
              <w:t> </w:t>
            </w:r>
          </w:p>
        </w:tc>
        <w:tc>
          <w:tcPr>
            <w:tcW w:w="8254" w:type="dxa"/>
            <w:tcBorders/>
            <w:vAlign w:val="center"/>
          </w:tcPr>
          <w:p>
            <w:pPr>
              <w:pStyle w:val="TableContents"/>
              <w:bidi w:val="0"/>
              <w:spacing w:before="0" w:after="283"/>
              <w:jc w:val="left"/>
              <w:rPr/>
            </w:pPr>
            <w:r>
              <w:rPr/>
              <w:t>Mr. Margolis has served as a member of our Board since 2014. He currently serves as Vice Chairman of TriNetX, Inc., and as a director of Get-Grin Inc. , Brightside Health, and DNAnexus, and as a senior advisor to Blackstone. Mr. Margolis served as Chairman of NextGen Healthcare, Inc. from November 2015 through November 2023 and has served as a member of the NextGen board since May 2014. He previously served as Chairman of Welltok, Inc. from October 2011 until November 2021, where he also served as CEO from April 2013 through April 2020. Mr. Margolis is Chairman Emeritus of TriZetto Corporation, where he served as the founding CEO beginning in 1997, served as Chairman and CEO until 2010, and continued as Chairman until October 2011. He also served as Senior Executive Advisor to the Oliver Wyman Health Innovation Center during 2012 and 2013. From 1989 to 1997, Mr. Margolis served as Senior Vice President and Chief Information Officer of FHP International Corp. Earlier in his career, Mr. Margolis served in various positions with Andersen Consulting (now Accenture) including his final position as Manager, Healthcare Consulting. Mr. Margolis currently serves on the board of directors of Hoag Hospital from 2010 through 2022 and was the inaugural Chairman of the Hoag Clinic from 2020 to 2022 in Newport Beach, California. He currently serves on the Advisory Boards of the University of California at Irvine’s Center for Healthcare Management &amp; Policy and Center for Digital Transformation. A published author of two books the topics of health care information technology and systems, Mr. Margolis earned a bachelor’s degree in business administration/management information systems with high honors from the University of Illinois in 1984 and holds CPA certificates (currently inactive) in Colorado and Illinois. Mr. Margolis is a NACD Board Leadership Fellow and holds a Certified Global Management Accountant designation with the American Institute of Certified Public Accountants. Mr. Margolis is a valuable member of our Board because of his extensive experience as a chief executive officer in the health care information technology sector, his financial expertise and his experience as an executive officer and director of multiple public and private companies.</w:t>
            </w:r>
          </w:p>
        </w:tc>
      </w:tr>
    </w:tbl>
    <w:p>
      <w:pPr>
        <w:pStyle w:val="TextBody"/>
        <w:bidi w:val="0"/>
        <w:spacing w:before="240" w:after="0"/>
        <w:jc w:val="left"/>
        <w:rPr>
          <w:rFonts w:ascii="ARIAL" w:hAnsi="ARIAL"/>
          <w:b/>
          <w:color w:val="1F497D"/>
          <w:sz w:val="20"/>
        </w:rPr>
      </w:pPr>
      <w:bookmarkStart w:id="7" w:name="txa496243_5"/>
      <w:bookmarkEnd w:id="7"/>
      <w:r>
        <w:rPr>
          <w:rFonts w:ascii="ARIAL" w:hAnsi="ARIAL"/>
          <w:b/>
          <w:color w:val="1F497D"/>
          <w:sz w:val="20"/>
        </w:rPr>
        <w:t xml:space="preserve">Nomination Criteria and Director Experience </w:t>
      </w:r>
    </w:p>
    <w:p>
      <w:pPr>
        <w:pStyle w:val="TextBody"/>
        <w:bidi w:val="0"/>
        <w:spacing w:before="200" w:after="0"/>
        <w:jc w:val="left"/>
        <w:rPr>
          <w:rFonts w:ascii="ARIAL" w:hAnsi="ARIAL"/>
          <w:b/>
          <w:i/>
          <w:color w:val="1F497D"/>
          <w:sz w:val="20"/>
        </w:rPr>
      </w:pPr>
      <w:r>
        <w:rPr>
          <w:rFonts w:ascii="ARIAL" w:hAnsi="ARIAL"/>
          <w:b/>
          <w:i/>
          <w:color w:val="1F497D"/>
          <w:sz w:val="20"/>
        </w:rPr>
        <w:t xml:space="preserve">Identifying Nominees for Directors </w:t>
      </w:r>
    </w:p>
    <w:p>
      <w:pPr>
        <w:pStyle w:val="TextBody"/>
        <w:bidi w:val="0"/>
        <w:spacing w:before="200" w:after="0"/>
        <w:jc w:val="left"/>
        <w:rPr>
          <w:rFonts w:ascii="ARIAL" w:hAnsi="ARIAL"/>
          <w:sz w:val="20"/>
        </w:rPr>
      </w:pPr>
      <w:r>
        <w:rPr>
          <w:rFonts w:ascii="ARIAL" w:hAnsi="ARIAL"/>
          <w:sz w:val="20"/>
        </w:rPr>
        <w:t xml:space="preserve">The Board has delegated an established screening process for director nominees to the NCGCC, with counsel from our Chairman, our Lead Independent Director, our Chief Executive Officer, and outside consultants as appropriate. The goal of the screening process is to assemble a group of potential board members with deep, varied experience, sound judgment, and commitment to the Company’s success. </w:t>
      </w:r>
    </w:p>
    <w:p>
      <w:pPr>
        <w:pStyle w:val="TextBody"/>
        <w:bidi w:val="0"/>
        <w:spacing w:before="240" w:after="0"/>
        <w:jc w:val="left"/>
        <w:rPr>
          <w:rFonts w:ascii="ARIAL" w:hAnsi="ARIAL"/>
          <w:sz w:val="20"/>
        </w:rPr>
      </w:pPr>
      <w:r>
        <w:rPr>
          <w:rFonts w:ascii="ARIAL" w:hAnsi="ARIAL"/>
          <w:sz w:val="20"/>
        </w:rPr>
        <w:t>The NCGCC regularly assesses the appropriate size of the Board, the areas of expertise required to effectively contribute to the Board process, and whether any vacancies are anticipated. It also annually assesses the director qualification criteria to ensure the Board has appropriate skill composition consistent with the Company’s long-term business, operations goals, growth strategy and risks. This includes (i) qualifications or characteristics that are expected and befitting of all directors and (ii) specific skills, experience or qualifications that should be represented collectively on our Board. As a result of its analysis, the NCGCC may recommend to the Board a need for an additional director, Board refreshment for certain requisite skills and qualifications, and/or the replacement of an existing director for other credible reasons. The self-identification process may also incorporate responses, as appropriate, from the Board’s annual individual self-evaluations. Such evaluations require each director to honestly reflect upon and recount their personal contributions to the Board in the prior year and to provide feedback regarding their performance, the overall Board performance and the performance of certain other key Board positions. See “</w:t>
      </w:r>
      <w:r>
        <w:rPr>
          <w:rFonts w:ascii="ARIAL" w:hAnsi="ARIAL"/>
          <w:i/>
          <w:sz w:val="20"/>
        </w:rPr>
        <w:t>Corporate Governance—Board Evaluation Practices</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 </w:t>
      </w:r>
      <w:r>
        <w:br w:type="page"/>
      </w:r>
    </w:p>
    <w:p>
      <w:pPr>
        <w:pStyle w:val="HorizontalLine"/>
        <w:bidi w:val="0"/>
        <w:jc w:val="left"/>
        <w:rPr/>
      </w:pPr>
      <w:r>
        <w:rPr/>
      </w:r>
    </w:p>
    <w:p>
      <w:pPr>
        <w:pStyle w:val="TextBody"/>
        <w:bidi w:val="0"/>
        <w:spacing w:before="0" w:after="0"/>
        <w:jc w:val="left"/>
        <w:rPr>
          <w:rFonts w:ascii="ARIAL" w:hAnsi="ARIAL"/>
          <w:sz w:val="20"/>
        </w:rPr>
      </w:pPr>
      <w:r>
        <w:rPr>
          <w:rFonts w:ascii="ARIAL" w:hAnsi="ARIAL"/>
          <w:sz w:val="20"/>
        </w:rPr>
        <w:t>The NCGCC will consider qualified candidates for director nominees suggested by the Company’s stockholders. Stockholders can suggest qualified candidates for director nominees by writing to the Chief Legal &amp; Administrative Officer of the Company at 1100 W. Town &amp; Country Rd., Suite 1600, Orange, CA 92868. Submissions should include the information about the director candidate and the stockholder making the submission that would otherwise be required by Article II, Section 11(b) of our Bylaws if the stockholder was nominating the individual for election to our Board. Submissions received that include such information, and provided that the recommended candidate meets the criteria described above, are forwarded to the NCGCC for further review and consideration. The committee may also request additional information concerning the director candidate that it deems reasonably required to determine the eligibility and qualification of the director candidate to serve on our Board. Stockholders suggesting director candidates for consideration by our Board in connection with the 2025 annual meeting of stockholders should provide their submission pursuant to the deadlines described above under “</w:t>
      </w:r>
      <w:r>
        <w:rPr>
          <w:rFonts w:ascii="ARIAL" w:hAnsi="ARIAL"/>
          <w:i/>
          <w:sz w:val="20"/>
        </w:rPr>
        <w:t>Commonly Asked Questions and Answers About the Annual Meeting</w:t>
      </w:r>
      <w:r>
        <w:rPr>
          <w:rFonts w:ascii="ARIAL" w:hAnsi="ARIAL"/>
          <w:sz w:val="20"/>
        </w:rPr>
        <w:t xml:space="preserve">.” The NCGCC does not intend to evaluate candidates proposed by stockholders any differently from other candidates. </w:t>
      </w:r>
    </w:p>
    <w:p>
      <w:pPr>
        <w:pStyle w:val="TextBody"/>
        <w:bidi w:val="0"/>
        <w:spacing w:before="240" w:after="0"/>
        <w:jc w:val="left"/>
        <w:rPr>
          <w:rFonts w:ascii="ARIAL" w:hAnsi="ARIAL"/>
          <w:sz w:val="20"/>
        </w:rPr>
      </w:pPr>
      <w:r>
        <w:rPr>
          <w:rFonts w:ascii="ARIAL" w:hAnsi="ARIAL"/>
          <w:sz w:val="20"/>
        </w:rPr>
        <w:t xml:space="preserve">As part of the process of identifying appropriate director candidates, the NCGCC formally reviews each director’s continuation on the Board every three years. As part of its formal review of directors, the NCGCC considers all factors which it deems appropriate, including director performance, any other directorships held by the director, whether the director undertook continuing director education and any other criteria approved by the Board. </w:t>
      </w:r>
    </w:p>
    <w:p>
      <w:pPr>
        <w:pStyle w:val="TextBody"/>
        <w:bidi w:val="0"/>
        <w:spacing w:before="360" w:after="0"/>
        <w:jc w:val="left"/>
        <w:rPr>
          <w:rFonts w:ascii="ARIAL" w:hAnsi="ARIAL"/>
          <w:b/>
          <w:i/>
          <w:color w:val="1F497D"/>
          <w:sz w:val="20"/>
        </w:rPr>
      </w:pPr>
      <w:r>
        <w:rPr>
          <w:rFonts w:ascii="ARIAL" w:hAnsi="ARIAL"/>
          <w:b/>
          <w:i/>
          <w:color w:val="1F497D"/>
          <w:sz w:val="20"/>
        </w:rPr>
        <w:t xml:space="preserve">Director Skills and Qualifications </w:t>
      </w:r>
    </w:p>
    <w:p>
      <w:pPr>
        <w:pStyle w:val="TextBody"/>
        <w:bidi w:val="0"/>
        <w:spacing w:before="240" w:after="0"/>
        <w:jc w:val="left"/>
        <w:rPr>
          <w:rFonts w:ascii="ARIAL" w:hAnsi="ARIAL"/>
          <w:sz w:val="20"/>
        </w:rPr>
      </w:pPr>
      <w:r>
        <w:rPr>
          <w:rFonts w:ascii="ARIAL" w:hAnsi="ARIAL"/>
          <w:sz w:val="20"/>
        </w:rPr>
        <w:t xml:space="preserve">The NCGCC has identified qualifications, attributes, skills and experience that are important to be represented on the Board as a whole, in light of the Company’s current needs and business priorities. The NCGCC recognizes that our Board should represent a diverse group of experience, skills and other qualities, and as a collective group should have expertise in certain substantive areas including: corporate governance, finance/capital markets, board of directors experience, health care industry experience, clinical practice, CEO or other C-suite experience with significant business acumen, direct to consumer marketing, diversity, experience with complex organizations, technology/business processes, government relations and/or public policy and regulatory knowledge and other skills and expertise that are likely to enhance the Board’s ability to manage and direct the affairs and business of the Company. Certain directors or director nominees may possess expertise in the designated areas, however a director or director nominee need not individually possess the experience, skill or other requisite qualification in all areas. Among other key areas, the NCGCC seeks directors with the following types of experience: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b/>
                <w:i/>
                <w:sz w:val="20"/>
              </w:rPr>
              <w:t>Leadership experience</w:t>
            </w:r>
            <w:r>
              <w:rPr>
                <w:rFonts w:ascii="ARIAL" w:hAnsi="ARIAL"/>
                <w:sz w:val="20"/>
              </w:rPr>
              <w:t xml:space="preserve">. We believe that directors who have held significant leadership positions over an extended period provide the Company with unique insights. We believe such people have the ability to identify and develop leadership qualities in others. They demonstrate a practical understanding of organizations, processes, strategy and risk management, and they know how to drive change and growth.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b/>
                <w:i/>
                <w:sz w:val="20"/>
              </w:rPr>
              <w:t>Technology and business processes experience</w:t>
            </w:r>
            <w:r>
              <w:rPr>
                <w:rFonts w:ascii="ARIAL" w:hAnsi="ARIAL"/>
                <w:sz w:val="20"/>
              </w:rPr>
              <w:t xml:space="preserve">. As a technology-enabled Medicare Advantage platform, we seek directors with backgrounds in technology because our success depends on developing our platform and introducing it into new markets. We also value expertise in business processes as we continue to build into new markets and scale our operations, as well as expertise in data privacy and cybersecurity matters which represent important elements of our risk management strategy.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b/>
                <w:i/>
                <w:sz w:val="20"/>
              </w:rPr>
              <w:t>Financial experience</w:t>
            </w:r>
            <w:r>
              <w:rPr>
                <w:rFonts w:ascii="ARIAL" w:hAnsi="ARIAL"/>
                <w:sz w:val="20"/>
              </w:rPr>
              <w:t xml:space="preserve">. We believe that an understanding of finance and financial reporting processes is important for our directors, as we measure our operating performance by reference to certain financial goals, including non-GAAP measures. Accurate financial reporting and robust auditing are critical to our success. We seek to have a number of directors who qualify as audit committee financial experts and we expect that all of our directors will be financially knowledgeable. As part of this qualification, we also seek directors who have relevant risk management experience.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b/>
                <w:i/>
                <w:sz w:val="20"/>
              </w:rPr>
              <w:t>Industry experience</w:t>
            </w:r>
            <w:r>
              <w:rPr>
                <w:rFonts w:ascii="ARIAL" w:hAnsi="ARIAL"/>
                <w:sz w:val="20"/>
              </w:rPr>
              <w:t xml:space="preserve">. We seek to have directors with experience as executives or directors or in other leadership positions in the Medicare Advantage space. We believe that this experience will help us effectively enhance our product offerings and successfully enter new markets.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b/>
                <w:i/>
                <w:sz w:val="20"/>
              </w:rPr>
              <w:t>Regulatory experience</w:t>
            </w:r>
            <w:r>
              <w:rPr>
                <w:rFonts w:ascii="ARIAL" w:hAnsi="ARIAL"/>
                <w:sz w:val="20"/>
              </w:rPr>
              <w:t xml:space="preserve">. Because we operate in a heavily regulated industry, we seek directors with significant government regulatory experience.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b/>
                <w:i/>
                <w:sz w:val="20"/>
              </w:rPr>
              <w:t>Marketing experience</w:t>
            </w:r>
            <w:r>
              <w:rPr>
                <w:rFonts w:ascii="ARIAL" w:hAnsi="ARIAL"/>
                <w:sz w:val="20"/>
              </w:rPr>
              <w:t xml:space="preserve">. As a consumer-facing business that is seeking to grow organically through new product offerings and in new markets, having directors with significant marketing experience is important to us. </w:t>
            </w:r>
          </w:p>
        </w:tc>
      </w:tr>
    </w:tbl>
    <w:p>
      <w:pPr>
        <w:pStyle w:val="TextBody"/>
        <w:bidi w:val="0"/>
        <w:spacing w:before="240" w:after="0"/>
        <w:jc w:val="left"/>
        <w:rPr>
          <w:rFonts w:ascii="ARIAL" w:hAnsi="ARIAL"/>
          <w:sz w:val="20"/>
        </w:rPr>
      </w:pPr>
      <w:r>
        <w:rPr>
          <w:rFonts w:ascii="ARIAL" w:hAnsi="ARIAL"/>
          <w:sz w:val="20"/>
        </w:rPr>
        <w:t xml:space="preserve">Additionally, director nominees must possess high integrity and ethical standards; standing and reputation in the individual’s field; risk oversight ability with respect to the particular skills of the individual director; understanding of and experience with complex public companies or like organizations; and ability to work collegially and collaboratively with other directors and management. The NCGCC charter requires that candidates are to be selected for, among other things, their independence, diversity of experience, demonstrated leadership and the ability to exercise sound judgment. </w:t>
      </w:r>
    </w:p>
    <w:p>
      <w:pPr>
        <w:pStyle w:val="TextBody"/>
        <w:bidi w:val="0"/>
        <w:spacing w:before="240" w:after="0"/>
        <w:jc w:val="left"/>
        <w:rPr>
          <w:rFonts w:ascii="ARIAL" w:hAnsi="ARIAL"/>
          <w:sz w:val="20"/>
        </w:rPr>
      </w:pPr>
      <w:r>
        <w:rPr>
          <w:rFonts w:ascii="ARIAL" w:hAnsi="ARIAL"/>
          <w:sz w:val="20"/>
        </w:rPr>
        <w:t>Our director nominations are subject to an agreement with our Lead Sponsors (defined below). See “</w:t>
      </w:r>
      <w:r>
        <w:rPr>
          <w:rFonts w:ascii="ARIAL" w:hAnsi="ARIAL"/>
          <w:i/>
          <w:sz w:val="20"/>
        </w:rPr>
        <w:t>Corporate Governance—Board Composition and Director Independence</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The NCGCC developed and maintains a skills matrix to assist in considering the appropriate balance of experience, skills and attributes required of a director and to be represented on the Board as a whole. The skills matrix is consistent with the Company’s long-term strategic plan and is regularly reviewed and updated by the NCGCC. The NCGCC evaluates Board candidates against the skills matrix on an annual basis to determine whether to recommend candidates for initial election to the Board and whether to recommend currently serving directors for reelection to the Board. The NCGCC has determined that our Board collectively satisfies all of the above criteria, complementing each other’s skills, background and perspectives to create a collection of diverse, knowledgeable and experienced directors.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 </w:t>
      </w:r>
      <w:r>
        <w:br w:type="page"/>
      </w:r>
    </w:p>
    <w:p>
      <w:pPr>
        <w:pStyle w:val="HorizontalLine"/>
        <w:bidi w:val="0"/>
        <w:jc w:val="left"/>
        <w:rPr/>
      </w:pPr>
      <w:r>
        <w:rPr/>
      </w:r>
    </w:p>
    <w:p>
      <w:pPr>
        <w:pStyle w:val="TextBody"/>
        <w:bidi w:val="0"/>
        <w:spacing w:before="0" w:after="0"/>
        <w:jc w:val="left"/>
        <w:rPr>
          <w:rFonts w:ascii="ARIAL" w:hAnsi="ARIAL"/>
          <w:sz w:val="20"/>
        </w:rPr>
      </w:pPr>
      <w:r>
        <w:rPr>
          <w:rFonts w:ascii="ARIAL" w:hAnsi="ARIAL"/>
          <w:sz w:val="20"/>
        </w:rPr>
        <w:t xml:space="preserve">The following chart represents the skills matrix as currently constituted by the NCGCC: </w:t>
      </w:r>
    </w:p>
    <w:p>
      <w:pPr>
        <w:pStyle w:val="TextBody"/>
        <w:bidi w:val="0"/>
        <w:spacing w:before="0" w:after="0"/>
        <w:jc w:val="left"/>
        <w:rPr/>
      </w:pPr>
      <w:r>
        <w:rPr/>
        <w:t> </w:t>
      </w:r>
    </w:p>
    <w:p>
      <w:pPr>
        <w:pStyle w:val="TextBody"/>
        <w:bidi w:val="0"/>
        <w:spacing w:before="0" w:after="0"/>
        <w:jc w:val="center"/>
        <w:rPr/>
      </w:pPr>
      <w:r>
        <w:rPr/>
        <w:drawing>
          <wp:inline distT="0" distB="0" distL="0" distR="0">
            <wp:extent cx="4819650" cy="46577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4819650" cy="4657725"/>
                    </a:xfrm>
                    <a:prstGeom prst="rect">
                      <a:avLst/>
                    </a:prstGeom>
                  </pic:spPr>
                </pic:pic>
              </a:graphicData>
            </a:graphic>
          </wp:inline>
        </w:drawing>
      </w:r>
      <w:r>
        <w:rPr/>
        <w:t xml:space="preserve"> </w:t>
      </w:r>
    </w:p>
    <w:p>
      <w:pPr>
        <w:pStyle w:val="TextBody"/>
        <w:bidi w:val="0"/>
        <w:spacing w:before="240" w:after="0"/>
        <w:jc w:val="left"/>
        <w:rPr>
          <w:rFonts w:ascii="ARIAL" w:hAnsi="ARIAL"/>
          <w:b/>
          <w:color w:val="1F497D"/>
          <w:sz w:val="20"/>
        </w:rPr>
      </w:pPr>
      <w:bookmarkStart w:id="8" w:name="txa496243_6"/>
      <w:bookmarkEnd w:id="8"/>
      <w:r>
        <w:rPr>
          <w:rFonts w:ascii="ARIAL" w:hAnsi="ARIAL"/>
          <w:b/>
          <w:color w:val="1F497D"/>
          <w:sz w:val="20"/>
        </w:rPr>
        <w:t xml:space="preserve">Director Diversity </w:t>
      </w:r>
    </w:p>
    <w:p>
      <w:pPr>
        <w:pStyle w:val="TextBody"/>
        <w:bidi w:val="0"/>
        <w:spacing w:before="240" w:after="0"/>
        <w:jc w:val="left"/>
        <w:rPr>
          <w:rFonts w:ascii="ARIAL" w:hAnsi="ARIAL"/>
          <w:sz w:val="20"/>
        </w:rPr>
      </w:pPr>
      <w:r>
        <w:rPr>
          <w:rFonts w:ascii="ARIAL" w:hAnsi="ARIAL"/>
          <w:sz w:val="20"/>
        </w:rPr>
        <w:t xml:space="preserve">In addressing issues of diversity, the NCGCC considers a nominee’s gender, ethnicity, tenure, skills and experience. The NCGCC believes that diversity of backgrounds and viewpoints is a key attribute for a director nominee. While the NCGCC carefully considers diversity when determining Board composition, it has not established a separate formal policy regarding diversity. </w:t>
      </w:r>
    </w:p>
    <w:p>
      <w:pPr>
        <w:pStyle w:val="TextBody"/>
        <w:bidi w:val="0"/>
        <w:spacing w:before="240" w:after="0"/>
        <w:jc w:val="center"/>
        <w:rPr>
          <w:rFonts w:ascii="ARIAL" w:hAnsi="ARIAL"/>
          <w:b/>
          <w:sz w:val="20"/>
        </w:rPr>
      </w:pPr>
      <w:r>
        <w:rPr>
          <w:rFonts w:ascii="ARIAL" w:hAnsi="ARIAL"/>
          <w:b/>
          <w:sz w:val="20"/>
        </w:rPr>
        <w:t xml:space="preserve">Board Diversity Matrix (as of April [  ], 2024) </w:t>
      </w:r>
    </w:p>
    <w:p>
      <w:pPr>
        <w:pStyle w:val="TextBody"/>
        <w:bidi w:val="0"/>
        <w:spacing w:before="240" w:after="0"/>
        <w:jc w:val="left"/>
        <w:rPr>
          <w:rFonts w:ascii="ARIAL" w:hAnsi="ARIAL"/>
          <w:i/>
          <w:sz w:val="20"/>
        </w:rPr>
      </w:pPr>
      <w:r>
        <w:rPr>
          <w:rFonts w:ascii="ARIAL" w:hAnsi="ARIAL"/>
          <w:i/>
          <w:sz w:val="20"/>
        </w:rPr>
        <w:t xml:space="preserve">To see our Board Diversity Matrix as of April 26, 2023, please see the proxy statement filed with the SEC on April 26, 2023. </w:t>
      </w:r>
    </w:p>
    <w:p>
      <w:pPr>
        <w:pStyle w:val="TextBody"/>
        <w:bidi w:val="0"/>
        <w:spacing w:before="0" w:after="0"/>
        <w:jc w:val="left"/>
        <w:rPr/>
      </w:pPr>
      <w:r>
        <w:rPr/>
        <w:t> </w:t>
      </w:r>
    </w:p>
    <w:tbl>
      <w:tblPr>
        <w:tblW w:w="3900" w:type="dxa"/>
        <w:jc w:val="left"/>
        <w:tblInd w:w="0" w:type="dxa"/>
        <w:tblLayout w:type="fixed"/>
        <w:tblCellMar>
          <w:top w:w="0" w:type="dxa"/>
          <w:left w:w="0" w:type="dxa"/>
          <w:bottom w:w="0" w:type="dxa"/>
          <w:right w:w="0" w:type="dxa"/>
        </w:tblCellMar>
      </w:tblPr>
      <w:tblGrid>
        <w:gridCol w:w="2360"/>
        <w:gridCol w:w="120"/>
        <w:gridCol w:w="755"/>
        <w:gridCol w:w="120"/>
        <w:gridCol w:w="545"/>
      </w:tblGrid>
      <w:tr>
        <w:trPr/>
        <w:tc>
          <w:tcPr>
            <w:tcW w:w="23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2360" w:type="dxa"/>
            <w:tcBorders>
              <w:top w:val="single" w:sz="8" w:space="0" w:color="95B3D7"/>
              <w:bottom w:val="single" w:sz="6" w:space="0" w:color="95B3D7"/>
              <w:right w:val="single" w:sz="6" w:space="0" w:color="95B3D7"/>
            </w:tcBorders>
            <w:shd w:fill="DBE5F1" w:val="clear"/>
            <w:tcMar>
              <w:top w:w="28" w:type="dxa"/>
              <w:bottom w:w="28" w:type="dxa"/>
              <w:right w:w="28" w:type="dxa"/>
            </w:tcMar>
            <w:vAlign w:val="center"/>
          </w:tcPr>
          <w:p>
            <w:pPr>
              <w:pStyle w:val="TableContents"/>
              <w:bidi w:val="0"/>
              <w:spacing w:before="0" w:after="0"/>
              <w:jc w:val="left"/>
              <w:rPr>
                <w:rFonts w:ascii="ARIAL" w:hAnsi="ARIAL"/>
                <w:b/>
                <w:sz w:val="18"/>
              </w:rPr>
            </w:pPr>
            <w:r>
              <w:rPr>
                <w:rFonts w:ascii="ARIAL" w:hAnsi="ARIAL"/>
                <w:b/>
                <w:sz w:val="18"/>
              </w:rPr>
              <w:t>Board Size:</w:t>
            </w:r>
          </w:p>
        </w:tc>
        <w:tc>
          <w:tcPr>
            <w:tcW w:w="120" w:type="dxa"/>
            <w:tcBorders>
              <w:top w:val="single" w:sz="8" w:space="0" w:color="95B3D7"/>
              <w:bottom w:val="single" w:sz="6" w:space="0" w:color="95B3D7"/>
            </w:tcBorders>
            <w:shd w:fill="DBE5F1" w:val="clear"/>
            <w:tcMar>
              <w:top w:w="28" w:type="dxa"/>
              <w:bottom w:w="28" w:type="dxa"/>
            </w:tcMar>
            <w:vAlign w:val="center"/>
          </w:tcPr>
          <w:p>
            <w:pPr>
              <w:pStyle w:val="TableContents"/>
              <w:bidi w:val="0"/>
              <w:spacing w:before="0" w:after="283"/>
              <w:jc w:val="left"/>
              <w:rPr/>
            </w:pPr>
            <w:r>
              <w:rPr/>
              <w:t>  </w:t>
            </w:r>
          </w:p>
        </w:tc>
        <w:tc>
          <w:tcPr>
            <w:tcW w:w="755" w:type="dxa"/>
            <w:tcBorders>
              <w:top w:val="single" w:sz="8" w:space="0" w:color="95B3D7"/>
              <w:bottom w:val="single" w:sz="6" w:space="0" w:color="95B3D7"/>
            </w:tcBorders>
            <w:shd w:fill="DBE5F1" w:val="clear"/>
            <w:tcMar>
              <w:top w:w="28" w:type="dxa"/>
              <w:bottom w:w="28" w:type="dxa"/>
            </w:tcMar>
            <w:vAlign w:val="center"/>
          </w:tcPr>
          <w:p>
            <w:pPr>
              <w:pStyle w:val="TableContents"/>
              <w:bidi w:val="0"/>
              <w:spacing w:before="0" w:after="283"/>
              <w:jc w:val="left"/>
              <w:rPr/>
            </w:pPr>
            <w:r>
              <w:rPr/>
              <w:t> </w:t>
            </w:r>
          </w:p>
        </w:tc>
        <w:tc>
          <w:tcPr>
            <w:tcW w:w="120" w:type="dxa"/>
            <w:tcBorders>
              <w:top w:val="single" w:sz="8" w:space="0" w:color="95B3D7"/>
              <w:bottom w:val="single" w:sz="6" w:space="0" w:color="95B3D7"/>
            </w:tcBorders>
            <w:shd w:fill="DBE5F1" w:val="clear"/>
            <w:tcMar>
              <w:top w:w="28" w:type="dxa"/>
              <w:bottom w:w="28" w:type="dxa"/>
            </w:tcMar>
            <w:vAlign w:val="center"/>
          </w:tcPr>
          <w:p>
            <w:pPr>
              <w:pStyle w:val="TableContents"/>
              <w:bidi w:val="0"/>
              <w:spacing w:before="0" w:after="283"/>
              <w:jc w:val="left"/>
              <w:rPr/>
            </w:pPr>
            <w:r>
              <w:rPr/>
              <w:t>  </w:t>
            </w:r>
          </w:p>
        </w:tc>
        <w:tc>
          <w:tcPr>
            <w:tcW w:w="545" w:type="dxa"/>
            <w:tcBorders>
              <w:top w:val="single" w:sz="8" w:space="0" w:color="95B3D7"/>
              <w:bottom w:val="single" w:sz="6" w:space="0" w:color="95B3D7"/>
            </w:tcBorders>
            <w:shd w:fill="DBE5F1" w:val="clear"/>
            <w:tcMar>
              <w:top w:w="28" w:type="dxa"/>
              <w:bottom w:w="28" w:type="dxa"/>
            </w:tcMar>
            <w:vAlign w:val="center"/>
          </w:tcPr>
          <w:p>
            <w:pPr>
              <w:pStyle w:val="TableContents"/>
              <w:bidi w:val="0"/>
              <w:spacing w:before="0" w:after="283"/>
              <w:jc w:val="left"/>
              <w:rPr/>
            </w:pPr>
            <w:r>
              <w:rPr/>
              <w:t> </w:t>
            </w:r>
          </w:p>
        </w:tc>
      </w:tr>
      <w:tr>
        <w:trPr/>
        <w:tc>
          <w:tcPr>
            <w:tcW w:w="2360" w:type="dxa"/>
            <w:tcBorders>
              <w:bottom w:val="single" w:sz="6" w:space="0" w:color="95B3D7"/>
              <w:right w:val="single" w:sz="6" w:space="0" w:color="95B3D7"/>
            </w:tcBorders>
            <w:tcMar>
              <w:bottom w:w="28" w:type="dxa"/>
              <w:right w:w="28" w:type="dxa"/>
            </w:tcMar>
            <w:vAlign w:val="center"/>
          </w:tcPr>
          <w:p>
            <w:pPr>
              <w:pStyle w:val="TableContents"/>
              <w:bidi w:val="0"/>
              <w:spacing w:before="0" w:after="0"/>
              <w:jc w:val="left"/>
              <w:rPr/>
            </w:pPr>
            <w:r>
              <w:rPr/>
              <w:t> </w:t>
            </w:r>
            <w:r>
              <w:rPr>
                <w:rFonts w:ascii="ARIAL" w:hAnsi="ARIAL"/>
                <w:sz w:val="18"/>
              </w:rPr>
              <w:t>Total Number of Directors</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420" w:type="dxa"/>
            <w:gridSpan w:val="3"/>
            <w:tcBorders>
              <w:bottom w:val="single" w:sz="6" w:space="0" w:color="95B3D7"/>
            </w:tcBorders>
            <w:tcMar>
              <w:bottom w:w="28" w:type="dxa"/>
            </w:tcMar>
            <w:vAlign w:val="center"/>
          </w:tcPr>
          <w:p>
            <w:pPr>
              <w:pStyle w:val="TableContents"/>
              <w:bidi w:val="0"/>
              <w:spacing w:before="0" w:after="283"/>
              <w:jc w:val="center"/>
              <w:rPr/>
            </w:pPr>
            <w:r>
              <w:rPr/>
              <w:t>11  </w:t>
            </w:r>
          </w:p>
        </w:tc>
      </w:tr>
      <w:tr>
        <w:trPr/>
        <w:tc>
          <w:tcPr>
            <w:tcW w:w="236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75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b/>
              </w:rPr>
            </w:pPr>
            <w:r>
              <w:rPr>
                <w:b/>
              </w:rPr>
              <w:t>Female</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545" w:type="dxa"/>
            <w:tcBorders>
              <w:bottom w:val="single" w:sz="6" w:space="0" w:color="95B3D7"/>
            </w:tcBorders>
            <w:shd w:fill="DBE5F1" w:val="clear"/>
            <w:tcMar>
              <w:bottom w:w="28" w:type="dxa"/>
            </w:tcMar>
            <w:vAlign w:val="center"/>
          </w:tcPr>
          <w:p>
            <w:pPr>
              <w:pStyle w:val="TableContents"/>
              <w:bidi w:val="0"/>
              <w:spacing w:before="0" w:after="283"/>
              <w:jc w:val="center"/>
              <w:rPr>
                <w:b/>
              </w:rPr>
            </w:pPr>
            <w:r>
              <w:rPr>
                <w:b/>
              </w:rPr>
              <w:t>Male</w:t>
            </w:r>
          </w:p>
        </w:tc>
      </w:tr>
      <w:tr>
        <w:trPr/>
        <w:tc>
          <w:tcPr>
            <w:tcW w:w="2360" w:type="dxa"/>
            <w:tcBorders>
              <w:bottom w:val="single" w:sz="6" w:space="0" w:color="95B3D7"/>
              <w:right w:val="single" w:sz="6" w:space="0" w:color="95B3D7"/>
            </w:tcBorders>
            <w:tcMar>
              <w:bottom w:w="28" w:type="dxa"/>
              <w:right w:w="28" w:type="dxa"/>
            </w:tcMar>
            <w:vAlign w:val="center"/>
          </w:tcPr>
          <w:p>
            <w:pPr>
              <w:pStyle w:val="TableContents"/>
              <w:bidi w:val="0"/>
              <w:spacing w:before="0" w:after="0"/>
              <w:jc w:val="left"/>
              <w:rPr>
                <w:rFonts w:ascii="ARIAL" w:hAnsi="ARIAL"/>
                <w:b/>
                <w:sz w:val="18"/>
              </w:rPr>
            </w:pPr>
            <w:r>
              <w:rPr>
                <w:rFonts w:ascii="ARIAL" w:hAnsi="ARIAL"/>
                <w:b/>
                <w:sz w:val="18"/>
              </w:rPr>
              <w:t>Gender Identity:</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755"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545" w:type="dxa"/>
            <w:tcBorders>
              <w:bottom w:val="single" w:sz="6" w:space="0" w:color="95B3D7"/>
            </w:tcBorders>
            <w:tcMar>
              <w:bottom w:w="28" w:type="dxa"/>
            </w:tcMar>
            <w:vAlign w:val="center"/>
          </w:tcPr>
          <w:p>
            <w:pPr>
              <w:pStyle w:val="TableContents"/>
              <w:bidi w:val="0"/>
              <w:spacing w:before="0" w:after="283"/>
              <w:jc w:val="left"/>
              <w:rPr/>
            </w:pPr>
            <w:r>
              <w:rPr/>
              <w:t> </w:t>
            </w:r>
          </w:p>
        </w:tc>
      </w:tr>
      <w:tr>
        <w:trPr/>
        <w:tc>
          <w:tcPr>
            <w:tcW w:w="236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0"/>
              <w:jc w:val="left"/>
              <w:rPr/>
            </w:pPr>
            <w:r>
              <w:rPr/>
              <w:t> </w:t>
            </w:r>
            <w:r>
              <w:rPr>
                <w:rFonts w:ascii="ARIAL" w:hAnsi="ARIAL"/>
                <w:sz w:val="18"/>
              </w:rPr>
              <w:t>Directors</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75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pPr>
            <w:r>
              <w:rPr/>
              <w:t>4</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545" w:type="dxa"/>
            <w:tcBorders>
              <w:bottom w:val="single" w:sz="6" w:space="0" w:color="95B3D7"/>
            </w:tcBorders>
            <w:shd w:fill="DBE5F1" w:val="clear"/>
            <w:tcMar>
              <w:bottom w:w="28" w:type="dxa"/>
            </w:tcMar>
            <w:vAlign w:val="center"/>
          </w:tcPr>
          <w:p>
            <w:pPr>
              <w:pStyle w:val="TableContents"/>
              <w:bidi w:val="0"/>
              <w:spacing w:before="0" w:after="283"/>
              <w:jc w:val="center"/>
              <w:rPr/>
            </w:pPr>
            <w:r>
              <w:rPr/>
              <w:t>7</w:t>
            </w:r>
          </w:p>
        </w:tc>
      </w:tr>
      <w:tr>
        <w:trPr/>
        <w:tc>
          <w:tcPr>
            <w:tcW w:w="2360" w:type="dxa"/>
            <w:tcBorders>
              <w:bottom w:val="single" w:sz="6" w:space="0" w:color="95B3D7"/>
              <w:right w:val="single" w:sz="6" w:space="0" w:color="95B3D7"/>
            </w:tcBorders>
            <w:tcMar>
              <w:bottom w:w="28" w:type="dxa"/>
              <w:right w:w="28" w:type="dxa"/>
            </w:tcMar>
            <w:vAlign w:val="center"/>
          </w:tcPr>
          <w:p>
            <w:pPr>
              <w:pStyle w:val="TableContents"/>
              <w:bidi w:val="0"/>
              <w:spacing w:before="0" w:after="0"/>
              <w:jc w:val="left"/>
              <w:rPr>
                <w:rFonts w:ascii="ARIAL" w:hAnsi="ARIAL"/>
                <w:b/>
                <w:sz w:val="18"/>
              </w:rPr>
            </w:pPr>
            <w:r>
              <w:rPr>
                <w:rFonts w:ascii="ARIAL" w:hAnsi="ARIAL"/>
                <w:b/>
                <w:sz w:val="18"/>
              </w:rPr>
              <w:t>Demographic Background:</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755"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545" w:type="dxa"/>
            <w:tcBorders>
              <w:bottom w:val="single" w:sz="6" w:space="0" w:color="95B3D7"/>
            </w:tcBorders>
            <w:tcMar>
              <w:bottom w:w="28" w:type="dxa"/>
            </w:tcMar>
            <w:vAlign w:val="center"/>
          </w:tcPr>
          <w:p>
            <w:pPr>
              <w:pStyle w:val="TableContents"/>
              <w:bidi w:val="0"/>
              <w:spacing w:before="0" w:after="283"/>
              <w:jc w:val="left"/>
              <w:rPr/>
            </w:pPr>
            <w:r>
              <w:rPr/>
              <w:t> </w:t>
            </w:r>
          </w:p>
        </w:tc>
      </w:tr>
      <w:tr>
        <w:trPr/>
        <w:tc>
          <w:tcPr>
            <w:tcW w:w="236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0"/>
              <w:jc w:val="left"/>
              <w:rPr/>
            </w:pPr>
            <w:r>
              <w:rPr/>
              <w:t> </w:t>
            </w:r>
            <w:r>
              <w:rPr>
                <w:rFonts w:ascii="ARIAL" w:hAnsi="ARIAL"/>
                <w:sz w:val="18"/>
              </w:rPr>
              <w:t>Asian</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75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pPr>
            <w:r>
              <w:rPr/>
              <w:t>1</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545" w:type="dxa"/>
            <w:tcBorders>
              <w:bottom w:val="single" w:sz="6" w:space="0" w:color="95B3D7"/>
            </w:tcBorders>
            <w:shd w:fill="DBE5F1" w:val="clear"/>
            <w:tcMar>
              <w:bottom w:w="28" w:type="dxa"/>
            </w:tcMar>
            <w:vAlign w:val="center"/>
          </w:tcPr>
          <w:p>
            <w:pPr>
              <w:pStyle w:val="TableContents"/>
              <w:bidi w:val="0"/>
              <w:spacing w:before="0" w:after="283"/>
              <w:jc w:val="center"/>
              <w:rPr/>
            </w:pPr>
            <w:r>
              <w:rPr/>
              <w:t>1</w:t>
            </w:r>
          </w:p>
        </w:tc>
      </w:tr>
      <w:tr>
        <w:trPr/>
        <w:tc>
          <w:tcPr>
            <w:tcW w:w="2360" w:type="dxa"/>
            <w:tcBorders>
              <w:bottom w:val="single" w:sz="6" w:space="0" w:color="95B3D7"/>
              <w:right w:val="single" w:sz="6" w:space="0" w:color="95B3D7"/>
            </w:tcBorders>
            <w:tcMar>
              <w:bottom w:w="28" w:type="dxa"/>
              <w:right w:w="28" w:type="dxa"/>
            </w:tcMar>
            <w:vAlign w:val="center"/>
          </w:tcPr>
          <w:p>
            <w:pPr>
              <w:pStyle w:val="TableContents"/>
              <w:bidi w:val="0"/>
              <w:spacing w:before="0" w:after="0"/>
              <w:jc w:val="left"/>
              <w:rPr/>
            </w:pPr>
            <w:r>
              <w:rPr/>
              <w:t> </w:t>
            </w:r>
            <w:r>
              <w:rPr>
                <w:rFonts w:ascii="ARIAL" w:hAnsi="ARIAL"/>
                <w:sz w:val="18"/>
              </w:rPr>
              <w:t>White</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755"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pPr>
            <w:r>
              <w:rPr/>
              <w:t>3</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545" w:type="dxa"/>
            <w:tcBorders>
              <w:bottom w:val="single" w:sz="6" w:space="0" w:color="95B3D7"/>
            </w:tcBorders>
            <w:tcMar>
              <w:bottom w:w="28" w:type="dxa"/>
            </w:tcMar>
            <w:vAlign w:val="center"/>
          </w:tcPr>
          <w:p>
            <w:pPr>
              <w:pStyle w:val="TableContents"/>
              <w:bidi w:val="0"/>
              <w:spacing w:before="0" w:after="283"/>
              <w:jc w:val="center"/>
              <w:rPr/>
            </w:pPr>
            <w:r>
              <w:rPr/>
              <w:t>6</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 </w:t>
      </w:r>
      <w:r>
        <w:br w:type="page"/>
      </w:r>
    </w:p>
    <w:p>
      <w:pPr>
        <w:pStyle w:val="HorizontalLine"/>
        <w:bidi w:val="0"/>
        <w:jc w:val="left"/>
        <w:rPr/>
      </w:pPr>
      <w:r>
        <w:rPr/>
      </w:r>
    </w:p>
    <w:p>
      <w:pPr>
        <w:pStyle w:val="TextBody"/>
        <w:bidi w:val="0"/>
        <w:spacing w:before="0" w:after="0"/>
        <w:jc w:val="center"/>
        <w:rPr>
          <w:rFonts w:ascii="ARIAL" w:hAnsi="ARIAL"/>
          <w:b/>
          <w:sz w:val="20"/>
        </w:rPr>
      </w:pPr>
      <w:bookmarkStart w:id="9" w:name="txa496243_7"/>
      <w:bookmarkEnd w:id="9"/>
      <w:r>
        <w:rPr>
          <w:rFonts w:ascii="ARIAL" w:hAnsi="ARIAL"/>
          <w:b/>
          <w:sz w:val="20"/>
        </w:rPr>
        <w:t xml:space="preserve">CORPORATE GOVERNANCE </w:t>
      </w:r>
    </w:p>
    <w:p>
      <w:pPr>
        <w:pStyle w:val="TextBody"/>
        <w:bidi w:val="0"/>
        <w:spacing w:before="240" w:after="0"/>
        <w:jc w:val="left"/>
        <w:rPr>
          <w:rFonts w:ascii="ARIAL" w:hAnsi="ARIAL"/>
          <w:b/>
          <w:color w:val="1F497D"/>
          <w:sz w:val="20"/>
        </w:rPr>
      </w:pPr>
      <w:bookmarkStart w:id="10" w:name="txa496243_8"/>
      <w:bookmarkEnd w:id="10"/>
      <w:r>
        <w:rPr>
          <w:rFonts w:ascii="ARIAL" w:hAnsi="ARIAL"/>
          <w:b/>
          <w:color w:val="1F497D"/>
          <w:sz w:val="20"/>
        </w:rPr>
        <w:t xml:space="preserve">Board and Corporate Governance Highlights </w:t>
      </w:r>
    </w:p>
    <w:p>
      <w:pPr>
        <w:pStyle w:val="TextBody"/>
        <w:bidi w:val="0"/>
        <w:spacing w:before="240" w:after="0"/>
        <w:jc w:val="left"/>
        <w:rPr>
          <w:rFonts w:ascii="ARIAL" w:hAnsi="ARIAL"/>
          <w:sz w:val="20"/>
        </w:rPr>
      </w:pPr>
      <w:r>
        <w:rPr>
          <w:rFonts w:ascii="ARIAL" w:hAnsi="ARIAL"/>
          <w:sz w:val="20"/>
        </w:rPr>
        <w:t xml:space="preserve">We are committed to governance practices that promote the long-term interests of our stockholders, strengthen Board and management accountability and continue to build trust in our Company. Our governance framework is described throughout this proxy statement and includes the following highlights: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82"/>
        <w:gridCol w:w="60"/>
        <w:gridCol w:w="3644"/>
        <w:gridCol w:w="60"/>
        <w:gridCol w:w="2959"/>
      </w:tblGrid>
      <w:tr>
        <w:trPr/>
        <w:tc>
          <w:tcPr>
            <w:tcW w:w="34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op w:val="single" w:sz="6" w:space="0" w:color="000000"/>
            </w:tcBorders>
            <w:shd w:fill="DBE5F1" w:val="clear"/>
            <w:tcMar>
              <w:top w:w="28" w:type="dxa"/>
            </w:tcMar>
            <w:vAlign w:val="center"/>
          </w:tcPr>
          <w:p>
            <w:pPr>
              <w:pStyle w:val="TableContents"/>
              <w:bidi w:val="0"/>
              <w:spacing w:before="0" w:after="283"/>
              <w:jc w:val="left"/>
              <w:rPr/>
            </w:pPr>
            <w:r>
              <w:rPr/>
              <w:t> </w:t>
            </w:r>
          </w:p>
        </w:tc>
      </w:tr>
      <w:tr>
        <w:trPr/>
        <w:tc>
          <w:tcPr>
            <w:tcW w:w="10205" w:type="dxa"/>
            <w:gridSpan w:val="5"/>
            <w:tcBorders/>
            <w:shd w:fill="DBE5F1" w:val="clear"/>
            <w:vAlign w:val="center"/>
          </w:tcPr>
          <w:p>
            <w:pPr>
              <w:pStyle w:val="TableContents"/>
              <w:bidi w:val="0"/>
              <w:spacing w:before="0" w:after="283"/>
              <w:jc w:val="left"/>
              <w:rPr>
                <w:b/>
                <w:i/>
              </w:rPr>
            </w:pPr>
            <w:r>
              <w:rPr>
                <w:b/>
                <w:i/>
              </w:rPr>
              <w:t>Board Structure &amp; Composition</w:t>
            </w:r>
          </w:p>
        </w:tc>
      </w:tr>
      <w:tr>
        <w:trPr/>
        <w:tc>
          <w:tcPr>
            <w:tcW w:w="3482" w:type="dxa"/>
            <w:tcBorders/>
            <w:shd w:fill="DBE5F1" w:val="clear"/>
            <w:vAlign w:val="center"/>
          </w:tcPr>
          <w:p>
            <w:pPr>
              <w:pStyle w:val="TableContents"/>
              <w:bidi w:val="0"/>
              <w:spacing w:before="0" w:after="283"/>
              <w:jc w:val="left"/>
              <w:rPr>
                <w:sz w:val="4"/>
                <w:szCs w:val="4"/>
              </w:rPr>
            </w:pPr>
            <w:r>
              <w:rPr>
                <w:sz w:val="4"/>
                <w:szCs w:val="4"/>
              </w:rPr>
            </w:r>
          </w:p>
        </w:tc>
        <w:tc>
          <w:tcPr>
            <w:tcW w:w="3704" w:type="dxa"/>
            <w:gridSpan w:val="2"/>
            <w:tcBorders/>
            <w:shd w:fill="DBE5F1" w:val="clear"/>
            <w:vAlign w:val="center"/>
          </w:tcPr>
          <w:p>
            <w:pPr>
              <w:pStyle w:val="TableContents"/>
              <w:bidi w:val="0"/>
              <w:spacing w:before="0" w:after="283"/>
              <w:jc w:val="left"/>
              <w:rPr>
                <w:sz w:val="4"/>
                <w:szCs w:val="4"/>
              </w:rPr>
            </w:pPr>
            <w:r>
              <w:rPr>
                <w:sz w:val="4"/>
                <w:szCs w:val="4"/>
              </w:rPr>
            </w:r>
          </w:p>
        </w:tc>
        <w:tc>
          <w:tcPr>
            <w:tcW w:w="3019" w:type="dxa"/>
            <w:gridSpan w:val="2"/>
            <w:tcBorders/>
            <w:shd w:fill="DBE5F1" w:val="clear"/>
            <w:vAlign w:val="center"/>
          </w:tcPr>
          <w:p>
            <w:pPr>
              <w:pStyle w:val="TableContents"/>
              <w:bidi w:val="0"/>
              <w:spacing w:before="0" w:after="283"/>
              <w:jc w:val="left"/>
              <w:rPr>
                <w:sz w:val="4"/>
                <w:szCs w:val="4"/>
              </w:rPr>
            </w:pPr>
            <w:r>
              <w:rPr>
                <w:sz w:val="4"/>
                <w:szCs w:val="4"/>
              </w:rPr>
            </w:r>
          </w:p>
        </w:tc>
      </w:tr>
      <w:tr>
        <w:trPr/>
        <w:tc>
          <w:tcPr>
            <w:tcW w:w="3482" w:type="dxa"/>
            <w:tcBorders>
              <w:bottom w:val="single" w:sz="6" w:space="0" w:color="000000"/>
            </w:tcBorders>
            <w:shd w:fill="DBE5F1" w:val="clear"/>
            <w:tcMar>
              <w:bottom w:w="28" w:type="dxa"/>
            </w:tcMar>
            <w:vAlign w:val="center"/>
          </w:tcPr>
          <w:p>
            <w:pPr>
              <w:pStyle w:val="TableContents"/>
              <w:bidi w:val="0"/>
              <w:spacing w:before="0" w:after="0"/>
              <w:jc w:val="left"/>
              <w:rPr/>
            </w:pPr>
            <w:r>
              <w:rPr/>
              <w:t>●   </w:t>
            </w:r>
            <w:r>
              <w:rPr>
                <w:rFonts w:ascii="ARIAL" w:hAnsi="ARIAL"/>
                <w:sz w:val="20"/>
              </w:rPr>
              <w:t>9 of 11 Directors, and all Board Committee members, are independent</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Board composed of a mix of long-tenured and new directors</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Directors reflect a variety of experiences and skills that give the Board the collective capability necessary to oversee the Company’s activities</w:t>
            </w:r>
          </w:p>
        </w:tc>
        <w:tc>
          <w:tcPr>
            <w:tcW w:w="60" w:type="dxa"/>
            <w:tcBorders>
              <w:bottom w:val="single" w:sz="6" w:space="0" w:color="000000"/>
            </w:tcBorders>
            <w:shd w:fill="DBE5F1" w:val="clear"/>
            <w:tcMar>
              <w:bottom w:w="28" w:type="dxa"/>
            </w:tcMar>
            <w:vAlign w:val="center"/>
          </w:tcPr>
          <w:p>
            <w:pPr>
              <w:pStyle w:val="TableContents"/>
              <w:bidi w:val="0"/>
              <w:spacing w:before="0" w:after="283"/>
              <w:jc w:val="left"/>
              <w:rPr/>
            </w:pPr>
            <w:r>
              <w:rPr/>
              <w:t> </w:t>
            </w:r>
          </w:p>
        </w:tc>
        <w:tc>
          <w:tcPr>
            <w:tcW w:w="3644" w:type="dxa"/>
            <w:tcBorders>
              <w:bottom w:val="single" w:sz="6" w:space="0" w:color="000000"/>
            </w:tcBorders>
            <w:shd w:fill="DBE5F1" w:val="clear"/>
            <w:tcMar>
              <w:bottom w:w="28" w:type="dxa"/>
            </w:tcMar>
            <w:vAlign w:val="center"/>
          </w:tcPr>
          <w:p>
            <w:pPr>
              <w:pStyle w:val="TableContents"/>
              <w:bidi w:val="0"/>
              <w:spacing w:before="0" w:after="0"/>
              <w:jc w:val="left"/>
              <w:rPr/>
            </w:pPr>
            <w:r>
              <w:rPr/>
              <w:t>●   </w:t>
            </w:r>
            <w:r>
              <w:rPr>
                <w:rFonts w:ascii="ARIAL" w:hAnsi="ARIAL"/>
                <w:sz w:val="20"/>
              </w:rPr>
              <w:t>Lead Independent Director empowered with agenda-setting authority and active involvement in oversight of Board functions, elected annually by the independent directors</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Active and empowered committee chairs, all of whom are independent</w:t>
            </w:r>
          </w:p>
        </w:tc>
        <w:tc>
          <w:tcPr>
            <w:tcW w:w="60" w:type="dxa"/>
            <w:tcBorders>
              <w:bottom w:val="single" w:sz="6" w:space="0" w:color="000000"/>
            </w:tcBorders>
            <w:shd w:fill="DBE5F1" w:val="clear"/>
            <w:tcMar>
              <w:bottom w:w="28" w:type="dxa"/>
            </w:tcMar>
            <w:vAlign w:val="center"/>
          </w:tcPr>
          <w:p>
            <w:pPr>
              <w:pStyle w:val="TableContents"/>
              <w:bidi w:val="0"/>
              <w:spacing w:before="0" w:after="283"/>
              <w:jc w:val="left"/>
              <w:rPr/>
            </w:pPr>
            <w:r>
              <w:rPr/>
              <w:t> </w:t>
            </w:r>
          </w:p>
        </w:tc>
        <w:tc>
          <w:tcPr>
            <w:tcW w:w="2959" w:type="dxa"/>
            <w:tcBorders>
              <w:bottom w:val="single" w:sz="6" w:space="0" w:color="000000"/>
            </w:tcBorders>
            <w:shd w:fill="DBE5F1" w:val="clear"/>
            <w:tcMar>
              <w:bottom w:w="28" w:type="dxa"/>
            </w:tcMar>
            <w:vAlign w:val="center"/>
          </w:tcPr>
          <w:p>
            <w:pPr>
              <w:pStyle w:val="TableContents"/>
              <w:bidi w:val="0"/>
              <w:spacing w:before="0" w:after="0"/>
              <w:jc w:val="left"/>
              <w:rPr/>
            </w:pPr>
            <w:r>
              <w:rPr/>
              <w:t>●   </w:t>
            </w:r>
            <w:r>
              <w:rPr>
                <w:rFonts w:ascii="ARIAL" w:hAnsi="ARIAL"/>
                <w:sz w:val="20"/>
              </w:rPr>
              <w:t>Annual assessment and determination of optimal Board leadership structure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Commitment to Board diversity of perspective, gender, and race or ethnicity</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Directors attended about 92% of Board and Committee meetings combined in 2023</w:t>
            </w:r>
          </w:p>
        </w:tc>
      </w:tr>
      <w:tr>
        <w:trPr/>
        <w:tc>
          <w:tcPr>
            <w:tcW w:w="3482"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c>
          <w:tcPr>
            <w:tcW w:w="3019" w:type="dxa"/>
            <w:gridSpan w:val="2"/>
            <w:tcBorders/>
            <w:vAlign w:val="center"/>
          </w:tcPr>
          <w:p>
            <w:pPr>
              <w:pStyle w:val="TableContents"/>
              <w:bidi w:val="0"/>
              <w:spacing w:before="0" w:after="283"/>
              <w:jc w:val="left"/>
              <w:rPr>
                <w:sz w:val="4"/>
                <w:szCs w:val="4"/>
              </w:rPr>
            </w:pPr>
            <w:r>
              <w:rPr>
                <w:sz w:val="4"/>
                <w:szCs w:val="4"/>
              </w:rPr>
            </w:r>
          </w:p>
        </w:tc>
      </w:tr>
      <w:tr>
        <w:trPr/>
        <w:tc>
          <w:tcPr>
            <w:tcW w:w="3482" w:type="dxa"/>
            <w:tcBorders/>
            <w:vAlign w:val="center"/>
          </w:tcPr>
          <w:p>
            <w:pPr>
              <w:pStyle w:val="TableContents"/>
              <w:bidi w:val="0"/>
              <w:spacing w:before="0" w:after="283"/>
              <w:jc w:val="left"/>
              <w:rPr>
                <w:b/>
                <w:i/>
              </w:rPr>
            </w:pPr>
            <w:r>
              <w:rPr>
                <w:b/>
                <w:i/>
              </w:rPr>
              <w:t>Good Governance Practices</w:t>
            </w:r>
          </w:p>
        </w:tc>
        <w:tc>
          <w:tcPr>
            <w:tcW w:w="60" w:type="dxa"/>
            <w:tcBorders/>
            <w:vAlign w:val="center"/>
          </w:tcPr>
          <w:p>
            <w:pPr>
              <w:pStyle w:val="TableContents"/>
              <w:bidi w:val="0"/>
              <w:spacing w:before="0" w:after="283"/>
              <w:jc w:val="left"/>
              <w:rPr/>
            </w:pPr>
            <w:r>
              <w:rPr/>
              <w:t> </w:t>
            </w:r>
          </w:p>
        </w:tc>
        <w:tc>
          <w:tcPr>
            <w:tcW w:w="36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59" w:type="dxa"/>
            <w:tcBorders/>
            <w:vAlign w:val="center"/>
          </w:tcPr>
          <w:p>
            <w:pPr>
              <w:pStyle w:val="TableContents"/>
              <w:bidi w:val="0"/>
              <w:spacing w:before="0" w:after="283"/>
              <w:jc w:val="left"/>
              <w:rPr>
                <w:sz w:val="4"/>
                <w:szCs w:val="4"/>
              </w:rPr>
            </w:pPr>
            <w:r>
              <w:rPr>
                <w:sz w:val="4"/>
                <w:szCs w:val="4"/>
              </w:rPr>
            </w:r>
          </w:p>
        </w:tc>
      </w:tr>
      <w:tr>
        <w:trPr/>
        <w:tc>
          <w:tcPr>
            <w:tcW w:w="3482"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c>
          <w:tcPr>
            <w:tcW w:w="3019" w:type="dxa"/>
            <w:gridSpan w:val="2"/>
            <w:tcBorders/>
            <w:vAlign w:val="center"/>
          </w:tcPr>
          <w:p>
            <w:pPr>
              <w:pStyle w:val="TableContents"/>
              <w:bidi w:val="0"/>
              <w:spacing w:before="0" w:after="283"/>
              <w:jc w:val="left"/>
              <w:rPr>
                <w:sz w:val="4"/>
                <w:szCs w:val="4"/>
              </w:rPr>
            </w:pPr>
            <w:r>
              <w:rPr>
                <w:sz w:val="4"/>
                <w:szCs w:val="4"/>
              </w:rPr>
            </w:r>
          </w:p>
        </w:tc>
      </w:tr>
      <w:tr>
        <w:trPr/>
        <w:tc>
          <w:tcPr>
            <w:tcW w:w="3482" w:type="dxa"/>
            <w:tcBorders/>
            <w:vAlign w:val="center"/>
          </w:tcPr>
          <w:p>
            <w:pPr>
              <w:pStyle w:val="TableContents"/>
              <w:bidi w:val="0"/>
              <w:spacing w:before="0" w:after="0"/>
              <w:jc w:val="left"/>
              <w:rPr/>
            </w:pPr>
            <w:r>
              <w:rPr/>
              <w:t>●   </w:t>
            </w:r>
            <w:r>
              <w:rPr>
                <w:rFonts w:ascii="ARIAL" w:hAnsi="ARIAL"/>
                <w:sz w:val="20"/>
              </w:rPr>
              <w:t>Ongoing Board assessment and refreshment led by the NCGCC</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Annual Board and Committee self-assessments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Insider trading policy, including prohibitions on pledging and short-sales</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Clawback policy implementation in process</w:t>
            </w:r>
          </w:p>
        </w:tc>
        <w:tc>
          <w:tcPr>
            <w:tcW w:w="60" w:type="dxa"/>
            <w:tcBorders/>
            <w:vAlign w:val="center"/>
          </w:tcPr>
          <w:p>
            <w:pPr>
              <w:pStyle w:val="TableContents"/>
              <w:bidi w:val="0"/>
              <w:spacing w:before="0" w:after="283"/>
              <w:jc w:val="left"/>
              <w:rPr/>
            </w:pPr>
            <w:r>
              <w:rPr/>
              <w:t> </w:t>
            </w:r>
          </w:p>
        </w:tc>
        <w:tc>
          <w:tcPr>
            <w:tcW w:w="3644" w:type="dxa"/>
            <w:tcBorders/>
            <w:vAlign w:val="center"/>
          </w:tcPr>
          <w:p>
            <w:pPr>
              <w:pStyle w:val="TableContents"/>
              <w:bidi w:val="0"/>
              <w:spacing w:before="0" w:after="0"/>
              <w:jc w:val="left"/>
              <w:rPr/>
            </w:pPr>
            <w:r>
              <w:rPr/>
              <w:t>●   </w:t>
            </w:r>
            <w:r>
              <w:rPr>
                <w:rFonts w:ascii="ARIAL" w:hAnsi="ARIAL"/>
                <w:sz w:val="20"/>
              </w:rPr>
              <w:t>Regular executive sessions of the independent directors at meetings of the Board, without management present</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Non-employee director stock ownership requirements</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Code of Conduct overseen by Board</w:t>
            </w:r>
          </w:p>
        </w:tc>
        <w:tc>
          <w:tcPr>
            <w:tcW w:w="60" w:type="dxa"/>
            <w:tcBorders/>
            <w:vAlign w:val="center"/>
          </w:tcPr>
          <w:p>
            <w:pPr>
              <w:pStyle w:val="TableContents"/>
              <w:bidi w:val="0"/>
              <w:spacing w:before="0" w:after="283"/>
              <w:jc w:val="left"/>
              <w:rPr/>
            </w:pPr>
            <w:r>
              <w:rPr/>
              <w:t> </w:t>
            </w:r>
          </w:p>
        </w:tc>
        <w:tc>
          <w:tcPr>
            <w:tcW w:w="2959" w:type="dxa"/>
            <w:tcBorders/>
            <w:vAlign w:val="center"/>
          </w:tcPr>
          <w:p>
            <w:pPr>
              <w:pStyle w:val="TableContents"/>
              <w:bidi w:val="0"/>
              <w:spacing w:before="0" w:after="0"/>
              <w:jc w:val="left"/>
              <w:rPr/>
            </w:pPr>
            <w:r>
              <w:rPr/>
              <w:t>●   </w:t>
            </w:r>
            <w:r>
              <w:rPr>
                <w:rFonts w:ascii="ARIAL" w:hAnsi="ARIAL"/>
                <w:sz w:val="20"/>
              </w:rPr>
              <w:t>Robust stockholder engagement program, with the participation of our Chairman, to share our perspectives and solicit feedback</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Lead Sponsors can call special stockholder meetings</w:t>
            </w:r>
          </w:p>
        </w:tc>
      </w:tr>
      <w:tr>
        <w:trPr/>
        <w:tc>
          <w:tcPr>
            <w:tcW w:w="3482" w:type="dxa"/>
            <w:tcBorders>
              <w:top w:val="single" w:sz="6" w:space="0" w:color="000000"/>
            </w:tcBorders>
            <w:shd w:fill="DBE5F1" w:val="clear"/>
            <w:tcMar>
              <w:top w:w="28" w:type="dxa"/>
            </w:tcMar>
            <w:vAlign w:val="center"/>
          </w:tcPr>
          <w:p>
            <w:pPr>
              <w:pStyle w:val="TableContents"/>
              <w:bidi w:val="0"/>
              <w:spacing w:before="0" w:after="283"/>
              <w:jc w:val="left"/>
              <w:rPr/>
            </w:pPr>
            <w:r>
              <w:rPr/>
              <w:t> </w:t>
            </w:r>
          </w:p>
        </w:tc>
        <w:tc>
          <w:tcPr>
            <w:tcW w:w="3704" w:type="dxa"/>
            <w:gridSpan w:val="2"/>
            <w:tcBorders>
              <w:top w:val="single" w:sz="6" w:space="0" w:color="000000"/>
            </w:tcBorders>
            <w:shd w:fill="DBE5F1" w:val="clear"/>
            <w:tcMar>
              <w:top w:w="28" w:type="dxa"/>
            </w:tcMar>
            <w:vAlign w:val="center"/>
          </w:tcPr>
          <w:p>
            <w:pPr>
              <w:pStyle w:val="TableContents"/>
              <w:bidi w:val="0"/>
              <w:spacing w:before="0" w:after="283"/>
              <w:jc w:val="left"/>
              <w:rPr/>
            </w:pPr>
            <w:r>
              <w:rPr/>
              <w:t> </w:t>
            </w:r>
          </w:p>
        </w:tc>
        <w:tc>
          <w:tcPr>
            <w:tcW w:w="3019" w:type="dxa"/>
            <w:gridSpan w:val="2"/>
            <w:tcBorders>
              <w:top w:val="single" w:sz="6" w:space="0" w:color="000000"/>
            </w:tcBorders>
            <w:shd w:fill="DBE5F1" w:val="clear"/>
            <w:tcMar>
              <w:top w:w="28" w:type="dxa"/>
            </w:tcMar>
            <w:vAlign w:val="center"/>
          </w:tcPr>
          <w:p>
            <w:pPr>
              <w:pStyle w:val="TableContents"/>
              <w:bidi w:val="0"/>
              <w:spacing w:before="0" w:after="283"/>
              <w:jc w:val="left"/>
              <w:rPr/>
            </w:pPr>
            <w:r>
              <w:rPr/>
              <w:t> </w:t>
            </w:r>
          </w:p>
        </w:tc>
      </w:tr>
      <w:tr>
        <w:trPr/>
        <w:tc>
          <w:tcPr>
            <w:tcW w:w="3482" w:type="dxa"/>
            <w:tcBorders/>
            <w:shd w:fill="DBE5F1" w:val="clear"/>
            <w:vAlign w:val="center"/>
          </w:tcPr>
          <w:p>
            <w:pPr>
              <w:pStyle w:val="TableContents"/>
              <w:bidi w:val="0"/>
              <w:spacing w:before="0" w:after="283"/>
              <w:jc w:val="left"/>
              <w:rPr>
                <w:b/>
                <w:i/>
              </w:rPr>
            </w:pPr>
            <w:r>
              <w:rPr>
                <w:b/>
                <w:i/>
              </w:rPr>
              <w:t>Board Operations and Oversight</w:t>
            </w:r>
          </w:p>
        </w:tc>
        <w:tc>
          <w:tcPr>
            <w:tcW w:w="60" w:type="dxa"/>
            <w:tcBorders/>
            <w:shd w:fill="DBE5F1" w:val="clear"/>
            <w:vAlign w:val="center"/>
          </w:tcPr>
          <w:p>
            <w:pPr>
              <w:pStyle w:val="TableContents"/>
              <w:bidi w:val="0"/>
              <w:spacing w:before="0" w:after="283"/>
              <w:jc w:val="left"/>
              <w:rPr/>
            </w:pPr>
            <w:r>
              <w:rPr/>
              <w:t> </w:t>
            </w:r>
          </w:p>
        </w:tc>
        <w:tc>
          <w:tcPr>
            <w:tcW w:w="3644"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2959" w:type="dxa"/>
            <w:tcBorders/>
            <w:shd w:fill="DBE5F1" w:val="clear"/>
            <w:vAlign w:val="center"/>
          </w:tcPr>
          <w:p>
            <w:pPr>
              <w:pStyle w:val="TableContents"/>
              <w:bidi w:val="0"/>
              <w:spacing w:before="0" w:after="283"/>
              <w:jc w:val="left"/>
              <w:rPr>
                <w:sz w:val="4"/>
                <w:szCs w:val="4"/>
              </w:rPr>
            </w:pPr>
            <w:r>
              <w:rPr>
                <w:sz w:val="4"/>
                <w:szCs w:val="4"/>
              </w:rPr>
            </w:r>
          </w:p>
        </w:tc>
      </w:tr>
      <w:tr>
        <w:trPr/>
        <w:tc>
          <w:tcPr>
            <w:tcW w:w="3482" w:type="dxa"/>
            <w:tcBorders/>
            <w:shd w:fill="DBE5F1" w:val="clear"/>
            <w:vAlign w:val="center"/>
          </w:tcPr>
          <w:p>
            <w:pPr>
              <w:pStyle w:val="TableContents"/>
              <w:bidi w:val="0"/>
              <w:spacing w:before="0" w:after="283"/>
              <w:jc w:val="left"/>
              <w:rPr>
                <w:sz w:val="4"/>
                <w:szCs w:val="4"/>
              </w:rPr>
            </w:pPr>
            <w:r>
              <w:rPr>
                <w:sz w:val="4"/>
                <w:szCs w:val="4"/>
              </w:rPr>
            </w:r>
          </w:p>
        </w:tc>
        <w:tc>
          <w:tcPr>
            <w:tcW w:w="3704" w:type="dxa"/>
            <w:gridSpan w:val="2"/>
            <w:tcBorders/>
            <w:shd w:fill="DBE5F1" w:val="clear"/>
            <w:vAlign w:val="center"/>
          </w:tcPr>
          <w:p>
            <w:pPr>
              <w:pStyle w:val="TableContents"/>
              <w:bidi w:val="0"/>
              <w:spacing w:before="0" w:after="283"/>
              <w:jc w:val="left"/>
              <w:rPr>
                <w:sz w:val="4"/>
                <w:szCs w:val="4"/>
              </w:rPr>
            </w:pPr>
            <w:r>
              <w:rPr>
                <w:sz w:val="4"/>
                <w:szCs w:val="4"/>
              </w:rPr>
            </w:r>
          </w:p>
        </w:tc>
        <w:tc>
          <w:tcPr>
            <w:tcW w:w="3019" w:type="dxa"/>
            <w:gridSpan w:val="2"/>
            <w:tcBorders/>
            <w:shd w:fill="DBE5F1" w:val="clear"/>
            <w:vAlign w:val="center"/>
          </w:tcPr>
          <w:p>
            <w:pPr>
              <w:pStyle w:val="TableContents"/>
              <w:bidi w:val="0"/>
              <w:spacing w:before="0" w:after="283"/>
              <w:jc w:val="left"/>
              <w:rPr>
                <w:sz w:val="4"/>
                <w:szCs w:val="4"/>
              </w:rPr>
            </w:pPr>
            <w:r>
              <w:rPr>
                <w:sz w:val="4"/>
                <w:szCs w:val="4"/>
              </w:rPr>
            </w:r>
          </w:p>
        </w:tc>
      </w:tr>
      <w:tr>
        <w:trPr/>
        <w:tc>
          <w:tcPr>
            <w:tcW w:w="3482" w:type="dxa"/>
            <w:tcBorders>
              <w:bottom w:val="single" w:sz="6" w:space="0" w:color="000000"/>
            </w:tcBorders>
            <w:shd w:fill="DBE5F1" w:val="clear"/>
            <w:tcMar>
              <w:bottom w:w="28" w:type="dxa"/>
            </w:tcMar>
            <w:vAlign w:val="center"/>
          </w:tcPr>
          <w:p>
            <w:pPr>
              <w:pStyle w:val="TableContents"/>
              <w:bidi w:val="0"/>
              <w:spacing w:before="0" w:after="0"/>
              <w:jc w:val="left"/>
              <w:rPr/>
            </w:pPr>
            <w:r>
              <w:rPr/>
              <w:t>●   </w:t>
            </w:r>
            <w:r>
              <w:rPr>
                <w:rFonts w:ascii="ARIAL" w:hAnsi="ARIAL"/>
                <w:sz w:val="20"/>
              </w:rPr>
              <w:t>Active board oversight of strategic planning</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Robust oversight framework to assess and manage risks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Revised charters recently adopted to clarify committee and full Board oversight roles</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Regular talent and succession planning discussions</w:t>
            </w:r>
          </w:p>
        </w:tc>
        <w:tc>
          <w:tcPr>
            <w:tcW w:w="60" w:type="dxa"/>
            <w:tcBorders>
              <w:bottom w:val="single" w:sz="6" w:space="0" w:color="000000"/>
            </w:tcBorders>
            <w:shd w:fill="DBE5F1" w:val="clear"/>
            <w:tcMar>
              <w:bottom w:w="28" w:type="dxa"/>
            </w:tcMar>
            <w:vAlign w:val="center"/>
          </w:tcPr>
          <w:p>
            <w:pPr>
              <w:pStyle w:val="TableContents"/>
              <w:bidi w:val="0"/>
              <w:spacing w:before="0" w:after="283"/>
              <w:jc w:val="left"/>
              <w:rPr/>
            </w:pPr>
            <w:r>
              <w:rPr/>
              <w:t> </w:t>
            </w:r>
          </w:p>
        </w:tc>
        <w:tc>
          <w:tcPr>
            <w:tcW w:w="3644" w:type="dxa"/>
            <w:tcBorders>
              <w:bottom w:val="single" w:sz="6" w:space="0" w:color="000000"/>
            </w:tcBorders>
            <w:shd w:fill="DBE5F1" w:val="clear"/>
            <w:tcMar>
              <w:bottom w:w="28" w:type="dxa"/>
            </w:tcMar>
            <w:vAlign w:val="center"/>
          </w:tcPr>
          <w:p>
            <w:pPr>
              <w:pStyle w:val="TableContents"/>
              <w:bidi w:val="0"/>
              <w:spacing w:before="0" w:after="0"/>
              <w:jc w:val="left"/>
              <w:rPr/>
            </w:pPr>
            <w:r>
              <w:rPr/>
              <w:t>●   </w:t>
            </w:r>
            <w:r>
              <w:rPr>
                <w:rFonts w:ascii="ARIAL" w:hAnsi="ARIAL"/>
                <w:sz w:val="20"/>
              </w:rPr>
              <w:t>Audit Committee oversight of financial risks, cybersecurity</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NCGCC oversight of nominating process and criteria, legal and regulatory compliance</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Compensation Committee oversight of compensation program, annual CEO evaluation</w:t>
            </w:r>
          </w:p>
        </w:tc>
        <w:tc>
          <w:tcPr>
            <w:tcW w:w="60" w:type="dxa"/>
            <w:tcBorders>
              <w:bottom w:val="single" w:sz="6" w:space="0" w:color="000000"/>
            </w:tcBorders>
            <w:shd w:fill="DBE5F1" w:val="clear"/>
            <w:tcMar>
              <w:bottom w:w="28" w:type="dxa"/>
            </w:tcMar>
            <w:vAlign w:val="center"/>
          </w:tcPr>
          <w:p>
            <w:pPr>
              <w:pStyle w:val="TableContents"/>
              <w:bidi w:val="0"/>
              <w:spacing w:before="0" w:after="283"/>
              <w:jc w:val="left"/>
              <w:rPr/>
            </w:pPr>
            <w:r>
              <w:rPr/>
              <w:t> </w:t>
            </w:r>
          </w:p>
        </w:tc>
        <w:tc>
          <w:tcPr>
            <w:tcW w:w="2959" w:type="dxa"/>
            <w:tcBorders>
              <w:bottom w:val="single" w:sz="6" w:space="0" w:color="000000"/>
            </w:tcBorders>
            <w:shd w:fill="DBE5F1" w:val="clear"/>
            <w:tcMar>
              <w:bottom w:w="28" w:type="dxa"/>
            </w:tcMar>
            <w:vAlign w:val="center"/>
          </w:tcPr>
          <w:p>
            <w:pPr>
              <w:pStyle w:val="TableContents"/>
              <w:bidi w:val="0"/>
              <w:spacing w:before="0" w:after="0"/>
              <w:jc w:val="left"/>
              <w:rPr/>
            </w:pPr>
            <w:r>
              <w:rPr/>
              <w:t>●   </w:t>
            </w:r>
            <w:r>
              <w:rPr>
                <w:rFonts w:ascii="ARIAL" w:hAnsi="ARIAL"/>
                <w:sz w:val="20"/>
              </w:rPr>
              <w:t>Direct access by the Board to members of management, including Chief Compliance Officer</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Regular briefings on corporate governance practices and emerging corporate governance issues</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Monthly “teach-ins” addressing key strategic areas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3888"/>
        <w:gridCol w:w="120"/>
        <w:gridCol w:w="3108"/>
        <w:gridCol w:w="120"/>
        <w:gridCol w:w="2969"/>
      </w:tblGrid>
      <w:tr>
        <w:trPr/>
        <w:tc>
          <w:tcPr>
            <w:tcW w:w="388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op w:val="single" w:sz="6" w:space="0" w:color="000000"/>
            </w:tcBorders>
            <w:tcMar>
              <w:top w:w="28" w:type="dxa"/>
            </w:tcMar>
            <w:vAlign w:val="center"/>
          </w:tcPr>
          <w:p>
            <w:pPr>
              <w:pStyle w:val="TableContents"/>
              <w:bidi w:val="0"/>
              <w:spacing w:before="0" w:after="283"/>
              <w:jc w:val="left"/>
              <w:rPr/>
            </w:pPr>
            <w:r>
              <w:rPr/>
              <w:t> </w:t>
            </w:r>
          </w:p>
        </w:tc>
      </w:tr>
      <w:tr>
        <w:trPr/>
        <w:tc>
          <w:tcPr>
            <w:tcW w:w="10205" w:type="dxa"/>
            <w:gridSpan w:val="5"/>
            <w:tcBorders/>
            <w:vAlign w:val="center"/>
          </w:tcPr>
          <w:p>
            <w:pPr>
              <w:pStyle w:val="TableContents"/>
              <w:bidi w:val="0"/>
              <w:spacing w:before="0" w:after="283"/>
              <w:jc w:val="left"/>
              <w:rPr>
                <w:b/>
                <w:i/>
              </w:rPr>
            </w:pPr>
            <w:r>
              <w:rPr>
                <w:b/>
                <w:i/>
              </w:rPr>
              <w:t>Commitment to Environmental, Social &amp; Governance Principles</w:t>
            </w:r>
          </w:p>
        </w:tc>
      </w:tr>
      <w:tr>
        <w:trPr/>
        <w:tc>
          <w:tcPr>
            <w:tcW w:w="3888" w:type="dxa"/>
            <w:tcBorders/>
            <w:vAlign w:val="center"/>
          </w:tcPr>
          <w:p>
            <w:pPr>
              <w:pStyle w:val="TableContents"/>
              <w:bidi w:val="0"/>
              <w:spacing w:before="0" w:after="283"/>
              <w:jc w:val="left"/>
              <w:rPr>
                <w:sz w:val="4"/>
                <w:szCs w:val="4"/>
              </w:rPr>
            </w:pPr>
            <w:r>
              <w:rPr>
                <w:sz w:val="4"/>
                <w:szCs w:val="4"/>
              </w:rPr>
            </w:r>
          </w:p>
        </w:tc>
        <w:tc>
          <w:tcPr>
            <w:tcW w:w="3228" w:type="dxa"/>
            <w:gridSpan w:val="2"/>
            <w:tcBorders/>
            <w:vAlign w:val="center"/>
          </w:tcPr>
          <w:p>
            <w:pPr>
              <w:pStyle w:val="TableContents"/>
              <w:bidi w:val="0"/>
              <w:spacing w:before="0" w:after="283"/>
              <w:jc w:val="left"/>
              <w:rPr>
                <w:sz w:val="4"/>
                <w:szCs w:val="4"/>
              </w:rPr>
            </w:pPr>
            <w:r>
              <w:rPr>
                <w:sz w:val="4"/>
                <w:szCs w:val="4"/>
              </w:rPr>
            </w:r>
          </w:p>
        </w:tc>
        <w:tc>
          <w:tcPr>
            <w:tcW w:w="3089" w:type="dxa"/>
            <w:gridSpan w:val="2"/>
            <w:tcBorders/>
            <w:vAlign w:val="center"/>
          </w:tcPr>
          <w:p>
            <w:pPr>
              <w:pStyle w:val="TableContents"/>
              <w:bidi w:val="0"/>
              <w:spacing w:before="0" w:after="283"/>
              <w:jc w:val="left"/>
              <w:rPr>
                <w:sz w:val="4"/>
                <w:szCs w:val="4"/>
              </w:rPr>
            </w:pPr>
            <w:r>
              <w:rPr>
                <w:sz w:val="4"/>
                <w:szCs w:val="4"/>
              </w:rPr>
            </w:r>
          </w:p>
        </w:tc>
      </w:tr>
      <w:tr>
        <w:trPr/>
        <w:tc>
          <w:tcPr>
            <w:tcW w:w="3888" w:type="dxa"/>
            <w:tcBorders/>
            <w:vAlign w:val="center"/>
          </w:tcPr>
          <w:p>
            <w:pPr>
              <w:pStyle w:val="TableContents"/>
              <w:bidi w:val="0"/>
              <w:spacing w:before="0" w:after="0"/>
              <w:jc w:val="left"/>
              <w:rPr/>
            </w:pPr>
            <w:r>
              <w:rPr/>
              <w:t>●   </w:t>
            </w:r>
            <w:r>
              <w:rPr>
                <w:rFonts w:ascii="ARIAL" w:hAnsi="ARIAL"/>
                <w:sz w:val="18"/>
              </w:rPr>
              <w:t>Strong commitment to ESG principles as part of Company’s core mission, including focus on social determinants of health</w:t>
            </w:r>
          </w:p>
        </w:tc>
        <w:tc>
          <w:tcPr>
            <w:tcW w:w="120" w:type="dxa"/>
            <w:tcBorders/>
            <w:vAlign w:val="center"/>
          </w:tcPr>
          <w:p>
            <w:pPr>
              <w:pStyle w:val="TableContents"/>
              <w:bidi w:val="0"/>
              <w:spacing w:before="0" w:after="283"/>
              <w:jc w:val="left"/>
              <w:rPr/>
            </w:pPr>
            <w:r>
              <w:rPr/>
              <w:t>  </w:t>
            </w:r>
          </w:p>
        </w:tc>
        <w:tc>
          <w:tcPr>
            <w:tcW w:w="3108" w:type="dxa"/>
            <w:tcBorders/>
            <w:vAlign w:val="center"/>
          </w:tcPr>
          <w:p>
            <w:pPr>
              <w:pStyle w:val="TableContents"/>
              <w:bidi w:val="0"/>
              <w:spacing w:before="0" w:after="0"/>
              <w:jc w:val="left"/>
              <w:rPr/>
            </w:pPr>
            <w:r>
              <w:rPr/>
              <w:t>●   </w:t>
            </w:r>
            <w:r>
              <w:rPr>
                <w:rFonts w:ascii="ARIAL" w:hAnsi="ARIAL"/>
                <w:sz w:val="18"/>
              </w:rPr>
              <w:t>Establishment of a management-led, interdepartmental ESG steering committee</w:t>
            </w:r>
          </w:p>
        </w:tc>
        <w:tc>
          <w:tcPr>
            <w:tcW w:w="120" w:type="dxa"/>
            <w:tcBorders/>
            <w:vAlign w:val="center"/>
          </w:tcPr>
          <w:p>
            <w:pPr>
              <w:pStyle w:val="TableContents"/>
              <w:bidi w:val="0"/>
              <w:spacing w:before="0" w:after="283"/>
              <w:jc w:val="left"/>
              <w:rPr/>
            </w:pPr>
            <w:r>
              <w:rPr/>
              <w:t>  </w:t>
            </w:r>
          </w:p>
        </w:tc>
        <w:tc>
          <w:tcPr>
            <w:tcW w:w="2969" w:type="dxa"/>
            <w:tcBorders/>
            <w:vAlign w:val="center"/>
          </w:tcPr>
          <w:p>
            <w:pPr>
              <w:pStyle w:val="TableContents"/>
              <w:bidi w:val="0"/>
              <w:spacing w:before="0" w:after="0"/>
              <w:jc w:val="left"/>
              <w:rPr/>
            </w:pPr>
            <w:r>
              <w:rPr/>
              <w:t>●   </w:t>
            </w:r>
            <w:r>
              <w:rPr>
                <w:rFonts w:ascii="ARIAL" w:hAnsi="ARIAL"/>
                <w:sz w:val="18"/>
              </w:rPr>
              <w:t>Annual reporting via standalone Environmental, Social and Governance Report</w:t>
            </w:r>
          </w:p>
        </w:tc>
      </w:tr>
      <w:tr>
        <w:trPr/>
        <w:tc>
          <w:tcPr>
            <w:tcW w:w="3888" w:type="dxa"/>
            <w:tcBorders/>
            <w:vAlign w:val="center"/>
          </w:tcPr>
          <w:p>
            <w:pPr>
              <w:pStyle w:val="TableContents"/>
              <w:bidi w:val="0"/>
              <w:spacing w:before="0" w:after="283"/>
              <w:jc w:val="left"/>
              <w:rPr>
                <w:sz w:val="4"/>
                <w:szCs w:val="4"/>
              </w:rPr>
            </w:pPr>
            <w:r>
              <w:rPr>
                <w:sz w:val="4"/>
                <w:szCs w:val="4"/>
              </w:rPr>
            </w:r>
          </w:p>
        </w:tc>
        <w:tc>
          <w:tcPr>
            <w:tcW w:w="3228" w:type="dxa"/>
            <w:gridSpan w:val="2"/>
            <w:tcBorders/>
            <w:vAlign w:val="center"/>
          </w:tcPr>
          <w:p>
            <w:pPr>
              <w:pStyle w:val="TableContents"/>
              <w:bidi w:val="0"/>
              <w:spacing w:before="0" w:after="283"/>
              <w:jc w:val="left"/>
              <w:rPr>
                <w:sz w:val="4"/>
                <w:szCs w:val="4"/>
              </w:rPr>
            </w:pPr>
            <w:r>
              <w:rPr>
                <w:sz w:val="4"/>
                <w:szCs w:val="4"/>
              </w:rPr>
            </w:r>
          </w:p>
        </w:tc>
        <w:tc>
          <w:tcPr>
            <w:tcW w:w="3089" w:type="dxa"/>
            <w:gridSpan w:val="2"/>
            <w:tcBorders/>
            <w:vAlign w:val="center"/>
          </w:tcPr>
          <w:p>
            <w:pPr>
              <w:pStyle w:val="TableContents"/>
              <w:bidi w:val="0"/>
              <w:spacing w:before="0" w:after="283"/>
              <w:jc w:val="left"/>
              <w:rPr>
                <w:sz w:val="4"/>
                <w:szCs w:val="4"/>
              </w:rPr>
            </w:pPr>
            <w:r>
              <w:rPr>
                <w:sz w:val="4"/>
                <w:szCs w:val="4"/>
              </w:rPr>
            </w:r>
          </w:p>
        </w:tc>
      </w:tr>
      <w:tr>
        <w:trPr/>
        <w:tc>
          <w:tcPr>
            <w:tcW w:w="3888" w:type="dxa"/>
            <w:tcBorders>
              <w:bottom w:val="single" w:sz="6" w:space="0" w:color="000000"/>
            </w:tcBorders>
            <w:tcMar>
              <w:bottom w:w="28" w:type="dxa"/>
            </w:tcMar>
            <w:vAlign w:val="center"/>
          </w:tcPr>
          <w:p>
            <w:pPr>
              <w:pStyle w:val="TableContents"/>
              <w:bidi w:val="0"/>
              <w:spacing w:before="0" w:after="0"/>
              <w:jc w:val="left"/>
              <w:rPr/>
            </w:pPr>
            <w:r>
              <w:rPr/>
              <w:t>●   </w:t>
            </w:r>
            <w:r>
              <w:rPr>
                <w:rFonts w:ascii="ARIAL" w:hAnsi="ARIAL"/>
                <w:sz w:val="18"/>
              </w:rPr>
              <w:t>Oversight by the NCGCC of the Company’s strategy, initiatives, risks, opportunities and related reporting on ESG matters</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108"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969"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b/>
          <w:color w:val="1F497D"/>
          <w:sz w:val="20"/>
        </w:rPr>
      </w:pPr>
      <w:bookmarkStart w:id="11" w:name="txa496243_9"/>
      <w:bookmarkEnd w:id="11"/>
      <w:r>
        <w:rPr>
          <w:rFonts w:ascii="ARIAL" w:hAnsi="ARIAL"/>
          <w:b/>
          <w:color w:val="1F497D"/>
          <w:sz w:val="20"/>
        </w:rPr>
        <w:t xml:space="preserve">Board Composition and Director Independence </w:t>
      </w:r>
    </w:p>
    <w:p>
      <w:pPr>
        <w:pStyle w:val="TextBody"/>
        <w:bidi w:val="0"/>
        <w:spacing w:before="240" w:after="0"/>
        <w:jc w:val="left"/>
        <w:rPr>
          <w:rFonts w:ascii="ARIAL" w:hAnsi="ARIAL"/>
          <w:sz w:val="20"/>
        </w:rPr>
      </w:pPr>
      <w:r>
        <w:rPr>
          <w:rFonts w:ascii="ARIAL" w:hAnsi="ARIAL"/>
          <w:sz w:val="20"/>
        </w:rPr>
        <w:t xml:space="preserve">Our business and affairs are managed under the direction of our Board, which is composed of eleven directors. Our certificate of incorporation provides that the authorized number of directors may be changed only by resolution of our Board. In addition, the Stockholders Agreement among us, funds managed by General Atlantic and Warburg Pincus LLC (“Warburg Pincus” and, together with General Atlantic, the “Lead Sponsors”; such agreement, the “Stockholders Agreement”) prohibits us from increasing or decreasing the size of our Board without the prior written consent of General Atlantic. </w:t>
      </w:r>
    </w:p>
    <w:p>
      <w:pPr>
        <w:pStyle w:val="TextBody"/>
        <w:bidi w:val="0"/>
        <w:spacing w:before="240" w:after="0"/>
        <w:jc w:val="left"/>
        <w:rPr>
          <w:rFonts w:ascii="ARIAL" w:hAnsi="ARIAL"/>
          <w:sz w:val="20"/>
        </w:rPr>
      </w:pPr>
      <w:r>
        <w:rPr>
          <w:rFonts w:ascii="ARIAL" w:hAnsi="ARIAL"/>
          <w:sz w:val="20"/>
        </w:rPr>
        <w:t xml:space="preserve">Our certificate of incorporation also provides that our Board will be divided into three classes of directors, with the classes as nearly equal in number as possible. Subject to any earlier resignation or removal in accordance with the terms of our certificate of incorporation and bylaws, our Class I directors are Mr. Carella, Dr. McClellan and Mr. Vorhoff, who will serve until our 2025 annual meeting of stockholders, our Class II directors are Ms. Bilney, Mr. Hodgson, Dr. Kosecoff and Mr. Margolis, who will serve until our 2026 annual meeting of stockholders, and our Class III directors are Ms. Jorden, Mr. Kao, Mr. Konowiecki and Ms. McCarthy, who are nominees for election at the Annual Meeting to a three-year term ending at our annual meeting of stockholders in 2027. This classification of our Board could have the effect of increasing the length of time necessary to change the composition of a majority of the Board. In general, at least two annual meetings of stockholders will be necessary for stockholders to effect a change in a majority of the members of the Board. In addition, our certificate of incorporation provides that directors may be removed for cause and only upon the affirmative vote of stockholders representing at least sixty-six and two-thirds percent (662/3%) of the voting power of the then-outstanding shares of voting stock, at a meeting of our stockholders called for that purpose. </w:t>
      </w:r>
    </w:p>
    <w:p>
      <w:pPr>
        <w:pStyle w:val="TextBody"/>
        <w:bidi w:val="0"/>
        <w:spacing w:before="240" w:after="0"/>
        <w:jc w:val="left"/>
        <w:rPr>
          <w:rFonts w:ascii="ARIAL" w:hAnsi="ARIAL"/>
          <w:sz w:val="20"/>
        </w:rPr>
      </w:pPr>
      <w:r>
        <w:rPr>
          <w:rFonts w:ascii="ARIAL" w:hAnsi="ARIAL"/>
          <w:sz w:val="20"/>
        </w:rPr>
        <w:t xml:space="preserve">Our Board has also determined that all directors (except Mr. Kao and Mr. Konowiecki, who both serve or previously served as employees of the Company) meet the requirements to be independent directors. In making this determination, our Board considered the relationships that each non-employee director has with the Company and all other facts and circumstances that our Board deemed relevant in determining their independence, including beneficial ownership of our common stock and affiliations with our Lead Sponsors. </w:t>
      </w:r>
    </w:p>
    <w:p>
      <w:pPr>
        <w:pStyle w:val="TextBody"/>
        <w:bidi w:val="0"/>
        <w:spacing w:before="240" w:after="0"/>
        <w:jc w:val="left"/>
        <w:rPr>
          <w:rFonts w:ascii="ARIAL" w:hAnsi="ARIAL"/>
          <w:sz w:val="20"/>
        </w:rPr>
      </w:pPr>
      <w:r>
        <w:rPr>
          <w:rFonts w:ascii="ARIAL" w:hAnsi="ARIAL"/>
          <w:sz w:val="20"/>
        </w:rPr>
        <w:t xml:space="preserve">The Stockholders Agreement provides (x) General Atlantic the right to designate: (i) four of the nominees for election to our Board for so long as its beneficially owns at least 35% of our common stock then outstanding; (ii) three of the nominees for election to our Board for so long as it beneficially owns less than 35% but at least 25% of our common stock then outstanding; (iii) two of the nominees for election to our Board for so long as it beneficially owns less than 25% but at least 15% of our common stock then outstanding; and (iv) one of the nominees for election to our Board for so long as it beneficially owns less than 15% but at least 5% of our common stock then outstanding and (y) Warburg Pincus the right to designate one of the nominees for election to our Board for so long as Warburg Pincus beneficially owns at least 5% of our common stock then outstanding. </w:t>
      </w:r>
    </w:p>
    <w:p>
      <w:pPr>
        <w:pStyle w:val="TextBody"/>
        <w:bidi w:val="0"/>
        <w:spacing w:before="240" w:after="0"/>
        <w:jc w:val="left"/>
        <w:rPr>
          <w:rFonts w:ascii="ARIAL" w:hAnsi="ARIAL"/>
          <w:sz w:val="20"/>
        </w:rPr>
      </w:pPr>
      <w:r>
        <w:rPr>
          <w:rFonts w:ascii="ARIAL" w:hAnsi="ARIAL"/>
          <w:sz w:val="20"/>
        </w:rPr>
        <w:t xml:space="preserve">In addition, until such time as any Lead Sponsor ceases to beneficially own at least 10% of our common stock then outstanding, such Lead Sponsor shall have the right to designate one member of each committee of the Board; provided, that any such designee shall be a director and shall be eligible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 </w:t>
      </w:r>
      <w:r>
        <w:br w:type="page"/>
      </w:r>
    </w:p>
    <w:p>
      <w:pPr>
        <w:pStyle w:val="HorizontalLine"/>
        <w:bidi w:val="0"/>
        <w:jc w:val="left"/>
        <w:rPr/>
      </w:pPr>
      <w:r>
        <w:rPr/>
      </w:r>
    </w:p>
    <w:p>
      <w:pPr>
        <w:pStyle w:val="TextBody"/>
        <w:bidi w:val="0"/>
        <w:spacing w:before="0" w:after="0"/>
        <w:jc w:val="left"/>
        <w:rPr>
          <w:rFonts w:ascii="ARIAL" w:hAnsi="ARIAL"/>
          <w:sz w:val="20"/>
        </w:rPr>
      </w:pPr>
      <w:r>
        <w:rPr>
          <w:rFonts w:ascii="ARIAL" w:hAnsi="ARIAL"/>
          <w:sz w:val="20"/>
        </w:rPr>
        <w:t xml:space="preserve">serve on the applicable committee under applicable law or stock exchange listing standards, including any applicable independence requirements (subject in each case to any applicable exceptions, including those for newly public companies and any applicable phase-in periods). </w:t>
      </w:r>
    </w:p>
    <w:p>
      <w:pPr>
        <w:pStyle w:val="TextBody"/>
        <w:bidi w:val="0"/>
        <w:spacing w:before="240" w:after="0"/>
        <w:jc w:val="left"/>
        <w:rPr>
          <w:rFonts w:ascii="ARIAL" w:hAnsi="ARIAL"/>
          <w:sz w:val="20"/>
        </w:rPr>
      </w:pPr>
      <w:r>
        <w:rPr>
          <w:rFonts w:ascii="ARIAL" w:hAnsi="ARIAL"/>
          <w:sz w:val="20"/>
        </w:rPr>
        <w:t xml:space="preserve">The Stockholders Agreement also provides that until such time as General Atlantic ceases to beneficially own at least 15% of our common stock then outstanding, General Atlantic may select the chairperson of the Compensation Committee of the Board from among the directors then in office. </w:t>
      </w:r>
    </w:p>
    <w:p>
      <w:pPr>
        <w:pStyle w:val="TextBody"/>
        <w:bidi w:val="0"/>
        <w:spacing w:before="240" w:after="0"/>
        <w:jc w:val="left"/>
        <w:rPr>
          <w:rFonts w:ascii="ARIAL" w:hAnsi="ARIAL"/>
          <w:b/>
          <w:color w:val="1F497D"/>
          <w:sz w:val="20"/>
        </w:rPr>
      </w:pPr>
      <w:bookmarkStart w:id="12" w:name="txa496243_10"/>
      <w:bookmarkEnd w:id="12"/>
      <w:r>
        <w:rPr>
          <w:rFonts w:ascii="ARIAL" w:hAnsi="ARIAL"/>
          <w:b/>
          <w:color w:val="1F497D"/>
          <w:sz w:val="20"/>
        </w:rPr>
        <w:t xml:space="preserve">Board Leadership Structure </w:t>
      </w:r>
    </w:p>
    <w:p>
      <w:pPr>
        <w:pStyle w:val="TextBody"/>
        <w:bidi w:val="0"/>
        <w:spacing w:before="240" w:after="0"/>
        <w:jc w:val="left"/>
        <w:rPr>
          <w:rFonts w:ascii="ARIAL" w:hAnsi="ARIAL"/>
          <w:sz w:val="20"/>
        </w:rPr>
      </w:pPr>
      <w:r>
        <w:rPr>
          <w:rFonts w:ascii="ARIAL" w:hAnsi="ARIAL"/>
          <w:sz w:val="20"/>
        </w:rPr>
        <w:t xml:space="preserve">We structure leadership of our Board in a manner that we believe is best suited to benefit the Company and its performance. We separate our chair of the Board (the “Board Chair”) and Chief Executive Officer to ensure that the Board maintains robust, independent processes with respect to oversight of our business and affairs. The Board Chair has the following duties: </w:t>
      </w:r>
    </w:p>
    <w:p>
      <w:pPr>
        <w:pStyle w:val="TextBody"/>
        <w:bidi w:val="0"/>
        <w:spacing w:before="0" w:after="0"/>
        <w:jc w:val="left"/>
        <w:rPr/>
      </w:pPr>
      <w:r>
        <w:rPr/>
        <w:t> </w:t>
      </w:r>
    </w:p>
    <w:tbl>
      <w:tblPr>
        <w:tblW w:w="10205" w:type="dxa"/>
        <w:jc w:val="left"/>
        <w:tblInd w:w="0" w:type="dxa"/>
        <w:shd w:fill="DBE5F1" w:val="clear"/>
        <w:tblLayout w:type="fixed"/>
        <w:tblCellMar>
          <w:top w:w="0" w:type="dxa"/>
          <w:left w:w="0" w:type="dxa"/>
          <w:bottom w:w="0" w:type="dxa"/>
          <w:right w:w="0" w:type="dxa"/>
        </w:tblCellMar>
      </w:tblPr>
      <w:tblGrid>
        <w:gridCol w:w="3024"/>
        <w:gridCol w:w="120"/>
        <w:gridCol w:w="3375"/>
        <w:gridCol w:w="120"/>
        <w:gridCol w:w="3566"/>
      </w:tblGrid>
      <w:tr>
        <w:trPr/>
        <w:tc>
          <w:tcPr>
            <w:tcW w:w="3024"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sz w:val="4"/>
                <w:szCs w:val="4"/>
              </w:rPr>
            </w:pPr>
            <w:r>
              <w:rPr>
                <w:sz w:val="4"/>
                <w:szCs w:val="4"/>
              </w:rPr>
            </w:r>
          </w:p>
        </w:tc>
        <w:tc>
          <w:tcPr>
            <w:tcW w:w="3375"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sz w:val="4"/>
                <w:szCs w:val="4"/>
              </w:rPr>
            </w:pPr>
            <w:r>
              <w:rPr>
                <w:sz w:val="4"/>
                <w:szCs w:val="4"/>
              </w:rPr>
            </w:r>
          </w:p>
        </w:tc>
        <w:tc>
          <w:tcPr>
            <w:tcW w:w="3566" w:type="dxa"/>
            <w:tcBorders/>
            <w:shd w:fill="DBE5F1" w:val="clear"/>
            <w:vAlign w:val="center"/>
          </w:tcPr>
          <w:p>
            <w:pPr>
              <w:pStyle w:val="TableContents"/>
              <w:bidi w:val="0"/>
              <w:spacing w:before="0" w:after="283"/>
              <w:jc w:val="left"/>
              <w:rPr>
                <w:sz w:val="4"/>
                <w:szCs w:val="4"/>
              </w:rPr>
            </w:pPr>
            <w:r>
              <w:rPr>
                <w:sz w:val="4"/>
                <w:szCs w:val="4"/>
              </w:rPr>
            </w:r>
          </w:p>
        </w:tc>
      </w:tr>
      <w:tr>
        <w:trPr/>
        <w:tc>
          <w:tcPr>
            <w:tcW w:w="10205" w:type="dxa"/>
            <w:gridSpan w:val="5"/>
            <w:tcBorders>
              <w:top w:val="single" w:sz="6" w:space="0" w:color="000000"/>
            </w:tcBorders>
            <w:shd w:fill="DBE5F1" w:val="clear"/>
            <w:tcMar>
              <w:top w:w="28" w:type="dxa"/>
            </w:tcMar>
            <w:vAlign w:val="center"/>
          </w:tcPr>
          <w:p>
            <w:pPr>
              <w:pStyle w:val="TableContents"/>
              <w:bidi w:val="0"/>
              <w:spacing w:before="0" w:after="283"/>
              <w:jc w:val="left"/>
              <w:rPr/>
            </w:pPr>
            <w:r>
              <w:rPr/>
              <w:t> </w:t>
            </w:r>
          </w:p>
        </w:tc>
      </w:tr>
      <w:tr>
        <w:trPr/>
        <w:tc>
          <w:tcPr>
            <w:tcW w:w="10205" w:type="dxa"/>
            <w:gridSpan w:val="5"/>
            <w:tcBorders/>
            <w:shd w:fill="DBE5F1" w:val="clear"/>
            <w:vAlign w:val="center"/>
          </w:tcPr>
          <w:p>
            <w:pPr>
              <w:pStyle w:val="TableContents"/>
              <w:bidi w:val="0"/>
              <w:spacing w:before="0" w:after="0"/>
              <w:jc w:val="left"/>
              <w:rPr>
                <w:rFonts w:ascii="ARIAL" w:hAnsi="ARIAL"/>
                <w:b/>
                <w:i/>
                <w:sz w:val="18"/>
              </w:rPr>
            </w:pPr>
            <w:r>
              <w:rPr>
                <w:rFonts w:ascii="ARIAL" w:hAnsi="ARIAL"/>
                <w:b/>
                <w:i/>
                <w:sz w:val="18"/>
              </w:rPr>
              <w:t>Duties of our Board Chair</w:t>
            </w:r>
          </w:p>
        </w:tc>
      </w:tr>
      <w:tr>
        <w:trPr/>
        <w:tc>
          <w:tcPr>
            <w:tcW w:w="3024" w:type="dxa"/>
            <w:tcBorders/>
            <w:shd w:fill="DBE5F1" w:val="clear"/>
            <w:vAlign w:val="center"/>
          </w:tcPr>
          <w:p>
            <w:pPr>
              <w:pStyle w:val="TableContents"/>
              <w:bidi w:val="0"/>
              <w:spacing w:before="0" w:after="283"/>
              <w:jc w:val="left"/>
              <w:rPr>
                <w:sz w:val="4"/>
                <w:szCs w:val="4"/>
              </w:rPr>
            </w:pPr>
            <w:r>
              <w:rPr>
                <w:sz w:val="4"/>
                <w:szCs w:val="4"/>
              </w:rPr>
            </w:r>
          </w:p>
        </w:tc>
        <w:tc>
          <w:tcPr>
            <w:tcW w:w="3495" w:type="dxa"/>
            <w:gridSpan w:val="2"/>
            <w:tcBorders/>
            <w:shd w:fill="DBE5F1" w:val="clear"/>
            <w:vAlign w:val="center"/>
          </w:tcPr>
          <w:p>
            <w:pPr>
              <w:pStyle w:val="TableContents"/>
              <w:bidi w:val="0"/>
              <w:spacing w:before="0" w:after="283"/>
              <w:jc w:val="left"/>
              <w:rPr>
                <w:sz w:val="4"/>
                <w:szCs w:val="4"/>
              </w:rPr>
            </w:pPr>
            <w:r>
              <w:rPr>
                <w:sz w:val="4"/>
                <w:szCs w:val="4"/>
              </w:rPr>
            </w:r>
          </w:p>
        </w:tc>
        <w:tc>
          <w:tcPr>
            <w:tcW w:w="3686" w:type="dxa"/>
            <w:gridSpan w:val="2"/>
            <w:tcBorders/>
            <w:shd w:fill="DBE5F1" w:val="clear"/>
            <w:vAlign w:val="center"/>
          </w:tcPr>
          <w:p>
            <w:pPr>
              <w:pStyle w:val="TableContents"/>
              <w:bidi w:val="0"/>
              <w:spacing w:before="0" w:after="283"/>
              <w:jc w:val="left"/>
              <w:rPr>
                <w:sz w:val="4"/>
                <w:szCs w:val="4"/>
              </w:rPr>
            </w:pPr>
            <w:r>
              <w:rPr>
                <w:sz w:val="4"/>
                <w:szCs w:val="4"/>
              </w:rPr>
            </w:r>
          </w:p>
        </w:tc>
      </w:tr>
      <w:tr>
        <w:trPr/>
        <w:tc>
          <w:tcPr>
            <w:tcW w:w="3024" w:type="dxa"/>
            <w:tcBorders>
              <w:bottom w:val="single" w:sz="6" w:space="0" w:color="000000"/>
            </w:tcBorders>
            <w:shd w:fill="DBE5F1" w:val="clear"/>
            <w:tcMar>
              <w:bottom w:w="28" w:type="dxa"/>
            </w:tcMar>
            <w:vAlign w:val="center"/>
          </w:tcPr>
          <w:p>
            <w:pPr>
              <w:pStyle w:val="TableContents"/>
              <w:bidi w:val="0"/>
              <w:spacing w:before="0" w:after="0"/>
              <w:jc w:val="left"/>
              <w:rPr/>
            </w:pPr>
            <w:r>
              <w:rPr/>
              <w:t>●   </w:t>
            </w:r>
            <w:r>
              <w:rPr>
                <w:rFonts w:ascii="ARIAL" w:hAnsi="ARIAL"/>
                <w:sz w:val="18"/>
              </w:rPr>
              <w:t>Presides as chair of regular sessions of the Board and manages overall Board process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Sets Board meeting agendas and approves materials distributed to Board</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Leads response of Board to risks and opportunities and may call special meetings</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bottom w:val="single" w:sz="6" w:space="0" w:color="000000"/>
            </w:tcBorders>
            <w:shd w:fill="DBE5F1" w:val="clear"/>
            <w:tcMar>
              <w:bottom w:w="28" w:type="dxa"/>
            </w:tcMar>
            <w:vAlign w:val="center"/>
          </w:tcPr>
          <w:p>
            <w:pPr>
              <w:pStyle w:val="TableContents"/>
              <w:bidi w:val="0"/>
              <w:spacing w:before="0" w:after="283"/>
              <w:jc w:val="left"/>
              <w:rPr/>
            </w:pPr>
            <w:r>
              <w:rPr/>
              <w:t>  </w:t>
            </w:r>
          </w:p>
        </w:tc>
        <w:tc>
          <w:tcPr>
            <w:tcW w:w="3375" w:type="dxa"/>
            <w:tcBorders>
              <w:bottom w:val="single" w:sz="6" w:space="0" w:color="000000"/>
            </w:tcBorders>
            <w:shd w:fill="DBE5F1" w:val="clear"/>
            <w:tcMar>
              <w:bottom w:w="28" w:type="dxa"/>
            </w:tcMar>
            <w:vAlign w:val="center"/>
          </w:tcPr>
          <w:p>
            <w:pPr>
              <w:pStyle w:val="TableContents"/>
              <w:bidi w:val="0"/>
              <w:spacing w:before="0" w:after="0"/>
              <w:jc w:val="left"/>
              <w:rPr/>
            </w:pPr>
            <w:r>
              <w:rPr/>
              <w:t>●   </w:t>
            </w:r>
            <w:r>
              <w:rPr>
                <w:rFonts w:ascii="ARIAL" w:hAnsi="ARIAL"/>
                <w:sz w:val="18"/>
              </w:rPr>
              <w:t>Meets directly with other members of the Board as needed</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Oversees board engagement and continued education</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t>Partners with and supports the NCGCC in director selection process and enterprise risk management</w:t>
            </w:r>
          </w:p>
        </w:tc>
        <w:tc>
          <w:tcPr>
            <w:tcW w:w="120" w:type="dxa"/>
            <w:tcBorders>
              <w:bottom w:val="single" w:sz="6" w:space="0" w:color="000000"/>
            </w:tcBorders>
            <w:shd w:fill="DBE5F1" w:val="clear"/>
            <w:tcMar>
              <w:bottom w:w="28" w:type="dxa"/>
            </w:tcMar>
            <w:vAlign w:val="center"/>
          </w:tcPr>
          <w:p>
            <w:pPr>
              <w:pStyle w:val="TableContents"/>
              <w:bidi w:val="0"/>
              <w:spacing w:before="0" w:after="283"/>
              <w:jc w:val="left"/>
              <w:rPr/>
            </w:pPr>
            <w:r>
              <w:rPr/>
              <w:t>  </w:t>
            </w:r>
          </w:p>
        </w:tc>
        <w:tc>
          <w:tcPr>
            <w:tcW w:w="3566" w:type="dxa"/>
            <w:tcBorders>
              <w:bottom w:val="single" w:sz="6" w:space="0" w:color="000000"/>
            </w:tcBorders>
            <w:shd w:fill="DBE5F1" w:val="clear"/>
            <w:tcMar>
              <w:bottom w:w="28" w:type="dxa"/>
            </w:tcMar>
            <w:vAlign w:val="center"/>
          </w:tcPr>
          <w:p>
            <w:pPr>
              <w:pStyle w:val="TableContents"/>
              <w:bidi w:val="0"/>
              <w:spacing w:before="0" w:after="0"/>
              <w:jc w:val="left"/>
              <w:rPr/>
            </w:pPr>
            <w:r>
              <w:rPr/>
              <w:t>●   </w:t>
            </w:r>
            <w:r>
              <w:rPr>
                <w:rFonts w:ascii="ARIAL" w:hAnsi="ARIAL"/>
                <w:sz w:val="18"/>
              </w:rPr>
              <w:t>Engages regularly with stockholders and presides over annual meeting of stockholders</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t>Partners with the Compensation Committee to structure and implement the annual evaluation of our CEO</w:t>
            </w:r>
          </w:p>
        </w:tc>
      </w:tr>
    </w:tbl>
    <w:p>
      <w:pPr>
        <w:pStyle w:val="TextBody"/>
        <w:bidi w:val="0"/>
        <w:spacing w:before="240" w:after="0"/>
        <w:jc w:val="left"/>
        <w:rPr>
          <w:rFonts w:ascii="ARIAL" w:hAnsi="ARIAL"/>
          <w:sz w:val="20"/>
        </w:rPr>
      </w:pPr>
      <w:r>
        <w:rPr>
          <w:rFonts w:ascii="ARIAL" w:hAnsi="ARIAL"/>
          <w:sz w:val="20"/>
        </w:rPr>
        <w:t xml:space="preserve">From October 2022 to December 2023, our current Board Chair, Mr. Konowiecki, assumed a role as an executive officer leading our strategic network and business development, and accordingly he is not currently considered an independent director under Nasdaq and SEC rules. Given his longstanding role as Board Chair, his expertise in the health care industry and his strong oversight of the Company’s legal, compliance and risk management functions, among others, the Board determined that it would be appropriate and in the best interests of the Company and its stockholders for Mr. Konowiecki to serve concurrently as the Board Chair during the term of his employment. Upon Mr. Konowiecki’s appointment to the executive role, in order to reinforce the independence of our Board in its guidance of the Company’s strategic direction and its oversight role, the Board also appointed Ms. McCarthy to serve as a lead independent director (“Lead Independent Director”). In considering her appointment, the Board determined that Ms. McCarthy’s expertise, independence and integrity qualified her to serve as Lead Independent Director. The Board intends to maintain the Lead Independent Director role, which will be elected solely by the independent members of the Board, so long as the Chairman is not considered an independent director under Nasdaq and SEC rules. The Board determined that the Lead Independent Director would have the following duties and authority: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25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3142"/>
        <w:gridCol w:w="120"/>
        <w:gridCol w:w="4129"/>
        <w:gridCol w:w="120"/>
        <w:gridCol w:w="2694"/>
      </w:tblGrid>
      <w:tr>
        <w:trPr/>
        <w:tc>
          <w:tcPr>
            <w:tcW w:w="31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op w:val="single" w:sz="6" w:space="0" w:color="000000"/>
            </w:tcBorders>
            <w:shd w:fill="DBE5F1" w:val="clear"/>
            <w:tcMar>
              <w:top w:w="28" w:type="dxa"/>
            </w:tcMar>
            <w:vAlign w:val="center"/>
          </w:tcPr>
          <w:p>
            <w:pPr>
              <w:pStyle w:val="TableContents"/>
              <w:bidi w:val="0"/>
              <w:spacing w:before="0" w:after="283"/>
              <w:jc w:val="left"/>
              <w:rPr/>
            </w:pPr>
            <w:r>
              <w:rPr/>
              <w:t> </w:t>
            </w:r>
          </w:p>
        </w:tc>
      </w:tr>
      <w:tr>
        <w:trPr/>
        <w:tc>
          <w:tcPr>
            <w:tcW w:w="10205" w:type="dxa"/>
            <w:gridSpan w:val="5"/>
            <w:tcBorders/>
            <w:shd w:fill="DBE5F1" w:val="clear"/>
            <w:vAlign w:val="center"/>
          </w:tcPr>
          <w:p>
            <w:pPr>
              <w:pStyle w:val="TableContents"/>
              <w:bidi w:val="0"/>
              <w:spacing w:before="0" w:after="0"/>
              <w:jc w:val="left"/>
              <w:rPr>
                <w:rFonts w:ascii="ARIAL" w:hAnsi="ARIAL"/>
                <w:b/>
                <w:i/>
                <w:sz w:val="18"/>
              </w:rPr>
            </w:pPr>
            <w:r>
              <w:rPr>
                <w:rFonts w:ascii="ARIAL" w:hAnsi="ARIAL"/>
                <w:b/>
                <w:i/>
                <w:sz w:val="18"/>
              </w:rPr>
              <w:t>Duties of our Lead Independent Director</w:t>
            </w:r>
          </w:p>
        </w:tc>
      </w:tr>
      <w:tr>
        <w:trPr/>
        <w:tc>
          <w:tcPr>
            <w:tcW w:w="3142" w:type="dxa"/>
            <w:tcBorders/>
            <w:shd w:fill="DBE5F1" w:val="clear"/>
            <w:vAlign w:val="center"/>
          </w:tcPr>
          <w:p>
            <w:pPr>
              <w:pStyle w:val="TableContents"/>
              <w:bidi w:val="0"/>
              <w:spacing w:before="0" w:after="283"/>
              <w:jc w:val="left"/>
              <w:rPr>
                <w:sz w:val="4"/>
                <w:szCs w:val="4"/>
              </w:rPr>
            </w:pPr>
            <w:r>
              <w:rPr>
                <w:sz w:val="4"/>
                <w:szCs w:val="4"/>
              </w:rPr>
            </w:r>
          </w:p>
        </w:tc>
        <w:tc>
          <w:tcPr>
            <w:tcW w:w="4249" w:type="dxa"/>
            <w:gridSpan w:val="2"/>
            <w:tcBorders/>
            <w:shd w:fill="DBE5F1" w:val="clear"/>
            <w:vAlign w:val="center"/>
          </w:tcPr>
          <w:p>
            <w:pPr>
              <w:pStyle w:val="TableContents"/>
              <w:bidi w:val="0"/>
              <w:spacing w:before="0" w:after="283"/>
              <w:jc w:val="left"/>
              <w:rPr>
                <w:sz w:val="4"/>
                <w:szCs w:val="4"/>
              </w:rPr>
            </w:pPr>
            <w:r>
              <w:rPr>
                <w:sz w:val="4"/>
                <w:szCs w:val="4"/>
              </w:rPr>
            </w:r>
          </w:p>
        </w:tc>
        <w:tc>
          <w:tcPr>
            <w:tcW w:w="2814" w:type="dxa"/>
            <w:gridSpan w:val="2"/>
            <w:tcBorders/>
            <w:shd w:fill="DBE5F1" w:val="clear"/>
            <w:vAlign w:val="center"/>
          </w:tcPr>
          <w:p>
            <w:pPr>
              <w:pStyle w:val="TableContents"/>
              <w:bidi w:val="0"/>
              <w:spacing w:before="0" w:after="283"/>
              <w:jc w:val="left"/>
              <w:rPr>
                <w:sz w:val="4"/>
                <w:szCs w:val="4"/>
              </w:rPr>
            </w:pPr>
            <w:r>
              <w:rPr>
                <w:sz w:val="4"/>
                <w:szCs w:val="4"/>
              </w:rPr>
            </w:r>
          </w:p>
        </w:tc>
      </w:tr>
      <w:tr>
        <w:trPr/>
        <w:tc>
          <w:tcPr>
            <w:tcW w:w="3142" w:type="dxa"/>
            <w:tcBorders>
              <w:bottom w:val="single" w:sz="6" w:space="0" w:color="000000"/>
            </w:tcBorders>
            <w:shd w:fill="DBE5F1" w:val="clear"/>
            <w:tcMar>
              <w:bottom w:w="28" w:type="dxa"/>
            </w:tcMar>
            <w:vAlign w:val="center"/>
          </w:tcPr>
          <w:p>
            <w:pPr>
              <w:pStyle w:val="TableContents"/>
              <w:bidi w:val="0"/>
              <w:spacing w:before="0" w:after="0"/>
              <w:jc w:val="left"/>
              <w:rPr/>
            </w:pPr>
            <w:r>
              <w:rPr/>
              <w:t>●   </w:t>
            </w:r>
            <w:r>
              <w:rPr>
                <w:rFonts w:ascii="ARIAL" w:hAnsi="ARIAL"/>
                <w:sz w:val="18"/>
              </w:rPr>
              <w:t>Provide input on Board meeting agendas and schedules and materials distributed to the Board</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Preside over periodic meetings of the Company’s independent directors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Consult directly with significant stockholders, upon request</w:t>
            </w:r>
          </w:p>
          <w:p>
            <w:pPr>
              <w:pStyle w:val="TableContents"/>
              <w:bidi w:val="0"/>
              <w:spacing w:before="0" w:after="20"/>
              <w:jc w:val="left"/>
              <w:rPr/>
            </w:pPr>
            <w:r>
              <w:rPr/>
              <w:t> </w:t>
            </w:r>
          </w:p>
        </w:tc>
        <w:tc>
          <w:tcPr>
            <w:tcW w:w="120" w:type="dxa"/>
            <w:tcBorders>
              <w:bottom w:val="single" w:sz="6" w:space="0" w:color="000000"/>
            </w:tcBorders>
            <w:shd w:fill="DBE5F1" w:val="clear"/>
            <w:tcMar>
              <w:bottom w:w="28" w:type="dxa"/>
            </w:tcMar>
            <w:vAlign w:val="center"/>
          </w:tcPr>
          <w:p>
            <w:pPr>
              <w:pStyle w:val="TableContents"/>
              <w:bidi w:val="0"/>
              <w:spacing w:before="0" w:after="283"/>
              <w:jc w:val="left"/>
              <w:rPr/>
            </w:pPr>
            <w:r>
              <w:rPr/>
              <w:t>  </w:t>
            </w:r>
          </w:p>
        </w:tc>
        <w:tc>
          <w:tcPr>
            <w:tcW w:w="4129" w:type="dxa"/>
            <w:tcBorders>
              <w:bottom w:val="single" w:sz="6" w:space="0" w:color="000000"/>
            </w:tcBorders>
            <w:shd w:fill="DBE5F1" w:val="clear"/>
            <w:tcMar>
              <w:bottom w:w="28" w:type="dxa"/>
            </w:tcMar>
            <w:vAlign w:val="center"/>
          </w:tcPr>
          <w:p>
            <w:pPr>
              <w:pStyle w:val="TableContents"/>
              <w:bidi w:val="0"/>
              <w:spacing w:before="0" w:after="0"/>
              <w:jc w:val="left"/>
              <w:rPr/>
            </w:pPr>
            <w:r>
              <w:rPr/>
              <w:t>●   </w:t>
            </w:r>
            <w:r>
              <w:rPr>
                <w:rFonts w:ascii="ARIAL" w:hAnsi="ARIAL"/>
                <w:sz w:val="18"/>
              </w:rPr>
              <w:t>Serve as a liaison between our Board Chair, CEO and other management, on the one hand, and the independent directors, on the other</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Assume leadership role in the Board’s annual evaluation of its composition, processes and design</w:t>
            </w:r>
          </w:p>
          <w:p>
            <w:pPr>
              <w:pStyle w:val="TableContents"/>
              <w:bidi w:val="0"/>
              <w:spacing w:before="0" w:after="20"/>
              <w:jc w:val="left"/>
              <w:rPr/>
            </w:pPr>
            <w:r>
              <w:rPr/>
              <w:t> </w:t>
            </w:r>
          </w:p>
        </w:tc>
        <w:tc>
          <w:tcPr>
            <w:tcW w:w="120" w:type="dxa"/>
            <w:tcBorders>
              <w:bottom w:val="single" w:sz="6" w:space="0" w:color="000000"/>
            </w:tcBorders>
            <w:shd w:fill="DBE5F1" w:val="clear"/>
            <w:tcMar>
              <w:bottom w:w="28" w:type="dxa"/>
            </w:tcMar>
            <w:vAlign w:val="center"/>
          </w:tcPr>
          <w:p>
            <w:pPr>
              <w:pStyle w:val="TableContents"/>
              <w:bidi w:val="0"/>
              <w:spacing w:before="0" w:after="283"/>
              <w:jc w:val="left"/>
              <w:rPr/>
            </w:pPr>
            <w:r>
              <w:rPr/>
              <w:t>  </w:t>
            </w:r>
          </w:p>
        </w:tc>
        <w:tc>
          <w:tcPr>
            <w:tcW w:w="2694" w:type="dxa"/>
            <w:tcBorders>
              <w:bottom w:val="single" w:sz="6" w:space="0" w:color="000000"/>
            </w:tcBorders>
            <w:shd w:fill="DBE5F1" w:val="clear"/>
            <w:tcMar>
              <w:bottom w:w="28" w:type="dxa"/>
            </w:tcMar>
            <w:vAlign w:val="center"/>
          </w:tcPr>
          <w:p>
            <w:pPr>
              <w:pStyle w:val="TableContents"/>
              <w:bidi w:val="0"/>
              <w:spacing w:before="0" w:after="0"/>
              <w:jc w:val="left"/>
              <w:rPr/>
            </w:pPr>
            <w:r>
              <w:rPr/>
              <w:t>●   </w:t>
            </w:r>
            <w:r>
              <w:rPr>
                <w:rFonts w:ascii="ARIAL" w:hAnsi="ARIAL"/>
                <w:sz w:val="18"/>
              </w:rPr>
              <w:t>Participate in and oversee the annual evaluation of our CEO</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Consult directly with Company management as appropriate</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t>Such additional duties as our Board may otherwise determine and delegate</w:t>
            </w:r>
          </w:p>
        </w:tc>
      </w:tr>
    </w:tbl>
    <w:p>
      <w:pPr>
        <w:pStyle w:val="TextBody"/>
        <w:bidi w:val="0"/>
        <w:spacing w:before="240" w:after="0"/>
        <w:jc w:val="left"/>
        <w:rPr>
          <w:rFonts w:ascii="ARIAL" w:hAnsi="ARIAL"/>
          <w:sz w:val="20"/>
        </w:rPr>
      </w:pPr>
      <w:r>
        <w:rPr>
          <w:rFonts w:ascii="ARIAL" w:hAnsi="ARIAL"/>
          <w:sz w:val="20"/>
        </w:rPr>
        <w:t xml:space="preserve">Collectively, we believe that our Board Chair and Lead Independent Director are well positioned to objectively evaluate and oversee management’s performance, ensure management accountability, implement and enforce strong corporate governance and align management with the best interests of the Company and its stockholders. </w:t>
      </w:r>
    </w:p>
    <w:p>
      <w:pPr>
        <w:pStyle w:val="TextBody"/>
        <w:bidi w:val="0"/>
        <w:spacing w:before="240" w:after="0"/>
        <w:jc w:val="left"/>
        <w:rPr>
          <w:rFonts w:ascii="ARIAL" w:hAnsi="ARIAL"/>
          <w:sz w:val="20"/>
        </w:rPr>
      </w:pPr>
      <w:r>
        <w:rPr>
          <w:rFonts w:ascii="ARIAL" w:hAnsi="ARIAL"/>
          <w:sz w:val="20"/>
        </w:rPr>
        <w:t xml:space="preserve">The Board believes the advisability of having separate or combined Board Chair and Chief Executive Officer positions, or of appointing to Board Chair to an executive role, is dependent upon the strengths of the individual or individuals that hold these positions and the most effective means of leveraging these strengths, to lead the Board, set Board agendas, augment the Company’s strategic efforts, support management, and identify and oversee key risks in light of the challenges and circumstances facing the Company, which may change over time. At any time during which the Chief Executive Officer and Board Chair positions are combined, or during which the Board Chair is not independent, the Board would appoint a Lead Independent Director. Our stockholders would be notified promptly upon the occurrence of any changes to our current Board leadership structure. We are continually seeking stockholder input on important matters, including our governance structure, through our stockholder engagement program. </w:t>
      </w:r>
    </w:p>
    <w:p>
      <w:pPr>
        <w:pStyle w:val="TextBody"/>
        <w:bidi w:val="0"/>
        <w:spacing w:before="240" w:after="0"/>
        <w:jc w:val="left"/>
        <w:rPr>
          <w:rFonts w:ascii="ARIAL" w:hAnsi="ARIAL"/>
          <w:sz w:val="20"/>
        </w:rPr>
      </w:pPr>
      <w:r>
        <w:rPr>
          <w:rFonts w:ascii="ARIAL" w:hAnsi="ARIAL"/>
          <w:sz w:val="20"/>
        </w:rPr>
        <w:t xml:space="preserve">The independent directors have the opportunity to meet in executive session without members of management as often as they deem appropriate, but at a minimum do so at each regularly scheduled quarterly Board meeting. Our Board leadership structure also includes active and empowered committee chairs, who lead oversight of specific risk areas, regularly provide reports and make recommendations to the Board and who consult directly with members of Company management on a variety of matters. </w:t>
      </w:r>
    </w:p>
    <w:p>
      <w:pPr>
        <w:pStyle w:val="TextBody"/>
        <w:bidi w:val="0"/>
        <w:spacing w:before="240" w:after="0"/>
        <w:jc w:val="left"/>
        <w:rPr>
          <w:rFonts w:ascii="ARIAL" w:hAnsi="ARIAL"/>
          <w:b/>
          <w:color w:val="1F497D"/>
          <w:sz w:val="20"/>
        </w:rPr>
      </w:pPr>
      <w:bookmarkStart w:id="13" w:name="txa496243_11"/>
      <w:bookmarkEnd w:id="13"/>
      <w:r>
        <w:rPr>
          <w:rFonts w:ascii="ARIAL" w:hAnsi="ARIAL"/>
          <w:b/>
          <w:color w:val="1F497D"/>
          <w:sz w:val="20"/>
        </w:rPr>
        <w:t xml:space="preserve">The Board’s Role in Risk Oversight </w:t>
      </w:r>
    </w:p>
    <w:p>
      <w:pPr>
        <w:pStyle w:val="TextBody"/>
        <w:bidi w:val="0"/>
        <w:spacing w:before="240" w:after="0"/>
        <w:jc w:val="left"/>
        <w:rPr>
          <w:rFonts w:ascii="ARIAL" w:hAnsi="ARIAL"/>
          <w:sz w:val="20"/>
        </w:rPr>
      </w:pPr>
      <w:r>
        <w:rPr>
          <w:rFonts w:ascii="ARIAL" w:hAnsi="ARIAL"/>
          <w:sz w:val="20"/>
        </w:rPr>
        <w:t xml:space="preserve">One of our Board’s key functions is informed oversight of our risk management process. Our Board administers this oversight function directly as well as through the Board’s standing committees. Our officers are responsible for day-to-day management of the material risks that the Company takes. Management and the Board and committees view their respective risk management roles, and the collaboration amongst them in the identification, oversight, evaluation and management of risk, as paramount to the Company’s short-term viability and long-term sustainability.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6" w:space="0" w:color="000000"/>
              <w:bottom w:val="single" w:sz="6" w:space="0" w:color="000000"/>
            </w:tcBorders>
            <w:shd w:fill="DBE5F1"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sz w:val="18"/>
              </w:rPr>
            </w:pPr>
            <w:r>
              <w:rPr>
                <w:rFonts w:ascii="ARIAL" w:hAnsi="ARIAL"/>
                <w:b/>
                <w:sz w:val="18"/>
              </w:rPr>
              <w:t>Board of Directors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The Board as a whole has overall responsibility for risk oversight. It routinely monitors the nature and severity of significant risk exposures, potential mitigation measures and the quality and effectiveness of our enterprise risk management (“ERM”) program. On at least a quarterly basis and more frequently as needed, our Board and committees assess the Company’s risk environment, consult with management and relevant outside advisors, review and analyze key risk areas, including new business, financial, operations and compliance, and analyze regulatory developments affecting such risks. Oversight includes both short-term operational risks and long-term strategic risks.</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26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3593"/>
        <w:gridCol w:w="120"/>
        <w:gridCol w:w="3165"/>
        <w:gridCol w:w="120"/>
        <w:gridCol w:w="3207"/>
      </w:tblGrid>
      <w:tr>
        <w:trPr/>
        <w:tc>
          <w:tcPr>
            <w:tcW w:w="35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07" w:type="dxa"/>
            <w:tcBorders/>
            <w:vAlign w:val="center"/>
          </w:tcPr>
          <w:p>
            <w:pPr>
              <w:pStyle w:val="TableContents"/>
              <w:bidi w:val="0"/>
              <w:spacing w:before="0" w:after="283"/>
              <w:jc w:val="left"/>
              <w:rPr>
                <w:sz w:val="4"/>
                <w:szCs w:val="4"/>
              </w:rPr>
            </w:pPr>
            <w:r>
              <w:rPr>
                <w:sz w:val="4"/>
                <w:szCs w:val="4"/>
              </w:rPr>
            </w:r>
          </w:p>
        </w:tc>
      </w:tr>
      <w:tr>
        <w:trPr/>
        <w:tc>
          <w:tcPr>
            <w:tcW w:w="3593" w:type="dxa"/>
            <w:tcBorders>
              <w:top w:val="single" w:sz="6" w:space="0" w:color="000000"/>
            </w:tcBorders>
            <w:shd w:fill="DBE5F1" w:val="clear"/>
            <w:tcMar>
              <w:top w:w="28" w:type="dxa"/>
            </w:tcMar>
            <w:vAlign w:val="center"/>
          </w:tcPr>
          <w:p>
            <w:pPr>
              <w:pStyle w:val="TableContents"/>
              <w:bidi w:val="0"/>
              <w:spacing w:before="0" w:after="283"/>
              <w:jc w:val="left"/>
              <w:rPr/>
            </w:pPr>
            <w:r>
              <w:rPr/>
              <w:t> </w:t>
            </w:r>
          </w:p>
        </w:tc>
        <w:tc>
          <w:tcPr>
            <w:tcW w:w="3285" w:type="dxa"/>
            <w:gridSpan w:val="2"/>
            <w:tcBorders>
              <w:top w:val="single" w:sz="6" w:space="0" w:color="000000"/>
            </w:tcBorders>
            <w:shd w:fill="DBE5F1" w:val="clear"/>
            <w:tcMar>
              <w:top w:w="28" w:type="dxa"/>
            </w:tcMar>
            <w:vAlign w:val="center"/>
          </w:tcPr>
          <w:p>
            <w:pPr>
              <w:pStyle w:val="TableContents"/>
              <w:bidi w:val="0"/>
              <w:spacing w:before="0" w:after="283"/>
              <w:jc w:val="left"/>
              <w:rPr/>
            </w:pPr>
            <w:r>
              <w:rPr/>
              <w:t> </w:t>
            </w:r>
          </w:p>
        </w:tc>
        <w:tc>
          <w:tcPr>
            <w:tcW w:w="3327" w:type="dxa"/>
            <w:gridSpan w:val="2"/>
            <w:tcBorders>
              <w:top w:val="single" w:sz="6" w:space="0" w:color="000000"/>
            </w:tcBorders>
            <w:shd w:fill="DBE5F1" w:val="clear"/>
            <w:tcMar>
              <w:top w:w="28" w:type="dxa"/>
            </w:tcMar>
            <w:vAlign w:val="center"/>
          </w:tcPr>
          <w:p>
            <w:pPr>
              <w:pStyle w:val="TableContents"/>
              <w:bidi w:val="0"/>
              <w:spacing w:before="0" w:after="283"/>
              <w:jc w:val="left"/>
              <w:rPr/>
            </w:pPr>
            <w:r>
              <w:rPr/>
              <w:t> </w:t>
            </w:r>
          </w:p>
        </w:tc>
      </w:tr>
      <w:tr>
        <w:trPr/>
        <w:tc>
          <w:tcPr>
            <w:tcW w:w="3593" w:type="dxa"/>
            <w:tcBorders/>
            <w:shd w:fill="DBE5F1" w:val="clear"/>
            <w:vAlign w:val="center"/>
          </w:tcPr>
          <w:p>
            <w:pPr>
              <w:pStyle w:val="TableContents"/>
              <w:bidi w:val="0"/>
              <w:spacing w:before="0" w:after="0"/>
              <w:jc w:val="center"/>
              <w:rPr>
                <w:rFonts w:ascii="ARIAL" w:hAnsi="ARIAL"/>
                <w:b/>
                <w:sz w:val="20"/>
              </w:rPr>
            </w:pPr>
            <w:r>
              <w:rPr>
                <w:rFonts w:ascii="ARIAL" w:hAnsi="ARIAL"/>
                <w:b/>
                <w:sz w:val="20"/>
              </w:rPr>
              <w:t>Nominating, Corporate</w:t>
            </w:r>
          </w:p>
          <w:p>
            <w:pPr>
              <w:pStyle w:val="TableContents"/>
              <w:bidi w:val="0"/>
              <w:spacing w:before="0" w:after="0"/>
              <w:jc w:val="center"/>
              <w:rPr>
                <w:rFonts w:ascii="ARIAL" w:hAnsi="ARIAL"/>
                <w:b/>
                <w:sz w:val="20"/>
              </w:rPr>
            </w:pPr>
            <w:r>
              <w:rPr>
                <w:rFonts w:ascii="ARIAL" w:hAnsi="ARIAL"/>
                <w:b/>
                <w:sz w:val="20"/>
              </w:rPr>
              <w:t>Governance and Compliance</w:t>
            </w:r>
          </w:p>
          <w:p>
            <w:pPr>
              <w:pStyle w:val="TableContents"/>
              <w:bidi w:val="0"/>
              <w:spacing w:before="0" w:after="20"/>
              <w:jc w:val="center"/>
              <w:rPr>
                <w:rFonts w:ascii="ARIAL" w:hAnsi="ARIAL"/>
                <w:b/>
                <w:sz w:val="20"/>
              </w:rPr>
            </w:pPr>
            <w:r>
              <w:rPr>
                <w:rFonts w:ascii="ARIAL" w:hAnsi="ARIAL"/>
                <w:b/>
                <w:sz w:val="20"/>
              </w:rPr>
              <w:t>Committee</w:t>
            </w:r>
          </w:p>
        </w:tc>
        <w:tc>
          <w:tcPr>
            <w:tcW w:w="120" w:type="dxa"/>
            <w:tcBorders/>
            <w:shd w:fill="DBE5F1" w:val="clear"/>
            <w:vAlign w:val="center"/>
          </w:tcPr>
          <w:p>
            <w:pPr>
              <w:pStyle w:val="TableContents"/>
              <w:bidi w:val="0"/>
              <w:spacing w:before="0" w:after="283"/>
              <w:jc w:val="left"/>
              <w:rPr/>
            </w:pPr>
            <w:r>
              <w:rPr/>
              <w:t>  </w:t>
            </w:r>
          </w:p>
        </w:tc>
        <w:tc>
          <w:tcPr>
            <w:tcW w:w="3165" w:type="dxa"/>
            <w:tcBorders/>
            <w:shd w:fill="DBE5F1" w:val="clear"/>
            <w:vAlign w:val="center"/>
          </w:tcPr>
          <w:p>
            <w:pPr>
              <w:pStyle w:val="TableContents"/>
              <w:bidi w:val="0"/>
              <w:spacing w:before="0" w:after="283"/>
              <w:jc w:val="center"/>
              <w:rPr>
                <w:b/>
              </w:rPr>
            </w:pPr>
            <w:r>
              <w:rPr>
                <w:b/>
              </w:rPr>
              <w:t>Audit Committee</w:t>
            </w:r>
          </w:p>
        </w:tc>
        <w:tc>
          <w:tcPr>
            <w:tcW w:w="120" w:type="dxa"/>
            <w:tcBorders/>
            <w:shd w:fill="DBE5F1" w:val="clear"/>
            <w:vAlign w:val="center"/>
          </w:tcPr>
          <w:p>
            <w:pPr>
              <w:pStyle w:val="TableContents"/>
              <w:bidi w:val="0"/>
              <w:spacing w:before="0" w:after="283"/>
              <w:jc w:val="left"/>
              <w:rPr/>
            </w:pPr>
            <w:r>
              <w:rPr/>
              <w:t>  </w:t>
            </w:r>
          </w:p>
        </w:tc>
        <w:tc>
          <w:tcPr>
            <w:tcW w:w="3207" w:type="dxa"/>
            <w:tcBorders/>
            <w:shd w:fill="DBE5F1" w:val="clear"/>
            <w:vAlign w:val="center"/>
          </w:tcPr>
          <w:p>
            <w:pPr>
              <w:pStyle w:val="TableContents"/>
              <w:bidi w:val="0"/>
              <w:spacing w:before="0" w:after="0"/>
              <w:jc w:val="left"/>
              <w:rPr>
                <w:rFonts w:ascii="ARIAL" w:hAnsi="ARIAL"/>
                <w:b/>
                <w:sz w:val="20"/>
              </w:rPr>
            </w:pPr>
            <w:r>
              <w:rPr>
                <w:rFonts w:ascii="ARIAL" w:hAnsi="ARIAL"/>
                <w:b/>
                <w:sz w:val="20"/>
              </w:rPr>
              <w:t>Compensation Committee</w:t>
            </w:r>
          </w:p>
        </w:tc>
      </w:tr>
      <w:tr>
        <w:trPr/>
        <w:tc>
          <w:tcPr>
            <w:tcW w:w="3593" w:type="dxa"/>
            <w:tcBorders/>
            <w:shd w:fill="DBE5F1" w:val="clear"/>
            <w:vAlign w:val="center"/>
          </w:tcPr>
          <w:p>
            <w:pPr>
              <w:pStyle w:val="TableContents"/>
              <w:bidi w:val="0"/>
              <w:spacing w:before="0" w:after="283"/>
              <w:jc w:val="left"/>
              <w:rPr>
                <w:sz w:val="4"/>
                <w:szCs w:val="4"/>
              </w:rPr>
            </w:pPr>
            <w:r>
              <w:rPr>
                <w:sz w:val="4"/>
                <w:szCs w:val="4"/>
              </w:rPr>
            </w:r>
          </w:p>
        </w:tc>
        <w:tc>
          <w:tcPr>
            <w:tcW w:w="3285" w:type="dxa"/>
            <w:gridSpan w:val="2"/>
            <w:tcBorders/>
            <w:shd w:fill="DBE5F1" w:val="clear"/>
            <w:vAlign w:val="center"/>
          </w:tcPr>
          <w:p>
            <w:pPr>
              <w:pStyle w:val="TableContents"/>
              <w:bidi w:val="0"/>
              <w:spacing w:before="0" w:after="283"/>
              <w:jc w:val="left"/>
              <w:rPr>
                <w:sz w:val="4"/>
                <w:szCs w:val="4"/>
              </w:rPr>
            </w:pPr>
            <w:r>
              <w:rPr>
                <w:sz w:val="4"/>
                <w:szCs w:val="4"/>
              </w:rPr>
            </w:r>
          </w:p>
        </w:tc>
        <w:tc>
          <w:tcPr>
            <w:tcW w:w="3327" w:type="dxa"/>
            <w:gridSpan w:val="2"/>
            <w:tcBorders/>
            <w:shd w:fill="DBE5F1" w:val="clear"/>
            <w:vAlign w:val="center"/>
          </w:tcPr>
          <w:p>
            <w:pPr>
              <w:pStyle w:val="TableContents"/>
              <w:bidi w:val="0"/>
              <w:spacing w:before="0" w:after="283"/>
              <w:jc w:val="left"/>
              <w:rPr>
                <w:sz w:val="4"/>
                <w:szCs w:val="4"/>
              </w:rPr>
            </w:pPr>
            <w:r>
              <w:rPr>
                <w:sz w:val="4"/>
                <w:szCs w:val="4"/>
              </w:rPr>
            </w:r>
          </w:p>
        </w:tc>
      </w:tr>
      <w:tr>
        <w:trPr/>
        <w:tc>
          <w:tcPr>
            <w:tcW w:w="3593" w:type="dxa"/>
            <w:tcBorders>
              <w:bottom w:val="single" w:sz="6" w:space="0" w:color="000000"/>
            </w:tcBorders>
            <w:shd w:fill="DBE5F1" w:val="clear"/>
            <w:tcMar>
              <w:bottom w:w="28" w:type="dxa"/>
            </w:tcMar>
            <w:vAlign w:val="center"/>
          </w:tcPr>
          <w:p>
            <w:pPr>
              <w:pStyle w:val="TableContents"/>
              <w:bidi w:val="0"/>
              <w:spacing w:before="0" w:after="0"/>
              <w:jc w:val="left"/>
              <w:rPr/>
            </w:pPr>
            <w:r>
              <w:rPr/>
              <w:t>●   </w:t>
            </w:r>
            <w:r>
              <w:rPr>
                <w:rFonts w:ascii="ARIAL" w:hAnsi="ARIAL"/>
                <w:sz w:val="18"/>
              </w:rPr>
              <w:t>Has primary responsibility for oversight of our ERM program, consults with management and other Board committees as needed.</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Oversees governance risks, such as director independence and conflicts of interest.</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Monitors our health care and other legal compliance activities, including regulatory audits and other touchpoints.</w:t>
            </w:r>
          </w:p>
          <w:p>
            <w:pPr>
              <w:pStyle w:val="TableContents"/>
              <w:bidi w:val="0"/>
              <w:spacing w:before="0" w:after="20"/>
              <w:jc w:val="left"/>
              <w:rPr/>
            </w:pPr>
            <w:r>
              <w:rPr/>
              <w:t> </w:t>
            </w:r>
          </w:p>
        </w:tc>
        <w:tc>
          <w:tcPr>
            <w:tcW w:w="120" w:type="dxa"/>
            <w:tcBorders>
              <w:bottom w:val="single" w:sz="6" w:space="0" w:color="000000"/>
            </w:tcBorders>
            <w:shd w:fill="DBE5F1" w:val="clear"/>
            <w:tcMar>
              <w:bottom w:w="28" w:type="dxa"/>
            </w:tcMar>
            <w:vAlign w:val="center"/>
          </w:tcPr>
          <w:p>
            <w:pPr>
              <w:pStyle w:val="TableContents"/>
              <w:bidi w:val="0"/>
              <w:spacing w:before="0" w:after="283"/>
              <w:jc w:val="left"/>
              <w:rPr/>
            </w:pPr>
            <w:r>
              <w:rPr/>
              <w:t>  </w:t>
            </w:r>
          </w:p>
        </w:tc>
        <w:tc>
          <w:tcPr>
            <w:tcW w:w="3165" w:type="dxa"/>
            <w:tcBorders>
              <w:bottom w:val="single" w:sz="6" w:space="0" w:color="000000"/>
            </w:tcBorders>
            <w:shd w:fill="DBE5F1" w:val="clear"/>
            <w:tcMar>
              <w:bottom w:w="28" w:type="dxa"/>
            </w:tcMar>
            <w:vAlign w:val="center"/>
          </w:tcPr>
          <w:p>
            <w:pPr>
              <w:pStyle w:val="TableContents"/>
              <w:bidi w:val="0"/>
              <w:spacing w:before="0" w:after="0"/>
              <w:jc w:val="left"/>
              <w:rPr/>
            </w:pPr>
            <w:r>
              <w:rPr/>
              <w:t>●   </w:t>
            </w:r>
            <w:r>
              <w:rPr>
                <w:rFonts w:ascii="ARIAL" w:hAnsi="ARIAL"/>
                <w:sz w:val="18"/>
              </w:rPr>
              <w:t>Oversees our major financial risk exposures and management actions to monitor and control these exposures.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Oversees the performance of our external auditors and internal audit function.</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t>Monitors risk related to data privacy and cybersecurity.</w:t>
            </w:r>
          </w:p>
        </w:tc>
        <w:tc>
          <w:tcPr>
            <w:tcW w:w="120" w:type="dxa"/>
            <w:tcBorders>
              <w:bottom w:val="single" w:sz="6" w:space="0" w:color="000000"/>
            </w:tcBorders>
            <w:shd w:fill="DBE5F1" w:val="clear"/>
            <w:tcMar>
              <w:bottom w:w="28" w:type="dxa"/>
            </w:tcMar>
            <w:vAlign w:val="center"/>
          </w:tcPr>
          <w:p>
            <w:pPr>
              <w:pStyle w:val="TableContents"/>
              <w:bidi w:val="0"/>
              <w:spacing w:before="0" w:after="283"/>
              <w:jc w:val="left"/>
              <w:rPr/>
            </w:pPr>
            <w:r>
              <w:rPr/>
              <w:t>  </w:t>
            </w:r>
          </w:p>
        </w:tc>
        <w:tc>
          <w:tcPr>
            <w:tcW w:w="3207" w:type="dxa"/>
            <w:tcBorders>
              <w:bottom w:val="single" w:sz="6" w:space="0" w:color="000000"/>
            </w:tcBorders>
            <w:shd w:fill="DBE5F1" w:val="clear"/>
            <w:tcMar>
              <w:bottom w:w="28" w:type="dxa"/>
            </w:tcMar>
            <w:vAlign w:val="center"/>
          </w:tcPr>
          <w:p>
            <w:pPr>
              <w:pStyle w:val="TableContents"/>
              <w:bidi w:val="0"/>
              <w:spacing w:before="0" w:after="0"/>
              <w:jc w:val="left"/>
              <w:rPr/>
            </w:pPr>
            <w:r>
              <w:rPr/>
              <w:t>●   </w:t>
            </w:r>
            <w:r>
              <w:rPr>
                <w:rFonts w:ascii="ARIAL" w:hAnsi="ARIAL"/>
                <w:sz w:val="18"/>
              </w:rPr>
              <w:t>Assesses and monitors risks related to our compensation policies and programs, such as retention risk.</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Oversees management incentives and potential for excessive risk taking.</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t>Responsible for management succession risk and planning.</w:t>
            </w:r>
          </w:p>
        </w:tc>
      </w:tr>
    </w:tbl>
    <w:p>
      <w:pPr>
        <w:pStyle w:val="TextBody"/>
        <w:bidi w:val="0"/>
        <w:spacing w:before="0" w:after="0"/>
        <w:jc w:val="left"/>
        <w:rPr/>
      </w:pPr>
      <w:r>
        <w:rPr/>
        <w:t> </w:t>
      </w:r>
    </w:p>
    <w:tbl>
      <w:tblPr>
        <w:tblW w:w="10205" w:type="dxa"/>
        <w:jc w:val="left"/>
        <w:tblInd w:w="0" w:type="dxa"/>
        <w:shd w:fill="DBE5F1" w:val="clear"/>
        <w:tblLayout w:type="fixed"/>
        <w:tblCellMar>
          <w:top w:w="0" w:type="dxa"/>
          <w:left w:w="0" w:type="dxa"/>
          <w:bottom w:w="0" w:type="dxa"/>
          <w:right w:w="0" w:type="dxa"/>
        </w:tblCellMar>
      </w:tblPr>
      <w:tblGrid>
        <w:gridCol w:w="10205"/>
      </w:tblGrid>
      <w:tr>
        <w:trPr/>
        <w:tc>
          <w:tcPr>
            <w:tcW w:w="10205" w:type="dxa"/>
            <w:tcBorders/>
            <w:shd w:fill="DBE5F1" w:val="clear"/>
            <w:vAlign w:val="center"/>
          </w:tcPr>
          <w:p>
            <w:pPr>
              <w:pStyle w:val="TableContents"/>
              <w:bidi w:val="0"/>
              <w:spacing w:before="0" w:after="283"/>
              <w:jc w:val="left"/>
              <w:rPr>
                <w:sz w:val="4"/>
                <w:szCs w:val="4"/>
              </w:rPr>
            </w:pPr>
            <w:r>
              <w:rPr>
                <w:sz w:val="4"/>
                <w:szCs w:val="4"/>
              </w:rPr>
            </w:r>
          </w:p>
        </w:tc>
      </w:tr>
      <w:tr>
        <w:trPr/>
        <w:tc>
          <w:tcPr>
            <w:tcW w:w="10205" w:type="dxa"/>
            <w:tcBorders>
              <w:top w:val="single" w:sz="6" w:space="0" w:color="000000"/>
            </w:tcBorders>
            <w:shd w:fill="DBE5F1" w:val="clear"/>
            <w:tcMar>
              <w:top w:w="28" w:type="dxa"/>
            </w:tcMar>
            <w:vAlign w:val="center"/>
          </w:tcPr>
          <w:p>
            <w:pPr>
              <w:pStyle w:val="TableContents"/>
              <w:bidi w:val="0"/>
              <w:spacing w:before="0" w:after="283"/>
              <w:jc w:val="left"/>
              <w:rPr/>
            </w:pPr>
            <w:r>
              <w:rPr/>
              <w:t> </w:t>
            </w:r>
          </w:p>
        </w:tc>
      </w:tr>
      <w:tr>
        <w:trPr/>
        <w:tc>
          <w:tcPr>
            <w:tcW w:w="10205" w:type="dxa"/>
            <w:tcBorders>
              <w:bottom w:val="single" w:sz="6" w:space="0" w:color="000000"/>
            </w:tcBorders>
            <w:shd w:fill="DBE5F1" w:val="clear"/>
            <w:tcMar>
              <w:bottom w:w="28" w:type="dxa"/>
            </w:tcMar>
            <w:vAlign w:val="center"/>
          </w:tcPr>
          <w:p>
            <w:pPr>
              <w:pStyle w:val="TableContents"/>
              <w:bidi w:val="0"/>
              <w:spacing w:before="0" w:after="0"/>
              <w:jc w:val="center"/>
              <w:rPr>
                <w:rFonts w:ascii="ARIAL" w:hAnsi="ARIAL"/>
                <w:b/>
                <w:sz w:val="18"/>
              </w:rPr>
            </w:pPr>
            <w:r>
              <w:rPr>
                <w:rFonts w:ascii="ARIAL" w:hAnsi="ARIAL"/>
                <w:b/>
                <w:sz w:val="18"/>
              </w:rPr>
              <w:t>Management</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Manages day-to-day risk and regularly confers with the Board and committees regarding the risks and risk management processes.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Systematically monitors risk exposure and mitigation planning through an ERM committee, a broad, interdepartmental group led by the Company’s Chief Compliance &amp; Privacy Officer and Director, Enterprise Risk Management, and including, among others, our CEO, CFO and at least one independent member of the Board.</w:t>
            </w:r>
          </w:p>
          <w:p>
            <w:pPr>
              <w:pStyle w:val="TableContents"/>
              <w:bidi w:val="0"/>
              <w:spacing w:before="0" w:after="20"/>
              <w:jc w:val="left"/>
              <w:rPr/>
            </w:pPr>
            <w:r>
              <w:rPr/>
              <w:t> </w:t>
            </w:r>
          </w:p>
        </w:tc>
      </w:tr>
    </w:tbl>
    <w:p>
      <w:pPr>
        <w:pStyle w:val="TextBody"/>
        <w:bidi w:val="0"/>
        <w:spacing w:before="240" w:after="0"/>
        <w:jc w:val="left"/>
        <w:rPr>
          <w:rFonts w:ascii="ARIAL" w:hAnsi="ARIAL"/>
          <w:sz w:val="20"/>
        </w:rPr>
      </w:pPr>
      <w:r>
        <w:rPr>
          <w:rFonts w:ascii="ARIAL" w:hAnsi="ARIAL"/>
          <w:sz w:val="20"/>
        </w:rPr>
        <w:t xml:space="preserve">Both our Board and our Board committees receive periodic and incidental reports as matters may arise directly from our Chief Compliance and Privacy Officer, our General Counsel, and our accounting personnel overseeing our internal audit function. Our Chief Compliance and Privacy Officer reports to our President, Markets, and our General Counsel reports to our Chief Executive Officer. Such reports include information regarding potential violations of our Code of Conduct, our ethics hotline activity and other complaints we may receive regarding potential ethics violations or our financial controls, accounting and other auditing matters. </w:t>
      </w:r>
    </w:p>
    <w:p>
      <w:pPr>
        <w:pStyle w:val="TextBody"/>
        <w:bidi w:val="0"/>
        <w:spacing w:before="240" w:after="0"/>
        <w:jc w:val="left"/>
        <w:rPr>
          <w:rFonts w:ascii="ARIAL" w:hAnsi="ARIAL"/>
          <w:sz w:val="20"/>
        </w:rPr>
      </w:pPr>
      <w:r>
        <w:rPr>
          <w:rFonts w:ascii="ARIAL" w:hAnsi="ARIAL"/>
          <w:sz w:val="20"/>
        </w:rPr>
        <w:t xml:space="preserve">Our approach to risk oversight takes into account the immediacy of the risk assessed and its potential severity. Management and our committee chairs are responsible for promptly reporting findings regarding material risk exposures to the Board. Our Board, with leadership from the NCGCC, assesses, at least annually, our committee structure and the appropriateness of delegation of particular areas of risk oversight to such committees. </w:t>
      </w:r>
    </w:p>
    <w:p>
      <w:pPr>
        <w:pStyle w:val="TextBody"/>
        <w:bidi w:val="0"/>
        <w:spacing w:before="240" w:after="0"/>
        <w:jc w:val="left"/>
        <w:rPr>
          <w:rFonts w:ascii="ARIAL" w:hAnsi="ARIAL"/>
          <w:sz w:val="20"/>
        </w:rPr>
      </w:pPr>
      <w:r>
        <w:rPr>
          <w:rFonts w:ascii="ARIAL" w:hAnsi="ARIAL"/>
          <w:sz w:val="20"/>
        </w:rPr>
        <w:t xml:space="preserve">The Company’s risk oversight process is also integrated into the Company’s disclosure controls and procedures, including risk disclosures contained within our Annual Report on Form 10-K. The Company utilizes a cross-functional enterprise team to review and draft the Company’s disclosures, including a Disclosure Committee that provides reports to executive management and the Board. </w:t>
      </w:r>
    </w:p>
    <w:p>
      <w:pPr>
        <w:pStyle w:val="TextBody"/>
        <w:bidi w:val="0"/>
        <w:spacing w:before="240" w:after="0"/>
        <w:jc w:val="left"/>
        <w:rPr>
          <w:rFonts w:ascii="ARIAL" w:hAnsi="ARIAL"/>
          <w:sz w:val="20"/>
        </w:rPr>
      </w:pPr>
      <w:r>
        <w:rPr>
          <w:rFonts w:ascii="ARIAL" w:hAnsi="ARIAL"/>
          <w:sz w:val="20"/>
        </w:rPr>
        <w:t xml:space="preserve">Management and the Board and Board Committees engage outside advisors where appropriate to assist in the identification, oversight, evaluation and management of the risks facing the Company. These outside advisors include the Company’s independent registered public accounting firm, external legal counsel and insurance providers, and the independent compensation consultant retained by the Compensation Committee.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27 </w:t>
      </w:r>
      <w:r>
        <w:br w:type="page"/>
      </w:r>
    </w:p>
    <w:p>
      <w:pPr>
        <w:pStyle w:val="HorizontalLine"/>
        <w:bidi w:val="0"/>
        <w:jc w:val="left"/>
        <w:rPr/>
      </w:pPr>
      <w:r>
        <w:rPr/>
      </w:r>
    </w:p>
    <w:p>
      <w:pPr>
        <w:pStyle w:val="TextBody"/>
        <w:bidi w:val="0"/>
        <w:spacing w:before="0" w:after="0"/>
        <w:jc w:val="left"/>
        <w:rPr>
          <w:rFonts w:ascii="ARIAL" w:hAnsi="ARIAL"/>
          <w:b/>
          <w:color w:val="1F497D"/>
          <w:sz w:val="20"/>
        </w:rPr>
      </w:pPr>
      <w:bookmarkStart w:id="14" w:name="txa496243_12"/>
      <w:bookmarkEnd w:id="14"/>
      <w:r>
        <w:rPr>
          <w:rFonts w:ascii="ARIAL" w:hAnsi="ARIAL"/>
          <w:b/>
          <w:color w:val="1F497D"/>
          <w:sz w:val="20"/>
        </w:rPr>
        <w:t xml:space="preserve">Board Committees </w:t>
      </w:r>
    </w:p>
    <w:p>
      <w:pPr>
        <w:pStyle w:val="TextBody"/>
        <w:bidi w:val="0"/>
        <w:spacing w:before="120" w:after="0"/>
        <w:jc w:val="left"/>
        <w:rPr>
          <w:rFonts w:ascii="ARIAL" w:hAnsi="ARIAL"/>
          <w:sz w:val="20"/>
        </w:rPr>
      </w:pPr>
      <w:r>
        <w:rPr>
          <w:rFonts w:ascii="ARIAL" w:hAnsi="ARIAL"/>
          <w:sz w:val="20"/>
        </w:rPr>
        <w:t xml:space="preserve">The composition, duties and responsibilities of our committees are as set forth below. In the future, our Board may establish other committees, as it deems appropriate, to assist it with its responsibilities. </w:t>
      </w:r>
    </w:p>
    <w:p>
      <w:pPr>
        <w:pStyle w:val="TextBody"/>
        <w:bidi w:val="0"/>
        <w:spacing w:before="0" w:after="0"/>
        <w:jc w:val="left"/>
        <w:rPr/>
      </w:pPr>
      <w:r>
        <w:rPr/>
        <w:t> </w:t>
      </w:r>
    </w:p>
    <w:tbl>
      <w:tblPr>
        <w:tblW w:w="7490" w:type="dxa"/>
        <w:jc w:val="left"/>
        <w:tblInd w:w="0" w:type="dxa"/>
        <w:tblLayout w:type="fixed"/>
        <w:tblCellMar>
          <w:top w:w="0" w:type="dxa"/>
          <w:left w:w="0" w:type="dxa"/>
          <w:bottom w:w="0" w:type="dxa"/>
          <w:right w:w="0" w:type="dxa"/>
        </w:tblCellMar>
      </w:tblPr>
      <w:tblGrid>
        <w:gridCol w:w="1850"/>
        <w:gridCol w:w="60"/>
        <w:gridCol w:w="1775"/>
        <w:gridCol w:w="60"/>
        <w:gridCol w:w="1265"/>
        <w:gridCol w:w="60"/>
        <w:gridCol w:w="2420"/>
      </w:tblGrid>
      <w:tr>
        <w:trPr/>
        <w:tc>
          <w:tcPr>
            <w:tcW w:w="1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r>
      <w:tr>
        <w:trPr/>
        <w:tc>
          <w:tcPr>
            <w:tcW w:w="1850" w:type="dxa"/>
            <w:tcBorders>
              <w:bottom w:val="single" w:sz="12" w:space="0" w:color="1F497D"/>
            </w:tcBorders>
            <w:tcMar>
              <w:bottom w:w="28" w:type="dxa"/>
            </w:tcMar>
            <w:vAlign w:val="center"/>
          </w:tcPr>
          <w:p>
            <w:pPr>
              <w:pStyle w:val="TableContents"/>
              <w:bidi w:val="0"/>
              <w:spacing w:before="0" w:after="283"/>
              <w:jc w:val="left"/>
              <w:rPr/>
            </w:pPr>
            <w:r>
              <w:rPr/>
              <w:t> </w:t>
            </w:r>
            <w:r>
              <w:rPr>
                <w:b/>
              </w:rPr>
              <w:t>Board Member</w:t>
            </w:r>
          </w:p>
        </w:tc>
        <w:tc>
          <w:tcPr>
            <w:tcW w:w="60" w:type="dxa"/>
            <w:tcBorders>
              <w:bottom w:val="single" w:sz="12" w:space="0" w:color="1F497D"/>
            </w:tcBorders>
            <w:tcMar>
              <w:bottom w:w="28" w:type="dxa"/>
            </w:tcMar>
            <w:vAlign w:val="center"/>
          </w:tcPr>
          <w:p>
            <w:pPr>
              <w:pStyle w:val="TableContents"/>
              <w:bidi w:val="0"/>
              <w:spacing w:before="0" w:after="283"/>
              <w:jc w:val="left"/>
              <w:rPr/>
            </w:pPr>
            <w:r>
              <w:rPr/>
              <w:t> </w:t>
            </w:r>
          </w:p>
        </w:tc>
        <w:tc>
          <w:tcPr>
            <w:tcW w:w="1775" w:type="dxa"/>
            <w:tcBorders>
              <w:bottom w:val="single" w:sz="12" w:space="0" w:color="1F497D"/>
            </w:tcBorders>
            <w:tcMar>
              <w:bottom w:w="28" w:type="dxa"/>
            </w:tcMar>
            <w:vAlign w:val="center"/>
          </w:tcPr>
          <w:p>
            <w:pPr>
              <w:pStyle w:val="TableContents"/>
              <w:bidi w:val="0"/>
              <w:spacing w:before="0" w:after="283"/>
              <w:jc w:val="center"/>
              <w:rPr>
                <w:b/>
              </w:rPr>
            </w:pPr>
            <w:r>
              <w:rPr>
                <w:b/>
              </w:rPr>
              <w:t>Audit Committee</w:t>
            </w:r>
          </w:p>
        </w:tc>
        <w:tc>
          <w:tcPr>
            <w:tcW w:w="60" w:type="dxa"/>
            <w:tcBorders>
              <w:bottom w:val="single" w:sz="12" w:space="0" w:color="1F497D"/>
            </w:tcBorders>
            <w:tcMar>
              <w:bottom w:w="28" w:type="dxa"/>
            </w:tcMar>
            <w:vAlign w:val="center"/>
          </w:tcPr>
          <w:p>
            <w:pPr>
              <w:pStyle w:val="TableContents"/>
              <w:bidi w:val="0"/>
              <w:spacing w:before="0" w:after="283"/>
              <w:jc w:val="left"/>
              <w:rPr/>
            </w:pPr>
            <w:r>
              <w:rPr/>
              <w:t> </w:t>
            </w:r>
          </w:p>
        </w:tc>
        <w:tc>
          <w:tcPr>
            <w:tcW w:w="1265" w:type="dxa"/>
            <w:tcBorders>
              <w:bottom w:val="single" w:sz="12" w:space="0" w:color="1F497D"/>
            </w:tcBorders>
            <w:tcMar>
              <w:bottom w:w="28" w:type="dxa"/>
            </w:tcMar>
            <w:vAlign w:val="center"/>
          </w:tcPr>
          <w:p>
            <w:pPr>
              <w:pStyle w:val="TableContents"/>
              <w:bidi w:val="0"/>
              <w:spacing w:before="0" w:after="0"/>
              <w:jc w:val="center"/>
              <w:rPr>
                <w:rFonts w:ascii="ARIAL" w:hAnsi="ARIAL"/>
                <w:b/>
                <w:sz w:val="18"/>
              </w:rPr>
            </w:pPr>
            <w:r>
              <w:rPr>
                <w:rFonts w:ascii="ARIAL" w:hAnsi="ARIAL"/>
                <w:b/>
                <w:sz w:val="18"/>
              </w:rPr>
              <w:t>Compensation</w:t>
            </w:r>
          </w:p>
          <w:p>
            <w:pPr>
              <w:pStyle w:val="TableContents"/>
              <w:bidi w:val="0"/>
              <w:spacing w:before="0" w:after="20"/>
              <w:jc w:val="center"/>
              <w:rPr>
                <w:rFonts w:ascii="ARIAL" w:hAnsi="ARIAL"/>
                <w:b/>
                <w:sz w:val="18"/>
              </w:rPr>
            </w:pPr>
            <w:r>
              <w:rPr>
                <w:rFonts w:ascii="ARIAL" w:hAnsi="ARIAL"/>
                <w:b/>
                <w:sz w:val="18"/>
              </w:rPr>
              <w:t>Committee</w:t>
            </w:r>
          </w:p>
        </w:tc>
        <w:tc>
          <w:tcPr>
            <w:tcW w:w="60" w:type="dxa"/>
            <w:tcBorders>
              <w:bottom w:val="single" w:sz="12" w:space="0" w:color="1F497D"/>
            </w:tcBorders>
            <w:tcMar>
              <w:bottom w:w="28" w:type="dxa"/>
            </w:tcMar>
            <w:vAlign w:val="center"/>
          </w:tcPr>
          <w:p>
            <w:pPr>
              <w:pStyle w:val="TableContents"/>
              <w:bidi w:val="0"/>
              <w:spacing w:before="0" w:after="283"/>
              <w:jc w:val="left"/>
              <w:rPr/>
            </w:pPr>
            <w:r>
              <w:rPr/>
              <w:t> </w:t>
            </w:r>
          </w:p>
        </w:tc>
        <w:tc>
          <w:tcPr>
            <w:tcW w:w="2420" w:type="dxa"/>
            <w:tcBorders>
              <w:bottom w:val="single" w:sz="12" w:space="0" w:color="1F497D"/>
            </w:tcBorders>
            <w:tcMar>
              <w:bottom w:w="28" w:type="dxa"/>
            </w:tcMar>
            <w:vAlign w:val="center"/>
          </w:tcPr>
          <w:p>
            <w:pPr>
              <w:pStyle w:val="TableContents"/>
              <w:bidi w:val="0"/>
              <w:spacing w:before="0" w:after="283"/>
              <w:jc w:val="center"/>
              <w:rPr>
                <w:b/>
              </w:rPr>
            </w:pPr>
            <w:r>
              <w:rPr>
                <w:b/>
              </w:rPr>
              <w:t>Nominating, Corporate</w:t>
              <w:br/>
              <w:t>Governance &amp;</w:t>
              <w:br/>
              <w:t>Compliance Committee</w:t>
            </w:r>
          </w:p>
        </w:tc>
      </w:tr>
      <w:tr>
        <w:trPr/>
        <w:tc>
          <w:tcPr>
            <w:tcW w:w="1850" w:type="dxa"/>
            <w:tcBorders>
              <w:bottom w:val="single" w:sz="8" w:space="0" w:color="1F497D"/>
              <w:right w:val="single" w:sz="8" w:space="0" w:color="1F497D"/>
            </w:tcBorders>
            <w:shd w:fill="DBE5F1" w:val="clear"/>
            <w:tcMar>
              <w:bottom w:w="28" w:type="dxa"/>
              <w:right w:w="28" w:type="dxa"/>
            </w:tcMar>
            <w:vAlign w:val="center"/>
          </w:tcPr>
          <w:p>
            <w:pPr>
              <w:pStyle w:val="TableContents"/>
              <w:bidi w:val="0"/>
              <w:spacing w:before="0" w:after="0"/>
              <w:jc w:val="left"/>
              <w:rPr>
                <w:rFonts w:ascii="ARIAL" w:hAnsi="ARIAL"/>
                <w:sz w:val="18"/>
              </w:rPr>
            </w:pPr>
            <w:r>
              <w:rPr>
                <w:rFonts w:ascii="ARIAL" w:hAnsi="ARIAL"/>
                <w:sz w:val="18"/>
              </w:rPr>
              <w:t>Jody Bilney</w:t>
            </w:r>
          </w:p>
        </w:tc>
        <w:tc>
          <w:tcPr>
            <w:tcW w:w="60" w:type="dxa"/>
            <w:tcBorders>
              <w:bottom w:val="single" w:sz="8" w:space="0" w:color="1F497D"/>
            </w:tcBorders>
            <w:shd w:fill="DBE5F1" w:val="clear"/>
            <w:tcMar>
              <w:bottom w:w="28" w:type="dxa"/>
            </w:tcMar>
            <w:vAlign w:val="center"/>
          </w:tcPr>
          <w:p>
            <w:pPr>
              <w:pStyle w:val="TableContents"/>
              <w:bidi w:val="0"/>
              <w:spacing w:before="0" w:after="283"/>
              <w:jc w:val="left"/>
              <w:rPr/>
            </w:pPr>
            <w:r>
              <w:rPr/>
              <w:t> </w:t>
            </w:r>
          </w:p>
        </w:tc>
        <w:tc>
          <w:tcPr>
            <w:tcW w:w="1775" w:type="dxa"/>
            <w:tcBorders>
              <w:bottom w:val="single" w:sz="8" w:space="0" w:color="1F497D"/>
              <w:right w:val="single" w:sz="8" w:space="0" w:color="1F497D"/>
            </w:tcBorders>
            <w:shd w:fill="DBE5F1"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1F497D"/>
            </w:tcBorders>
            <w:shd w:fill="DBE5F1" w:val="clear"/>
            <w:tcMar>
              <w:bottom w:w="28" w:type="dxa"/>
            </w:tcMar>
            <w:vAlign w:val="center"/>
          </w:tcPr>
          <w:p>
            <w:pPr>
              <w:pStyle w:val="TableContents"/>
              <w:bidi w:val="0"/>
              <w:spacing w:before="0" w:after="283"/>
              <w:jc w:val="left"/>
              <w:rPr/>
            </w:pPr>
            <w:r>
              <w:rPr/>
              <w:t> </w:t>
            </w:r>
          </w:p>
        </w:tc>
        <w:tc>
          <w:tcPr>
            <w:tcW w:w="1265" w:type="dxa"/>
            <w:tcBorders>
              <w:bottom w:val="single" w:sz="8" w:space="0" w:color="1F497D"/>
              <w:right w:val="single" w:sz="8" w:space="0" w:color="1F497D"/>
            </w:tcBorders>
            <w:shd w:fill="DBE5F1"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1F497D"/>
            </w:tcBorders>
            <w:shd w:fill="DBE5F1" w:val="clear"/>
            <w:tcMar>
              <w:bottom w:w="28" w:type="dxa"/>
            </w:tcMar>
            <w:vAlign w:val="center"/>
          </w:tcPr>
          <w:p>
            <w:pPr>
              <w:pStyle w:val="TableContents"/>
              <w:bidi w:val="0"/>
              <w:spacing w:before="0" w:after="283"/>
              <w:jc w:val="left"/>
              <w:rPr/>
            </w:pPr>
            <w:r>
              <w:rPr/>
              <w:t> </w:t>
            </w:r>
          </w:p>
        </w:tc>
        <w:tc>
          <w:tcPr>
            <w:tcW w:w="2420" w:type="dxa"/>
            <w:tcBorders>
              <w:bottom w:val="single" w:sz="8" w:space="0" w:color="1F497D"/>
            </w:tcBorders>
            <w:shd w:fill="DBE5F1" w:val="clear"/>
            <w:tcMar>
              <w:bottom w:w="28" w:type="dxa"/>
            </w:tcMar>
            <w:vAlign w:val="center"/>
          </w:tcPr>
          <w:p>
            <w:pPr>
              <w:pStyle w:val="TableContents"/>
              <w:bidi w:val="0"/>
              <w:spacing w:before="0" w:after="283"/>
              <w:jc w:val="center"/>
              <w:rPr/>
            </w:pPr>
            <w:r>
              <w:rPr/>
              <w:t>M</w:t>
            </w:r>
          </w:p>
        </w:tc>
      </w:tr>
      <w:tr>
        <w:trPr/>
        <w:tc>
          <w:tcPr>
            <w:tcW w:w="1850" w:type="dxa"/>
            <w:tcBorders>
              <w:bottom w:val="single" w:sz="8" w:space="0" w:color="1F497D"/>
              <w:right w:val="single" w:sz="8" w:space="0" w:color="1F497D"/>
            </w:tcBorders>
            <w:tcMar>
              <w:bottom w:w="28" w:type="dxa"/>
              <w:right w:w="28" w:type="dxa"/>
            </w:tcMar>
            <w:vAlign w:val="center"/>
          </w:tcPr>
          <w:p>
            <w:pPr>
              <w:pStyle w:val="TableContents"/>
              <w:bidi w:val="0"/>
              <w:spacing w:before="0" w:after="0"/>
              <w:jc w:val="left"/>
              <w:rPr>
                <w:rFonts w:ascii="ARIAL" w:hAnsi="ARIAL"/>
                <w:sz w:val="18"/>
              </w:rPr>
            </w:pPr>
            <w:r>
              <w:rPr>
                <w:rFonts w:ascii="ARIAL" w:hAnsi="ARIAL"/>
                <w:sz w:val="18"/>
              </w:rPr>
              <w:t>Thomas Carella</w:t>
            </w:r>
          </w:p>
        </w:tc>
        <w:tc>
          <w:tcPr>
            <w:tcW w:w="60" w:type="dxa"/>
            <w:tcBorders>
              <w:bottom w:val="single" w:sz="8" w:space="0" w:color="1F497D"/>
            </w:tcBorders>
            <w:tcMar>
              <w:bottom w:w="28" w:type="dxa"/>
            </w:tcMar>
            <w:vAlign w:val="center"/>
          </w:tcPr>
          <w:p>
            <w:pPr>
              <w:pStyle w:val="TableContents"/>
              <w:bidi w:val="0"/>
              <w:spacing w:before="0" w:after="283"/>
              <w:jc w:val="left"/>
              <w:rPr/>
            </w:pPr>
            <w:r>
              <w:rPr/>
              <w:t> </w:t>
            </w:r>
          </w:p>
        </w:tc>
        <w:tc>
          <w:tcPr>
            <w:tcW w:w="1775" w:type="dxa"/>
            <w:tcBorders>
              <w:bottom w:val="single" w:sz="8" w:space="0" w:color="1F497D"/>
              <w:right w:val="single" w:sz="8" w:space="0" w:color="1F497D"/>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1F497D"/>
            </w:tcBorders>
            <w:tcMar>
              <w:bottom w:w="28" w:type="dxa"/>
            </w:tcMar>
            <w:vAlign w:val="center"/>
          </w:tcPr>
          <w:p>
            <w:pPr>
              <w:pStyle w:val="TableContents"/>
              <w:bidi w:val="0"/>
              <w:spacing w:before="0" w:after="283"/>
              <w:jc w:val="left"/>
              <w:rPr/>
            </w:pPr>
            <w:r>
              <w:rPr/>
              <w:t> </w:t>
            </w:r>
          </w:p>
        </w:tc>
        <w:tc>
          <w:tcPr>
            <w:tcW w:w="1265" w:type="dxa"/>
            <w:tcBorders>
              <w:bottom w:val="single" w:sz="8" w:space="0" w:color="1F497D"/>
              <w:right w:val="single" w:sz="8" w:space="0" w:color="1F497D"/>
            </w:tcBorders>
            <w:tcMar>
              <w:bottom w:w="28" w:type="dxa"/>
              <w:right w:w="28" w:type="dxa"/>
            </w:tcMar>
            <w:vAlign w:val="center"/>
          </w:tcPr>
          <w:p>
            <w:pPr>
              <w:pStyle w:val="TableContents"/>
              <w:bidi w:val="0"/>
              <w:spacing w:before="0" w:after="283"/>
              <w:jc w:val="center"/>
              <w:rPr/>
            </w:pPr>
            <w:r>
              <w:rPr/>
              <w:t>M</w:t>
            </w:r>
          </w:p>
        </w:tc>
        <w:tc>
          <w:tcPr>
            <w:tcW w:w="60" w:type="dxa"/>
            <w:tcBorders>
              <w:bottom w:val="single" w:sz="8" w:space="0" w:color="1F497D"/>
            </w:tcBorders>
            <w:tcMar>
              <w:bottom w:w="28" w:type="dxa"/>
            </w:tcMar>
            <w:vAlign w:val="center"/>
          </w:tcPr>
          <w:p>
            <w:pPr>
              <w:pStyle w:val="TableContents"/>
              <w:bidi w:val="0"/>
              <w:spacing w:before="0" w:after="283"/>
              <w:jc w:val="left"/>
              <w:rPr/>
            </w:pPr>
            <w:r>
              <w:rPr/>
              <w:t> </w:t>
            </w:r>
          </w:p>
        </w:tc>
        <w:tc>
          <w:tcPr>
            <w:tcW w:w="2420" w:type="dxa"/>
            <w:tcBorders>
              <w:bottom w:val="single" w:sz="8" w:space="0" w:color="1F497D"/>
            </w:tcBorders>
            <w:tcMar>
              <w:bottom w:w="28" w:type="dxa"/>
            </w:tcMar>
            <w:vAlign w:val="center"/>
          </w:tcPr>
          <w:p>
            <w:pPr>
              <w:pStyle w:val="TableContents"/>
              <w:bidi w:val="0"/>
              <w:spacing w:before="0" w:after="283"/>
              <w:jc w:val="left"/>
              <w:rPr/>
            </w:pPr>
            <w:r>
              <w:rPr/>
              <w:t> </w:t>
            </w:r>
          </w:p>
        </w:tc>
      </w:tr>
      <w:tr>
        <w:trPr/>
        <w:tc>
          <w:tcPr>
            <w:tcW w:w="1850" w:type="dxa"/>
            <w:tcBorders>
              <w:bottom w:val="single" w:sz="8" w:space="0" w:color="1F497D"/>
              <w:right w:val="single" w:sz="8" w:space="0" w:color="1F497D"/>
            </w:tcBorders>
            <w:shd w:fill="DBE5F1" w:val="clear"/>
            <w:tcMar>
              <w:bottom w:w="28" w:type="dxa"/>
              <w:right w:w="28" w:type="dxa"/>
            </w:tcMar>
            <w:vAlign w:val="center"/>
          </w:tcPr>
          <w:p>
            <w:pPr>
              <w:pStyle w:val="TableContents"/>
              <w:bidi w:val="0"/>
              <w:spacing w:before="0" w:after="0"/>
              <w:jc w:val="left"/>
              <w:rPr>
                <w:rFonts w:ascii="ARIAL" w:hAnsi="ARIAL"/>
                <w:sz w:val="18"/>
              </w:rPr>
            </w:pPr>
            <w:r>
              <w:rPr>
                <w:rFonts w:ascii="ARIAL" w:hAnsi="ARIAL"/>
                <w:sz w:val="18"/>
              </w:rPr>
              <w:t>David Hodgson</w:t>
            </w:r>
          </w:p>
        </w:tc>
        <w:tc>
          <w:tcPr>
            <w:tcW w:w="60" w:type="dxa"/>
            <w:tcBorders>
              <w:bottom w:val="single" w:sz="8" w:space="0" w:color="1F497D"/>
            </w:tcBorders>
            <w:shd w:fill="DBE5F1" w:val="clear"/>
            <w:tcMar>
              <w:bottom w:w="28" w:type="dxa"/>
            </w:tcMar>
            <w:vAlign w:val="center"/>
          </w:tcPr>
          <w:p>
            <w:pPr>
              <w:pStyle w:val="TableContents"/>
              <w:bidi w:val="0"/>
              <w:spacing w:before="0" w:after="283"/>
              <w:jc w:val="left"/>
              <w:rPr/>
            </w:pPr>
            <w:r>
              <w:rPr/>
              <w:t> </w:t>
            </w:r>
          </w:p>
        </w:tc>
        <w:tc>
          <w:tcPr>
            <w:tcW w:w="1775" w:type="dxa"/>
            <w:tcBorders>
              <w:bottom w:val="single" w:sz="8" w:space="0" w:color="1F497D"/>
              <w:right w:val="single" w:sz="8" w:space="0" w:color="1F497D"/>
            </w:tcBorders>
            <w:shd w:fill="DBE5F1"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1F497D"/>
            </w:tcBorders>
            <w:shd w:fill="DBE5F1" w:val="clear"/>
            <w:tcMar>
              <w:bottom w:w="28" w:type="dxa"/>
            </w:tcMar>
            <w:vAlign w:val="center"/>
          </w:tcPr>
          <w:p>
            <w:pPr>
              <w:pStyle w:val="TableContents"/>
              <w:bidi w:val="0"/>
              <w:spacing w:before="0" w:after="283"/>
              <w:jc w:val="left"/>
              <w:rPr/>
            </w:pPr>
            <w:r>
              <w:rPr/>
              <w:t> </w:t>
            </w:r>
          </w:p>
        </w:tc>
        <w:tc>
          <w:tcPr>
            <w:tcW w:w="1265" w:type="dxa"/>
            <w:tcBorders>
              <w:bottom w:val="single" w:sz="8" w:space="0" w:color="1F497D"/>
              <w:right w:val="single" w:sz="8" w:space="0" w:color="1F497D"/>
            </w:tcBorders>
            <w:shd w:fill="DBE5F1"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1F497D"/>
            </w:tcBorders>
            <w:shd w:fill="DBE5F1" w:val="clear"/>
            <w:tcMar>
              <w:bottom w:w="28" w:type="dxa"/>
            </w:tcMar>
            <w:vAlign w:val="center"/>
          </w:tcPr>
          <w:p>
            <w:pPr>
              <w:pStyle w:val="TableContents"/>
              <w:bidi w:val="0"/>
              <w:spacing w:before="0" w:after="283"/>
              <w:jc w:val="left"/>
              <w:rPr/>
            </w:pPr>
            <w:r>
              <w:rPr/>
              <w:t> </w:t>
            </w:r>
          </w:p>
        </w:tc>
        <w:tc>
          <w:tcPr>
            <w:tcW w:w="2420" w:type="dxa"/>
            <w:tcBorders>
              <w:bottom w:val="single" w:sz="8" w:space="0" w:color="1F497D"/>
            </w:tcBorders>
            <w:shd w:fill="DBE5F1" w:val="clear"/>
            <w:tcMar>
              <w:bottom w:w="28" w:type="dxa"/>
            </w:tcMar>
            <w:vAlign w:val="center"/>
          </w:tcPr>
          <w:p>
            <w:pPr>
              <w:pStyle w:val="TableContents"/>
              <w:bidi w:val="0"/>
              <w:spacing w:before="0" w:after="283"/>
              <w:jc w:val="center"/>
              <w:rPr/>
            </w:pPr>
            <w:r>
              <w:rPr/>
              <w:t>C</w:t>
            </w:r>
          </w:p>
        </w:tc>
      </w:tr>
      <w:tr>
        <w:trPr/>
        <w:tc>
          <w:tcPr>
            <w:tcW w:w="1850" w:type="dxa"/>
            <w:tcBorders>
              <w:bottom w:val="single" w:sz="8" w:space="0" w:color="1F497D"/>
              <w:right w:val="single" w:sz="8" w:space="0" w:color="1F497D"/>
            </w:tcBorders>
            <w:tcMar>
              <w:bottom w:w="28" w:type="dxa"/>
              <w:right w:w="28" w:type="dxa"/>
            </w:tcMar>
            <w:vAlign w:val="center"/>
          </w:tcPr>
          <w:p>
            <w:pPr>
              <w:pStyle w:val="TableContents"/>
              <w:bidi w:val="0"/>
              <w:spacing w:before="0" w:after="0"/>
              <w:jc w:val="left"/>
              <w:rPr>
                <w:rFonts w:ascii="ARIAL" w:hAnsi="ARIAL"/>
                <w:sz w:val="18"/>
              </w:rPr>
            </w:pPr>
            <w:r>
              <w:rPr>
                <w:rFonts w:ascii="ARIAL" w:hAnsi="ARIAL"/>
                <w:sz w:val="18"/>
              </w:rPr>
              <w:t>Yon Jorden</w:t>
            </w:r>
          </w:p>
        </w:tc>
        <w:tc>
          <w:tcPr>
            <w:tcW w:w="60" w:type="dxa"/>
            <w:tcBorders>
              <w:bottom w:val="single" w:sz="8" w:space="0" w:color="1F497D"/>
            </w:tcBorders>
            <w:tcMar>
              <w:bottom w:w="28" w:type="dxa"/>
            </w:tcMar>
            <w:vAlign w:val="center"/>
          </w:tcPr>
          <w:p>
            <w:pPr>
              <w:pStyle w:val="TableContents"/>
              <w:bidi w:val="0"/>
              <w:spacing w:before="0" w:after="283"/>
              <w:jc w:val="left"/>
              <w:rPr/>
            </w:pPr>
            <w:r>
              <w:rPr/>
              <w:t> </w:t>
            </w:r>
          </w:p>
        </w:tc>
        <w:tc>
          <w:tcPr>
            <w:tcW w:w="1775" w:type="dxa"/>
            <w:tcBorders>
              <w:bottom w:val="single" w:sz="8" w:space="0" w:color="1F497D"/>
              <w:right w:val="single" w:sz="8" w:space="0" w:color="1F497D"/>
            </w:tcBorders>
            <w:tcMar>
              <w:bottom w:w="28" w:type="dxa"/>
              <w:right w:w="28" w:type="dxa"/>
            </w:tcMar>
            <w:vAlign w:val="center"/>
          </w:tcPr>
          <w:p>
            <w:pPr>
              <w:pStyle w:val="TableContents"/>
              <w:bidi w:val="0"/>
              <w:spacing w:before="0" w:after="283"/>
              <w:jc w:val="center"/>
              <w:rPr/>
            </w:pPr>
            <w:r>
              <w:rPr/>
              <w:t>M#</w:t>
            </w:r>
          </w:p>
        </w:tc>
        <w:tc>
          <w:tcPr>
            <w:tcW w:w="60" w:type="dxa"/>
            <w:tcBorders>
              <w:bottom w:val="single" w:sz="8" w:space="0" w:color="1F497D"/>
            </w:tcBorders>
            <w:tcMar>
              <w:bottom w:w="28" w:type="dxa"/>
            </w:tcMar>
            <w:vAlign w:val="center"/>
          </w:tcPr>
          <w:p>
            <w:pPr>
              <w:pStyle w:val="TableContents"/>
              <w:bidi w:val="0"/>
              <w:spacing w:before="0" w:after="283"/>
              <w:jc w:val="left"/>
              <w:rPr/>
            </w:pPr>
            <w:r>
              <w:rPr/>
              <w:t> </w:t>
            </w:r>
          </w:p>
        </w:tc>
        <w:tc>
          <w:tcPr>
            <w:tcW w:w="1265" w:type="dxa"/>
            <w:tcBorders>
              <w:bottom w:val="single" w:sz="8" w:space="0" w:color="1F497D"/>
              <w:right w:val="single" w:sz="8" w:space="0" w:color="1F497D"/>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1F497D"/>
            </w:tcBorders>
            <w:tcMar>
              <w:bottom w:w="28" w:type="dxa"/>
            </w:tcMar>
            <w:vAlign w:val="center"/>
          </w:tcPr>
          <w:p>
            <w:pPr>
              <w:pStyle w:val="TableContents"/>
              <w:bidi w:val="0"/>
              <w:spacing w:before="0" w:after="283"/>
              <w:jc w:val="left"/>
              <w:rPr/>
            </w:pPr>
            <w:r>
              <w:rPr/>
              <w:t> </w:t>
            </w:r>
          </w:p>
        </w:tc>
        <w:tc>
          <w:tcPr>
            <w:tcW w:w="2420" w:type="dxa"/>
            <w:tcBorders>
              <w:bottom w:val="single" w:sz="8" w:space="0" w:color="1F497D"/>
            </w:tcBorders>
            <w:tcMar>
              <w:bottom w:w="28" w:type="dxa"/>
            </w:tcMar>
            <w:vAlign w:val="center"/>
          </w:tcPr>
          <w:p>
            <w:pPr>
              <w:pStyle w:val="TableContents"/>
              <w:bidi w:val="0"/>
              <w:spacing w:before="0" w:after="283"/>
              <w:jc w:val="left"/>
              <w:rPr/>
            </w:pPr>
            <w:r>
              <w:rPr/>
              <w:t> </w:t>
            </w:r>
          </w:p>
        </w:tc>
      </w:tr>
      <w:tr>
        <w:trPr/>
        <w:tc>
          <w:tcPr>
            <w:tcW w:w="1850" w:type="dxa"/>
            <w:tcBorders>
              <w:bottom w:val="single" w:sz="8" w:space="0" w:color="1F497D"/>
              <w:right w:val="single" w:sz="8" w:space="0" w:color="1F497D"/>
            </w:tcBorders>
            <w:shd w:fill="DBE5F1" w:val="clear"/>
            <w:tcMar>
              <w:bottom w:w="28" w:type="dxa"/>
              <w:right w:w="28" w:type="dxa"/>
            </w:tcMar>
            <w:vAlign w:val="center"/>
          </w:tcPr>
          <w:p>
            <w:pPr>
              <w:pStyle w:val="TableContents"/>
              <w:bidi w:val="0"/>
              <w:spacing w:before="0" w:after="0"/>
              <w:jc w:val="left"/>
              <w:rPr>
                <w:rFonts w:ascii="ARIAL" w:hAnsi="ARIAL"/>
                <w:sz w:val="18"/>
              </w:rPr>
            </w:pPr>
            <w:r>
              <w:rPr>
                <w:rFonts w:ascii="ARIAL" w:hAnsi="ARIAL"/>
                <w:sz w:val="18"/>
              </w:rPr>
              <w:t>John Kao</w:t>
            </w:r>
          </w:p>
        </w:tc>
        <w:tc>
          <w:tcPr>
            <w:tcW w:w="60" w:type="dxa"/>
            <w:tcBorders>
              <w:bottom w:val="single" w:sz="8" w:space="0" w:color="1F497D"/>
            </w:tcBorders>
            <w:shd w:fill="DBE5F1" w:val="clear"/>
            <w:tcMar>
              <w:bottom w:w="28" w:type="dxa"/>
            </w:tcMar>
            <w:vAlign w:val="center"/>
          </w:tcPr>
          <w:p>
            <w:pPr>
              <w:pStyle w:val="TableContents"/>
              <w:bidi w:val="0"/>
              <w:spacing w:before="0" w:after="283"/>
              <w:jc w:val="left"/>
              <w:rPr/>
            </w:pPr>
            <w:r>
              <w:rPr/>
              <w:t> </w:t>
            </w:r>
          </w:p>
        </w:tc>
        <w:tc>
          <w:tcPr>
            <w:tcW w:w="1775" w:type="dxa"/>
            <w:tcBorders>
              <w:bottom w:val="single" w:sz="8" w:space="0" w:color="1F497D"/>
              <w:right w:val="single" w:sz="8" w:space="0" w:color="1F497D"/>
            </w:tcBorders>
            <w:shd w:fill="DBE5F1"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1F497D"/>
            </w:tcBorders>
            <w:shd w:fill="DBE5F1" w:val="clear"/>
            <w:tcMar>
              <w:bottom w:w="28" w:type="dxa"/>
            </w:tcMar>
            <w:vAlign w:val="center"/>
          </w:tcPr>
          <w:p>
            <w:pPr>
              <w:pStyle w:val="TableContents"/>
              <w:bidi w:val="0"/>
              <w:spacing w:before="0" w:after="283"/>
              <w:jc w:val="left"/>
              <w:rPr/>
            </w:pPr>
            <w:r>
              <w:rPr/>
              <w:t> </w:t>
            </w:r>
          </w:p>
        </w:tc>
        <w:tc>
          <w:tcPr>
            <w:tcW w:w="1265" w:type="dxa"/>
            <w:tcBorders>
              <w:bottom w:val="single" w:sz="8" w:space="0" w:color="1F497D"/>
              <w:right w:val="single" w:sz="8" w:space="0" w:color="1F497D"/>
            </w:tcBorders>
            <w:shd w:fill="DBE5F1"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1F497D"/>
            </w:tcBorders>
            <w:shd w:fill="DBE5F1" w:val="clear"/>
            <w:tcMar>
              <w:bottom w:w="28" w:type="dxa"/>
            </w:tcMar>
            <w:vAlign w:val="center"/>
          </w:tcPr>
          <w:p>
            <w:pPr>
              <w:pStyle w:val="TableContents"/>
              <w:bidi w:val="0"/>
              <w:spacing w:before="0" w:after="283"/>
              <w:jc w:val="left"/>
              <w:rPr/>
            </w:pPr>
            <w:r>
              <w:rPr/>
              <w:t> </w:t>
            </w:r>
          </w:p>
        </w:tc>
        <w:tc>
          <w:tcPr>
            <w:tcW w:w="2420" w:type="dxa"/>
            <w:tcBorders>
              <w:bottom w:val="single" w:sz="8" w:space="0" w:color="1F497D"/>
            </w:tcBorders>
            <w:shd w:fill="DBE5F1" w:val="clear"/>
            <w:tcMar>
              <w:bottom w:w="28" w:type="dxa"/>
            </w:tcMar>
            <w:vAlign w:val="center"/>
          </w:tcPr>
          <w:p>
            <w:pPr>
              <w:pStyle w:val="TableContents"/>
              <w:bidi w:val="0"/>
              <w:spacing w:before="0" w:after="283"/>
              <w:jc w:val="left"/>
              <w:rPr/>
            </w:pPr>
            <w:r>
              <w:rPr/>
              <w:t> </w:t>
            </w:r>
          </w:p>
        </w:tc>
      </w:tr>
      <w:tr>
        <w:trPr/>
        <w:tc>
          <w:tcPr>
            <w:tcW w:w="1850" w:type="dxa"/>
            <w:tcBorders>
              <w:bottom w:val="single" w:sz="8" w:space="0" w:color="1F497D"/>
              <w:right w:val="single" w:sz="8" w:space="0" w:color="1F497D"/>
            </w:tcBorders>
            <w:tcMar>
              <w:bottom w:w="28" w:type="dxa"/>
              <w:right w:w="28" w:type="dxa"/>
            </w:tcMar>
            <w:vAlign w:val="center"/>
          </w:tcPr>
          <w:p>
            <w:pPr>
              <w:pStyle w:val="TableContents"/>
              <w:bidi w:val="0"/>
              <w:spacing w:before="0" w:after="0"/>
              <w:jc w:val="left"/>
              <w:rPr>
                <w:rFonts w:ascii="ARIAL" w:hAnsi="ARIAL"/>
                <w:sz w:val="18"/>
              </w:rPr>
            </w:pPr>
            <w:r>
              <w:rPr>
                <w:rFonts w:ascii="ARIAL" w:hAnsi="ARIAL"/>
                <w:sz w:val="18"/>
              </w:rPr>
              <w:t>Joseph Konowiecki</w:t>
            </w:r>
          </w:p>
        </w:tc>
        <w:tc>
          <w:tcPr>
            <w:tcW w:w="60" w:type="dxa"/>
            <w:tcBorders>
              <w:bottom w:val="single" w:sz="8" w:space="0" w:color="1F497D"/>
            </w:tcBorders>
            <w:tcMar>
              <w:bottom w:w="28" w:type="dxa"/>
            </w:tcMar>
            <w:vAlign w:val="center"/>
          </w:tcPr>
          <w:p>
            <w:pPr>
              <w:pStyle w:val="TableContents"/>
              <w:bidi w:val="0"/>
              <w:spacing w:before="0" w:after="283"/>
              <w:jc w:val="left"/>
              <w:rPr/>
            </w:pPr>
            <w:r>
              <w:rPr/>
              <w:t> </w:t>
            </w:r>
          </w:p>
        </w:tc>
        <w:tc>
          <w:tcPr>
            <w:tcW w:w="1775" w:type="dxa"/>
            <w:tcBorders>
              <w:bottom w:val="single" w:sz="8" w:space="0" w:color="1F497D"/>
              <w:right w:val="single" w:sz="8" w:space="0" w:color="1F497D"/>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1F497D"/>
            </w:tcBorders>
            <w:tcMar>
              <w:bottom w:w="28" w:type="dxa"/>
            </w:tcMar>
            <w:vAlign w:val="center"/>
          </w:tcPr>
          <w:p>
            <w:pPr>
              <w:pStyle w:val="TableContents"/>
              <w:bidi w:val="0"/>
              <w:spacing w:before="0" w:after="283"/>
              <w:jc w:val="left"/>
              <w:rPr/>
            </w:pPr>
            <w:r>
              <w:rPr/>
              <w:t> </w:t>
            </w:r>
          </w:p>
        </w:tc>
        <w:tc>
          <w:tcPr>
            <w:tcW w:w="1265" w:type="dxa"/>
            <w:tcBorders>
              <w:bottom w:val="single" w:sz="8" w:space="0" w:color="1F497D"/>
              <w:right w:val="single" w:sz="8" w:space="0" w:color="1F497D"/>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1F497D"/>
            </w:tcBorders>
            <w:tcMar>
              <w:bottom w:w="28" w:type="dxa"/>
            </w:tcMar>
            <w:vAlign w:val="center"/>
          </w:tcPr>
          <w:p>
            <w:pPr>
              <w:pStyle w:val="TableContents"/>
              <w:bidi w:val="0"/>
              <w:spacing w:before="0" w:after="283"/>
              <w:jc w:val="left"/>
              <w:rPr/>
            </w:pPr>
            <w:r>
              <w:rPr/>
              <w:t> </w:t>
            </w:r>
          </w:p>
        </w:tc>
        <w:tc>
          <w:tcPr>
            <w:tcW w:w="2420" w:type="dxa"/>
            <w:tcBorders>
              <w:bottom w:val="single" w:sz="8" w:space="0" w:color="1F497D"/>
            </w:tcBorders>
            <w:tcMar>
              <w:bottom w:w="28" w:type="dxa"/>
            </w:tcMar>
            <w:vAlign w:val="center"/>
          </w:tcPr>
          <w:p>
            <w:pPr>
              <w:pStyle w:val="TableContents"/>
              <w:bidi w:val="0"/>
              <w:spacing w:before="0" w:after="283"/>
              <w:jc w:val="left"/>
              <w:rPr/>
            </w:pPr>
            <w:r>
              <w:rPr/>
              <w:t> </w:t>
            </w:r>
          </w:p>
        </w:tc>
      </w:tr>
      <w:tr>
        <w:trPr/>
        <w:tc>
          <w:tcPr>
            <w:tcW w:w="1850" w:type="dxa"/>
            <w:tcBorders>
              <w:bottom w:val="single" w:sz="8" w:space="0" w:color="1F497D"/>
              <w:right w:val="single" w:sz="8" w:space="0" w:color="1F497D"/>
            </w:tcBorders>
            <w:shd w:fill="DBE5F1" w:val="clear"/>
            <w:tcMar>
              <w:bottom w:w="28" w:type="dxa"/>
              <w:right w:w="28" w:type="dxa"/>
            </w:tcMar>
            <w:vAlign w:val="center"/>
          </w:tcPr>
          <w:p>
            <w:pPr>
              <w:pStyle w:val="TableContents"/>
              <w:bidi w:val="0"/>
              <w:spacing w:before="0" w:after="0"/>
              <w:jc w:val="left"/>
              <w:rPr>
                <w:rFonts w:ascii="ARIAL" w:hAnsi="ARIAL"/>
                <w:sz w:val="18"/>
              </w:rPr>
            </w:pPr>
            <w:r>
              <w:rPr>
                <w:rFonts w:ascii="ARIAL" w:hAnsi="ARIAL"/>
                <w:sz w:val="18"/>
              </w:rPr>
              <w:t>Jacqueline Kosecoff</w:t>
            </w:r>
          </w:p>
        </w:tc>
        <w:tc>
          <w:tcPr>
            <w:tcW w:w="60" w:type="dxa"/>
            <w:tcBorders>
              <w:bottom w:val="single" w:sz="8" w:space="0" w:color="1F497D"/>
            </w:tcBorders>
            <w:shd w:fill="DBE5F1" w:val="clear"/>
            <w:tcMar>
              <w:bottom w:w="28" w:type="dxa"/>
            </w:tcMar>
            <w:vAlign w:val="center"/>
          </w:tcPr>
          <w:p>
            <w:pPr>
              <w:pStyle w:val="TableContents"/>
              <w:bidi w:val="0"/>
              <w:spacing w:before="0" w:after="283"/>
              <w:jc w:val="left"/>
              <w:rPr/>
            </w:pPr>
            <w:r>
              <w:rPr/>
              <w:t> </w:t>
            </w:r>
          </w:p>
        </w:tc>
        <w:tc>
          <w:tcPr>
            <w:tcW w:w="1775" w:type="dxa"/>
            <w:tcBorders>
              <w:bottom w:val="single" w:sz="8" w:space="0" w:color="1F497D"/>
              <w:right w:val="single" w:sz="8" w:space="0" w:color="1F497D"/>
            </w:tcBorders>
            <w:shd w:fill="DBE5F1"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1F497D"/>
            </w:tcBorders>
            <w:shd w:fill="DBE5F1" w:val="clear"/>
            <w:tcMar>
              <w:bottom w:w="28" w:type="dxa"/>
            </w:tcMar>
            <w:vAlign w:val="center"/>
          </w:tcPr>
          <w:p>
            <w:pPr>
              <w:pStyle w:val="TableContents"/>
              <w:bidi w:val="0"/>
              <w:spacing w:before="0" w:after="283"/>
              <w:jc w:val="left"/>
              <w:rPr/>
            </w:pPr>
            <w:r>
              <w:rPr/>
              <w:t> </w:t>
            </w:r>
          </w:p>
        </w:tc>
        <w:tc>
          <w:tcPr>
            <w:tcW w:w="1265" w:type="dxa"/>
            <w:tcBorders>
              <w:bottom w:val="single" w:sz="8" w:space="0" w:color="1F497D"/>
              <w:right w:val="single" w:sz="8" w:space="0" w:color="1F497D"/>
            </w:tcBorders>
            <w:shd w:fill="DBE5F1" w:val="clear"/>
            <w:tcMar>
              <w:bottom w:w="28" w:type="dxa"/>
              <w:right w:w="28" w:type="dxa"/>
            </w:tcMar>
            <w:vAlign w:val="center"/>
          </w:tcPr>
          <w:p>
            <w:pPr>
              <w:pStyle w:val="TableContents"/>
              <w:bidi w:val="0"/>
              <w:spacing w:before="0" w:after="283"/>
              <w:jc w:val="center"/>
              <w:rPr/>
            </w:pPr>
            <w:r>
              <w:rPr/>
              <w:t>M</w:t>
            </w:r>
          </w:p>
        </w:tc>
        <w:tc>
          <w:tcPr>
            <w:tcW w:w="60" w:type="dxa"/>
            <w:tcBorders>
              <w:bottom w:val="single" w:sz="8" w:space="0" w:color="1F497D"/>
            </w:tcBorders>
            <w:shd w:fill="DBE5F1" w:val="clear"/>
            <w:tcMar>
              <w:bottom w:w="28" w:type="dxa"/>
            </w:tcMar>
            <w:vAlign w:val="center"/>
          </w:tcPr>
          <w:p>
            <w:pPr>
              <w:pStyle w:val="TableContents"/>
              <w:bidi w:val="0"/>
              <w:spacing w:before="0" w:after="283"/>
              <w:jc w:val="left"/>
              <w:rPr/>
            </w:pPr>
            <w:r>
              <w:rPr/>
              <w:t> </w:t>
            </w:r>
          </w:p>
        </w:tc>
        <w:tc>
          <w:tcPr>
            <w:tcW w:w="2420" w:type="dxa"/>
            <w:tcBorders>
              <w:bottom w:val="single" w:sz="8" w:space="0" w:color="1F497D"/>
            </w:tcBorders>
            <w:shd w:fill="DBE5F1" w:val="clear"/>
            <w:tcMar>
              <w:bottom w:w="28" w:type="dxa"/>
            </w:tcMar>
            <w:vAlign w:val="center"/>
          </w:tcPr>
          <w:p>
            <w:pPr>
              <w:pStyle w:val="TableContents"/>
              <w:bidi w:val="0"/>
              <w:spacing w:before="0" w:after="283"/>
              <w:jc w:val="center"/>
              <w:rPr/>
            </w:pPr>
            <w:r>
              <w:rPr/>
              <w:t>M</w:t>
            </w:r>
          </w:p>
        </w:tc>
      </w:tr>
      <w:tr>
        <w:trPr/>
        <w:tc>
          <w:tcPr>
            <w:tcW w:w="1850" w:type="dxa"/>
            <w:tcBorders>
              <w:bottom w:val="single" w:sz="8" w:space="0" w:color="1F497D"/>
              <w:right w:val="single" w:sz="8" w:space="0" w:color="1F497D"/>
            </w:tcBorders>
            <w:tcMar>
              <w:bottom w:w="28" w:type="dxa"/>
              <w:right w:w="28" w:type="dxa"/>
            </w:tcMar>
            <w:vAlign w:val="center"/>
          </w:tcPr>
          <w:p>
            <w:pPr>
              <w:pStyle w:val="TableContents"/>
              <w:bidi w:val="0"/>
              <w:spacing w:before="0" w:after="0"/>
              <w:jc w:val="left"/>
              <w:rPr>
                <w:rFonts w:ascii="ARIAL" w:hAnsi="ARIAL"/>
                <w:sz w:val="18"/>
              </w:rPr>
            </w:pPr>
            <w:r>
              <w:rPr>
                <w:rFonts w:ascii="ARIAL" w:hAnsi="ARIAL"/>
                <w:sz w:val="18"/>
              </w:rPr>
              <w:t>Jeffrey Margolis</w:t>
            </w:r>
          </w:p>
        </w:tc>
        <w:tc>
          <w:tcPr>
            <w:tcW w:w="60" w:type="dxa"/>
            <w:tcBorders>
              <w:bottom w:val="single" w:sz="8" w:space="0" w:color="1F497D"/>
            </w:tcBorders>
            <w:tcMar>
              <w:bottom w:w="28" w:type="dxa"/>
            </w:tcMar>
            <w:vAlign w:val="center"/>
          </w:tcPr>
          <w:p>
            <w:pPr>
              <w:pStyle w:val="TableContents"/>
              <w:bidi w:val="0"/>
              <w:spacing w:before="0" w:after="283"/>
              <w:jc w:val="left"/>
              <w:rPr/>
            </w:pPr>
            <w:r>
              <w:rPr/>
              <w:t> </w:t>
            </w:r>
          </w:p>
        </w:tc>
        <w:tc>
          <w:tcPr>
            <w:tcW w:w="1775" w:type="dxa"/>
            <w:tcBorders>
              <w:bottom w:val="single" w:sz="8" w:space="0" w:color="1F497D"/>
              <w:right w:val="single" w:sz="8" w:space="0" w:color="1F497D"/>
            </w:tcBorders>
            <w:tcMar>
              <w:bottom w:w="28" w:type="dxa"/>
              <w:right w:w="28" w:type="dxa"/>
            </w:tcMar>
            <w:vAlign w:val="center"/>
          </w:tcPr>
          <w:p>
            <w:pPr>
              <w:pStyle w:val="TableContents"/>
              <w:bidi w:val="0"/>
              <w:spacing w:before="0" w:after="283"/>
              <w:jc w:val="center"/>
              <w:rPr/>
            </w:pPr>
            <w:r>
              <w:rPr/>
              <w:t>C#</w:t>
            </w:r>
          </w:p>
        </w:tc>
        <w:tc>
          <w:tcPr>
            <w:tcW w:w="60" w:type="dxa"/>
            <w:tcBorders>
              <w:bottom w:val="single" w:sz="8" w:space="0" w:color="1F497D"/>
            </w:tcBorders>
            <w:tcMar>
              <w:bottom w:w="28" w:type="dxa"/>
            </w:tcMar>
            <w:vAlign w:val="center"/>
          </w:tcPr>
          <w:p>
            <w:pPr>
              <w:pStyle w:val="TableContents"/>
              <w:bidi w:val="0"/>
              <w:spacing w:before="0" w:after="283"/>
              <w:jc w:val="left"/>
              <w:rPr/>
            </w:pPr>
            <w:r>
              <w:rPr/>
              <w:t> </w:t>
            </w:r>
          </w:p>
        </w:tc>
        <w:tc>
          <w:tcPr>
            <w:tcW w:w="1265" w:type="dxa"/>
            <w:tcBorders>
              <w:bottom w:val="single" w:sz="8" w:space="0" w:color="1F497D"/>
              <w:right w:val="single" w:sz="8" w:space="0" w:color="1F497D"/>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1F497D"/>
            </w:tcBorders>
            <w:tcMar>
              <w:bottom w:w="28" w:type="dxa"/>
            </w:tcMar>
            <w:vAlign w:val="center"/>
          </w:tcPr>
          <w:p>
            <w:pPr>
              <w:pStyle w:val="TableContents"/>
              <w:bidi w:val="0"/>
              <w:spacing w:before="0" w:after="283"/>
              <w:jc w:val="left"/>
              <w:rPr/>
            </w:pPr>
            <w:r>
              <w:rPr/>
              <w:t> </w:t>
            </w:r>
          </w:p>
        </w:tc>
        <w:tc>
          <w:tcPr>
            <w:tcW w:w="2420" w:type="dxa"/>
            <w:tcBorders>
              <w:bottom w:val="single" w:sz="8" w:space="0" w:color="1F497D"/>
            </w:tcBorders>
            <w:tcMar>
              <w:bottom w:w="28" w:type="dxa"/>
            </w:tcMar>
            <w:vAlign w:val="center"/>
          </w:tcPr>
          <w:p>
            <w:pPr>
              <w:pStyle w:val="TableContents"/>
              <w:bidi w:val="0"/>
              <w:spacing w:before="0" w:after="283"/>
              <w:jc w:val="left"/>
              <w:rPr/>
            </w:pPr>
            <w:r>
              <w:rPr/>
              <w:t> </w:t>
            </w:r>
          </w:p>
        </w:tc>
      </w:tr>
      <w:tr>
        <w:trPr/>
        <w:tc>
          <w:tcPr>
            <w:tcW w:w="1850" w:type="dxa"/>
            <w:tcBorders>
              <w:bottom w:val="single" w:sz="8" w:space="0" w:color="1F497D"/>
              <w:right w:val="single" w:sz="8" w:space="0" w:color="1F497D"/>
            </w:tcBorders>
            <w:shd w:fill="DBE5F1" w:val="clear"/>
            <w:tcMar>
              <w:bottom w:w="28" w:type="dxa"/>
              <w:right w:w="28" w:type="dxa"/>
            </w:tcMar>
            <w:vAlign w:val="center"/>
          </w:tcPr>
          <w:p>
            <w:pPr>
              <w:pStyle w:val="TableContents"/>
              <w:bidi w:val="0"/>
              <w:spacing w:before="0" w:after="0"/>
              <w:jc w:val="left"/>
              <w:rPr>
                <w:rFonts w:ascii="ARIAL" w:hAnsi="ARIAL"/>
                <w:sz w:val="18"/>
              </w:rPr>
            </w:pPr>
            <w:r>
              <w:rPr>
                <w:rFonts w:ascii="ARIAL" w:hAnsi="ARIAL"/>
                <w:sz w:val="18"/>
              </w:rPr>
              <w:t>Margaret McCarthy</w:t>
            </w:r>
          </w:p>
        </w:tc>
        <w:tc>
          <w:tcPr>
            <w:tcW w:w="60" w:type="dxa"/>
            <w:tcBorders>
              <w:bottom w:val="single" w:sz="8" w:space="0" w:color="1F497D"/>
            </w:tcBorders>
            <w:shd w:fill="DBE5F1" w:val="clear"/>
            <w:tcMar>
              <w:bottom w:w="28" w:type="dxa"/>
            </w:tcMar>
            <w:vAlign w:val="center"/>
          </w:tcPr>
          <w:p>
            <w:pPr>
              <w:pStyle w:val="TableContents"/>
              <w:bidi w:val="0"/>
              <w:spacing w:before="0" w:after="283"/>
              <w:jc w:val="left"/>
              <w:rPr/>
            </w:pPr>
            <w:r>
              <w:rPr/>
              <w:t> </w:t>
            </w:r>
          </w:p>
        </w:tc>
        <w:tc>
          <w:tcPr>
            <w:tcW w:w="1775" w:type="dxa"/>
            <w:tcBorders>
              <w:bottom w:val="single" w:sz="8" w:space="0" w:color="1F497D"/>
              <w:right w:val="single" w:sz="8" w:space="0" w:color="1F497D"/>
            </w:tcBorders>
            <w:shd w:fill="DBE5F1" w:val="clear"/>
            <w:tcMar>
              <w:bottom w:w="28" w:type="dxa"/>
              <w:right w:w="28" w:type="dxa"/>
            </w:tcMar>
            <w:vAlign w:val="center"/>
          </w:tcPr>
          <w:p>
            <w:pPr>
              <w:pStyle w:val="TableContents"/>
              <w:bidi w:val="0"/>
              <w:spacing w:before="0" w:after="283"/>
              <w:jc w:val="center"/>
              <w:rPr/>
            </w:pPr>
            <w:r>
              <w:rPr/>
              <w:t>M</w:t>
            </w:r>
          </w:p>
        </w:tc>
        <w:tc>
          <w:tcPr>
            <w:tcW w:w="60" w:type="dxa"/>
            <w:tcBorders>
              <w:bottom w:val="single" w:sz="8" w:space="0" w:color="1F497D"/>
            </w:tcBorders>
            <w:shd w:fill="DBE5F1" w:val="clear"/>
            <w:tcMar>
              <w:bottom w:w="28" w:type="dxa"/>
            </w:tcMar>
            <w:vAlign w:val="center"/>
          </w:tcPr>
          <w:p>
            <w:pPr>
              <w:pStyle w:val="TableContents"/>
              <w:bidi w:val="0"/>
              <w:spacing w:before="0" w:after="283"/>
              <w:jc w:val="left"/>
              <w:rPr/>
            </w:pPr>
            <w:r>
              <w:rPr/>
              <w:t> </w:t>
            </w:r>
          </w:p>
        </w:tc>
        <w:tc>
          <w:tcPr>
            <w:tcW w:w="1265" w:type="dxa"/>
            <w:tcBorders>
              <w:bottom w:val="single" w:sz="8" w:space="0" w:color="1F497D"/>
              <w:right w:val="single" w:sz="8" w:space="0" w:color="1F497D"/>
            </w:tcBorders>
            <w:shd w:fill="DBE5F1"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1F497D"/>
            </w:tcBorders>
            <w:shd w:fill="DBE5F1" w:val="clear"/>
            <w:tcMar>
              <w:bottom w:w="28" w:type="dxa"/>
            </w:tcMar>
            <w:vAlign w:val="center"/>
          </w:tcPr>
          <w:p>
            <w:pPr>
              <w:pStyle w:val="TableContents"/>
              <w:bidi w:val="0"/>
              <w:spacing w:before="0" w:after="283"/>
              <w:jc w:val="left"/>
              <w:rPr/>
            </w:pPr>
            <w:r>
              <w:rPr/>
              <w:t> </w:t>
            </w:r>
          </w:p>
        </w:tc>
        <w:tc>
          <w:tcPr>
            <w:tcW w:w="2420" w:type="dxa"/>
            <w:tcBorders>
              <w:bottom w:val="single" w:sz="8" w:space="0" w:color="1F497D"/>
            </w:tcBorders>
            <w:shd w:fill="DBE5F1" w:val="clear"/>
            <w:tcMar>
              <w:bottom w:w="28" w:type="dxa"/>
            </w:tcMar>
            <w:vAlign w:val="center"/>
          </w:tcPr>
          <w:p>
            <w:pPr>
              <w:pStyle w:val="TableContents"/>
              <w:bidi w:val="0"/>
              <w:spacing w:before="0" w:after="283"/>
              <w:jc w:val="left"/>
              <w:rPr/>
            </w:pPr>
            <w:r>
              <w:rPr/>
              <w:t> </w:t>
            </w:r>
          </w:p>
        </w:tc>
      </w:tr>
      <w:tr>
        <w:trPr/>
        <w:tc>
          <w:tcPr>
            <w:tcW w:w="1850" w:type="dxa"/>
            <w:tcBorders>
              <w:bottom w:val="single" w:sz="8" w:space="0" w:color="1F497D"/>
              <w:right w:val="single" w:sz="8" w:space="0" w:color="1F497D"/>
            </w:tcBorders>
            <w:tcMar>
              <w:bottom w:w="28" w:type="dxa"/>
              <w:right w:w="28" w:type="dxa"/>
            </w:tcMar>
            <w:vAlign w:val="center"/>
          </w:tcPr>
          <w:p>
            <w:pPr>
              <w:pStyle w:val="TableContents"/>
              <w:bidi w:val="0"/>
              <w:spacing w:before="0" w:after="0"/>
              <w:jc w:val="left"/>
              <w:rPr>
                <w:rFonts w:ascii="ARIAL" w:hAnsi="ARIAL"/>
                <w:sz w:val="18"/>
              </w:rPr>
            </w:pPr>
            <w:r>
              <w:rPr>
                <w:rFonts w:ascii="ARIAL" w:hAnsi="ARIAL"/>
                <w:sz w:val="18"/>
              </w:rPr>
              <w:t>Mark McClellan</w:t>
            </w:r>
          </w:p>
        </w:tc>
        <w:tc>
          <w:tcPr>
            <w:tcW w:w="60" w:type="dxa"/>
            <w:tcBorders>
              <w:bottom w:val="single" w:sz="8" w:space="0" w:color="1F497D"/>
            </w:tcBorders>
            <w:tcMar>
              <w:bottom w:w="28" w:type="dxa"/>
            </w:tcMar>
            <w:vAlign w:val="center"/>
          </w:tcPr>
          <w:p>
            <w:pPr>
              <w:pStyle w:val="TableContents"/>
              <w:bidi w:val="0"/>
              <w:spacing w:before="0" w:after="283"/>
              <w:jc w:val="left"/>
              <w:rPr/>
            </w:pPr>
            <w:r>
              <w:rPr/>
              <w:t> </w:t>
            </w:r>
          </w:p>
        </w:tc>
        <w:tc>
          <w:tcPr>
            <w:tcW w:w="1775" w:type="dxa"/>
            <w:tcBorders>
              <w:bottom w:val="single" w:sz="8" w:space="0" w:color="1F497D"/>
              <w:right w:val="single" w:sz="8" w:space="0" w:color="1F497D"/>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1F497D"/>
            </w:tcBorders>
            <w:tcMar>
              <w:bottom w:w="28" w:type="dxa"/>
            </w:tcMar>
            <w:vAlign w:val="center"/>
          </w:tcPr>
          <w:p>
            <w:pPr>
              <w:pStyle w:val="TableContents"/>
              <w:bidi w:val="0"/>
              <w:spacing w:before="0" w:after="283"/>
              <w:jc w:val="left"/>
              <w:rPr/>
            </w:pPr>
            <w:r>
              <w:rPr/>
              <w:t> </w:t>
            </w:r>
          </w:p>
        </w:tc>
        <w:tc>
          <w:tcPr>
            <w:tcW w:w="1265" w:type="dxa"/>
            <w:tcBorders>
              <w:bottom w:val="single" w:sz="8" w:space="0" w:color="1F497D"/>
              <w:right w:val="single" w:sz="8" w:space="0" w:color="1F497D"/>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1F497D"/>
            </w:tcBorders>
            <w:tcMar>
              <w:bottom w:w="28" w:type="dxa"/>
            </w:tcMar>
            <w:vAlign w:val="center"/>
          </w:tcPr>
          <w:p>
            <w:pPr>
              <w:pStyle w:val="TableContents"/>
              <w:bidi w:val="0"/>
              <w:spacing w:before="0" w:after="283"/>
              <w:jc w:val="left"/>
              <w:rPr/>
            </w:pPr>
            <w:r>
              <w:rPr/>
              <w:t> </w:t>
            </w:r>
          </w:p>
        </w:tc>
        <w:tc>
          <w:tcPr>
            <w:tcW w:w="2420" w:type="dxa"/>
            <w:tcBorders>
              <w:bottom w:val="single" w:sz="8" w:space="0" w:color="1F497D"/>
            </w:tcBorders>
            <w:tcMar>
              <w:bottom w:w="28" w:type="dxa"/>
            </w:tcMar>
            <w:vAlign w:val="center"/>
          </w:tcPr>
          <w:p>
            <w:pPr>
              <w:pStyle w:val="TableContents"/>
              <w:bidi w:val="0"/>
              <w:spacing w:before="0" w:after="283"/>
              <w:jc w:val="left"/>
              <w:rPr/>
            </w:pPr>
            <w:r>
              <w:rPr/>
              <w:t> </w:t>
            </w:r>
          </w:p>
        </w:tc>
      </w:tr>
      <w:tr>
        <w:trPr/>
        <w:tc>
          <w:tcPr>
            <w:tcW w:w="1850" w:type="dxa"/>
            <w:tcBorders>
              <w:bottom w:val="single" w:sz="8" w:space="0" w:color="1F497D"/>
              <w:right w:val="single" w:sz="8" w:space="0" w:color="1F497D"/>
            </w:tcBorders>
            <w:shd w:fill="DBE5F1" w:val="clear"/>
            <w:tcMar>
              <w:bottom w:w="28" w:type="dxa"/>
              <w:right w:w="28" w:type="dxa"/>
            </w:tcMar>
            <w:vAlign w:val="center"/>
          </w:tcPr>
          <w:p>
            <w:pPr>
              <w:pStyle w:val="TableContents"/>
              <w:bidi w:val="0"/>
              <w:spacing w:before="0" w:after="0"/>
              <w:jc w:val="left"/>
              <w:rPr>
                <w:rFonts w:ascii="ARIAL" w:hAnsi="ARIAL"/>
                <w:sz w:val="18"/>
              </w:rPr>
            </w:pPr>
            <w:r>
              <w:rPr>
                <w:rFonts w:ascii="ARIAL" w:hAnsi="ARIAL"/>
                <w:sz w:val="18"/>
              </w:rPr>
              <w:t>Robbert Vorhoff</w:t>
            </w:r>
          </w:p>
        </w:tc>
        <w:tc>
          <w:tcPr>
            <w:tcW w:w="60" w:type="dxa"/>
            <w:tcBorders>
              <w:bottom w:val="single" w:sz="8" w:space="0" w:color="1F497D"/>
            </w:tcBorders>
            <w:shd w:fill="DBE5F1" w:val="clear"/>
            <w:tcMar>
              <w:bottom w:w="28" w:type="dxa"/>
            </w:tcMar>
            <w:vAlign w:val="center"/>
          </w:tcPr>
          <w:p>
            <w:pPr>
              <w:pStyle w:val="TableContents"/>
              <w:bidi w:val="0"/>
              <w:spacing w:before="0" w:after="283"/>
              <w:jc w:val="left"/>
              <w:rPr/>
            </w:pPr>
            <w:r>
              <w:rPr/>
              <w:t> </w:t>
            </w:r>
          </w:p>
        </w:tc>
        <w:tc>
          <w:tcPr>
            <w:tcW w:w="1775" w:type="dxa"/>
            <w:tcBorders>
              <w:bottom w:val="single" w:sz="8" w:space="0" w:color="1F497D"/>
              <w:right w:val="single" w:sz="8" w:space="0" w:color="1F497D"/>
            </w:tcBorders>
            <w:shd w:fill="DBE5F1"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1F497D"/>
            </w:tcBorders>
            <w:shd w:fill="DBE5F1" w:val="clear"/>
            <w:tcMar>
              <w:bottom w:w="28" w:type="dxa"/>
            </w:tcMar>
            <w:vAlign w:val="center"/>
          </w:tcPr>
          <w:p>
            <w:pPr>
              <w:pStyle w:val="TableContents"/>
              <w:bidi w:val="0"/>
              <w:spacing w:before="0" w:after="283"/>
              <w:jc w:val="left"/>
              <w:rPr/>
            </w:pPr>
            <w:r>
              <w:rPr/>
              <w:t> </w:t>
            </w:r>
          </w:p>
        </w:tc>
        <w:tc>
          <w:tcPr>
            <w:tcW w:w="1265" w:type="dxa"/>
            <w:tcBorders>
              <w:bottom w:val="single" w:sz="8" w:space="0" w:color="1F497D"/>
              <w:right w:val="single" w:sz="8" w:space="0" w:color="1F497D"/>
            </w:tcBorders>
            <w:shd w:fill="DBE5F1" w:val="clear"/>
            <w:tcMar>
              <w:bottom w:w="28" w:type="dxa"/>
              <w:right w:w="28" w:type="dxa"/>
            </w:tcMar>
            <w:vAlign w:val="center"/>
          </w:tcPr>
          <w:p>
            <w:pPr>
              <w:pStyle w:val="TableContents"/>
              <w:bidi w:val="0"/>
              <w:spacing w:before="0" w:after="283"/>
              <w:jc w:val="center"/>
              <w:rPr/>
            </w:pPr>
            <w:r>
              <w:rPr/>
              <w:t>C</w:t>
            </w:r>
          </w:p>
        </w:tc>
        <w:tc>
          <w:tcPr>
            <w:tcW w:w="60" w:type="dxa"/>
            <w:tcBorders>
              <w:bottom w:val="single" w:sz="8" w:space="0" w:color="1F497D"/>
            </w:tcBorders>
            <w:shd w:fill="DBE5F1" w:val="clear"/>
            <w:tcMar>
              <w:bottom w:w="28" w:type="dxa"/>
            </w:tcMar>
            <w:vAlign w:val="center"/>
          </w:tcPr>
          <w:p>
            <w:pPr>
              <w:pStyle w:val="TableContents"/>
              <w:bidi w:val="0"/>
              <w:spacing w:before="0" w:after="283"/>
              <w:jc w:val="left"/>
              <w:rPr/>
            </w:pPr>
            <w:r>
              <w:rPr/>
              <w:t> </w:t>
            </w:r>
          </w:p>
        </w:tc>
        <w:tc>
          <w:tcPr>
            <w:tcW w:w="2420" w:type="dxa"/>
            <w:tcBorders>
              <w:bottom w:val="single" w:sz="8" w:space="0" w:color="1F497D"/>
            </w:tcBorders>
            <w:shd w:fill="DBE5F1"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595" w:type="dxa"/>
        <w:jc w:val="left"/>
        <w:tblInd w:w="0" w:type="dxa"/>
        <w:tblLayout w:type="fixed"/>
        <w:tblCellMar>
          <w:top w:w="0" w:type="dxa"/>
          <w:left w:w="0" w:type="dxa"/>
          <w:bottom w:w="0" w:type="dxa"/>
          <w:right w:w="0" w:type="dxa"/>
        </w:tblCellMar>
      </w:tblPr>
      <w:tblGrid>
        <w:gridCol w:w="995"/>
        <w:gridCol w:w="60"/>
        <w:gridCol w:w="2390"/>
        <w:gridCol w:w="120"/>
        <w:gridCol w:w="2120"/>
        <w:gridCol w:w="120"/>
        <w:gridCol w:w="1790"/>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i/>
              </w:rPr>
            </w:pPr>
            <w:r>
              <w:rPr>
                <w:i/>
              </w:rPr>
              <w:t>M = Committee Member</w:t>
            </w:r>
          </w:p>
        </w:tc>
        <w:tc>
          <w:tcPr>
            <w:tcW w:w="12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i/>
              </w:rPr>
            </w:pPr>
            <w:r>
              <w:rPr>
                <w:i/>
              </w:rPr>
              <w:t>C = Committee Chair</w:t>
            </w:r>
          </w:p>
        </w:tc>
        <w:tc>
          <w:tcPr>
            <w:tcW w:w="1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rFonts w:ascii="ARIAL" w:hAnsi="ARIAL"/>
                <w:i/>
                <w:sz w:val="20"/>
              </w:rPr>
            </w:pPr>
            <w:r>
              <w:rPr>
                <w:rFonts w:ascii="ARIAL" w:hAnsi="ARIAL"/>
                <w:i/>
                <w:sz w:val="20"/>
              </w:rPr>
              <w:t># = Financial Expert</w:t>
            </w:r>
          </w:p>
        </w:tc>
      </w:tr>
    </w:tbl>
    <w:p>
      <w:pPr>
        <w:pStyle w:val="TextBody"/>
        <w:bidi w:val="0"/>
        <w:spacing w:before="240" w:after="0"/>
        <w:jc w:val="left"/>
        <w:rPr>
          <w:rFonts w:ascii="ARIAL" w:hAnsi="ARIAL"/>
          <w:b/>
          <w:i/>
          <w:color w:val="1F497D"/>
          <w:sz w:val="20"/>
        </w:rPr>
      </w:pPr>
      <w:r>
        <w:rPr>
          <w:rFonts w:ascii="ARIAL" w:hAnsi="ARIAL"/>
          <w:b/>
          <w:i/>
          <w:color w:val="1F497D"/>
          <w:sz w:val="20"/>
        </w:rPr>
        <w:t xml:space="preserve">Audit Committee </w:t>
      </w:r>
    </w:p>
    <w:p>
      <w:pPr>
        <w:pStyle w:val="TextBody"/>
        <w:bidi w:val="0"/>
        <w:spacing w:before="240" w:after="0"/>
        <w:jc w:val="left"/>
        <w:rPr>
          <w:rFonts w:ascii="ARIAL" w:hAnsi="ARIAL"/>
          <w:sz w:val="20"/>
        </w:rPr>
      </w:pPr>
      <w:r>
        <w:rPr>
          <w:rFonts w:ascii="ARIAL" w:hAnsi="ARIAL"/>
          <w:sz w:val="20"/>
        </w:rPr>
        <w:t xml:space="preserve">Our Audit Committee is composed of Ms. Jorden, Mr. Margolis and Ms. McCarthy, with Mr. Margolis serving as chair of the committee. We comply with the audit committee requirements of the SEC and Nasdaq, which require that the Audit Committee be composed entirely of independent directors. Our Board has determined that each of the current members of the Audit Committee meet the independence requirements of Rule 10A-3 under the Exchange Act and the applicable listing standards of Nasdaq. In addition, our Board has determined that each of Mr. Margolis and Ms. Jorden is an “audit committee financial expert” as defined in Item 407(d)(5)(ii) of Regulation S-K promulgated under the Securities Act. This designation does not impose any duties, obligations or liabilities that are greater than are generally imposed on members of our audit committee and our Board. Furthermore, by virtue of their designation as “audit committee financial experts,” Mr. Margolis and Ms. Jorden meet the applicable “financial sophistication” requirement of the Nasdaq listing standards. </w:t>
      </w:r>
    </w:p>
    <w:p>
      <w:pPr>
        <w:pStyle w:val="TextBody"/>
        <w:bidi w:val="0"/>
        <w:spacing w:before="240" w:after="0"/>
        <w:jc w:val="left"/>
        <w:rPr>
          <w:rFonts w:ascii="ARIAL" w:hAnsi="ARIAL"/>
          <w:sz w:val="20"/>
        </w:rPr>
      </w:pPr>
      <w:r>
        <w:rPr>
          <w:rFonts w:ascii="ARIAL" w:hAnsi="ARIAL"/>
          <w:sz w:val="20"/>
        </w:rPr>
        <w:t xml:space="preserve">The written charter for our Audit Committee is available on the investor relations section of our website at https://ir.alignmenthealth.com/. The Audit Committee’s responsibilities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appointing, approving the compensation of, and assessing the qualifications, performance and independence of our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pre-approving audit and permissible non-audit services, and the terms of such services, to be provided by our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discussing the scope and results of the audits with our independent registered public accounting firm and reviewing, with management and that accounting firm, our interim and year-end operating results;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reviewing and discussing with management and the independent registered public accounting firm our annual and quarterly financial statements and related disclosures as well as critical accounting policies and practices used by us;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ARIAL" w:hAnsi="ARIAL"/>
                <w:sz w:val="20"/>
              </w:rPr>
            </w:pPr>
            <w:r>
              <w:rPr>
                <w:rFonts w:ascii="ARIAL" w:hAnsi="ARIAL"/>
                <w:sz w:val="20"/>
              </w:rPr>
              <w:t xml:space="preserve">reviewing the adequacy of our internal control over financial reporting; </w:t>
            </w:r>
          </w:p>
        </w:tc>
      </w:tr>
    </w:tbl>
    <w:p>
      <w:pPr>
        <w:pStyle w:val="TextBody"/>
        <w:bidi w:val="0"/>
        <w:spacing w:before="0" w:after="0"/>
        <w:jc w:val="left"/>
        <w:rPr/>
      </w:pPr>
      <w:r>
        <w:rPr/>
        <w:t> </w:t>
      </w:r>
    </w:p>
    <w:tbl>
      <w:tblPr>
        <w:tblW w:w="10105" w:type="dxa"/>
        <w:jc w:val="left"/>
        <w:tblInd w:w="0" w:type="dxa"/>
        <w:tblLayout w:type="fixed"/>
        <w:tblCellMar>
          <w:top w:w="0" w:type="dxa"/>
          <w:left w:w="0" w:type="dxa"/>
          <w:bottom w:w="0" w:type="dxa"/>
          <w:right w:w="0" w:type="dxa"/>
        </w:tblCellMar>
      </w:tblPr>
      <w:tblGrid>
        <w:gridCol w:w="75"/>
        <w:gridCol w:w="110"/>
        <w:gridCol w:w="60"/>
        <w:gridCol w:w="9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jc w:val="left"/>
              <w:rPr>
                <w:rFonts w:ascii="ARIAL" w:hAnsi="ARIAL"/>
                <w:sz w:val="20"/>
              </w:rPr>
            </w:pPr>
            <w:r>
              <w:rPr>
                <w:rFonts w:ascii="ARIAL" w:hAnsi="ARIAL"/>
                <w:sz w:val="20"/>
              </w:rPr>
              <w:t xml:space="preserve">establishing policies and procedures for the receipt and retention of accounting-related complaints and concerns;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28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monitoring our compliance with legal and regulatory requirements as they relate to our financial statements and accounting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overseeing all matters related to the Company’s program, policies, and procedures related to information technology systems, data protection and cyber security; </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ARIAL" w:hAnsi="ARIAL"/>
                <w:sz w:val="20"/>
              </w:rPr>
            </w:pPr>
            <w:r>
              <w:rPr>
                <w:rFonts w:ascii="ARIAL" w:hAnsi="ARIAL"/>
                <w:sz w:val="20"/>
              </w:rPr>
              <w:t xml:space="preserve">reviewing the adequacy and effectiveness of our disclosure controls and procedures;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preparing the Audit Committee report required by the rules of the SEC to be included in our annual proxy statement;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reviewing all related party transactions for potential conflict of interest situations and approving all such transactions. </w:t>
            </w:r>
          </w:p>
        </w:tc>
      </w:tr>
    </w:tbl>
    <w:p>
      <w:pPr>
        <w:pStyle w:val="TextBody"/>
        <w:bidi w:val="0"/>
        <w:spacing w:before="240" w:after="0"/>
        <w:jc w:val="left"/>
        <w:rPr>
          <w:rFonts w:ascii="ARIAL" w:hAnsi="ARIAL"/>
          <w:sz w:val="20"/>
        </w:rPr>
      </w:pPr>
      <w:r>
        <w:rPr>
          <w:rFonts w:ascii="ARIAL" w:hAnsi="ARIAL"/>
          <w:sz w:val="20"/>
        </w:rPr>
        <w:t xml:space="preserve">The Audit Committee has the sole authority, at its discretion, to engage independent counsel and other advisors as the committee deems necessary to carry out its duties. </w:t>
      </w:r>
    </w:p>
    <w:p>
      <w:pPr>
        <w:pStyle w:val="TextBody"/>
        <w:bidi w:val="0"/>
        <w:spacing w:before="240" w:after="0"/>
        <w:jc w:val="left"/>
        <w:rPr>
          <w:rFonts w:ascii="ARIAL" w:hAnsi="ARIAL"/>
          <w:b/>
          <w:i/>
          <w:color w:val="1F497D"/>
          <w:sz w:val="20"/>
        </w:rPr>
      </w:pPr>
      <w:r>
        <w:rPr>
          <w:rFonts w:ascii="ARIAL" w:hAnsi="ARIAL"/>
          <w:b/>
          <w:i/>
          <w:color w:val="1F497D"/>
          <w:sz w:val="20"/>
        </w:rPr>
        <w:t xml:space="preserve">Compensation Committee </w:t>
      </w:r>
    </w:p>
    <w:p>
      <w:pPr>
        <w:pStyle w:val="TextBody"/>
        <w:bidi w:val="0"/>
        <w:spacing w:before="240" w:after="0"/>
        <w:jc w:val="left"/>
        <w:rPr>
          <w:rFonts w:ascii="ARIAL" w:hAnsi="ARIAL"/>
          <w:sz w:val="20"/>
        </w:rPr>
      </w:pPr>
      <w:r>
        <w:rPr>
          <w:rFonts w:ascii="ARIAL" w:hAnsi="ARIAL"/>
          <w:sz w:val="20"/>
        </w:rPr>
        <w:t xml:space="preserve">Our Compensation Committee is composed of Mr. Carella, Ms. Kosecoff and Mr. Vorhoff, with Mr. Vorhoff serving as chair of the committee. All members of our Compensation Committee are independent as defined by Section 10(c) of the Exchange Act, Rule 10C under the Exchange Act and the applicable Nasdaq rules. </w:t>
      </w:r>
    </w:p>
    <w:p>
      <w:pPr>
        <w:pStyle w:val="TextBody"/>
        <w:bidi w:val="0"/>
        <w:spacing w:before="240" w:after="0"/>
        <w:jc w:val="left"/>
        <w:rPr>
          <w:rFonts w:ascii="ARIAL" w:hAnsi="ARIAL"/>
          <w:sz w:val="20"/>
        </w:rPr>
      </w:pPr>
      <w:r>
        <w:rPr>
          <w:rFonts w:ascii="ARIAL" w:hAnsi="ARIAL"/>
          <w:sz w:val="20"/>
        </w:rPr>
        <w:t xml:space="preserve">The written charter for our Compensation Committee is available on the investor relations section of our corporate website at https://ir.alignmenthealth.com/. The Compensation Committee’s responsibilities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annually reviewing and approving corporate goals and objectives relevant to the compensation of our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evaluating the performance of our executive officers in light of such corporate goals and objectives and determining and approving the compensation of our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conducting the independence assessment outlined in applicable rules with respect to any compensation consultant, legal counsel or other advisor retained by the compensation committee; </w:t>
            </w:r>
          </w:p>
        </w:tc>
      </w:tr>
    </w:tbl>
    <w:p>
      <w:pPr>
        <w:pStyle w:val="TextBody"/>
        <w:bidi w:val="0"/>
        <w:spacing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75"/>
        <w:gridCol w:w="110"/>
        <w:gridCol w:w="60"/>
        <w:gridCol w:w="5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0"/>
              <w:jc w:val="left"/>
              <w:rPr>
                <w:rFonts w:ascii="ARIAL" w:hAnsi="ARIAL"/>
                <w:sz w:val="20"/>
              </w:rPr>
            </w:pPr>
            <w:r>
              <w:rPr>
                <w:rFonts w:ascii="ARIAL" w:hAnsi="ARIAL"/>
                <w:sz w:val="20"/>
              </w:rPr>
              <w:t xml:space="preserve">overseeing and administering our compensation and similar plans; </w:t>
            </w:r>
          </w:p>
        </w:tc>
      </w:tr>
    </w:tbl>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75"/>
        <w:gridCol w:w="110"/>
        <w:gridCol w:w="60"/>
        <w:gridCol w:w="8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50" w:type="dxa"/>
            <w:tcBorders/>
            <w:vAlign w:val="center"/>
          </w:tcPr>
          <w:p>
            <w:pPr>
              <w:pStyle w:val="TableContents"/>
              <w:bidi w:val="0"/>
              <w:spacing w:before="0" w:after="0"/>
              <w:jc w:val="left"/>
              <w:rPr>
                <w:rFonts w:ascii="ARIAL" w:hAnsi="ARIAL"/>
                <w:sz w:val="20"/>
              </w:rPr>
            </w:pPr>
            <w:r>
              <w:rPr>
                <w:rFonts w:ascii="ARIAL" w:hAnsi="ARIAL"/>
                <w:sz w:val="20"/>
              </w:rPr>
              <w:t xml:space="preserve">reviewing and making recommendations to our Board with respect to director compensation;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reviewing and discussing with management the compensation discussion and analysis and other compensation-related disclosure to be included in our annual proxy statement or Annual Report on Form 10-K. </w:t>
            </w:r>
          </w:p>
        </w:tc>
      </w:tr>
    </w:tbl>
    <w:p>
      <w:pPr>
        <w:pStyle w:val="TextBody"/>
        <w:bidi w:val="0"/>
        <w:spacing w:before="240" w:after="0"/>
        <w:jc w:val="left"/>
        <w:rPr>
          <w:rFonts w:ascii="ARIAL" w:hAnsi="ARIAL"/>
          <w:sz w:val="20"/>
        </w:rPr>
      </w:pPr>
      <w:r>
        <w:rPr>
          <w:rFonts w:ascii="ARIAL" w:hAnsi="ARIAL"/>
          <w:sz w:val="20"/>
        </w:rPr>
        <w:t xml:space="preserve">The Compensation Committee has the sole authority, at its discretion, to retain and terminate compensation consultants to assist in the evaluation of director or executive officer compensation and the sole authority to approve the fees and other retention terms of such compensation consultants. The Compensation Committee may also retain independent counsel and other independent advisors to assist it in carrying out its responsibilities.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29 </w:t>
      </w:r>
      <w:r>
        <w:br w:type="page"/>
      </w:r>
    </w:p>
    <w:p>
      <w:pPr>
        <w:pStyle w:val="HorizontalLine"/>
        <w:bidi w:val="0"/>
        <w:jc w:val="left"/>
        <w:rPr/>
      </w:pPr>
      <w:r>
        <w:rPr/>
      </w:r>
    </w:p>
    <w:p>
      <w:pPr>
        <w:pStyle w:val="TextBody"/>
        <w:bidi w:val="0"/>
        <w:spacing w:before="0" w:after="0"/>
        <w:jc w:val="left"/>
        <w:rPr>
          <w:rFonts w:ascii="ARIAL" w:hAnsi="ARIAL"/>
          <w:b/>
          <w:i/>
          <w:color w:val="1F497D"/>
          <w:sz w:val="20"/>
        </w:rPr>
      </w:pPr>
      <w:r>
        <w:rPr>
          <w:rFonts w:ascii="ARIAL" w:hAnsi="ARIAL"/>
          <w:b/>
          <w:i/>
          <w:color w:val="1F497D"/>
          <w:sz w:val="20"/>
        </w:rPr>
        <w:t xml:space="preserve">Nominating, Corporate Governance and Compliance Committee </w:t>
      </w:r>
    </w:p>
    <w:p>
      <w:pPr>
        <w:pStyle w:val="TextBody"/>
        <w:bidi w:val="0"/>
        <w:spacing w:before="240" w:after="0"/>
        <w:jc w:val="left"/>
        <w:rPr>
          <w:rFonts w:ascii="ARIAL" w:hAnsi="ARIAL"/>
          <w:sz w:val="20"/>
        </w:rPr>
      </w:pPr>
      <w:r>
        <w:rPr>
          <w:rFonts w:ascii="ARIAL" w:hAnsi="ARIAL"/>
          <w:sz w:val="20"/>
        </w:rPr>
        <w:t xml:space="preserve">Our NCGCC is composed of Ms. Bilney, Mr. Hodgson, and Ms. Kosecoff, with Mr. Hodgson serving as chair of the committee. All members of our NCGCC are independent as defined by applicable Nasdaq rules. </w:t>
      </w:r>
    </w:p>
    <w:p>
      <w:pPr>
        <w:pStyle w:val="TextBody"/>
        <w:bidi w:val="0"/>
        <w:spacing w:before="240" w:after="0"/>
        <w:jc w:val="left"/>
        <w:rPr>
          <w:rFonts w:ascii="ARIAL" w:hAnsi="ARIAL"/>
          <w:sz w:val="20"/>
        </w:rPr>
      </w:pPr>
      <w:r>
        <w:rPr>
          <w:rFonts w:ascii="ARIAL" w:hAnsi="ARIAL"/>
          <w:sz w:val="20"/>
        </w:rPr>
        <w:t xml:space="preserve">The written charter for our NCGCC is available at the investor relations section of our corporate website at https://ir.alignmenthealth.com/. The NCGCC’s responsibilities include: </w:t>
      </w:r>
    </w:p>
    <w:p>
      <w:pPr>
        <w:pStyle w:val="TextBody"/>
        <w:bidi w:val="0"/>
        <w:spacing w:before="0" w:after="0"/>
        <w:jc w:val="left"/>
        <w:rPr/>
      </w:pPr>
      <w:r>
        <w:rPr/>
        <w:t> </w:t>
      </w:r>
    </w:p>
    <w:tbl>
      <w:tblPr>
        <w:tblW w:w="8110" w:type="dxa"/>
        <w:jc w:val="left"/>
        <w:tblInd w:w="0" w:type="dxa"/>
        <w:tblLayout w:type="fixed"/>
        <w:tblCellMar>
          <w:top w:w="0" w:type="dxa"/>
          <w:left w:w="0" w:type="dxa"/>
          <w:bottom w:w="0" w:type="dxa"/>
          <w:right w:w="0" w:type="dxa"/>
        </w:tblCellMar>
      </w:tblPr>
      <w:tblGrid>
        <w:gridCol w:w="75"/>
        <w:gridCol w:w="110"/>
        <w:gridCol w:w="60"/>
        <w:gridCol w:w="7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65" w:type="dxa"/>
            <w:tcBorders/>
            <w:vAlign w:val="center"/>
          </w:tcPr>
          <w:p>
            <w:pPr>
              <w:pStyle w:val="TableContents"/>
              <w:bidi w:val="0"/>
              <w:spacing w:before="0" w:after="0"/>
              <w:jc w:val="left"/>
              <w:rPr>
                <w:rFonts w:ascii="ARIAL" w:hAnsi="ARIAL"/>
                <w:sz w:val="20"/>
              </w:rPr>
            </w:pPr>
            <w:r>
              <w:rPr>
                <w:rFonts w:ascii="ARIAL" w:hAnsi="ARIAL"/>
                <w:sz w:val="20"/>
              </w:rPr>
              <w:t xml:space="preserve">developing and recommending to our Board criteria for board and committee membership;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subject to the rights of the Lead Sponsors under the Stockholders Agreement, identifying and recommending to our Board the persons to be nominated for election as directors and to each of our Board’s committees; </w:t>
            </w:r>
          </w:p>
        </w:tc>
      </w:tr>
    </w:tbl>
    <w:p>
      <w:pPr>
        <w:pStyle w:val="TextBody"/>
        <w:bidi w:val="0"/>
        <w:spacing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75"/>
        <w:gridCol w:w="110"/>
        <w:gridCol w:w="60"/>
        <w:gridCol w:w="8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0"/>
              <w:jc w:val="left"/>
              <w:rPr>
                <w:rFonts w:ascii="ARIAL" w:hAnsi="ARIAL"/>
                <w:sz w:val="20"/>
              </w:rPr>
            </w:pPr>
            <w:r>
              <w:rPr>
                <w:rFonts w:ascii="ARIAL" w:hAnsi="ARIAL"/>
                <w:sz w:val="20"/>
              </w:rPr>
              <w:t xml:space="preserve">developing and recommending to our Board best practices and corporate governance principles;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reviewing and recommending to our Board the functions, duties and compositions of the committees of our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overseeing the Company’s major risk exposures, including financial, operational, privacy, security, business continuity and legal and regulatory risks and the Company’s risk assessment and risk management policies;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overseeing the Company’s strategy, initiatives, risks, opportunities and related reporting on material ESG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overseeing the annual evaluation of the Board and its committees and reporting the results of such evaluation, including any recommendations for proposed changes, to the Board;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overseeing compliance with the laws and regulations applicable to the Company’s business, including, without limitation, Centers for Medicare and Medicaid Services rules, fraud and abuse laws, and state health plan licensure requirements. </w:t>
            </w:r>
          </w:p>
        </w:tc>
      </w:tr>
    </w:tbl>
    <w:p>
      <w:pPr>
        <w:pStyle w:val="TextBody"/>
        <w:bidi w:val="0"/>
        <w:spacing w:before="240" w:after="0"/>
        <w:jc w:val="left"/>
        <w:rPr>
          <w:rFonts w:ascii="ARIAL" w:hAnsi="ARIAL"/>
          <w:sz w:val="20"/>
        </w:rPr>
      </w:pPr>
      <w:r>
        <w:rPr>
          <w:rFonts w:ascii="ARIAL" w:hAnsi="ARIAL"/>
          <w:sz w:val="20"/>
        </w:rPr>
        <w:t xml:space="preserve">The NCGCC has the sole authority, at its discretion, to retain and terminate any search firm to assist in the identification of director candidates and the sole authority to set the fees and other retention terms of such search firms. The committee may also retain independent counsel and other independent advisors to assist it in carrying out its responsibilities. </w:t>
      </w:r>
    </w:p>
    <w:p>
      <w:pPr>
        <w:pStyle w:val="TextBody"/>
        <w:bidi w:val="0"/>
        <w:spacing w:before="240" w:after="0"/>
        <w:jc w:val="left"/>
        <w:rPr>
          <w:rFonts w:ascii="ARIAL" w:hAnsi="ARIAL"/>
          <w:b/>
          <w:color w:val="1F497D"/>
          <w:sz w:val="20"/>
        </w:rPr>
      </w:pPr>
      <w:bookmarkStart w:id="15" w:name="txa496243_13"/>
      <w:bookmarkEnd w:id="15"/>
      <w:r>
        <w:rPr>
          <w:rFonts w:ascii="ARIAL" w:hAnsi="ARIAL"/>
          <w:b/>
          <w:color w:val="1F497D"/>
          <w:sz w:val="20"/>
        </w:rPr>
        <w:t xml:space="preserve">Board Oversight of Environmental, Social and Governance Matters </w:t>
      </w:r>
    </w:p>
    <w:p>
      <w:pPr>
        <w:pStyle w:val="TextBody"/>
        <w:bidi w:val="0"/>
        <w:spacing w:before="240" w:after="0"/>
        <w:jc w:val="left"/>
        <w:rPr>
          <w:rFonts w:ascii="ARIAL" w:hAnsi="ARIAL"/>
          <w:sz w:val="20"/>
        </w:rPr>
      </w:pPr>
      <w:r>
        <w:rPr>
          <w:rFonts w:ascii="ARIAL" w:hAnsi="ARIAL"/>
          <w:sz w:val="20"/>
        </w:rPr>
        <w:t xml:space="preserve">Following the closing of our initial public offering (“IPO”) in March 2021, we began to more formally align our ESG efforts with our long-standing commitment to operating our business in a socially responsible and sustainable manner that takes into account the interests of all our stakeholders. Our Board has formally designated our NCGCC with the responsibility for Board-level oversight of the Company’s ESG strategy, practices and reporting. In addition, our executive management team established an ESG steering committee to guide the integration of our ESG efforts with our long-term business strategy.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30 </w:t>
      </w:r>
      <w:r>
        <w:br w:type="page"/>
      </w:r>
    </w:p>
    <w:p>
      <w:pPr>
        <w:pStyle w:val="HorizontalLine"/>
        <w:bidi w:val="0"/>
        <w:jc w:val="left"/>
        <w:rPr/>
      </w:pPr>
      <w:r>
        <w:rPr/>
      </w:r>
    </w:p>
    <w:p>
      <w:pPr>
        <w:pStyle w:val="TextBody"/>
        <w:bidi w:val="0"/>
        <w:spacing w:before="0" w:after="0"/>
        <w:jc w:val="left"/>
        <w:rPr>
          <w:rFonts w:ascii="ARIAL" w:hAnsi="ARIAL"/>
          <w:b/>
          <w:i/>
          <w:color w:val="1F497D"/>
          <w:sz w:val="20"/>
        </w:rPr>
      </w:pPr>
      <w:r>
        <w:rPr>
          <w:rFonts w:ascii="ARIAL" w:hAnsi="ARIAL"/>
          <w:b/>
          <w:i/>
          <w:color w:val="1F497D"/>
          <w:sz w:val="20"/>
        </w:rPr>
        <w:t xml:space="preserve">Our Mission and Values </w:t>
      </w:r>
    </w:p>
    <w:p>
      <w:pPr>
        <w:pStyle w:val="TextBody"/>
        <w:bidi w:val="0"/>
        <w:spacing w:before="120" w:after="0"/>
        <w:jc w:val="left"/>
        <w:rPr>
          <w:rFonts w:ascii="ARIAL" w:hAnsi="ARIAL"/>
          <w:sz w:val="20"/>
        </w:rPr>
      </w:pPr>
      <w:r>
        <w:rPr>
          <w:rFonts w:ascii="ARIAL" w:hAnsi="ARIAL"/>
          <w:sz w:val="20"/>
        </w:rPr>
        <w:t xml:space="preserve">Alignment Healthcare was founded in 2013 with one mission in mind: improving healthcare one senior at a time. We pursue this mission by relentlessly focusing on our core values: </w:t>
      </w:r>
    </w:p>
    <w:p>
      <w:pPr>
        <w:pStyle w:val="TextBody"/>
        <w:bidi w:val="0"/>
        <w:spacing w:before="0" w:after="0"/>
        <w:jc w:val="left"/>
        <w:rPr/>
      </w:pPr>
      <w:r>
        <w:rPr/>
        <w:t> </w:t>
      </w:r>
    </w:p>
    <w:tbl>
      <w:tblPr>
        <w:tblW w:w="2635" w:type="dxa"/>
        <w:jc w:val="left"/>
        <w:tblInd w:w="0" w:type="dxa"/>
        <w:tblLayout w:type="fixed"/>
        <w:tblCellMar>
          <w:top w:w="0" w:type="dxa"/>
          <w:left w:w="0" w:type="dxa"/>
          <w:bottom w:w="0" w:type="dxa"/>
          <w:right w:w="0" w:type="dxa"/>
        </w:tblCellMar>
      </w:tblPr>
      <w:tblGrid>
        <w:gridCol w:w="75"/>
        <w:gridCol w:w="110"/>
        <w:gridCol w:w="60"/>
        <w:gridCol w:w="2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jc w:val="left"/>
              <w:rPr>
                <w:rFonts w:ascii="ARIAL" w:hAnsi="ARIAL"/>
                <w:sz w:val="20"/>
              </w:rPr>
            </w:pPr>
            <w:r>
              <w:rPr>
                <w:rFonts w:ascii="ARIAL" w:hAnsi="ARIAL"/>
                <w:sz w:val="20"/>
              </w:rPr>
              <w:t xml:space="preserve">always put the senior first; </w:t>
            </w:r>
          </w:p>
        </w:tc>
      </w:tr>
    </w:tbl>
    <w:p>
      <w:pPr>
        <w:pStyle w:val="TextBody"/>
        <w:bidi w:val="0"/>
        <w:spacing w:before="0" w:after="0"/>
        <w:jc w:val="left"/>
        <w:rPr/>
      </w:pPr>
      <w:r>
        <w:rPr/>
        <w:t> </w:t>
      </w:r>
    </w:p>
    <w:tbl>
      <w:tblPr>
        <w:tblW w:w="1975" w:type="dxa"/>
        <w:jc w:val="left"/>
        <w:tblInd w:w="0" w:type="dxa"/>
        <w:tblLayout w:type="fixed"/>
        <w:tblCellMar>
          <w:top w:w="0" w:type="dxa"/>
          <w:left w:w="0" w:type="dxa"/>
          <w:bottom w:w="0" w:type="dxa"/>
          <w:right w:w="0" w:type="dxa"/>
        </w:tblCellMar>
      </w:tblPr>
      <w:tblGrid>
        <w:gridCol w:w="75"/>
        <w:gridCol w:w="110"/>
        <w:gridCol w:w="60"/>
        <w:gridCol w:w="1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0"/>
              <w:jc w:val="left"/>
              <w:rPr>
                <w:rFonts w:ascii="ARIAL" w:hAnsi="ARIAL"/>
                <w:sz w:val="20"/>
              </w:rPr>
            </w:pPr>
            <w:r>
              <w:rPr>
                <w:rFonts w:ascii="ARIAL" w:hAnsi="ARIAL"/>
                <w:sz w:val="20"/>
              </w:rPr>
              <w:t xml:space="preserve">support the doctor; </w:t>
            </w:r>
          </w:p>
        </w:tc>
      </w:tr>
    </w:tbl>
    <w:p>
      <w:pPr>
        <w:pStyle w:val="TextBody"/>
        <w:bidi w:val="0"/>
        <w:spacing w:before="0" w:after="0"/>
        <w:jc w:val="left"/>
        <w:rPr/>
      </w:pPr>
      <w:r>
        <w:rPr/>
        <w:t> </w:t>
      </w:r>
    </w:p>
    <w:tbl>
      <w:tblPr>
        <w:tblW w:w="4315" w:type="dxa"/>
        <w:jc w:val="left"/>
        <w:tblInd w:w="0" w:type="dxa"/>
        <w:tblLayout w:type="fixed"/>
        <w:tblCellMar>
          <w:top w:w="0" w:type="dxa"/>
          <w:left w:w="0" w:type="dxa"/>
          <w:bottom w:w="0" w:type="dxa"/>
          <w:right w:w="0" w:type="dxa"/>
        </w:tblCellMar>
      </w:tblPr>
      <w:tblGrid>
        <w:gridCol w:w="75"/>
        <w:gridCol w:w="110"/>
        <w:gridCol w:w="60"/>
        <w:gridCol w:w="4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70" w:type="dxa"/>
            <w:tcBorders/>
            <w:vAlign w:val="center"/>
          </w:tcPr>
          <w:p>
            <w:pPr>
              <w:pStyle w:val="TableContents"/>
              <w:bidi w:val="0"/>
              <w:spacing w:before="0" w:after="0"/>
              <w:jc w:val="left"/>
              <w:rPr>
                <w:rFonts w:ascii="ARIAL" w:hAnsi="ARIAL"/>
                <w:sz w:val="20"/>
              </w:rPr>
            </w:pPr>
            <w:r>
              <w:rPr>
                <w:rFonts w:ascii="ARIAL" w:hAnsi="ARIAL"/>
                <w:sz w:val="20"/>
              </w:rPr>
              <w:t xml:space="preserve">use data and technology to improve care; and </w:t>
            </w:r>
          </w:p>
        </w:tc>
      </w:tr>
    </w:tbl>
    <w:p>
      <w:pPr>
        <w:pStyle w:val="TextBody"/>
        <w:bidi w:val="0"/>
        <w:spacing w:before="0" w:after="0"/>
        <w:jc w:val="left"/>
        <w:rPr/>
      </w:pPr>
      <w:r>
        <w:rPr/>
        <w:t> </w:t>
      </w:r>
    </w:p>
    <w:tbl>
      <w:tblPr>
        <w:tblW w:w="2425" w:type="dxa"/>
        <w:jc w:val="left"/>
        <w:tblInd w:w="0" w:type="dxa"/>
        <w:tblLayout w:type="fixed"/>
        <w:tblCellMar>
          <w:top w:w="0" w:type="dxa"/>
          <w:left w:w="0" w:type="dxa"/>
          <w:bottom w:w="0" w:type="dxa"/>
          <w:right w:w="0" w:type="dxa"/>
        </w:tblCellMar>
      </w:tblPr>
      <w:tblGrid>
        <w:gridCol w:w="75"/>
        <w:gridCol w:w="110"/>
        <w:gridCol w:w="60"/>
        <w:gridCol w:w="2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rFonts w:ascii="ARIAL" w:hAnsi="ARIAL"/>
                <w:sz w:val="20"/>
              </w:rPr>
            </w:pPr>
            <w:r>
              <w:rPr>
                <w:rFonts w:ascii="ARIAL" w:hAnsi="ARIAL"/>
                <w:sz w:val="20"/>
              </w:rPr>
              <w:t xml:space="preserve">act with a serving heart. </w:t>
            </w:r>
          </w:p>
        </w:tc>
      </w:tr>
    </w:tbl>
    <w:p>
      <w:pPr>
        <w:pStyle w:val="TextBody"/>
        <w:bidi w:val="0"/>
        <w:spacing w:before="240" w:after="0"/>
        <w:jc w:val="left"/>
        <w:rPr>
          <w:rFonts w:ascii="ARIAL" w:hAnsi="ARIAL"/>
          <w:sz w:val="20"/>
        </w:rPr>
      </w:pPr>
      <w:r>
        <w:rPr>
          <w:rFonts w:ascii="ARIAL" w:hAnsi="ARIAL"/>
          <w:sz w:val="20"/>
        </w:rPr>
        <w:t xml:space="preserve">We created Alignment based on the frustrating experiences we had when our parents and other loved ones needed health care. We saw firsthand the complexity they faced as seniors attempting to navigate care delivery and insurance without an advocate to create an integrated consumer experience that provides holistic and quality care at an affordable price. Our parents and seniors across the country are systemically and disproportionately impacted by the absence of care coordination, poor information transparency and misaligned incentives that characterize the health care system. </w:t>
      </w:r>
    </w:p>
    <w:p>
      <w:pPr>
        <w:pStyle w:val="TextBody"/>
        <w:bidi w:val="0"/>
        <w:spacing w:before="240" w:after="0"/>
        <w:jc w:val="left"/>
        <w:rPr>
          <w:rFonts w:ascii="ARIAL" w:hAnsi="ARIAL"/>
          <w:sz w:val="20"/>
        </w:rPr>
      </w:pPr>
      <w:r>
        <w:rPr>
          <w:rFonts w:ascii="ARIAL" w:hAnsi="ARIAL"/>
          <w:sz w:val="20"/>
        </w:rPr>
        <w:t xml:space="preserve">Our team of highly experienced health care leaders created the Alignment model to incorporate the lessons we have learned over decades spent serving senior consumers. We believe that by combining our experienced, mission-driven team with purpose-built technology we have found a way to address the unmet needs of senior consumers and to do well by doing good. Our ultimate goal is to bring this differentiated, advocacy-driven health care experience to millions of senior consumers in the United States and to become the most trusted senior health care brand in the country. </w:t>
      </w:r>
    </w:p>
    <w:p>
      <w:pPr>
        <w:pStyle w:val="TextBody"/>
        <w:bidi w:val="0"/>
        <w:spacing w:before="240" w:after="0"/>
        <w:jc w:val="left"/>
        <w:rPr>
          <w:rFonts w:ascii="ARIAL" w:hAnsi="ARIAL"/>
          <w:b/>
          <w:i/>
          <w:color w:val="1F497D"/>
          <w:sz w:val="20"/>
        </w:rPr>
      </w:pPr>
      <w:r>
        <w:rPr>
          <w:rFonts w:ascii="ARIAL" w:hAnsi="ARIAL"/>
          <w:b/>
          <w:i/>
          <w:color w:val="1F497D"/>
          <w:sz w:val="20"/>
        </w:rPr>
        <w:t xml:space="preserve">Our ESG Focus: Serving People, Serving the Environment and Serving Responsibly </w:t>
      </w:r>
    </w:p>
    <w:p>
      <w:pPr>
        <w:pStyle w:val="TextBody"/>
        <w:bidi w:val="0"/>
        <w:spacing w:before="240" w:after="0"/>
        <w:jc w:val="left"/>
        <w:rPr>
          <w:rFonts w:ascii="ARIAL" w:hAnsi="ARIAL"/>
          <w:sz w:val="20"/>
        </w:rPr>
      </w:pPr>
      <w:r>
        <w:rPr>
          <w:rFonts w:ascii="ARIAL" w:hAnsi="ARIAL"/>
          <w:sz w:val="20"/>
        </w:rPr>
        <w:t xml:space="preserve">Our company name, Alignment Healthcare, reflects one of our founding principles: to align all stakeholders in the health care ecosystem around doing what is best for the senior. Our belief in the importance of alignment goes beyond our business model—we believe it’s the right thing to do. In order to achieve our mission and sustain business excellence, we approach each aspect of our business and operations with integrity, corporate responsibility, and ethics in mind to protect and enhance the interests of each of our stakeholders—every one of our seniors and their families, our regulatory constituents including the CMS, our team of passionate employees and clinicians, our external provider and delivery system partners and our stockholders. </w:t>
      </w:r>
    </w:p>
    <w:p>
      <w:pPr>
        <w:pStyle w:val="TextBody"/>
        <w:bidi w:val="0"/>
        <w:spacing w:before="240" w:after="0"/>
        <w:jc w:val="left"/>
        <w:rPr>
          <w:rFonts w:ascii="ARIAL" w:hAnsi="ARIAL"/>
          <w:sz w:val="20"/>
        </w:rPr>
      </w:pPr>
      <w:r>
        <w:rPr>
          <w:rFonts w:ascii="ARIAL" w:hAnsi="ARIAL"/>
          <w:sz w:val="20"/>
        </w:rPr>
        <w:t xml:space="preserve">We believe that proactively managing our ESG impacts supports our mission and reflects our commitment to best serve the long-term interests of our stakeholders. The alignment of our ESG strategy with our corporate strategy amplifies and strengthens the positive long-term impact we can have on our members, employees, stockholders, and the environment. It also promotes long-term value creation for our stockholders and other stakeholders. To support our efforts in this area, we created an ESG steering committee in 2021, consisting of dedicated internal resources and external advisors to address the ESG factors that are material to our business and our stakeholders. </w:t>
      </w:r>
    </w:p>
    <w:p>
      <w:pPr>
        <w:pStyle w:val="TextBody"/>
        <w:bidi w:val="0"/>
        <w:spacing w:before="240" w:after="0"/>
        <w:jc w:val="left"/>
        <w:rPr>
          <w:rFonts w:ascii="ARIAL" w:hAnsi="ARIAL"/>
          <w:sz w:val="20"/>
        </w:rPr>
      </w:pPr>
      <w:r>
        <w:rPr>
          <w:rFonts w:ascii="ARIAL" w:hAnsi="ARIAL"/>
          <w:sz w:val="20"/>
        </w:rPr>
        <w:t xml:space="preserve">The three pillars to our ESG approach are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b/>
                <w:i/>
                <w:sz w:val="20"/>
              </w:rPr>
              <w:t>Serving People</w:t>
            </w:r>
            <w:r>
              <w:rPr>
                <w:rFonts w:ascii="ARIAL" w:hAnsi="ARIAL"/>
                <w:sz w:val="20"/>
              </w:rPr>
              <w:t xml:space="preserve"> – We are committed to serving our members, health care providers, employees, caregivers and broader communities. Our employees are our most valuable asset, and we are dedicated to creating an organization where they feel a sense of engagement and belonging. See “—</w:t>
            </w:r>
            <w:r>
              <w:rPr>
                <w:rFonts w:ascii="ARIAL" w:hAnsi="ARIAL"/>
                <w:i/>
                <w:sz w:val="20"/>
              </w:rPr>
              <w:t>Human Resources</w:t>
            </w:r>
            <w:r>
              <w:rPr>
                <w:rFonts w:ascii="ARIAL" w:hAnsi="ARIAL"/>
                <w:sz w:val="20"/>
              </w:rPr>
              <w:t xml:space="preserve">” below. We work together and put our members first in everything we do, and we strive to support our health care providers with the tools and resources needed to provide the best care.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31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b/>
                <w:i/>
                <w:sz w:val="20"/>
              </w:rPr>
              <w:t>Serving the Environment</w:t>
            </w:r>
            <w:r>
              <w:rPr>
                <w:rFonts w:ascii="ARIAL" w:hAnsi="ARIAL"/>
                <w:sz w:val="20"/>
              </w:rPr>
              <w:t xml:space="preserve"> – Our company is focused on understanding and improving our carbon footprint in order to mitigate our environmental impact as well as expanding telehealth and supporting hybrid and remote work.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b/>
                <w:i/>
                <w:sz w:val="20"/>
              </w:rPr>
              <w:t>Serving Responsibly</w:t>
            </w:r>
            <w:r>
              <w:rPr>
                <w:rFonts w:ascii="ARIAL" w:hAnsi="ARIAL"/>
                <w:sz w:val="20"/>
              </w:rPr>
              <w:t xml:space="preserve"> – We are committed to maintaining a high level of transparency and accountability across our operations. Our Board of Directors includes a strong and diverse mix of experienced business leaders and is committed to providing effective oversight of the Company’s activities. </w:t>
            </w:r>
          </w:p>
        </w:tc>
      </w:tr>
    </w:tbl>
    <w:p>
      <w:pPr>
        <w:pStyle w:val="TextBody"/>
        <w:bidi w:val="0"/>
        <w:spacing w:before="240" w:after="0"/>
        <w:jc w:val="left"/>
        <w:rPr>
          <w:rFonts w:ascii="ARIAL" w:hAnsi="ARIAL"/>
          <w:sz w:val="20"/>
        </w:rPr>
      </w:pPr>
      <w:r>
        <w:rPr>
          <w:rFonts w:ascii="ARIAL" w:hAnsi="ARIAL"/>
          <w:sz w:val="20"/>
        </w:rPr>
        <w:t xml:space="preserve">Our aim is to continue fortifying each pillar and to operate with transparency in a way that always puts seniors first, and respects all people, communities and the environment. </w:t>
      </w:r>
    </w:p>
    <w:p>
      <w:pPr>
        <w:pStyle w:val="TextBody"/>
        <w:bidi w:val="0"/>
        <w:spacing w:before="240" w:after="0"/>
        <w:jc w:val="left"/>
        <w:rPr>
          <w:rFonts w:ascii="ARIAL" w:hAnsi="ARIAL"/>
          <w:b/>
          <w:i/>
          <w:color w:val="1F497D"/>
          <w:sz w:val="20"/>
        </w:rPr>
      </w:pPr>
      <w:r>
        <w:rPr>
          <w:rFonts w:ascii="ARIAL" w:hAnsi="ARIAL"/>
          <w:b/>
          <w:i/>
          <w:color w:val="1F497D"/>
          <w:sz w:val="20"/>
        </w:rPr>
        <w:t xml:space="preserve">Serving Seniors with Our Differentiated Model </w:t>
      </w:r>
    </w:p>
    <w:p>
      <w:pPr>
        <w:pStyle w:val="TextBody"/>
        <w:bidi w:val="0"/>
        <w:spacing w:before="240" w:after="0"/>
        <w:jc w:val="left"/>
        <w:rPr>
          <w:rFonts w:ascii="ARIAL" w:hAnsi="ARIAL"/>
          <w:sz w:val="20"/>
        </w:rPr>
      </w:pPr>
      <w:r>
        <w:rPr>
          <w:rFonts w:ascii="ARIAL" w:hAnsi="ARIAL"/>
          <w:sz w:val="20"/>
        </w:rPr>
        <w:t xml:space="preserve">Medicare Advantage allows one entity to influence the entirety of a senior’s health care experience through a singular, direct-to-consumer product. Our value of acting with a serving heart supports our efforts to drive the convergence between traditional Medicare Advantage benefits with social determinants of health and consumerism, ultimately for the long-term wellbeing of our seniors. </w:t>
      </w:r>
    </w:p>
    <w:p>
      <w:pPr>
        <w:pStyle w:val="TextBody"/>
        <w:bidi w:val="0"/>
        <w:spacing w:before="240" w:after="0"/>
        <w:jc w:val="left"/>
        <w:rPr>
          <w:rFonts w:ascii="ARIAL" w:hAnsi="ARIAL"/>
          <w:sz w:val="20"/>
        </w:rPr>
      </w:pPr>
      <w:r>
        <w:rPr>
          <w:rFonts w:ascii="ARIAL" w:hAnsi="ARIAL"/>
          <w:sz w:val="20"/>
        </w:rPr>
        <w:t xml:space="preserve">We contract with CMS under the Medicare Advantage program to provide health insurance coverage to Medicare-eligible people in exchange for a payment per member per month (“PMPM”). The economic construct of the Medicare Advantage program is designed to reward plans that achieve the triple aim of high-quality care, low costs and a better experience. Under these value-based contracts, we assume the economic risk of funding our members’ health care, supplemental benefits and related administration costs. By transferring the economic risk to managed care companies like Alignment, CMS has enabled us to focus on proactive, cross-disciplinary care targeted at improving health outcomes and lowering unnecessary health care expenditures. Due to the competitive nature of CMS’s bidding system, only those plans that are able to provide low cost and high-quality outcomes will be able to offer enhanced benefit options, which is critical to achieving sustainable membership and growth on a long-term basis. This value-based business model capitalizes on health outcomes, not fees, and is designed to serve all members while emphasizing preventative care and benefits. </w:t>
      </w:r>
    </w:p>
    <w:p>
      <w:pPr>
        <w:pStyle w:val="TextBody"/>
        <w:bidi w:val="0"/>
        <w:spacing w:before="240" w:after="0"/>
        <w:jc w:val="left"/>
        <w:rPr>
          <w:rFonts w:ascii="ARIAL" w:hAnsi="ARIAL"/>
          <w:sz w:val="20"/>
        </w:rPr>
      </w:pPr>
      <w:r>
        <w:rPr>
          <w:rFonts w:ascii="ARIAL" w:hAnsi="ARIAL"/>
          <w:sz w:val="20"/>
        </w:rPr>
        <w:t xml:space="preserve">We achieve our differentiated outcomes through the utilization of AVA, our proprietary technology platform. AVA leverages a vast amount of data to curate insights which we use to allocate health resources to our members, driving the creation of an end-to-end, low-cost, high-quality care model. Our focus on driving clinical care through our employed clinical teams to high-risk members, while supporting and enabling preventative care through our network of providers for the remaining population, allows our value-based care model to optimize the utilization of resources and strengthen sustainability of our product offering. Our improved health outcomes allow us to provide individualized, supplemental benefits and products that meet the needs of our seniors, including critical-health support, transportation services, financial support for groceries and non-prescription products, and demographic-based and culturally relevant resources. </w:t>
      </w:r>
    </w:p>
    <w:p>
      <w:pPr>
        <w:pStyle w:val="TextBody"/>
        <w:bidi w:val="0"/>
        <w:spacing w:before="240" w:after="0"/>
        <w:jc w:val="left"/>
        <w:rPr>
          <w:rFonts w:ascii="ARIAL" w:hAnsi="ARIAL"/>
          <w:sz w:val="20"/>
        </w:rPr>
      </w:pPr>
      <w:r>
        <w:rPr>
          <w:rFonts w:ascii="ARIAL" w:hAnsi="ARIAL"/>
          <w:sz w:val="20"/>
        </w:rPr>
        <w:t xml:space="preserve">The health outcomes of our members, due to our differentiated model, has resulted in approximately 93% of our members reporting their overall satisfaction with Alignment’s case management services, in addition to exceptional quality outcomes, including 38% lower inpatient admissions per thousand than traditional Medicare.* </w:t>
      </w:r>
    </w:p>
    <w:p>
      <w:pPr>
        <w:pStyle w:val="TextBody"/>
        <w:bidi w:val="0"/>
        <w:spacing w:before="240" w:after="0"/>
        <w:jc w:val="left"/>
        <w:rPr>
          <w:rFonts w:ascii="ARIAL" w:hAnsi="ARIAL"/>
          <w:sz w:val="16"/>
        </w:rPr>
      </w:pPr>
      <w:r>
        <w:rPr>
          <w:rFonts w:ascii="ARIAL" w:hAnsi="ARIAL"/>
          <w:sz w:val="16"/>
        </w:rPr>
        <w:t xml:space="preserve">* Estimated 2023 At-Risk member inpatient utilization relative to 2019 Medicare FFS inpatient utilization representative of Alignment’s population mix by county (based on membership as of 2023). </w:t>
      </w:r>
    </w:p>
    <w:p>
      <w:pPr>
        <w:pStyle w:val="TextBody"/>
        <w:bidi w:val="0"/>
        <w:spacing w:before="240" w:after="0"/>
        <w:jc w:val="left"/>
        <w:rPr>
          <w:rFonts w:ascii="ARIAL" w:hAnsi="ARIAL"/>
          <w:b/>
          <w:i/>
          <w:color w:val="1F497D"/>
          <w:sz w:val="20"/>
        </w:rPr>
      </w:pPr>
      <w:r>
        <w:rPr>
          <w:rFonts w:ascii="ARIAL" w:hAnsi="ARIAL"/>
          <w:b/>
          <w:i/>
          <w:color w:val="1F497D"/>
          <w:sz w:val="20"/>
        </w:rPr>
        <w:t xml:space="preserve">Human Resources </w:t>
      </w:r>
    </w:p>
    <w:p>
      <w:pPr>
        <w:pStyle w:val="TextBody"/>
        <w:bidi w:val="0"/>
        <w:spacing w:before="240" w:after="0"/>
        <w:jc w:val="left"/>
        <w:rPr>
          <w:rFonts w:ascii="ARIAL" w:hAnsi="ARIAL"/>
          <w:sz w:val="20"/>
        </w:rPr>
      </w:pPr>
      <w:r>
        <w:rPr>
          <w:rFonts w:ascii="ARIAL" w:hAnsi="ARIAL"/>
          <w:sz w:val="20"/>
        </w:rPr>
        <w:t xml:space="preserve">We are focused on building a company that is transforming health care by putting seniors first, and our employees are critical to our success. Our human resources strategy focuses on meeting business objectives by attracting, developing, engaging and retaining a high-performing, diverse workforce. As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32 </w:t>
      </w:r>
      <w:r>
        <w:br w:type="page"/>
      </w:r>
    </w:p>
    <w:p>
      <w:pPr>
        <w:pStyle w:val="HorizontalLine"/>
        <w:bidi w:val="0"/>
        <w:jc w:val="left"/>
        <w:rPr/>
      </w:pPr>
      <w:r>
        <w:rPr/>
      </w:r>
    </w:p>
    <w:p>
      <w:pPr>
        <w:pStyle w:val="TextBody"/>
        <w:bidi w:val="0"/>
        <w:spacing w:before="0" w:after="0"/>
        <w:jc w:val="left"/>
        <w:rPr>
          <w:rFonts w:ascii="ARIAL" w:hAnsi="ARIAL"/>
          <w:sz w:val="20"/>
        </w:rPr>
      </w:pPr>
      <w:r>
        <w:rPr>
          <w:rFonts w:ascii="ARIAL" w:hAnsi="ARIAL"/>
          <w:sz w:val="20"/>
        </w:rPr>
        <w:t xml:space="preserve">December 31, 2023, we had 1,536 full-time employees, in addition to seasonal employees who assist with the Medicare annual enrollment period. </w:t>
      </w:r>
    </w:p>
    <w:p>
      <w:pPr>
        <w:pStyle w:val="TextBody"/>
        <w:bidi w:val="0"/>
        <w:spacing w:before="240" w:after="0"/>
        <w:jc w:val="left"/>
        <w:rPr>
          <w:rFonts w:ascii="ARIAL" w:hAnsi="ARIAL"/>
          <w:sz w:val="20"/>
        </w:rPr>
      </w:pPr>
      <w:r>
        <w:rPr>
          <w:rFonts w:ascii="ARIAL" w:hAnsi="ARIAL"/>
          <w:sz w:val="20"/>
        </w:rPr>
        <w:t xml:space="preserve">We believe that an engaged, innovative and productive workforce is essential to supporting our company’s mission of changing health care one senior at a time, as well as our values of putting our members first, supporting our physicians, applying technology to improve care and having a serving heart. Each year, we conduct an employee survey that enables our leaders to develop action plans to further enhance employee engagement and productivity. </w:t>
      </w:r>
    </w:p>
    <w:p>
      <w:pPr>
        <w:pStyle w:val="TextBody"/>
        <w:bidi w:val="0"/>
        <w:spacing w:before="240" w:after="0"/>
        <w:jc w:val="left"/>
        <w:rPr>
          <w:rFonts w:ascii="ARIAL" w:hAnsi="ARIAL"/>
          <w:sz w:val="20"/>
        </w:rPr>
      </w:pPr>
      <w:r>
        <w:rPr>
          <w:rFonts w:ascii="ARIAL" w:hAnsi="ARIAL"/>
          <w:sz w:val="20"/>
        </w:rPr>
        <w:t xml:space="preserve">We recognize that diversity, equity and inclusion (“DEI”) is crucial as we scale and build our high-performing team. We intend for our DEI strategy to be embedded in each aspect of the processes, programs and structures that drive our talent lifecycle: attraction, recruitment, onboarding, development and retention efforts. As of December 31, 2023: </w:t>
      </w:r>
    </w:p>
    <w:p>
      <w:pPr>
        <w:pStyle w:val="TextBody"/>
        <w:bidi w:val="0"/>
        <w:spacing w:before="0" w:after="0"/>
        <w:jc w:val="left"/>
        <w:rPr/>
      </w:pPr>
      <w:r>
        <w:rPr/>
        <w:t> </w:t>
      </w:r>
    </w:p>
    <w:tbl>
      <w:tblPr>
        <w:tblW w:w="3430" w:type="dxa"/>
        <w:jc w:val="left"/>
        <w:tblInd w:w="0" w:type="dxa"/>
        <w:tblLayout w:type="fixed"/>
        <w:tblCellMar>
          <w:top w:w="0" w:type="dxa"/>
          <w:left w:w="0" w:type="dxa"/>
          <w:bottom w:w="0" w:type="dxa"/>
          <w:right w:w="0" w:type="dxa"/>
        </w:tblCellMar>
      </w:tblPr>
      <w:tblGrid>
        <w:gridCol w:w="75"/>
        <w:gridCol w:w="110"/>
        <w:gridCol w:w="60"/>
        <w:gridCol w:w="3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0"/>
              <w:jc w:val="left"/>
              <w:rPr>
                <w:rFonts w:ascii="ARIAL" w:hAnsi="ARIAL"/>
                <w:sz w:val="20"/>
              </w:rPr>
            </w:pPr>
            <w:r>
              <w:rPr>
                <w:rFonts w:ascii="ARIAL" w:hAnsi="ARIAL"/>
                <w:sz w:val="20"/>
              </w:rPr>
              <w:t xml:space="preserve">73% of our employees were women </w:t>
            </w:r>
          </w:p>
        </w:tc>
      </w:tr>
    </w:tbl>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75"/>
        <w:gridCol w:w="110"/>
        <w:gridCol w:w="60"/>
        <w:gridCol w:w="4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0"/>
              <w:jc w:val="left"/>
              <w:rPr>
                <w:rFonts w:ascii="ARIAL" w:hAnsi="ARIAL"/>
                <w:sz w:val="20"/>
              </w:rPr>
            </w:pPr>
            <w:r>
              <w:rPr>
                <w:rFonts w:ascii="ARIAL" w:hAnsi="ARIAL"/>
                <w:sz w:val="20"/>
              </w:rPr>
              <w:t xml:space="preserve">66% of our employees were ethnically diverse </w:t>
            </w:r>
          </w:p>
        </w:tc>
      </w:tr>
    </w:tbl>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75"/>
        <w:gridCol w:w="110"/>
        <w:gridCol w:w="60"/>
        <w:gridCol w:w="4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0"/>
              <w:jc w:val="left"/>
              <w:rPr>
                <w:rFonts w:ascii="ARIAL" w:hAnsi="ARIAL"/>
                <w:sz w:val="20"/>
              </w:rPr>
            </w:pPr>
            <w:r>
              <w:rPr>
                <w:rFonts w:ascii="ARIAL" w:hAnsi="ARIAL"/>
                <w:sz w:val="20"/>
              </w:rPr>
              <w:t xml:space="preserve">20% of our executive team was ethnically diverse </w:t>
            </w:r>
          </w:p>
        </w:tc>
      </w:tr>
    </w:tbl>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75"/>
        <w:gridCol w:w="110"/>
        <w:gridCol w:w="60"/>
        <w:gridCol w:w="3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left"/>
              <w:rPr>
                <w:rFonts w:ascii="ARIAL" w:hAnsi="ARIAL"/>
                <w:sz w:val="20"/>
              </w:rPr>
            </w:pPr>
            <w:r>
              <w:rPr>
                <w:rFonts w:ascii="ARIAL" w:hAnsi="ARIAL"/>
                <w:sz w:val="20"/>
              </w:rPr>
              <w:t xml:space="preserve">11% of our executive team were women </w:t>
            </w:r>
          </w:p>
        </w:tc>
      </w:tr>
    </w:tbl>
    <w:p>
      <w:pPr>
        <w:pStyle w:val="TextBody"/>
        <w:bidi w:val="0"/>
        <w:spacing w:before="0" w:after="0"/>
        <w:jc w:val="left"/>
        <w:rPr/>
      </w:pPr>
      <w:r>
        <w:rPr/>
        <w:t> </w:t>
      </w:r>
    </w:p>
    <w:tbl>
      <w:tblPr>
        <w:tblW w:w="4900" w:type="dxa"/>
        <w:jc w:val="left"/>
        <w:tblInd w:w="0" w:type="dxa"/>
        <w:tblLayout w:type="fixed"/>
        <w:tblCellMar>
          <w:top w:w="0" w:type="dxa"/>
          <w:left w:w="0" w:type="dxa"/>
          <w:bottom w:w="0" w:type="dxa"/>
          <w:right w:w="0" w:type="dxa"/>
        </w:tblCellMar>
      </w:tblPr>
      <w:tblGrid>
        <w:gridCol w:w="75"/>
        <w:gridCol w:w="110"/>
        <w:gridCol w:w="60"/>
        <w:gridCol w:w="4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0"/>
              <w:jc w:val="left"/>
              <w:rPr>
                <w:rFonts w:ascii="ARIAL" w:hAnsi="ARIAL"/>
                <w:sz w:val="20"/>
              </w:rPr>
            </w:pPr>
            <w:r>
              <w:rPr>
                <w:rFonts w:ascii="ARIAL" w:hAnsi="ARIAL"/>
                <w:sz w:val="20"/>
              </w:rPr>
              <w:t xml:space="preserve">18% of our Board of Directors was ethnically diverse </w:t>
            </w:r>
          </w:p>
        </w:tc>
      </w:tr>
    </w:tbl>
    <w:p>
      <w:pPr>
        <w:pStyle w:val="TextBody"/>
        <w:bidi w:val="0"/>
        <w:spacing w:before="0" w:after="0"/>
        <w:jc w:val="left"/>
        <w:rPr/>
      </w:pPr>
      <w:r>
        <w:rPr/>
        <w:t> </w:t>
      </w:r>
    </w:p>
    <w:tbl>
      <w:tblPr>
        <w:tblW w:w="4060" w:type="dxa"/>
        <w:jc w:val="left"/>
        <w:tblInd w:w="0" w:type="dxa"/>
        <w:tblLayout w:type="fixed"/>
        <w:tblCellMar>
          <w:top w:w="0" w:type="dxa"/>
          <w:left w:w="0" w:type="dxa"/>
          <w:bottom w:w="0" w:type="dxa"/>
          <w:right w:w="0" w:type="dxa"/>
        </w:tblCellMar>
      </w:tblPr>
      <w:tblGrid>
        <w:gridCol w:w="75"/>
        <w:gridCol w:w="110"/>
        <w:gridCol w:w="60"/>
        <w:gridCol w:w="3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0"/>
              <w:jc w:val="left"/>
              <w:rPr>
                <w:rFonts w:ascii="ARIAL" w:hAnsi="ARIAL"/>
                <w:sz w:val="20"/>
              </w:rPr>
            </w:pPr>
            <w:r>
              <w:rPr>
                <w:rFonts w:ascii="ARIAL" w:hAnsi="ARIAL"/>
                <w:sz w:val="20"/>
              </w:rPr>
              <w:t xml:space="preserve">36% of our Board of Directors were women </w:t>
            </w:r>
          </w:p>
        </w:tc>
      </w:tr>
    </w:tbl>
    <w:p>
      <w:pPr>
        <w:pStyle w:val="TextBody"/>
        <w:bidi w:val="0"/>
        <w:spacing w:before="240" w:after="0"/>
        <w:jc w:val="left"/>
        <w:rPr>
          <w:rFonts w:ascii="ARIAL" w:hAnsi="ARIAL"/>
          <w:sz w:val="20"/>
        </w:rPr>
      </w:pPr>
      <w:r>
        <w:rPr>
          <w:rFonts w:ascii="ARIAL" w:hAnsi="ARIAL"/>
          <w:sz w:val="20"/>
        </w:rPr>
        <w:t xml:space="preserve">The future success of our company will depend, in part, on our continued ability to attract, develop and retain the best talent as we grow and scale the organization. Our talent acquisition and management strategies are designed to ensure that we create and develop a pipeline of outstanding physicians, clinical employees, and business leaders. A key component of our corporate sustainability and success is learning and development. We are intentional in our efforts to provide all employees opportunities to grow. Our training and development programs for employees focus on enhancing and developing talent within the Company. All of our employees can access the training of their choice on-demand through our learning and development platform. We are currently designing additional training programs and resources for both new hires and longer-tenured employees that will educate them on critical functional areas within the organization. </w:t>
      </w:r>
    </w:p>
    <w:p>
      <w:pPr>
        <w:pStyle w:val="TextBody"/>
        <w:bidi w:val="0"/>
        <w:spacing w:before="240" w:after="0"/>
        <w:jc w:val="left"/>
        <w:rPr>
          <w:rFonts w:ascii="ARIAL" w:hAnsi="ARIAL"/>
          <w:sz w:val="20"/>
        </w:rPr>
      </w:pPr>
      <w:r>
        <w:rPr>
          <w:rFonts w:ascii="ARIAL" w:hAnsi="ARIAL"/>
          <w:sz w:val="20"/>
        </w:rPr>
        <w:t xml:space="preserve">Our compensation and incentive plans are designed to attract, retain and reward employees by granting cash-based performance and stock-based awards. By motivating individuals to achieve business objectives and perform to the best of their abilities, they support the success of the Company and the increase of stockholder value. We also provide comprehensive medical benefits, a positive work/life balance, generous paid time off, health and wellness programs, and learning and development opportunities. We regularly evaluate each aspect of compensation and benefits to ensure they align with the market and our peers. </w:t>
      </w:r>
    </w:p>
    <w:p>
      <w:pPr>
        <w:pStyle w:val="TextBody"/>
        <w:bidi w:val="0"/>
        <w:spacing w:before="240" w:after="0"/>
        <w:jc w:val="left"/>
        <w:rPr>
          <w:rFonts w:ascii="ARIAL" w:hAnsi="ARIAL"/>
          <w:sz w:val="20"/>
        </w:rPr>
      </w:pPr>
      <w:r>
        <w:rPr>
          <w:rFonts w:ascii="ARIAL" w:hAnsi="ARIAL"/>
          <w:sz w:val="20"/>
        </w:rPr>
        <w:t xml:space="preserve">We value the safety of our employees and have created a largely remote-work environment during the pandemic. Our current workforce model has employees working in a hybrid-remote fashion, with some member-facing employees having returned to an in-person work environment. We plan on implementing a workforce strategy that further enhances our ability to attract the best talent nationally and continues to provide our employees with a healthy work-life balance. </w:t>
      </w:r>
    </w:p>
    <w:p>
      <w:pPr>
        <w:pStyle w:val="TextBody"/>
        <w:bidi w:val="0"/>
        <w:spacing w:before="240" w:after="0"/>
        <w:jc w:val="left"/>
        <w:rPr>
          <w:rFonts w:ascii="ARIAL" w:hAnsi="ARIAL"/>
          <w:sz w:val="20"/>
        </w:rPr>
      </w:pPr>
      <w:r>
        <w:rPr>
          <w:rFonts w:ascii="ARIAL" w:hAnsi="ARIAL"/>
          <w:sz w:val="20"/>
        </w:rPr>
        <w:t xml:space="preserve">Our Board believes that human resources management is an essential component of our continued growth and success. Management regularly reports to our Board for input on important decisions related to human resources, including corporate culture, safety, compliance, talent management, organizational development, compensation and benefits.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33 </w:t>
      </w:r>
      <w:r>
        <w:br w:type="page"/>
      </w:r>
    </w:p>
    <w:p>
      <w:pPr>
        <w:pStyle w:val="HorizontalLine"/>
        <w:bidi w:val="0"/>
        <w:jc w:val="left"/>
        <w:rPr/>
      </w:pPr>
      <w:r>
        <w:rPr/>
      </w:r>
    </w:p>
    <w:p>
      <w:pPr>
        <w:pStyle w:val="TextBody"/>
        <w:bidi w:val="0"/>
        <w:spacing w:before="0" w:after="0"/>
        <w:jc w:val="left"/>
        <w:rPr>
          <w:rFonts w:ascii="ARIAL" w:hAnsi="ARIAL"/>
          <w:b/>
          <w:i/>
          <w:color w:val="1F497D"/>
          <w:sz w:val="20"/>
        </w:rPr>
      </w:pPr>
      <w:r>
        <w:rPr>
          <w:rFonts w:ascii="ARIAL" w:hAnsi="ARIAL"/>
          <w:b/>
          <w:i/>
          <w:color w:val="1F497D"/>
          <w:sz w:val="20"/>
        </w:rPr>
        <w:t xml:space="preserve">Protecting Data Privacy </w:t>
      </w:r>
    </w:p>
    <w:p>
      <w:pPr>
        <w:pStyle w:val="TextBody"/>
        <w:bidi w:val="0"/>
        <w:spacing w:before="240" w:after="0"/>
        <w:jc w:val="left"/>
        <w:rPr>
          <w:rFonts w:ascii="ARIAL" w:hAnsi="ARIAL"/>
          <w:sz w:val="20"/>
        </w:rPr>
      </w:pPr>
      <w:r>
        <w:rPr>
          <w:rFonts w:ascii="ARIAL" w:hAnsi="ARIAL"/>
          <w:sz w:val="20"/>
        </w:rPr>
        <w:t xml:space="preserve">As we are a company that leverages data, technology and analytics to improve health care, we invest in long-term solutions to address current and foreseeable risks and threats to data security and privacy, while also enabling technological development that enhances the member experience. We recognize the critical importance of developing, implementing, and maintaining robust cybersecurity measures to safeguard our information systems and protect the confidentiality, integrity, and availability of our data. Our strict protection and security measures have resulted in zero security incident-related disruptions or downtime to our business continuity. </w:t>
      </w:r>
    </w:p>
    <w:p>
      <w:pPr>
        <w:pStyle w:val="TextBody"/>
        <w:bidi w:val="0"/>
        <w:spacing w:before="240" w:after="0"/>
        <w:jc w:val="left"/>
        <w:rPr>
          <w:rFonts w:ascii="ARIAL" w:hAnsi="ARIAL"/>
          <w:sz w:val="20"/>
        </w:rPr>
      </w:pPr>
      <w:r>
        <w:rPr>
          <w:rFonts w:ascii="ARIAL" w:hAnsi="ARIAL"/>
          <w:sz w:val="20"/>
        </w:rPr>
        <w:t xml:space="preserve">Our data security and privacy program is overseen by our Chief Information Security Officer who reports to our Chief Information Officer and Audit Committee of the Board. Our Chief Information Security Officer has served in that role since December 2022, has over 25 years of diverse leadership experience in the healthcare information space (including over 20 years as a certified information systems security professional and chief information security officer) and holds advanced degrees in information technology management and computer science. </w:t>
      </w:r>
    </w:p>
    <w:p>
      <w:pPr>
        <w:pStyle w:val="TextBody"/>
        <w:bidi w:val="0"/>
        <w:spacing w:before="240" w:after="0"/>
        <w:jc w:val="left"/>
        <w:rPr>
          <w:rFonts w:ascii="ARIAL" w:hAnsi="ARIAL"/>
          <w:sz w:val="20"/>
        </w:rPr>
      </w:pPr>
      <w:r>
        <w:rPr>
          <w:rFonts w:ascii="ARIAL" w:hAnsi="ARIAL"/>
          <w:sz w:val="20"/>
        </w:rPr>
        <w:t xml:space="preserve">In 2021, we received the externally validated HITRUST certification, the gold standard compliance framework in the health care industry. Through our data security and privacy program and policies, we adhere to the requirements of the Health Insurance Portability and Accountability Act of 1996 (HIPAA), other federal regulations and best practices within the health care industry. Moreover, our risk analysis methodology is consistent with ISO 27001, the Federal Information Security Management Act and the U.S. Department of Commerce National Institute of Standards and Technology and Center for Internet Security Special Publication 800-66. </w:t>
      </w:r>
    </w:p>
    <w:p>
      <w:pPr>
        <w:pStyle w:val="TextBody"/>
        <w:bidi w:val="0"/>
        <w:spacing w:before="240" w:after="0"/>
        <w:jc w:val="left"/>
        <w:rPr>
          <w:rFonts w:ascii="ARIAL" w:hAnsi="ARIAL"/>
          <w:sz w:val="20"/>
        </w:rPr>
      </w:pPr>
      <w:r>
        <w:rPr>
          <w:rFonts w:ascii="ARIAL" w:hAnsi="ARIAL"/>
          <w:sz w:val="20"/>
        </w:rPr>
        <w:t xml:space="preserve">We have designed and deployed a comprehensive cybersecurity risk management program that is embedded in our broader risk management framework, all of which is overseen by our Board of Directors. Our program is designed to include ongoing assessment of our critical assets; detection and analysis of potential threats; timely management of identified security risks; and prompt remediation planning and implementation. To successfully operate and monitor our security readiness, we maintain a data security and privacy team with substantial real-world experience to detect and respond to cybersecurity threats. Our multi-layered security is bolstered by technologies and partners and includes annual employee and vendor security awareness trainings, enhanced access control, data loss protection and vulnerability management, among other technical and process security controls. Our proprietary data architecture, AVA, incorporates high security controls around member data. Our information security program considers how attackers are using emerging technologies (such as artificial intelligence) to help inform our defensive tactics. Our team also regularly reviews emerging product technology to improve our capabilities. </w:t>
      </w:r>
    </w:p>
    <w:p>
      <w:pPr>
        <w:pStyle w:val="TextBody"/>
        <w:bidi w:val="0"/>
        <w:spacing w:before="240" w:after="0"/>
        <w:jc w:val="left"/>
        <w:rPr>
          <w:rFonts w:ascii="ARIAL" w:hAnsi="ARIAL"/>
          <w:b/>
          <w:color w:val="1F497D"/>
          <w:sz w:val="20"/>
        </w:rPr>
      </w:pPr>
      <w:bookmarkStart w:id="16" w:name="txa496243_14"/>
      <w:bookmarkEnd w:id="16"/>
      <w:r>
        <w:rPr>
          <w:rFonts w:ascii="ARIAL" w:hAnsi="ARIAL"/>
          <w:b/>
          <w:color w:val="1F497D"/>
          <w:sz w:val="20"/>
        </w:rPr>
        <w:t xml:space="preserve">Stockholder Engagement </w:t>
      </w:r>
    </w:p>
    <w:p>
      <w:pPr>
        <w:pStyle w:val="TextBody"/>
        <w:bidi w:val="0"/>
        <w:spacing w:before="240" w:after="0"/>
        <w:jc w:val="left"/>
        <w:rPr>
          <w:rFonts w:ascii="ARIAL" w:hAnsi="ARIAL"/>
          <w:sz w:val="20"/>
        </w:rPr>
      </w:pPr>
      <w:r>
        <w:rPr>
          <w:rFonts w:ascii="ARIAL" w:hAnsi="ARIAL"/>
          <w:sz w:val="20"/>
        </w:rPr>
        <w:t>We are committed to effective corporate governance that is designed to promote the long-term interests of our stockholders. We proactively engage with stockholders and other stakeholders throughout the year to learn more about their perspectives on significant issues, including company performance and strategy, executive compensation and ESG matters. This engagement helps us better understand stockholder priorities, gives us an opportunity to elaborate upon our initiatives and practices, and fosters constructive dialogue. Our senior management and investor relations teams maintain regular contact with a broad base of investors through quarterly earnings calls, investor conferences and roundtables and individual meetings. We take feedback and insights from our engagement with stockholders and other stakeholders into consideration as we review and evolve our practices and disclosures, and share this feedback with our Board, as appropriate. Our Lead Sponsors, our two largest stockholders, are represented by directors they have nominated to serve on our Board. See “—</w:t>
      </w:r>
      <w:r>
        <w:rPr>
          <w:rFonts w:ascii="ARIAL" w:hAnsi="ARIAL"/>
          <w:i/>
          <w:sz w:val="20"/>
        </w:rPr>
        <w:t>Board Composition and Director Independence</w:t>
      </w:r>
      <w:r>
        <w:rPr>
          <w:rFonts w:ascii="ARIAL" w:hAnsi="ARIAL"/>
          <w:sz w:val="20"/>
        </w:rPr>
        <w:t xml:space="preserve">” above.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34 </w:t>
      </w:r>
      <w:r>
        <w:br w:type="page"/>
      </w:r>
    </w:p>
    <w:p>
      <w:pPr>
        <w:pStyle w:val="HorizontalLine"/>
        <w:bidi w:val="0"/>
        <w:jc w:val="left"/>
        <w:rPr/>
      </w:pPr>
      <w:r>
        <w:rPr/>
      </w:r>
    </w:p>
    <w:p>
      <w:pPr>
        <w:pStyle w:val="TextBody"/>
        <w:bidi w:val="0"/>
        <w:spacing w:before="0" w:after="0"/>
        <w:jc w:val="left"/>
        <w:rPr>
          <w:rFonts w:ascii="ARIAL" w:hAnsi="ARIAL"/>
          <w:b/>
          <w:color w:val="1F497D"/>
          <w:sz w:val="20"/>
        </w:rPr>
      </w:pPr>
      <w:bookmarkStart w:id="17" w:name="txa496243_15"/>
      <w:bookmarkEnd w:id="17"/>
      <w:r>
        <w:rPr>
          <w:rFonts w:ascii="ARIAL" w:hAnsi="ARIAL"/>
          <w:b/>
          <w:color w:val="1F497D"/>
          <w:sz w:val="20"/>
        </w:rPr>
        <w:t xml:space="preserve">Family Relationships </w:t>
      </w:r>
    </w:p>
    <w:p>
      <w:pPr>
        <w:pStyle w:val="TextBody"/>
        <w:bidi w:val="0"/>
        <w:spacing w:before="240" w:after="0"/>
        <w:jc w:val="left"/>
        <w:rPr>
          <w:rFonts w:ascii="ARIAL" w:hAnsi="ARIAL"/>
          <w:sz w:val="20"/>
        </w:rPr>
      </w:pPr>
      <w:r>
        <w:rPr>
          <w:rFonts w:ascii="ARIAL" w:hAnsi="ARIAL"/>
          <w:sz w:val="20"/>
        </w:rPr>
        <w:t xml:space="preserve">There are no family relationships between any of our executive officers or directors. </w:t>
      </w:r>
    </w:p>
    <w:p>
      <w:pPr>
        <w:pStyle w:val="TextBody"/>
        <w:bidi w:val="0"/>
        <w:spacing w:before="240" w:after="0"/>
        <w:jc w:val="left"/>
        <w:rPr>
          <w:rFonts w:ascii="ARIAL" w:hAnsi="ARIAL"/>
          <w:b/>
          <w:color w:val="1F497D"/>
          <w:sz w:val="20"/>
        </w:rPr>
      </w:pPr>
      <w:bookmarkStart w:id="18" w:name="txa496243_16"/>
      <w:bookmarkEnd w:id="18"/>
      <w:r>
        <w:rPr>
          <w:rFonts w:ascii="ARIAL" w:hAnsi="ARIAL"/>
          <w:b/>
          <w:color w:val="1F497D"/>
          <w:sz w:val="20"/>
        </w:rPr>
        <w:t xml:space="preserve">Compensation Committee Interlocks and Insider Participation </w:t>
      </w:r>
    </w:p>
    <w:p>
      <w:pPr>
        <w:pStyle w:val="TextBody"/>
        <w:bidi w:val="0"/>
        <w:spacing w:before="240" w:after="0"/>
        <w:jc w:val="left"/>
        <w:rPr>
          <w:rFonts w:ascii="ARIAL" w:hAnsi="ARIAL"/>
          <w:sz w:val="20"/>
        </w:rPr>
      </w:pPr>
      <w:r>
        <w:rPr>
          <w:rFonts w:ascii="ARIAL" w:hAnsi="ARIAL"/>
          <w:sz w:val="20"/>
        </w:rPr>
        <w:t>Our Compensation Committee is composed of Mr. Carella, Ms. Kosecoff and Mr. Vorhoff. None of the directors who served on our Compensation Committee at any time during fiscal 2023 were officers or associates of the Company or were former officers or associates of the Company. Further, none of the members who served on our Compensation Committee at any time during fiscal 2023 had any relationship with our Company requiring disclosure under the section of this proxy statement entitled “</w:t>
      </w:r>
      <w:r>
        <w:rPr>
          <w:rFonts w:ascii="ARIAL" w:hAnsi="ARIAL"/>
          <w:i/>
          <w:sz w:val="20"/>
        </w:rPr>
        <w:t>Certain Relationships and Related Party Transactions</w:t>
      </w:r>
      <w:r>
        <w:rPr>
          <w:rFonts w:ascii="ARIAL" w:hAnsi="ARIAL"/>
          <w:sz w:val="20"/>
        </w:rPr>
        <w:t xml:space="preserve">.” </w:t>
      </w:r>
    </w:p>
    <w:p>
      <w:pPr>
        <w:pStyle w:val="TextBody"/>
        <w:bidi w:val="0"/>
        <w:spacing w:before="240" w:after="0"/>
        <w:jc w:val="left"/>
        <w:rPr>
          <w:rFonts w:ascii="ARIAL" w:hAnsi="ARIAL"/>
          <w:sz w:val="20"/>
        </w:rPr>
      </w:pPr>
      <w:r>
        <w:rPr>
          <w:rFonts w:ascii="ARIAL" w:hAnsi="ARIAL"/>
          <w:sz w:val="20"/>
        </w:rPr>
        <w:t xml:space="preserve">None of our executive officers currently serves, or in the past fiscal year has served, as a member of the board of directors or compensation committee of any entity that has one or more executive officers serving on our Board or Compensation Committee. </w:t>
      </w:r>
    </w:p>
    <w:p>
      <w:pPr>
        <w:pStyle w:val="TextBody"/>
        <w:bidi w:val="0"/>
        <w:spacing w:before="240" w:after="0"/>
        <w:jc w:val="left"/>
        <w:rPr>
          <w:rFonts w:ascii="ARIAL" w:hAnsi="ARIAL"/>
          <w:b/>
          <w:color w:val="1F497D"/>
          <w:sz w:val="20"/>
        </w:rPr>
      </w:pPr>
      <w:bookmarkStart w:id="19" w:name="txa496243_17"/>
      <w:bookmarkEnd w:id="19"/>
      <w:r>
        <w:rPr>
          <w:rFonts w:ascii="ARIAL" w:hAnsi="ARIAL"/>
          <w:b/>
          <w:color w:val="1F497D"/>
          <w:sz w:val="20"/>
        </w:rPr>
        <w:t xml:space="preserve">Code of Business Conduct and Ethics </w:t>
      </w:r>
    </w:p>
    <w:p>
      <w:pPr>
        <w:pStyle w:val="TextBody"/>
        <w:bidi w:val="0"/>
        <w:spacing w:before="120" w:after="0"/>
        <w:jc w:val="left"/>
        <w:rPr>
          <w:rFonts w:ascii="ARIAL" w:hAnsi="ARIAL"/>
          <w:sz w:val="20"/>
        </w:rPr>
      </w:pPr>
      <w:r>
        <w:rPr>
          <w:rFonts w:ascii="ARIAL" w:hAnsi="ARIAL"/>
          <w:sz w:val="20"/>
        </w:rPr>
        <w:t xml:space="preserve">We adopted a written code of business conduct and ethics that applies to our directors, executive officers and employees, including our principal executive officer, principal financial officer, principal accounting officer or controller, or persons performing similar functions. A current copy of the code is posted on the investor relations section of our corporate website at https://ir.alignmenthealth.com/. To the extent required by applicable rules adopted by the SEC and Nasdaq, we intend to disclose future amendments to certain provisions of the code, or waivers of such provisions granted to executive officers and directors, in this location on our website at https://ir.alignmenthealth.com/. </w:t>
      </w:r>
    </w:p>
    <w:p>
      <w:pPr>
        <w:pStyle w:val="TextBody"/>
        <w:bidi w:val="0"/>
        <w:spacing w:before="240" w:after="0"/>
        <w:jc w:val="left"/>
        <w:rPr>
          <w:rFonts w:ascii="ARIAL" w:hAnsi="ARIAL"/>
          <w:b/>
          <w:color w:val="1F497D"/>
          <w:sz w:val="20"/>
        </w:rPr>
      </w:pPr>
      <w:bookmarkStart w:id="20" w:name="txa496243_18"/>
      <w:bookmarkEnd w:id="20"/>
      <w:r>
        <w:rPr>
          <w:rFonts w:ascii="ARIAL" w:hAnsi="ARIAL"/>
          <w:b/>
          <w:color w:val="1F497D"/>
          <w:sz w:val="20"/>
        </w:rPr>
        <w:t xml:space="preserve">Insider Trading Policy; Hedging and Other Transactions </w:t>
      </w:r>
    </w:p>
    <w:p>
      <w:pPr>
        <w:pStyle w:val="TextBody"/>
        <w:bidi w:val="0"/>
        <w:spacing w:before="240" w:after="0"/>
        <w:jc w:val="left"/>
        <w:rPr>
          <w:rFonts w:ascii="ARIAL" w:hAnsi="ARIAL"/>
          <w:sz w:val="20"/>
        </w:rPr>
      </w:pPr>
      <w:r>
        <w:rPr>
          <w:rFonts w:ascii="ARIAL" w:hAnsi="ARIAL"/>
          <w:sz w:val="20"/>
        </w:rPr>
        <w:t xml:space="preserve">Our Insider Trading Policy prohibits all officers, directors, employees, family members and affiliated parties from buying, selling or engaging in transactions in our securities at any time while aware of material non-public information about the Company. It also prohibits them from disclosing material non-public information to persons outside the Company, i.e., “tipping.” These prohibitions apply to purchases and sales, as well as other types of transactions such as gifts, loans, contributions to a trust and broker-assisted cashless exercises of stock options. </w:t>
      </w:r>
    </w:p>
    <w:p>
      <w:pPr>
        <w:pStyle w:val="TextBody"/>
        <w:bidi w:val="0"/>
        <w:spacing w:before="240" w:after="0"/>
        <w:jc w:val="left"/>
        <w:rPr>
          <w:rFonts w:ascii="ARIAL" w:hAnsi="ARIAL"/>
          <w:sz w:val="20"/>
        </w:rPr>
      </w:pPr>
      <w:r>
        <w:rPr>
          <w:rFonts w:ascii="ARIAL" w:hAnsi="ARIAL"/>
          <w:sz w:val="20"/>
        </w:rPr>
        <w:t xml:space="preserve">Although we discourage speculative hedging transactions, under our Insider Trading Policy, we permit long-term hedging transactions that are designed to protect an individual’s investment in Company securities (i.e., the hedge must be for at least six months and relate to stock or options held by the individual). If an employee wishes to engage in any such transaction, the employee is required to pre-clear it in accordance with the procedures described in our Insider Trading Policy (even if the employee is not one of the persons otherwise required to submit his or her transaction in Company securities to pre-clearance). Alignment personnel and related parties are prohibited from purchasing Company securities on margin, pledging or otherwise granting a security interest in Company securities in margin accounts, engaging in short-sales and buying or selling puts, calls, options or other derivatives in respect of securities of the Company.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35 </w:t>
      </w:r>
      <w:r>
        <w:br w:type="page"/>
      </w:r>
    </w:p>
    <w:p>
      <w:pPr>
        <w:pStyle w:val="HorizontalLine"/>
        <w:bidi w:val="0"/>
        <w:jc w:val="left"/>
        <w:rPr/>
      </w:pPr>
      <w:r>
        <w:rPr/>
      </w:r>
    </w:p>
    <w:p>
      <w:pPr>
        <w:pStyle w:val="TextBody"/>
        <w:bidi w:val="0"/>
        <w:spacing w:before="0" w:after="0"/>
        <w:jc w:val="left"/>
        <w:rPr>
          <w:rFonts w:ascii="ARIAL" w:hAnsi="ARIAL"/>
          <w:b/>
          <w:color w:val="1F497D"/>
          <w:sz w:val="20"/>
        </w:rPr>
      </w:pPr>
      <w:bookmarkStart w:id="21" w:name="txa496243_19"/>
      <w:bookmarkEnd w:id="21"/>
      <w:r>
        <w:rPr>
          <w:rFonts w:ascii="ARIAL" w:hAnsi="ARIAL"/>
          <w:b/>
          <w:color w:val="1F497D"/>
          <w:sz w:val="20"/>
        </w:rPr>
        <w:t xml:space="preserve">Board Evaluation Practices </w:t>
      </w:r>
    </w:p>
    <w:p>
      <w:pPr>
        <w:pStyle w:val="TextBody"/>
        <w:bidi w:val="0"/>
        <w:spacing w:before="240" w:after="0"/>
        <w:jc w:val="left"/>
        <w:rPr>
          <w:rFonts w:ascii="ARIAL" w:hAnsi="ARIAL"/>
          <w:sz w:val="20"/>
        </w:rPr>
      </w:pPr>
      <w:r>
        <w:rPr>
          <w:rFonts w:ascii="ARIAL" w:hAnsi="ARIAL"/>
          <w:sz w:val="20"/>
        </w:rPr>
        <w:t xml:space="preserve">The Board is committed to a rigorous self-evaluation process. Through evaluation, directors annually review the Board’s performance, including areas where the Board feels it functions effectively, and most importantly, areas where the Board can improve. The NCGCC, with additional leadership from our Chairman and Lead Independent Director, initiates the annual Board evaluation process. We believe that having a review process for the Board and each committee helps to (i) ensure an adequate representation of requisite skills; (ii) encourage high levels of engagement from directors; and (iii) strengthen the overall effectiveness of our Board. These evaluations are typically in written form, although they may also be in oral questionnaire form and may be administered by Board members, management or third-party consultants.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48"/>
        <w:gridCol w:w="120"/>
        <w:gridCol w:w="8337"/>
      </w:tblGrid>
      <w:tr>
        <w:trPr/>
        <w:tc>
          <w:tcPr>
            <w:tcW w:w="17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37" w:type="dxa"/>
            <w:tcBorders/>
            <w:vAlign w:val="center"/>
          </w:tcPr>
          <w:p>
            <w:pPr>
              <w:pStyle w:val="TableContents"/>
              <w:bidi w:val="0"/>
              <w:spacing w:before="0" w:after="283"/>
              <w:jc w:val="left"/>
              <w:rPr>
                <w:sz w:val="4"/>
                <w:szCs w:val="4"/>
              </w:rPr>
            </w:pPr>
            <w:r>
              <w:rPr>
                <w:sz w:val="4"/>
                <w:szCs w:val="4"/>
              </w:rPr>
            </w:r>
          </w:p>
        </w:tc>
      </w:tr>
      <w:tr>
        <w:trPr/>
        <w:tc>
          <w:tcPr>
            <w:tcW w:w="1748" w:type="dxa"/>
            <w:tcBorders>
              <w:top w:val="single" w:sz="6" w:space="0" w:color="000000"/>
            </w:tcBorders>
            <w:tcMar>
              <w:top w:w="28" w:type="dxa"/>
            </w:tcMar>
            <w:vAlign w:val="center"/>
          </w:tcPr>
          <w:p>
            <w:pPr>
              <w:pStyle w:val="TableContents"/>
              <w:bidi w:val="0"/>
              <w:spacing w:before="0" w:after="283"/>
              <w:jc w:val="left"/>
              <w:rPr/>
            </w:pPr>
            <w:r>
              <w:rPr/>
              <w:t> </w:t>
            </w:r>
          </w:p>
        </w:tc>
        <w:tc>
          <w:tcPr>
            <w:tcW w:w="8457" w:type="dxa"/>
            <w:gridSpan w:val="2"/>
            <w:tcBorders>
              <w:top w:val="single" w:sz="6" w:space="0" w:color="000000"/>
            </w:tcBorders>
            <w:tcMar>
              <w:top w:w="28" w:type="dxa"/>
            </w:tcMar>
            <w:vAlign w:val="center"/>
          </w:tcPr>
          <w:p>
            <w:pPr>
              <w:pStyle w:val="TableContents"/>
              <w:bidi w:val="0"/>
              <w:spacing w:before="0" w:after="283"/>
              <w:jc w:val="left"/>
              <w:rPr/>
            </w:pPr>
            <w:r>
              <w:rPr/>
              <w:t> </w:t>
            </w:r>
          </w:p>
        </w:tc>
      </w:tr>
      <w:tr>
        <w:trPr/>
        <w:tc>
          <w:tcPr>
            <w:tcW w:w="1748" w:type="dxa"/>
            <w:tcBorders/>
            <w:vAlign w:val="center"/>
          </w:tcPr>
          <w:p>
            <w:pPr>
              <w:pStyle w:val="TableContents"/>
              <w:bidi w:val="0"/>
              <w:spacing w:before="0" w:after="0"/>
              <w:jc w:val="left"/>
              <w:rPr>
                <w:rFonts w:ascii="ARIAL" w:hAnsi="ARIAL"/>
                <w:b/>
                <w:color w:val="1F497D"/>
                <w:sz w:val="36"/>
              </w:rPr>
            </w:pPr>
            <w:r>
              <w:rPr>
                <w:rFonts w:ascii="ARIAL" w:hAnsi="ARIAL"/>
                <w:b/>
                <w:color w:val="1F497D"/>
                <w:sz w:val="36"/>
              </w:rPr>
              <w:t>1.</w:t>
            </w:r>
          </w:p>
          <w:p>
            <w:pPr>
              <w:pStyle w:val="TableContents"/>
              <w:bidi w:val="0"/>
              <w:spacing w:before="0" w:after="20"/>
              <w:jc w:val="left"/>
              <w:rPr>
                <w:rFonts w:ascii="ARIAL" w:hAnsi="ARIAL"/>
                <w:b/>
                <w:sz w:val="20"/>
              </w:rPr>
            </w:pPr>
            <w:r>
              <w:rPr>
                <w:rFonts w:ascii="ARIAL" w:hAnsi="ARIAL"/>
                <w:b/>
                <w:sz w:val="20"/>
              </w:rPr>
              <w:t>Review of Evaluation Process</w:t>
            </w:r>
          </w:p>
        </w:tc>
        <w:tc>
          <w:tcPr>
            <w:tcW w:w="120" w:type="dxa"/>
            <w:tcBorders/>
            <w:vAlign w:val="center"/>
          </w:tcPr>
          <w:p>
            <w:pPr>
              <w:pStyle w:val="TableContents"/>
              <w:bidi w:val="0"/>
              <w:spacing w:before="0" w:after="283"/>
              <w:jc w:val="left"/>
              <w:rPr/>
            </w:pPr>
            <w:r>
              <w:rPr/>
              <w:t>  </w:t>
            </w:r>
          </w:p>
        </w:tc>
        <w:tc>
          <w:tcPr>
            <w:tcW w:w="8337" w:type="dxa"/>
            <w:tcBorders/>
            <w:vAlign w:val="center"/>
          </w:tcPr>
          <w:p>
            <w:pPr>
              <w:pStyle w:val="TableContents"/>
              <w:bidi w:val="0"/>
              <w:spacing w:before="0" w:after="0"/>
              <w:jc w:val="left"/>
              <w:rPr>
                <w:rFonts w:ascii="ARIAL" w:hAnsi="ARIAL"/>
                <w:sz w:val="20"/>
              </w:rPr>
            </w:pPr>
            <w:r>
              <w:rPr>
                <w:rFonts w:ascii="ARIAL" w:hAnsi="ARIAL"/>
                <w:sz w:val="20"/>
              </w:rPr>
              <w:t>The NCGCC develops and oversees an annual self-evaluation process of the Board and its committees and determines the content of the evaluation questionnaires. The NCGCC may also consider whether to engage third-party consultants.</w:t>
            </w:r>
          </w:p>
          <w:p>
            <w:pPr>
              <w:pStyle w:val="TableContents"/>
              <w:bidi w:val="0"/>
              <w:spacing w:before="0" w:after="20"/>
              <w:jc w:val="left"/>
              <w:rPr/>
            </w:pPr>
            <w:r>
              <w:rPr/>
              <w:t> </w:t>
            </w:r>
          </w:p>
        </w:tc>
      </w:tr>
      <w:tr>
        <w:trPr/>
        <w:tc>
          <w:tcPr>
            <w:tcW w:w="1748" w:type="dxa"/>
            <w:tcBorders>
              <w:top w:val="single" w:sz="6" w:space="0" w:color="000000"/>
            </w:tcBorders>
            <w:shd w:fill="DBE5F1" w:val="clear"/>
            <w:tcMar>
              <w:top w:w="28" w:type="dxa"/>
            </w:tcMar>
            <w:vAlign w:val="center"/>
          </w:tcPr>
          <w:p>
            <w:pPr>
              <w:pStyle w:val="TableContents"/>
              <w:bidi w:val="0"/>
              <w:spacing w:before="0" w:after="283"/>
              <w:jc w:val="left"/>
              <w:rPr/>
            </w:pPr>
            <w:r>
              <w:rPr/>
              <w:t> </w:t>
            </w:r>
          </w:p>
        </w:tc>
        <w:tc>
          <w:tcPr>
            <w:tcW w:w="8457" w:type="dxa"/>
            <w:gridSpan w:val="2"/>
            <w:tcBorders>
              <w:top w:val="single" w:sz="6" w:space="0" w:color="000000"/>
            </w:tcBorders>
            <w:shd w:fill="DBE5F1" w:val="clear"/>
            <w:tcMar>
              <w:top w:w="28" w:type="dxa"/>
            </w:tcMar>
            <w:vAlign w:val="center"/>
          </w:tcPr>
          <w:p>
            <w:pPr>
              <w:pStyle w:val="TableContents"/>
              <w:bidi w:val="0"/>
              <w:spacing w:before="0" w:after="283"/>
              <w:jc w:val="left"/>
              <w:rPr/>
            </w:pPr>
            <w:r>
              <w:rPr/>
              <w:t> </w:t>
            </w:r>
          </w:p>
        </w:tc>
      </w:tr>
      <w:tr>
        <w:trPr/>
        <w:tc>
          <w:tcPr>
            <w:tcW w:w="1748" w:type="dxa"/>
            <w:tcBorders>
              <w:bottom w:val="single" w:sz="6" w:space="0" w:color="000000"/>
            </w:tcBorders>
            <w:shd w:fill="DBE5F1" w:val="clear"/>
            <w:tcMar>
              <w:bottom w:w="28" w:type="dxa"/>
            </w:tcMar>
            <w:vAlign w:val="center"/>
          </w:tcPr>
          <w:p>
            <w:pPr>
              <w:pStyle w:val="TableContents"/>
              <w:bidi w:val="0"/>
              <w:spacing w:before="0" w:after="0"/>
              <w:jc w:val="left"/>
              <w:rPr>
                <w:rFonts w:ascii="ARIAL" w:hAnsi="ARIAL"/>
                <w:b/>
                <w:color w:val="1F497D"/>
                <w:sz w:val="36"/>
              </w:rPr>
            </w:pPr>
            <w:r>
              <w:rPr>
                <w:rFonts w:ascii="ARIAL" w:hAnsi="ARIAL"/>
                <w:b/>
                <w:color w:val="1F497D"/>
                <w:sz w:val="36"/>
              </w:rPr>
              <w:t>2.</w:t>
            </w:r>
          </w:p>
          <w:p>
            <w:pPr>
              <w:pStyle w:val="TableContents"/>
              <w:bidi w:val="0"/>
              <w:spacing w:before="0" w:after="20"/>
              <w:jc w:val="left"/>
              <w:rPr>
                <w:rFonts w:ascii="ARIAL" w:hAnsi="ARIAL"/>
                <w:b/>
                <w:sz w:val="20"/>
              </w:rPr>
            </w:pPr>
            <w:r>
              <w:rPr>
                <w:rFonts w:ascii="ARIAL" w:hAnsi="ARIAL"/>
                <w:b/>
                <w:sz w:val="20"/>
              </w:rPr>
              <w:t>Questionnaires</w:t>
            </w:r>
          </w:p>
        </w:tc>
        <w:tc>
          <w:tcPr>
            <w:tcW w:w="120" w:type="dxa"/>
            <w:tcBorders>
              <w:bottom w:val="single" w:sz="6" w:space="0" w:color="000000"/>
            </w:tcBorders>
            <w:shd w:fill="DBE5F1" w:val="clear"/>
            <w:tcMar>
              <w:bottom w:w="28" w:type="dxa"/>
            </w:tcMar>
            <w:vAlign w:val="center"/>
          </w:tcPr>
          <w:p>
            <w:pPr>
              <w:pStyle w:val="TableContents"/>
              <w:bidi w:val="0"/>
              <w:spacing w:before="0" w:after="283"/>
              <w:jc w:val="left"/>
              <w:rPr/>
            </w:pPr>
            <w:r>
              <w:rPr/>
              <w:t>  </w:t>
            </w:r>
          </w:p>
        </w:tc>
        <w:tc>
          <w:tcPr>
            <w:tcW w:w="8337" w:type="dxa"/>
            <w:tcBorders>
              <w:bottom w:val="single" w:sz="6" w:space="0" w:color="000000"/>
            </w:tcBorders>
            <w:shd w:fill="DBE5F1" w:val="clear"/>
            <w:tcMar>
              <w:bottom w:w="28" w:type="dxa"/>
            </w:tcMar>
            <w:vAlign w:val="center"/>
          </w:tcPr>
          <w:p>
            <w:pPr>
              <w:pStyle w:val="TableContents"/>
              <w:bidi w:val="0"/>
              <w:spacing w:before="0" w:after="0"/>
              <w:jc w:val="left"/>
              <w:rPr>
                <w:rFonts w:ascii="ARIAL" w:hAnsi="ARIAL"/>
                <w:sz w:val="20"/>
              </w:rPr>
            </w:pPr>
            <w:r>
              <w:rPr>
                <w:rFonts w:ascii="ARIAL" w:hAnsi="ARIAL"/>
                <w:sz w:val="20"/>
              </w:rPr>
              <w:t>The Board evaluation typically consists of a written questionnaire containing qualitative scaled and open-ended questions related to the effectiveness of the Board during the prior year. The questionnaire hones in on specific areas of responsibility and critical attributes of the Board in order to solicit candid feedback from each director. Questionnaires include topics such as: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Board Performance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Board Composition, Skills and Diversity</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Board and Committee Meetings and Structure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Management Relations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Risk Oversight by Board and Committees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Process and Resources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20"/>
              </w:rPr>
              <w:t>Board Culture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The questionnaire also seeks practical input as to what the Board is doing well, areas in which the Board could improve and any undertakings that the Board should commence or terminate.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Another benefit of the questionnaire is that it allows each Board member to evaluate the effectiveness of the Chairman of the Board and the Lead Independent Director.</w:t>
            </w:r>
          </w:p>
          <w:p>
            <w:pPr>
              <w:pStyle w:val="TableContents"/>
              <w:bidi w:val="0"/>
              <w:spacing w:before="0" w:after="20"/>
              <w:jc w:val="left"/>
              <w:rPr/>
            </w:pPr>
            <w:r>
              <w:rPr/>
              <w:t> </w:t>
            </w:r>
          </w:p>
        </w:tc>
      </w:tr>
      <w:tr>
        <w:trPr/>
        <w:tc>
          <w:tcPr>
            <w:tcW w:w="1748" w:type="dxa"/>
            <w:tcBorders/>
            <w:vAlign w:val="center"/>
          </w:tcPr>
          <w:p>
            <w:pPr>
              <w:pStyle w:val="TableContents"/>
              <w:bidi w:val="0"/>
              <w:spacing w:before="0" w:after="283"/>
              <w:jc w:val="left"/>
              <w:rPr>
                <w:sz w:val="4"/>
                <w:szCs w:val="4"/>
              </w:rPr>
            </w:pPr>
            <w:r>
              <w:rPr>
                <w:sz w:val="4"/>
                <w:szCs w:val="4"/>
              </w:rPr>
            </w:r>
          </w:p>
        </w:tc>
        <w:tc>
          <w:tcPr>
            <w:tcW w:w="8457" w:type="dxa"/>
            <w:gridSpan w:val="2"/>
            <w:tcBorders/>
            <w:vAlign w:val="center"/>
          </w:tcPr>
          <w:p>
            <w:pPr>
              <w:pStyle w:val="TableContents"/>
              <w:bidi w:val="0"/>
              <w:spacing w:before="0" w:after="283"/>
              <w:jc w:val="left"/>
              <w:rPr>
                <w:sz w:val="4"/>
                <w:szCs w:val="4"/>
              </w:rPr>
            </w:pPr>
            <w:r>
              <w:rPr>
                <w:sz w:val="4"/>
                <w:szCs w:val="4"/>
              </w:rPr>
            </w:r>
          </w:p>
        </w:tc>
      </w:tr>
      <w:tr>
        <w:trPr/>
        <w:tc>
          <w:tcPr>
            <w:tcW w:w="1748" w:type="dxa"/>
            <w:tcBorders>
              <w:bottom w:val="single" w:sz="6" w:space="0" w:color="000000"/>
            </w:tcBorders>
            <w:tcMar>
              <w:bottom w:w="28" w:type="dxa"/>
            </w:tcMar>
            <w:vAlign w:val="center"/>
          </w:tcPr>
          <w:p>
            <w:pPr>
              <w:pStyle w:val="TableContents"/>
              <w:bidi w:val="0"/>
              <w:spacing w:before="0" w:after="0"/>
              <w:jc w:val="left"/>
              <w:rPr>
                <w:rFonts w:ascii="ARIAL" w:hAnsi="ARIAL"/>
                <w:b/>
                <w:color w:val="1F497D"/>
                <w:sz w:val="36"/>
              </w:rPr>
            </w:pPr>
            <w:r>
              <w:rPr>
                <w:rFonts w:ascii="ARIAL" w:hAnsi="ARIAL"/>
                <w:b/>
                <w:color w:val="1F497D"/>
                <w:sz w:val="36"/>
              </w:rPr>
              <w:t>3.</w:t>
            </w:r>
          </w:p>
          <w:p>
            <w:pPr>
              <w:pStyle w:val="TableContents"/>
              <w:bidi w:val="0"/>
              <w:spacing w:before="0" w:after="20"/>
              <w:jc w:val="left"/>
              <w:rPr>
                <w:rFonts w:ascii="ARIAL" w:hAnsi="ARIAL"/>
                <w:b/>
                <w:sz w:val="20"/>
              </w:rPr>
            </w:pPr>
            <w:r>
              <w:rPr>
                <w:rFonts w:ascii="ARIAL" w:hAnsi="ARIAL"/>
                <w:b/>
                <w:sz w:val="20"/>
              </w:rPr>
              <w:t>Board Review</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8337" w:type="dxa"/>
            <w:tcBorders>
              <w:bottom w:val="single" w:sz="6" w:space="0" w:color="000000"/>
            </w:tcBorders>
            <w:tcMar>
              <w:bottom w:w="28" w:type="dxa"/>
            </w:tcMar>
            <w:vAlign w:val="center"/>
          </w:tcPr>
          <w:p>
            <w:pPr>
              <w:pStyle w:val="TableContents"/>
              <w:bidi w:val="0"/>
              <w:spacing w:before="0" w:after="0"/>
              <w:jc w:val="left"/>
              <w:rPr>
                <w:rFonts w:ascii="ARIAL" w:hAnsi="ARIAL"/>
                <w:sz w:val="20"/>
              </w:rPr>
            </w:pPr>
            <w:r>
              <w:rPr>
                <w:rFonts w:ascii="ARIAL" w:hAnsi="ARIAL"/>
                <w:sz w:val="20"/>
              </w:rPr>
              <w:t>Results of the evaluations are shared with the Chairman of the Board, the Lead Independent Director and the Chairman of the NCGCC and then later discussed with the entire Board in an aggregated manner.</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36 </w:t>
      </w:r>
      <w:r>
        <w:br w:type="page"/>
      </w:r>
    </w:p>
    <w:p>
      <w:pPr>
        <w:pStyle w:val="HorizontalLine"/>
        <w:bidi w:val="0"/>
        <w:jc w:val="left"/>
        <w:rPr/>
      </w:pPr>
      <w:r>
        <w:rPr/>
      </w:r>
    </w:p>
    <w:p>
      <w:pPr>
        <w:pStyle w:val="TextBody"/>
        <w:bidi w:val="0"/>
        <w:spacing w:before="0" w:after="0"/>
        <w:jc w:val="left"/>
        <w:rPr>
          <w:rFonts w:ascii="ARIAL" w:hAnsi="ARIAL"/>
          <w:sz w:val="20"/>
        </w:rPr>
      </w:pPr>
      <w:r>
        <w:rPr>
          <w:rFonts w:ascii="ARIAL" w:hAnsi="ARIAL"/>
          <w:sz w:val="20"/>
        </w:rPr>
        <w:t xml:space="preserve">Each of our Board committees similarly engages in an annual performance evaluation and a general charter adequacy review. Each committee is responsible for determining the manner of evaluation and for carrying out the evaluation. Further, the Board evaluation questionnaire includes a section specifically concerning Board committee structure and performance, which is an opportunity for Board members to provide feedback on each committee, regardless of their individual committee membership. As a result of their annual review of the adequacy of their charters, the Board approved revised charters for each of our standing committees in February 2023. </w:t>
      </w:r>
    </w:p>
    <w:p>
      <w:pPr>
        <w:pStyle w:val="TextBody"/>
        <w:bidi w:val="0"/>
        <w:spacing w:before="240" w:after="0"/>
        <w:jc w:val="left"/>
        <w:rPr>
          <w:rFonts w:ascii="ARIAL" w:hAnsi="ARIAL"/>
          <w:b/>
          <w:color w:val="1F497D"/>
          <w:sz w:val="20"/>
        </w:rPr>
      </w:pPr>
      <w:bookmarkStart w:id="22" w:name="txa496243_20"/>
      <w:bookmarkEnd w:id="22"/>
      <w:r>
        <w:rPr>
          <w:rFonts w:ascii="ARIAL" w:hAnsi="ARIAL"/>
          <w:b/>
          <w:color w:val="1F497D"/>
          <w:sz w:val="20"/>
        </w:rPr>
        <w:t xml:space="preserve">Board and Committee Meetings </w:t>
      </w:r>
    </w:p>
    <w:p>
      <w:pPr>
        <w:pStyle w:val="TextBody"/>
        <w:bidi w:val="0"/>
        <w:spacing w:before="120" w:after="0"/>
        <w:jc w:val="left"/>
        <w:rPr>
          <w:rFonts w:ascii="ARIAL" w:hAnsi="ARIAL"/>
          <w:sz w:val="20"/>
        </w:rPr>
      </w:pPr>
      <w:r>
        <w:rPr>
          <w:rFonts w:ascii="ARIAL" w:hAnsi="ARIAL"/>
          <w:sz w:val="20"/>
        </w:rPr>
        <w:t xml:space="preserve">For the year ended December 31, 2023, our Board held seven regular and special meetings. Our Audit Committee, Compensation Committee and NCGCC held four, six and three meetings, respectively during the year ended December 31, 2023. In 2023, except for Mr. Carella, each director attended at least 75% of the aggregate of (1) the total number of meetings of the Board of Directors of the Company (held during the period for which he or she was a director) and (2) the total number of meetings of all committees of the Board of Directors of the Company on which the director served (during the periods that he or she served). Mr. Carella attended approximately 70% of such meetings and was occasionally absent due to business scheduling conflicts. Directors are expected to attend the annual meeting of stockholders and all or substantially all of the Board meetings and meetings of committees on which they serve. All directors attended the annual meeting of stockholders in 2023. </w:t>
      </w:r>
    </w:p>
    <w:p>
      <w:pPr>
        <w:pStyle w:val="TextBody"/>
        <w:bidi w:val="0"/>
        <w:spacing w:before="240" w:after="0"/>
        <w:jc w:val="left"/>
        <w:rPr>
          <w:rFonts w:ascii="ARIAL" w:hAnsi="ARIAL"/>
          <w:b/>
          <w:color w:val="1F497D"/>
          <w:sz w:val="20"/>
        </w:rPr>
      </w:pPr>
      <w:bookmarkStart w:id="23" w:name="txa496243_21"/>
      <w:bookmarkEnd w:id="23"/>
      <w:r>
        <w:rPr>
          <w:rFonts w:ascii="ARIAL" w:hAnsi="ARIAL"/>
          <w:b/>
          <w:color w:val="1F497D"/>
          <w:sz w:val="20"/>
        </w:rPr>
        <w:t xml:space="preserve">Communications by Stockholders and Other Interested Parties with the Board </w:t>
      </w:r>
    </w:p>
    <w:p>
      <w:pPr>
        <w:pStyle w:val="TextBody"/>
        <w:bidi w:val="0"/>
        <w:spacing w:before="120" w:after="0"/>
        <w:jc w:val="left"/>
        <w:rPr>
          <w:rFonts w:ascii="ARIAL" w:hAnsi="ARIAL"/>
          <w:sz w:val="20"/>
        </w:rPr>
      </w:pPr>
      <w:r>
        <w:rPr>
          <w:rFonts w:ascii="ARIAL" w:hAnsi="ARIAL"/>
          <w:sz w:val="20"/>
        </w:rPr>
        <w:t xml:space="preserve">Stockholders and other interested parties may contact an individual director, the Board as a group, or a specified Board committee or group, including the non-management or non-Lead Sponsor directors as a group, by sending regular mail to: </w:t>
      </w:r>
    </w:p>
    <w:p>
      <w:pPr>
        <w:pStyle w:val="TextBody"/>
        <w:bidi w:val="0"/>
        <w:spacing w:before="240" w:after="0"/>
        <w:jc w:val="center"/>
        <w:rPr>
          <w:rFonts w:ascii="ARIAL" w:hAnsi="ARIAL"/>
          <w:sz w:val="20"/>
        </w:rPr>
      </w:pPr>
      <w:r>
        <w:rPr>
          <w:rFonts w:ascii="ARIAL" w:hAnsi="ARIAL"/>
          <w:sz w:val="20"/>
        </w:rPr>
        <w:t xml:space="preserve">Alignment Healthcare, Inc. </w:t>
      </w:r>
    </w:p>
    <w:p>
      <w:pPr>
        <w:pStyle w:val="TextBody"/>
        <w:bidi w:val="0"/>
        <w:spacing w:before="0" w:after="0"/>
        <w:jc w:val="center"/>
        <w:rPr>
          <w:rFonts w:ascii="ARIAL" w:hAnsi="ARIAL"/>
          <w:sz w:val="20"/>
        </w:rPr>
      </w:pPr>
      <w:r>
        <w:rPr>
          <w:rFonts w:ascii="ARIAL" w:hAnsi="ARIAL"/>
          <w:sz w:val="20"/>
        </w:rPr>
        <w:t xml:space="preserve">1100 W. Town &amp; Country Rd., Suite 1600 </w:t>
      </w:r>
    </w:p>
    <w:p>
      <w:pPr>
        <w:pStyle w:val="TextBody"/>
        <w:bidi w:val="0"/>
        <w:spacing w:before="0" w:after="0"/>
        <w:jc w:val="center"/>
        <w:rPr>
          <w:rFonts w:ascii="ARIAL" w:hAnsi="ARIAL"/>
          <w:sz w:val="20"/>
        </w:rPr>
      </w:pPr>
      <w:r>
        <w:rPr>
          <w:rFonts w:ascii="ARIAL" w:hAnsi="ARIAL"/>
          <w:sz w:val="20"/>
        </w:rPr>
        <w:t xml:space="preserve">Orange, CA 92868 </w:t>
      </w:r>
    </w:p>
    <w:p>
      <w:pPr>
        <w:pStyle w:val="TextBody"/>
        <w:bidi w:val="0"/>
        <w:spacing w:before="0" w:after="0"/>
        <w:jc w:val="center"/>
        <w:rPr>
          <w:rFonts w:ascii="ARIAL" w:hAnsi="ARIAL"/>
          <w:sz w:val="20"/>
        </w:rPr>
      </w:pPr>
      <w:r>
        <w:rPr>
          <w:rFonts w:ascii="ARIAL" w:hAnsi="ARIAL"/>
          <w:sz w:val="20"/>
        </w:rPr>
        <w:t xml:space="preserve">ATTN: Board of Directors </w:t>
      </w:r>
    </w:p>
    <w:p>
      <w:pPr>
        <w:pStyle w:val="TextBody"/>
        <w:bidi w:val="0"/>
        <w:spacing w:before="0" w:after="0"/>
        <w:jc w:val="center"/>
        <w:rPr>
          <w:rFonts w:ascii="ARIAL" w:hAnsi="ARIAL"/>
          <w:sz w:val="20"/>
        </w:rPr>
      </w:pPr>
      <w:r>
        <w:rPr>
          <w:rFonts w:ascii="ARIAL" w:hAnsi="ARIAL"/>
          <w:sz w:val="20"/>
        </w:rPr>
        <w:t xml:space="preserve">c/o Chief Legal &amp; Administrative Officer </w:t>
      </w:r>
    </w:p>
    <w:p>
      <w:pPr>
        <w:pStyle w:val="TextBody"/>
        <w:bidi w:val="0"/>
        <w:spacing w:before="240" w:after="0"/>
        <w:jc w:val="left"/>
        <w:rPr>
          <w:rFonts w:ascii="ARIAL" w:hAnsi="ARIAL"/>
          <w:sz w:val="20"/>
        </w:rPr>
      </w:pPr>
      <w:r>
        <w:rPr>
          <w:rFonts w:ascii="ARIAL" w:hAnsi="ARIAL"/>
          <w:sz w:val="20"/>
        </w:rPr>
        <w:t xml:space="preserve">Each communication should specify which director or directors the communication is addressed to, as well as the general topic of the communication. Alignment will receive the communications and process them before forwarding them to the addressee. Alignment may also refer communications to other departments within the Company. Alignment generally will not forward to the directors a communication that is primarily commercial in nature, relates to an improper or irrelevant topic, or requests general information regarding Alignment.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37 </w:t>
      </w:r>
      <w:r>
        <w:br w:type="page"/>
      </w:r>
    </w:p>
    <w:p>
      <w:pPr>
        <w:pStyle w:val="HorizontalLine"/>
        <w:bidi w:val="0"/>
        <w:jc w:val="left"/>
        <w:rPr/>
      </w:pPr>
      <w:r>
        <w:rPr/>
      </w:r>
    </w:p>
    <w:p>
      <w:pPr>
        <w:pStyle w:val="TextBody"/>
        <w:bidi w:val="0"/>
        <w:spacing w:before="0" w:after="0"/>
        <w:jc w:val="center"/>
        <w:rPr>
          <w:rFonts w:ascii="ARIAL" w:hAnsi="ARIAL"/>
          <w:b/>
          <w:sz w:val="20"/>
        </w:rPr>
      </w:pPr>
      <w:bookmarkStart w:id="24" w:name="txa496243_22"/>
      <w:bookmarkEnd w:id="24"/>
      <w:r>
        <w:rPr>
          <w:rFonts w:ascii="ARIAL" w:hAnsi="ARIAL"/>
          <w:b/>
          <w:sz w:val="20"/>
        </w:rPr>
        <w:t xml:space="preserve">EXECUTIVE OFFICERS </w:t>
      </w:r>
    </w:p>
    <w:p>
      <w:pPr>
        <w:pStyle w:val="TextBody"/>
        <w:bidi w:val="0"/>
        <w:spacing w:before="240" w:after="0"/>
        <w:jc w:val="left"/>
        <w:rPr>
          <w:rFonts w:ascii="ARIAL" w:hAnsi="ARIAL"/>
          <w:sz w:val="20"/>
        </w:rPr>
      </w:pPr>
      <w:r>
        <w:rPr>
          <w:rFonts w:ascii="ARIAL" w:hAnsi="ARIAL"/>
          <w:sz w:val="20"/>
        </w:rPr>
        <w:t xml:space="preserve">Below is a list of the names, ages, positions, and a brief account of the business experience of the individuals who serve as executive officers of Alignment as of [   ], 2024: </w:t>
      </w:r>
    </w:p>
    <w:p>
      <w:pPr>
        <w:pStyle w:val="TextBody"/>
        <w:bidi w:val="0"/>
        <w:spacing w:before="0" w:after="0"/>
        <w:jc w:val="left"/>
        <w:rPr/>
      </w:pPr>
      <w:r>
        <w:rPr/>
        <w:t> </w:t>
      </w:r>
    </w:p>
    <w:tbl>
      <w:tblPr>
        <w:tblW w:w="9120" w:type="dxa"/>
        <w:jc w:val="left"/>
        <w:tblInd w:w="0" w:type="dxa"/>
        <w:tblLayout w:type="fixed"/>
        <w:tblCellMar>
          <w:top w:w="0" w:type="dxa"/>
          <w:left w:w="0" w:type="dxa"/>
          <w:bottom w:w="0" w:type="dxa"/>
          <w:right w:w="0" w:type="dxa"/>
        </w:tblCellMar>
      </w:tblPr>
      <w:tblGrid>
        <w:gridCol w:w="2420"/>
        <w:gridCol w:w="240"/>
        <w:gridCol w:w="425"/>
        <w:gridCol w:w="120"/>
        <w:gridCol w:w="5915"/>
      </w:tblGrid>
      <w:tr>
        <w:trPr/>
        <w:tc>
          <w:tcPr>
            <w:tcW w:w="242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15" w:type="dxa"/>
            <w:tcBorders/>
            <w:vAlign w:val="center"/>
          </w:tcPr>
          <w:p>
            <w:pPr>
              <w:pStyle w:val="TableContents"/>
              <w:bidi w:val="0"/>
              <w:spacing w:before="0" w:after="283"/>
              <w:jc w:val="left"/>
              <w:rPr>
                <w:sz w:val="4"/>
                <w:szCs w:val="4"/>
              </w:rPr>
            </w:pPr>
            <w:r>
              <w:rPr>
                <w:sz w:val="4"/>
                <w:szCs w:val="4"/>
              </w:rPr>
            </w:r>
          </w:p>
        </w:tc>
      </w:tr>
      <w:tr>
        <w:trPr/>
        <w:tc>
          <w:tcPr>
            <w:tcW w:w="2420" w:type="dxa"/>
            <w:tcBorders/>
            <w:vAlign w:val="center"/>
          </w:tcPr>
          <w:p>
            <w:pPr>
              <w:pStyle w:val="TableContents"/>
              <w:bidi w:val="0"/>
              <w:spacing w:before="0" w:after="283"/>
              <w:jc w:val="left"/>
              <w:rPr>
                <w:b/>
              </w:rPr>
            </w:pPr>
            <w:r>
              <w:rPr>
                <w:b/>
              </w:rPr>
              <w:t>Name</w:t>
            </w:r>
          </w:p>
        </w:tc>
        <w:tc>
          <w:tcPr>
            <w:tcW w:w="24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b/>
              </w:rPr>
            </w:pPr>
            <w:r>
              <w:rPr>
                <w:b/>
              </w:rPr>
              <w:t>Age</w:t>
            </w:r>
          </w:p>
        </w:tc>
        <w:tc>
          <w:tcPr>
            <w:tcW w:w="12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283"/>
              <w:jc w:val="left"/>
              <w:rPr>
                <w:b/>
              </w:rPr>
            </w:pPr>
            <w:r>
              <w:rPr>
                <w:b/>
              </w:rPr>
              <w:t>Position</w:t>
            </w:r>
          </w:p>
        </w:tc>
      </w:tr>
      <w:tr>
        <w:trPr/>
        <w:tc>
          <w:tcPr>
            <w:tcW w:w="242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665" w:type="dxa"/>
            <w:gridSpan w:val="2"/>
            <w:tcBorders>
              <w:top w:val="single" w:sz="8" w:space="0" w:color="95B3D7"/>
              <w:left w:val="single" w:sz="6" w:space="0" w:color="95B3D7"/>
              <w:right w:val="single" w:sz="6" w:space="0" w:color="95B3D7"/>
            </w:tcBorders>
            <w:shd w:fill="DBE5F1" w:val="clear"/>
            <w:tcMar>
              <w:top w:w="28" w:type="dxa"/>
              <w:left w:w="28" w:type="dxa"/>
              <w:right w:w="28" w:type="dxa"/>
            </w:tcMar>
            <w:vAlign w:val="center"/>
          </w:tcPr>
          <w:p>
            <w:pPr>
              <w:pStyle w:val="TableContents"/>
              <w:bidi w:val="0"/>
              <w:spacing w:before="0" w:after="283"/>
              <w:jc w:val="left"/>
              <w:rPr/>
            </w:pPr>
            <w:r>
              <w:rPr/>
              <w:t> </w:t>
            </w:r>
          </w:p>
        </w:tc>
        <w:tc>
          <w:tcPr>
            <w:tcW w:w="6035" w:type="dxa"/>
            <w:gridSpan w:val="2"/>
            <w:tcBorders>
              <w:top w:val="single" w:sz="8" w:space="0" w:color="95B3D7"/>
            </w:tcBorders>
            <w:shd w:fill="DBE5F1" w:val="clear"/>
            <w:tcMar>
              <w:top w:w="28" w:type="dxa"/>
            </w:tcMar>
            <w:vAlign w:val="center"/>
          </w:tcPr>
          <w:p>
            <w:pPr>
              <w:pStyle w:val="TableContents"/>
              <w:bidi w:val="0"/>
              <w:spacing w:before="0" w:after="283"/>
              <w:jc w:val="left"/>
              <w:rPr/>
            </w:pPr>
            <w:r>
              <w:rPr/>
              <w:t> </w:t>
            </w:r>
          </w:p>
        </w:tc>
      </w:tr>
      <w:tr>
        <w:trPr/>
        <w:tc>
          <w:tcPr>
            <w:tcW w:w="2420" w:type="dxa"/>
            <w:tcBorders>
              <w:bottom w:val="single" w:sz="6" w:space="0" w:color="95B3D7"/>
            </w:tcBorders>
            <w:shd w:fill="DBE5F1" w:val="clear"/>
            <w:tcMar>
              <w:bottom w:w="120" w:type="dxa"/>
            </w:tcMar>
            <w:vAlign w:val="center"/>
          </w:tcPr>
          <w:p>
            <w:pPr>
              <w:pStyle w:val="TableContents"/>
              <w:bidi w:val="0"/>
              <w:spacing w:before="0" w:after="283"/>
              <w:jc w:val="left"/>
              <w:rPr/>
            </w:pPr>
            <w:r>
              <w:rPr/>
              <w:t>John Kao</w:t>
            </w:r>
          </w:p>
        </w:tc>
        <w:tc>
          <w:tcPr>
            <w:tcW w:w="240" w:type="dxa"/>
            <w:tcBorders>
              <w:left w:val="single" w:sz="6" w:space="0" w:color="95B3D7"/>
              <w:bottom w:val="single" w:sz="6" w:space="0" w:color="95B3D7"/>
            </w:tcBorders>
            <w:shd w:fill="DBE5F1" w:val="clear"/>
            <w:tcMar>
              <w:left w:w="28" w:type="dxa"/>
              <w:bottom w:w="28" w:type="dxa"/>
            </w:tcMar>
            <w:vAlign w:val="center"/>
          </w:tcPr>
          <w:p>
            <w:pPr>
              <w:pStyle w:val="TableContents"/>
              <w:bidi w:val="0"/>
              <w:spacing w:before="0" w:after="283"/>
              <w:jc w:val="left"/>
              <w:rPr/>
            </w:pPr>
            <w:r>
              <w:rPr/>
              <w:t>    </w:t>
            </w:r>
          </w:p>
        </w:tc>
        <w:tc>
          <w:tcPr>
            <w:tcW w:w="425" w:type="dxa"/>
            <w:tcBorders>
              <w:bottom w:val="single" w:sz="6" w:space="0" w:color="95B3D7"/>
              <w:right w:val="single" w:sz="6" w:space="0" w:color="95B3D7"/>
            </w:tcBorders>
            <w:shd w:fill="DBE5F1" w:val="clear"/>
            <w:tcMar>
              <w:bottom w:w="120" w:type="dxa"/>
              <w:right w:w="28" w:type="dxa"/>
            </w:tcMar>
            <w:vAlign w:val="center"/>
          </w:tcPr>
          <w:p>
            <w:pPr>
              <w:pStyle w:val="TableContents"/>
              <w:bidi w:val="0"/>
              <w:spacing w:before="0" w:after="283"/>
              <w:jc w:val="left"/>
              <w:rPr/>
            </w:pPr>
            <w:r>
              <w:rPr/>
              <w:t>62</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5915" w:type="dxa"/>
            <w:tcBorders>
              <w:bottom w:val="single" w:sz="6" w:space="0" w:color="95B3D7"/>
            </w:tcBorders>
            <w:shd w:fill="DBE5F1" w:val="clear"/>
            <w:tcMar>
              <w:bottom w:w="120" w:type="dxa"/>
            </w:tcMar>
            <w:vAlign w:val="center"/>
          </w:tcPr>
          <w:p>
            <w:pPr>
              <w:pStyle w:val="TableContents"/>
              <w:bidi w:val="0"/>
              <w:spacing w:before="0" w:after="283"/>
              <w:jc w:val="left"/>
              <w:rPr/>
            </w:pPr>
            <w:r>
              <w:rPr/>
              <w:t>Director and Chief Executive Officer</w:t>
            </w:r>
          </w:p>
        </w:tc>
      </w:tr>
      <w:tr>
        <w:trPr/>
        <w:tc>
          <w:tcPr>
            <w:tcW w:w="2420" w:type="dxa"/>
            <w:tcBorders/>
            <w:shd w:fill="FFFFFF" w:val="clear"/>
            <w:vAlign w:val="center"/>
          </w:tcPr>
          <w:p>
            <w:pPr>
              <w:pStyle w:val="TableContents"/>
              <w:bidi w:val="0"/>
              <w:spacing w:before="0" w:after="283"/>
              <w:jc w:val="left"/>
              <w:rPr>
                <w:sz w:val="4"/>
                <w:szCs w:val="4"/>
              </w:rPr>
            </w:pPr>
            <w:r>
              <w:rPr>
                <w:sz w:val="4"/>
                <w:szCs w:val="4"/>
              </w:rPr>
            </w:r>
          </w:p>
        </w:tc>
        <w:tc>
          <w:tcPr>
            <w:tcW w:w="665" w:type="dxa"/>
            <w:gridSpan w:val="2"/>
            <w:tcBorders>
              <w:left w:val="single" w:sz="6" w:space="0" w:color="95B3D7"/>
              <w:right w:val="single" w:sz="6" w:space="0" w:color="95B3D7"/>
            </w:tcBorders>
            <w:shd w:fill="FFFFFF" w:val="clear"/>
            <w:tcMar>
              <w:left w:w="28" w:type="dxa"/>
              <w:right w:w="28" w:type="dxa"/>
            </w:tcMar>
            <w:vAlign w:val="center"/>
          </w:tcPr>
          <w:p>
            <w:pPr>
              <w:pStyle w:val="TableContents"/>
              <w:bidi w:val="0"/>
              <w:spacing w:before="0" w:after="283"/>
              <w:jc w:val="left"/>
              <w:rPr/>
            </w:pPr>
            <w:r>
              <w:rPr/>
              <w:t> </w:t>
            </w:r>
          </w:p>
        </w:tc>
        <w:tc>
          <w:tcPr>
            <w:tcW w:w="6035" w:type="dxa"/>
            <w:gridSpan w:val="2"/>
            <w:tcBorders/>
            <w:shd w:fill="FFFFFF" w:val="clear"/>
            <w:vAlign w:val="center"/>
          </w:tcPr>
          <w:p>
            <w:pPr>
              <w:pStyle w:val="TableContents"/>
              <w:bidi w:val="0"/>
              <w:spacing w:before="0" w:after="283"/>
              <w:jc w:val="left"/>
              <w:rPr>
                <w:sz w:val="4"/>
                <w:szCs w:val="4"/>
              </w:rPr>
            </w:pPr>
            <w:r>
              <w:rPr>
                <w:sz w:val="4"/>
                <w:szCs w:val="4"/>
              </w:rPr>
            </w:r>
          </w:p>
        </w:tc>
      </w:tr>
      <w:tr>
        <w:trPr/>
        <w:tc>
          <w:tcPr>
            <w:tcW w:w="2420" w:type="dxa"/>
            <w:tcBorders>
              <w:bottom w:val="single" w:sz="6" w:space="0" w:color="95B3D7"/>
            </w:tcBorders>
            <w:shd w:fill="FFFFFF" w:val="clear"/>
            <w:tcMar>
              <w:bottom w:w="120" w:type="dxa"/>
            </w:tcMar>
            <w:vAlign w:val="center"/>
          </w:tcPr>
          <w:p>
            <w:pPr>
              <w:pStyle w:val="TableContents"/>
              <w:bidi w:val="0"/>
              <w:spacing w:before="0" w:after="283"/>
              <w:jc w:val="left"/>
              <w:rPr/>
            </w:pPr>
            <w:r>
              <w:rPr/>
              <w:t>Dawn Maroney</w:t>
            </w:r>
          </w:p>
        </w:tc>
        <w:tc>
          <w:tcPr>
            <w:tcW w:w="240" w:type="dxa"/>
            <w:tcBorders>
              <w:left w:val="single" w:sz="6" w:space="0" w:color="95B3D7"/>
              <w:bottom w:val="single" w:sz="6" w:space="0" w:color="95B3D7"/>
            </w:tcBorders>
            <w:shd w:fill="FFFFFF" w:val="clear"/>
            <w:tcMar>
              <w:left w:w="28" w:type="dxa"/>
              <w:bottom w:w="28" w:type="dxa"/>
            </w:tcMar>
            <w:vAlign w:val="center"/>
          </w:tcPr>
          <w:p>
            <w:pPr>
              <w:pStyle w:val="TableContents"/>
              <w:bidi w:val="0"/>
              <w:spacing w:before="0" w:after="283"/>
              <w:jc w:val="left"/>
              <w:rPr/>
            </w:pPr>
            <w:r>
              <w:rPr/>
              <w:t>    </w:t>
            </w:r>
          </w:p>
        </w:tc>
        <w:tc>
          <w:tcPr>
            <w:tcW w:w="425" w:type="dxa"/>
            <w:tcBorders>
              <w:bottom w:val="single" w:sz="6" w:space="0" w:color="95B3D7"/>
              <w:right w:val="single" w:sz="6" w:space="0" w:color="95B3D7"/>
            </w:tcBorders>
            <w:shd w:fill="FFFFFF" w:val="clear"/>
            <w:tcMar>
              <w:bottom w:w="120" w:type="dxa"/>
              <w:right w:w="28" w:type="dxa"/>
            </w:tcMar>
            <w:vAlign w:val="center"/>
          </w:tcPr>
          <w:p>
            <w:pPr>
              <w:pStyle w:val="TableContents"/>
              <w:bidi w:val="0"/>
              <w:spacing w:before="0" w:after="283"/>
              <w:jc w:val="left"/>
              <w:rPr/>
            </w:pPr>
            <w:r>
              <w:rPr/>
              <w:t>56</w:t>
            </w:r>
          </w:p>
        </w:tc>
        <w:tc>
          <w:tcPr>
            <w:tcW w:w="120" w:type="dxa"/>
            <w:tcBorders>
              <w:bottom w:val="single" w:sz="6" w:space="0" w:color="95B3D7"/>
            </w:tcBorders>
            <w:shd w:fill="FFFFFF" w:val="clear"/>
            <w:tcMar>
              <w:bottom w:w="28" w:type="dxa"/>
            </w:tcMar>
            <w:vAlign w:val="center"/>
          </w:tcPr>
          <w:p>
            <w:pPr>
              <w:pStyle w:val="TableContents"/>
              <w:bidi w:val="0"/>
              <w:spacing w:before="0" w:after="283"/>
              <w:jc w:val="left"/>
              <w:rPr/>
            </w:pPr>
            <w:r>
              <w:rPr/>
              <w:t>  </w:t>
            </w:r>
          </w:p>
        </w:tc>
        <w:tc>
          <w:tcPr>
            <w:tcW w:w="5915" w:type="dxa"/>
            <w:tcBorders>
              <w:bottom w:val="single" w:sz="6" w:space="0" w:color="95B3D7"/>
            </w:tcBorders>
            <w:shd w:fill="FFFFFF" w:val="clear"/>
            <w:tcMar>
              <w:bottom w:w="120" w:type="dxa"/>
            </w:tcMar>
            <w:vAlign w:val="center"/>
          </w:tcPr>
          <w:p>
            <w:pPr>
              <w:pStyle w:val="TableContents"/>
              <w:bidi w:val="0"/>
              <w:spacing w:before="0" w:after="283"/>
              <w:jc w:val="left"/>
              <w:rPr/>
            </w:pPr>
            <w:r>
              <w:rPr/>
              <w:t>President, Markets</w:t>
            </w:r>
          </w:p>
        </w:tc>
      </w:tr>
      <w:tr>
        <w:trPr/>
        <w:tc>
          <w:tcPr>
            <w:tcW w:w="2420" w:type="dxa"/>
            <w:tcBorders/>
            <w:shd w:fill="DBE5F1" w:val="clear"/>
            <w:vAlign w:val="center"/>
          </w:tcPr>
          <w:p>
            <w:pPr>
              <w:pStyle w:val="TableContents"/>
              <w:bidi w:val="0"/>
              <w:spacing w:before="0" w:after="283"/>
              <w:jc w:val="left"/>
              <w:rPr>
                <w:sz w:val="4"/>
                <w:szCs w:val="4"/>
              </w:rPr>
            </w:pPr>
            <w:r>
              <w:rPr>
                <w:sz w:val="4"/>
                <w:szCs w:val="4"/>
              </w:rPr>
            </w:r>
          </w:p>
        </w:tc>
        <w:tc>
          <w:tcPr>
            <w:tcW w:w="665" w:type="dxa"/>
            <w:gridSpan w:val="2"/>
            <w:tcBorders>
              <w:left w:val="single" w:sz="6" w:space="0" w:color="95B3D7"/>
              <w:right w:val="single" w:sz="6" w:space="0" w:color="95B3D7"/>
            </w:tcBorders>
            <w:shd w:fill="DBE5F1" w:val="clear"/>
            <w:tcMar>
              <w:left w:w="28" w:type="dxa"/>
              <w:right w:w="28" w:type="dxa"/>
            </w:tcMar>
            <w:vAlign w:val="center"/>
          </w:tcPr>
          <w:p>
            <w:pPr>
              <w:pStyle w:val="TableContents"/>
              <w:bidi w:val="0"/>
              <w:spacing w:before="0" w:after="283"/>
              <w:jc w:val="left"/>
              <w:rPr/>
            </w:pPr>
            <w:r>
              <w:rPr/>
              <w:t> </w:t>
            </w:r>
          </w:p>
        </w:tc>
        <w:tc>
          <w:tcPr>
            <w:tcW w:w="6035" w:type="dxa"/>
            <w:gridSpan w:val="2"/>
            <w:tcBorders/>
            <w:shd w:fill="DBE5F1" w:val="clear"/>
            <w:vAlign w:val="center"/>
          </w:tcPr>
          <w:p>
            <w:pPr>
              <w:pStyle w:val="TableContents"/>
              <w:bidi w:val="0"/>
              <w:spacing w:before="0" w:after="283"/>
              <w:jc w:val="left"/>
              <w:rPr>
                <w:sz w:val="4"/>
                <w:szCs w:val="4"/>
              </w:rPr>
            </w:pPr>
            <w:r>
              <w:rPr>
                <w:sz w:val="4"/>
                <w:szCs w:val="4"/>
              </w:rPr>
            </w:r>
          </w:p>
        </w:tc>
      </w:tr>
      <w:tr>
        <w:trPr/>
        <w:tc>
          <w:tcPr>
            <w:tcW w:w="2420" w:type="dxa"/>
            <w:tcBorders>
              <w:bottom w:val="single" w:sz="6" w:space="0" w:color="95B3D7"/>
            </w:tcBorders>
            <w:shd w:fill="DBE5F1" w:val="clear"/>
            <w:tcMar>
              <w:bottom w:w="120" w:type="dxa"/>
            </w:tcMar>
            <w:vAlign w:val="center"/>
          </w:tcPr>
          <w:p>
            <w:pPr>
              <w:pStyle w:val="TableContents"/>
              <w:bidi w:val="0"/>
              <w:spacing w:before="0" w:after="283"/>
              <w:jc w:val="left"/>
              <w:rPr/>
            </w:pPr>
            <w:r>
              <w:rPr/>
              <w:t>Thomas Freeman</w:t>
            </w:r>
          </w:p>
        </w:tc>
        <w:tc>
          <w:tcPr>
            <w:tcW w:w="240" w:type="dxa"/>
            <w:tcBorders>
              <w:left w:val="single" w:sz="6" w:space="0" w:color="95B3D7"/>
              <w:bottom w:val="single" w:sz="6" w:space="0" w:color="95B3D7"/>
            </w:tcBorders>
            <w:shd w:fill="DBE5F1" w:val="clear"/>
            <w:tcMar>
              <w:left w:w="28" w:type="dxa"/>
              <w:bottom w:w="28" w:type="dxa"/>
            </w:tcMar>
            <w:vAlign w:val="center"/>
          </w:tcPr>
          <w:p>
            <w:pPr>
              <w:pStyle w:val="TableContents"/>
              <w:bidi w:val="0"/>
              <w:spacing w:before="0" w:after="283"/>
              <w:jc w:val="left"/>
              <w:rPr/>
            </w:pPr>
            <w:r>
              <w:rPr/>
              <w:t>    </w:t>
            </w:r>
          </w:p>
        </w:tc>
        <w:tc>
          <w:tcPr>
            <w:tcW w:w="425" w:type="dxa"/>
            <w:tcBorders>
              <w:bottom w:val="single" w:sz="6" w:space="0" w:color="95B3D7"/>
              <w:right w:val="single" w:sz="6" w:space="0" w:color="95B3D7"/>
            </w:tcBorders>
            <w:shd w:fill="DBE5F1" w:val="clear"/>
            <w:tcMar>
              <w:bottom w:w="120" w:type="dxa"/>
              <w:right w:w="28" w:type="dxa"/>
            </w:tcMar>
            <w:vAlign w:val="center"/>
          </w:tcPr>
          <w:p>
            <w:pPr>
              <w:pStyle w:val="TableContents"/>
              <w:bidi w:val="0"/>
              <w:spacing w:before="0" w:after="283"/>
              <w:jc w:val="left"/>
              <w:rPr/>
            </w:pPr>
            <w:r>
              <w:rPr/>
              <w:t>35</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5915" w:type="dxa"/>
            <w:tcBorders>
              <w:bottom w:val="single" w:sz="6" w:space="0" w:color="95B3D7"/>
            </w:tcBorders>
            <w:shd w:fill="DBE5F1" w:val="clear"/>
            <w:tcMar>
              <w:bottom w:w="120" w:type="dxa"/>
            </w:tcMar>
            <w:vAlign w:val="center"/>
          </w:tcPr>
          <w:p>
            <w:pPr>
              <w:pStyle w:val="TableContents"/>
              <w:bidi w:val="0"/>
              <w:spacing w:before="0" w:after="283"/>
              <w:jc w:val="left"/>
              <w:rPr/>
            </w:pPr>
            <w:r>
              <w:rPr/>
              <w:t>Chief Financial Officer</w:t>
            </w:r>
          </w:p>
        </w:tc>
      </w:tr>
      <w:tr>
        <w:trPr/>
        <w:tc>
          <w:tcPr>
            <w:tcW w:w="2420" w:type="dxa"/>
            <w:tcBorders/>
            <w:shd w:fill="FFFFFF" w:val="clear"/>
            <w:vAlign w:val="center"/>
          </w:tcPr>
          <w:p>
            <w:pPr>
              <w:pStyle w:val="TableContents"/>
              <w:bidi w:val="0"/>
              <w:spacing w:before="0" w:after="283"/>
              <w:jc w:val="left"/>
              <w:rPr>
                <w:sz w:val="4"/>
                <w:szCs w:val="4"/>
              </w:rPr>
            </w:pPr>
            <w:r>
              <w:rPr>
                <w:sz w:val="4"/>
                <w:szCs w:val="4"/>
              </w:rPr>
            </w:r>
          </w:p>
        </w:tc>
        <w:tc>
          <w:tcPr>
            <w:tcW w:w="665" w:type="dxa"/>
            <w:gridSpan w:val="2"/>
            <w:tcBorders>
              <w:left w:val="single" w:sz="6" w:space="0" w:color="95B3D7"/>
              <w:right w:val="single" w:sz="6" w:space="0" w:color="95B3D7"/>
            </w:tcBorders>
            <w:shd w:fill="FFFFFF" w:val="clear"/>
            <w:tcMar>
              <w:left w:w="28" w:type="dxa"/>
              <w:right w:w="28" w:type="dxa"/>
            </w:tcMar>
            <w:vAlign w:val="center"/>
          </w:tcPr>
          <w:p>
            <w:pPr>
              <w:pStyle w:val="TableContents"/>
              <w:bidi w:val="0"/>
              <w:spacing w:before="0" w:after="283"/>
              <w:jc w:val="left"/>
              <w:rPr/>
            </w:pPr>
            <w:r>
              <w:rPr/>
              <w:t> </w:t>
            </w:r>
          </w:p>
        </w:tc>
        <w:tc>
          <w:tcPr>
            <w:tcW w:w="6035" w:type="dxa"/>
            <w:gridSpan w:val="2"/>
            <w:tcBorders/>
            <w:shd w:fill="FFFFFF" w:val="clear"/>
            <w:vAlign w:val="center"/>
          </w:tcPr>
          <w:p>
            <w:pPr>
              <w:pStyle w:val="TableContents"/>
              <w:bidi w:val="0"/>
              <w:spacing w:before="0" w:after="283"/>
              <w:jc w:val="left"/>
              <w:rPr>
                <w:sz w:val="4"/>
                <w:szCs w:val="4"/>
              </w:rPr>
            </w:pPr>
            <w:r>
              <w:rPr>
                <w:sz w:val="4"/>
                <w:szCs w:val="4"/>
              </w:rPr>
            </w:r>
          </w:p>
        </w:tc>
      </w:tr>
      <w:tr>
        <w:trPr/>
        <w:tc>
          <w:tcPr>
            <w:tcW w:w="2420" w:type="dxa"/>
            <w:tcBorders>
              <w:bottom w:val="single" w:sz="8" w:space="0" w:color="95B3D7"/>
            </w:tcBorders>
            <w:shd w:fill="FFFFFF" w:val="clear"/>
            <w:tcMar>
              <w:bottom w:w="120" w:type="dxa"/>
            </w:tcMar>
            <w:vAlign w:val="center"/>
          </w:tcPr>
          <w:p>
            <w:pPr>
              <w:pStyle w:val="TableContents"/>
              <w:bidi w:val="0"/>
              <w:spacing w:before="0" w:after="283"/>
              <w:jc w:val="left"/>
              <w:rPr/>
            </w:pPr>
            <w:r>
              <w:rPr/>
              <w:t>Hyong (Ken) Kim, M.D.</w:t>
            </w:r>
          </w:p>
        </w:tc>
        <w:tc>
          <w:tcPr>
            <w:tcW w:w="240" w:type="dxa"/>
            <w:tcBorders>
              <w:left w:val="single" w:sz="6" w:space="0" w:color="95B3D7"/>
              <w:bottom w:val="single" w:sz="8" w:space="0" w:color="95B3D7"/>
            </w:tcBorders>
            <w:shd w:fill="FFFFFF" w:val="clear"/>
            <w:tcMar>
              <w:left w:w="28" w:type="dxa"/>
              <w:bottom w:w="28" w:type="dxa"/>
            </w:tcMar>
            <w:vAlign w:val="center"/>
          </w:tcPr>
          <w:p>
            <w:pPr>
              <w:pStyle w:val="TableContents"/>
              <w:bidi w:val="0"/>
              <w:spacing w:before="0" w:after="283"/>
              <w:jc w:val="left"/>
              <w:rPr/>
            </w:pPr>
            <w:r>
              <w:rPr/>
              <w:t>    </w:t>
            </w:r>
          </w:p>
        </w:tc>
        <w:tc>
          <w:tcPr>
            <w:tcW w:w="425" w:type="dxa"/>
            <w:tcBorders>
              <w:bottom w:val="single" w:sz="8" w:space="0" w:color="95B3D7"/>
              <w:right w:val="single" w:sz="6" w:space="0" w:color="95B3D7"/>
            </w:tcBorders>
            <w:shd w:fill="FFFFFF" w:val="clear"/>
            <w:tcMar>
              <w:bottom w:w="120" w:type="dxa"/>
              <w:right w:w="28" w:type="dxa"/>
            </w:tcMar>
            <w:vAlign w:val="center"/>
          </w:tcPr>
          <w:p>
            <w:pPr>
              <w:pStyle w:val="TableContents"/>
              <w:bidi w:val="0"/>
              <w:spacing w:before="0" w:after="283"/>
              <w:jc w:val="left"/>
              <w:rPr/>
            </w:pPr>
            <w:r>
              <w:rPr/>
              <w:t>55</w:t>
            </w:r>
          </w:p>
        </w:tc>
        <w:tc>
          <w:tcPr>
            <w:tcW w:w="120" w:type="dxa"/>
            <w:tcBorders>
              <w:bottom w:val="single" w:sz="8" w:space="0" w:color="95B3D7"/>
            </w:tcBorders>
            <w:shd w:fill="FFFFFF" w:val="clear"/>
            <w:tcMar>
              <w:bottom w:w="28" w:type="dxa"/>
            </w:tcMar>
            <w:vAlign w:val="center"/>
          </w:tcPr>
          <w:p>
            <w:pPr>
              <w:pStyle w:val="TableContents"/>
              <w:bidi w:val="0"/>
              <w:spacing w:before="0" w:after="283"/>
              <w:jc w:val="left"/>
              <w:rPr/>
            </w:pPr>
            <w:r>
              <w:rPr/>
              <w:t>  </w:t>
            </w:r>
          </w:p>
        </w:tc>
        <w:tc>
          <w:tcPr>
            <w:tcW w:w="5915" w:type="dxa"/>
            <w:tcBorders>
              <w:bottom w:val="single" w:sz="8" w:space="0" w:color="95B3D7"/>
            </w:tcBorders>
            <w:shd w:fill="FFFFFF" w:val="clear"/>
            <w:tcMar>
              <w:bottom w:w="120" w:type="dxa"/>
            </w:tcMar>
            <w:vAlign w:val="center"/>
          </w:tcPr>
          <w:p>
            <w:pPr>
              <w:pStyle w:val="TableContents"/>
              <w:bidi w:val="0"/>
              <w:spacing w:before="0" w:after="283"/>
              <w:jc w:val="left"/>
              <w:rPr/>
            </w:pPr>
            <w:r>
              <w:rPr/>
              <w:t>Chief Medical Officer</w:t>
            </w:r>
          </w:p>
        </w:tc>
      </w:tr>
      <w:tr>
        <w:trPr/>
        <w:tc>
          <w:tcPr>
            <w:tcW w:w="2420" w:type="dxa"/>
            <w:tcBorders/>
            <w:shd w:fill="DBE5F1" w:val="clear"/>
            <w:vAlign w:val="center"/>
          </w:tcPr>
          <w:p>
            <w:pPr>
              <w:pStyle w:val="TableContents"/>
              <w:bidi w:val="0"/>
              <w:spacing w:before="0" w:after="283"/>
              <w:jc w:val="left"/>
              <w:rPr>
                <w:sz w:val="4"/>
                <w:szCs w:val="4"/>
              </w:rPr>
            </w:pPr>
            <w:r>
              <w:rPr>
                <w:sz w:val="4"/>
                <w:szCs w:val="4"/>
              </w:rPr>
            </w:r>
          </w:p>
        </w:tc>
        <w:tc>
          <w:tcPr>
            <w:tcW w:w="665" w:type="dxa"/>
            <w:gridSpan w:val="2"/>
            <w:tcBorders>
              <w:left w:val="single" w:sz="6" w:space="0" w:color="95B3D7"/>
              <w:right w:val="single" w:sz="6" w:space="0" w:color="95B3D7"/>
            </w:tcBorders>
            <w:shd w:fill="DBE5F1" w:val="clear"/>
            <w:tcMar>
              <w:left w:w="28" w:type="dxa"/>
              <w:right w:w="28" w:type="dxa"/>
            </w:tcMar>
            <w:vAlign w:val="center"/>
          </w:tcPr>
          <w:p>
            <w:pPr>
              <w:pStyle w:val="TableContents"/>
              <w:bidi w:val="0"/>
              <w:spacing w:before="0" w:after="283"/>
              <w:jc w:val="left"/>
              <w:rPr/>
            </w:pPr>
            <w:r>
              <w:rPr/>
              <w:t> </w:t>
            </w:r>
          </w:p>
        </w:tc>
        <w:tc>
          <w:tcPr>
            <w:tcW w:w="6035" w:type="dxa"/>
            <w:gridSpan w:val="2"/>
            <w:tcBorders/>
            <w:shd w:fill="DBE5F1" w:val="clear"/>
            <w:vAlign w:val="center"/>
          </w:tcPr>
          <w:p>
            <w:pPr>
              <w:pStyle w:val="TableContents"/>
              <w:bidi w:val="0"/>
              <w:spacing w:before="0" w:after="283"/>
              <w:jc w:val="left"/>
              <w:rPr>
                <w:sz w:val="4"/>
                <w:szCs w:val="4"/>
              </w:rPr>
            </w:pPr>
            <w:r>
              <w:rPr>
                <w:sz w:val="4"/>
                <w:szCs w:val="4"/>
              </w:rPr>
            </w:r>
          </w:p>
        </w:tc>
      </w:tr>
      <w:tr>
        <w:trPr/>
        <w:tc>
          <w:tcPr>
            <w:tcW w:w="2420" w:type="dxa"/>
            <w:tcBorders>
              <w:bottom w:val="single" w:sz="6" w:space="0" w:color="95B3D7"/>
            </w:tcBorders>
            <w:shd w:fill="DBE5F1" w:val="clear"/>
            <w:tcMar>
              <w:bottom w:w="120" w:type="dxa"/>
            </w:tcMar>
            <w:vAlign w:val="center"/>
          </w:tcPr>
          <w:p>
            <w:pPr>
              <w:pStyle w:val="TableContents"/>
              <w:bidi w:val="0"/>
              <w:spacing w:before="0" w:after="283"/>
              <w:jc w:val="left"/>
              <w:rPr/>
            </w:pPr>
            <w:r>
              <w:rPr/>
              <w:t>Hakan Kardes</w:t>
            </w:r>
          </w:p>
        </w:tc>
        <w:tc>
          <w:tcPr>
            <w:tcW w:w="240" w:type="dxa"/>
            <w:tcBorders>
              <w:left w:val="single" w:sz="6" w:space="0" w:color="95B3D7"/>
              <w:bottom w:val="single" w:sz="6" w:space="0" w:color="95B3D7"/>
            </w:tcBorders>
            <w:shd w:fill="DBE5F1" w:val="clear"/>
            <w:tcMar>
              <w:left w:w="28" w:type="dxa"/>
              <w:bottom w:w="28" w:type="dxa"/>
            </w:tcMar>
            <w:vAlign w:val="center"/>
          </w:tcPr>
          <w:p>
            <w:pPr>
              <w:pStyle w:val="TableContents"/>
              <w:bidi w:val="0"/>
              <w:spacing w:before="0" w:after="283"/>
              <w:jc w:val="left"/>
              <w:rPr/>
            </w:pPr>
            <w:r>
              <w:rPr/>
              <w:t>    </w:t>
            </w:r>
          </w:p>
        </w:tc>
        <w:tc>
          <w:tcPr>
            <w:tcW w:w="425" w:type="dxa"/>
            <w:tcBorders>
              <w:bottom w:val="single" w:sz="6" w:space="0" w:color="95B3D7"/>
              <w:right w:val="single" w:sz="6" w:space="0" w:color="95B3D7"/>
            </w:tcBorders>
            <w:shd w:fill="DBE5F1" w:val="clear"/>
            <w:tcMar>
              <w:bottom w:w="120" w:type="dxa"/>
              <w:right w:w="28" w:type="dxa"/>
            </w:tcMar>
            <w:vAlign w:val="center"/>
          </w:tcPr>
          <w:p>
            <w:pPr>
              <w:pStyle w:val="TableContents"/>
              <w:bidi w:val="0"/>
              <w:spacing w:before="0" w:after="283"/>
              <w:jc w:val="left"/>
              <w:rPr/>
            </w:pPr>
            <w:r>
              <w:rPr/>
              <w:t>37</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5915" w:type="dxa"/>
            <w:tcBorders>
              <w:bottom w:val="single" w:sz="6" w:space="0" w:color="95B3D7"/>
            </w:tcBorders>
            <w:shd w:fill="DBE5F1" w:val="clear"/>
            <w:tcMar>
              <w:bottom w:w="120" w:type="dxa"/>
            </w:tcMar>
            <w:vAlign w:val="center"/>
          </w:tcPr>
          <w:p>
            <w:pPr>
              <w:pStyle w:val="TableContents"/>
              <w:bidi w:val="0"/>
              <w:spacing w:before="0" w:after="283"/>
              <w:jc w:val="left"/>
              <w:rPr/>
            </w:pPr>
            <w:r>
              <w:rPr/>
              <w:t>Chief Experience Officer</w:t>
            </w:r>
          </w:p>
        </w:tc>
      </w:tr>
      <w:tr>
        <w:trPr/>
        <w:tc>
          <w:tcPr>
            <w:tcW w:w="2420" w:type="dxa"/>
            <w:tcBorders/>
            <w:shd w:fill="FFFFFF" w:val="clear"/>
            <w:vAlign w:val="center"/>
          </w:tcPr>
          <w:p>
            <w:pPr>
              <w:pStyle w:val="TableContents"/>
              <w:bidi w:val="0"/>
              <w:spacing w:before="0" w:after="283"/>
              <w:jc w:val="left"/>
              <w:rPr>
                <w:sz w:val="4"/>
                <w:szCs w:val="4"/>
              </w:rPr>
            </w:pPr>
            <w:r>
              <w:rPr>
                <w:sz w:val="4"/>
                <w:szCs w:val="4"/>
              </w:rPr>
            </w:r>
          </w:p>
        </w:tc>
        <w:tc>
          <w:tcPr>
            <w:tcW w:w="665" w:type="dxa"/>
            <w:gridSpan w:val="2"/>
            <w:tcBorders>
              <w:left w:val="single" w:sz="6" w:space="0" w:color="95B3D7"/>
              <w:right w:val="single" w:sz="6" w:space="0" w:color="95B3D7"/>
            </w:tcBorders>
            <w:shd w:fill="FFFFFF" w:val="clear"/>
            <w:tcMar>
              <w:left w:w="28" w:type="dxa"/>
              <w:right w:w="28" w:type="dxa"/>
            </w:tcMar>
            <w:vAlign w:val="center"/>
          </w:tcPr>
          <w:p>
            <w:pPr>
              <w:pStyle w:val="TableContents"/>
              <w:bidi w:val="0"/>
              <w:spacing w:before="0" w:after="283"/>
              <w:jc w:val="left"/>
              <w:rPr/>
            </w:pPr>
            <w:r>
              <w:rPr/>
              <w:t> </w:t>
            </w:r>
          </w:p>
        </w:tc>
        <w:tc>
          <w:tcPr>
            <w:tcW w:w="6035" w:type="dxa"/>
            <w:gridSpan w:val="2"/>
            <w:tcBorders/>
            <w:shd w:fill="FFFFFF" w:val="clear"/>
            <w:vAlign w:val="center"/>
          </w:tcPr>
          <w:p>
            <w:pPr>
              <w:pStyle w:val="TableContents"/>
              <w:bidi w:val="0"/>
              <w:spacing w:before="0" w:after="283"/>
              <w:jc w:val="left"/>
              <w:rPr>
                <w:sz w:val="4"/>
                <w:szCs w:val="4"/>
              </w:rPr>
            </w:pPr>
            <w:r>
              <w:rPr>
                <w:sz w:val="4"/>
                <w:szCs w:val="4"/>
              </w:rPr>
            </w:r>
          </w:p>
        </w:tc>
      </w:tr>
      <w:tr>
        <w:trPr/>
        <w:tc>
          <w:tcPr>
            <w:tcW w:w="2420" w:type="dxa"/>
            <w:tcBorders>
              <w:bottom w:val="single" w:sz="6" w:space="0" w:color="95B3D7"/>
            </w:tcBorders>
            <w:shd w:fill="FFFFFF" w:val="clear"/>
            <w:tcMar>
              <w:bottom w:w="120" w:type="dxa"/>
            </w:tcMar>
            <w:vAlign w:val="center"/>
          </w:tcPr>
          <w:p>
            <w:pPr>
              <w:pStyle w:val="TableContents"/>
              <w:bidi w:val="0"/>
              <w:spacing w:before="0" w:after="283"/>
              <w:jc w:val="left"/>
              <w:rPr/>
            </w:pPr>
            <w:r>
              <w:rPr/>
              <w:t>Robert L. Scavo</w:t>
            </w:r>
          </w:p>
        </w:tc>
        <w:tc>
          <w:tcPr>
            <w:tcW w:w="240" w:type="dxa"/>
            <w:tcBorders>
              <w:left w:val="single" w:sz="6" w:space="0" w:color="95B3D7"/>
              <w:bottom w:val="single" w:sz="6" w:space="0" w:color="95B3D7"/>
            </w:tcBorders>
            <w:shd w:fill="FFFFFF" w:val="clear"/>
            <w:tcMar>
              <w:left w:w="28" w:type="dxa"/>
              <w:bottom w:w="28" w:type="dxa"/>
            </w:tcMar>
            <w:vAlign w:val="center"/>
          </w:tcPr>
          <w:p>
            <w:pPr>
              <w:pStyle w:val="TableContents"/>
              <w:bidi w:val="0"/>
              <w:spacing w:before="0" w:after="283"/>
              <w:jc w:val="left"/>
              <w:rPr/>
            </w:pPr>
            <w:r>
              <w:rPr/>
              <w:t>    </w:t>
            </w:r>
          </w:p>
        </w:tc>
        <w:tc>
          <w:tcPr>
            <w:tcW w:w="425" w:type="dxa"/>
            <w:tcBorders>
              <w:bottom w:val="single" w:sz="6" w:space="0" w:color="95B3D7"/>
              <w:right w:val="single" w:sz="6" w:space="0" w:color="95B3D7"/>
            </w:tcBorders>
            <w:shd w:fill="FFFFFF" w:val="clear"/>
            <w:tcMar>
              <w:bottom w:w="120" w:type="dxa"/>
              <w:right w:w="28" w:type="dxa"/>
            </w:tcMar>
            <w:vAlign w:val="center"/>
          </w:tcPr>
          <w:p>
            <w:pPr>
              <w:pStyle w:val="TableContents"/>
              <w:bidi w:val="0"/>
              <w:spacing w:before="0" w:after="283"/>
              <w:jc w:val="left"/>
              <w:rPr/>
            </w:pPr>
            <w:r>
              <w:rPr/>
              <w:t>59</w:t>
            </w:r>
          </w:p>
        </w:tc>
        <w:tc>
          <w:tcPr>
            <w:tcW w:w="120" w:type="dxa"/>
            <w:tcBorders>
              <w:bottom w:val="single" w:sz="6" w:space="0" w:color="95B3D7"/>
            </w:tcBorders>
            <w:shd w:fill="FFFFFF" w:val="clear"/>
            <w:tcMar>
              <w:bottom w:w="28" w:type="dxa"/>
            </w:tcMar>
            <w:vAlign w:val="center"/>
          </w:tcPr>
          <w:p>
            <w:pPr>
              <w:pStyle w:val="TableContents"/>
              <w:bidi w:val="0"/>
              <w:spacing w:before="0" w:after="283"/>
              <w:jc w:val="left"/>
              <w:rPr/>
            </w:pPr>
            <w:r>
              <w:rPr/>
              <w:t>  </w:t>
            </w:r>
          </w:p>
        </w:tc>
        <w:tc>
          <w:tcPr>
            <w:tcW w:w="5915" w:type="dxa"/>
            <w:tcBorders>
              <w:bottom w:val="single" w:sz="6" w:space="0" w:color="95B3D7"/>
            </w:tcBorders>
            <w:shd w:fill="FFFFFF" w:val="clear"/>
            <w:tcMar>
              <w:bottom w:w="120" w:type="dxa"/>
            </w:tcMar>
            <w:vAlign w:val="center"/>
          </w:tcPr>
          <w:p>
            <w:pPr>
              <w:pStyle w:val="TableContents"/>
              <w:bidi w:val="0"/>
              <w:spacing w:before="0" w:after="283"/>
              <w:jc w:val="left"/>
              <w:rPr/>
            </w:pPr>
            <w:r>
              <w:rPr/>
              <w:t>Chief Information Officer</w:t>
            </w:r>
          </w:p>
        </w:tc>
      </w:tr>
      <w:tr>
        <w:trPr/>
        <w:tc>
          <w:tcPr>
            <w:tcW w:w="2420" w:type="dxa"/>
            <w:tcBorders/>
            <w:shd w:fill="DBE5F1" w:val="clear"/>
            <w:vAlign w:val="center"/>
          </w:tcPr>
          <w:p>
            <w:pPr>
              <w:pStyle w:val="TableContents"/>
              <w:bidi w:val="0"/>
              <w:spacing w:before="0" w:after="283"/>
              <w:jc w:val="left"/>
              <w:rPr>
                <w:sz w:val="4"/>
                <w:szCs w:val="4"/>
              </w:rPr>
            </w:pPr>
            <w:r>
              <w:rPr>
                <w:sz w:val="4"/>
                <w:szCs w:val="4"/>
              </w:rPr>
            </w:r>
          </w:p>
        </w:tc>
        <w:tc>
          <w:tcPr>
            <w:tcW w:w="665" w:type="dxa"/>
            <w:gridSpan w:val="2"/>
            <w:tcBorders>
              <w:left w:val="single" w:sz="6" w:space="0" w:color="95B3D7"/>
              <w:right w:val="single" w:sz="6" w:space="0" w:color="95B3D7"/>
            </w:tcBorders>
            <w:shd w:fill="DBE5F1" w:val="clear"/>
            <w:tcMar>
              <w:left w:w="28" w:type="dxa"/>
              <w:right w:w="28" w:type="dxa"/>
            </w:tcMar>
            <w:vAlign w:val="center"/>
          </w:tcPr>
          <w:p>
            <w:pPr>
              <w:pStyle w:val="TableContents"/>
              <w:bidi w:val="0"/>
              <w:spacing w:before="0" w:after="283"/>
              <w:jc w:val="left"/>
              <w:rPr/>
            </w:pPr>
            <w:r>
              <w:rPr/>
              <w:t> </w:t>
            </w:r>
          </w:p>
        </w:tc>
        <w:tc>
          <w:tcPr>
            <w:tcW w:w="6035" w:type="dxa"/>
            <w:gridSpan w:val="2"/>
            <w:tcBorders/>
            <w:shd w:fill="DBE5F1" w:val="clear"/>
            <w:vAlign w:val="center"/>
          </w:tcPr>
          <w:p>
            <w:pPr>
              <w:pStyle w:val="TableContents"/>
              <w:bidi w:val="0"/>
              <w:spacing w:before="0" w:after="283"/>
              <w:jc w:val="left"/>
              <w:rPr>
                <w:sz w:val="4"/>
                <w:szCs w:val="4"/>
              </w:rPr>
            </w:pPr>
            <w:r>
              <w:rPr>
                <w:sz w:val="4"/>
                <w:szCs w:val="4"/>
              </w:rPr>
            </w:r>
          </w:p>
        </w:tc>
      </w:tr>
      <w:tr>
        <w:trPr/>
        <w:tc>
          <w:tcPr>
            <w:tcW w:w="2420" w:type="dxa"/>
            <w:tcBorders>
              <w:bottom w:val="single" w:sz="6" w:space="0" w:color="95B3D7"/>
            </w:tcBorders>
            <w:shd w:fill="DBE5F1" w:val="clear"/>
            <w:tcMar>
              <w:bottom w:w="120" w:type="dxa"/>
            </w:tcMar>
            <w:vAlign w:val="center"/>
          </w:tcPr>
          <w:p>
            <w:pPr>
              <w:pStyle w:val="TableContents"/>
              <w:bidi w:val="0"/>
              <w:spacing w:before="0" w:after="283"/>
              <w:jc w:val="left"/>
              <w:rPr/>
            </w:pPr>
            <w:r>
              <w:rPr/>
              <w:t>Sebastian Burzacchi</w:t>
            </w:r>
          </w:p>
        </w:tc>
        <w:tc>
          <w:tcPr>
            <w:tcW w:w="240" w:type="dxa"/>
            <w:tcBorders>
              <w:left w:val="single" w:sz="6" w:space="0" w:color="95B3D7"/>
              <w:bottom w:val="single" w:sz="6" w:space="0" w:color="95B3D7"/>
            </w:tcBorders>
            <w:shd w:fill="DBE5F1" w:val="clear"/>
            <w:tcMar>
              <w:left w:w="28" w:type="dxa"/>
              <w:bottom w:w="28" w:type="dxa"/>
            </w:tcMar>
            <w:vAlign w:val="center"/>
          </w:tcPr>
          <w:p>
            <w:pPr>
              <w:pStyle w:val="TableContents"/>
              <w:bidi w:val="0"/>
              <w:spacing w:before="0" w:after="283"/>
              <w:jc w:val="left"/>
              <w:rPr/>
            </w:pPr>
            <w:r>
              <w:rPr/>
              <w:t>    </w:t>
            </w:r>
          </w:p>
        </w:tc>
        <w:tc>
          <w:tcPr>
            <w:tcW w:w="425" w:type="dxa"/>
            <w:tcBorders>
              <w:bottom w:val="single" w:sz="6" w:space="0" w:color="95B3D7"/>
              <w:right w:val="single" w:sz="6" w:space="0" w:color="95B3D7"/>
            </w:tcBorders>
            <w:shd w:fill="DBE5F1" w:val="clear"/>
            <w:tcMar>
              <w:bottom w:w="120" w:type="dxa"/>
              <w:right w:w="28" w:type="dxa"/>
            </w:tcMar>
            <w:vAlign w:val="center"/>
          </w:tcPr>
          <w:p>
            <w:pPr>
              <w:pStyle w:val="TableContents"/>
              <w:bidi w:val="0"/>
              <w:spacing w:before="0" w:after="283"/>
              <w:jc w:val="left"/>
              <w:rPr/>
            </w:pPr>
            <w:r>
              <w:rPr/>
              <w:t>43</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5915" w:type="dxa"/>
            <w:tcBorders>
              <w:bottom w:val="single" w:sz="6" w:space="0" w:color="95B3D7"/>
            </w:tcBorders>
            <w:shd w:fill="DBE5F1" w:val="clear"/>
            <w:tcMar>
              <w:bottom w:w="120" w:type="dxa"/>
            </w:tcMar>
            <w:vAlign w:val="center"/>
          </w:tcPr>
          <w:p>
            <w:pPr>
              <w:pStyle w:val="TableContents"/>
              <w:bidi w:val="0"/>
              <w:spacing w:before="0" w:after="283"/>
              <w:jc w:val="left"/>
              <w:rPr/>
            </w:pPr>
            <w:r>
              <w:rPr/>
              <w:t>Chief Operating Officer – Management Services Organization</w:t>
            </w:r>
          </w:p>
        </w:tc>
      </w:tr>
      <w:tr>
        <w:trPr/>
        <w:tc>
          <w:tcPr>
            <w:tcW w:w="2420" w:type="dxa"/>
            <w:tcBorders/>
            <w:shd w:fill="FFFFFF" w:val="clear"/>
            <w:vAlign w:val="center"/>
          </w:tcPr>
          <w:p>
            <w:pPr>
              <w:pStyle w:val="TableContents"/>
              <w:bidi w:val="0"/>
              <w:spacing w:before="0" w:after="283"/>
              <w:jc w:val="left"/>
              <w:rPr>
                <w:sz w:val="4"/>
                <w:szCs w:val="4"/>
              </w:rPr>
            </w:pPr>
            <w:r>
              <w:rPr>
                <w:sz w:val="4"/>
                <w:szCs w:val="4"/>
              </w:rPr>
            </w:r>
          </w:p>
        </w:tc>
        <w:tc>
          <w:tcPr>
            <w:tcW w:w="665" w:type="dxa"/>
            <w:gridSpan w:val="2"/>
            <w:tcBorders>
              <w:left w:val="single" w:sz="6" w:space="0" w:color="95B3D7"/>
              <w:right w:val="single" w:sz="6" w:space="0" w:color="95B3D7"/>
            </w:tcBorders>
            <w:shd w:fill="FFFFFF" w:val="clear"/>
            <w:tcMar>
              <w:left w:w="28" w:type="dxa"/>
              <w:right w:w="28" w:type="dxa"/>
            </w:tcMar>
            <w:vAlign w:val="center"/>
          </w:tcPr>
          <w:p>
            <w:pPr>
              <w:pStyle w:val="TableContents"/>
              <w:bidi w:val="0"/>
              <w:spacing w:before="0" w:after="283"/>
              <w:jc w:val="left"/>
              <w:rPr/>
            </w:pPr>
            <w:r>
              <w:rPr/>
              <w:t> </w:t>
            </w:r>
          </w:p>
        </w:tc>
        <w:tc>
          <w:tcPr>
            <w:tcW w:w="6035" w:type="dxa"/>
            <w:gridSpan w:val="2"/>
            <w:tcBorders/>
            <w:shd w:fill="FFFFFF" w:val="clear"/>
            <w:vAlign w:val="center"/>
          </w:tcPr>
          <w:p>
            <w:pPr>
              <w:pStyle w:val="TableContents"/>
              <w:bidi w:val="0"/>
              <w:spacing w:before="0" w:after="283"/>
              <w:jc w:val="left"/>
              <w:rPr>
                <w:sz w:val="4"/>
                <w:szCs w:val="4"/>
              </w:rPr>
            </w:pPr>
            <w:r>
              <w:rPr>
                <w:sz w:val="4"/>
                <w:szCs w:val="4"/>
              </w:rPr>
            </w:r>
          </w:p>
        </w:tc>
      </w:tr>
      <w:tr>
        <w:trPr/>
        <w:tc>
          <w:tcPr>
            <w:tcW w:w="2420" w:type="dxa"/>
            <w:tcBorders>
              <w:bottom w:val="single" w:sz="6" w:space="0" w:color="95B3D7"/>
            </w:tcBorders>
            <w:shd w:fill="FFFFFF" w:val="clear"/>
            <w:tcMar>
              <w:bottom w:w="120" w:type="dxa"/>
            </w:tcMar>
            <w:vAlign w:val="center"/>
          </w:tcPr>
          <w:p>
            <w:pPr>
              <w:pStyle w:val="TableContents"/>
              <w:bidi w:val="0"/>
              <w:spacing w:before="0" w:after="283"/>
              <w:jc w:val="left"/>
              <w:rPr/>
            </w:pPr>
            <w:r>
              <w:rPr/>
              <w:t>Christopher J. Joyce</w:t>
            </w:r>
          </w:p>
        </w:tc>
        <w:tc>
          <w:tcPr>
            <w:tcW w:w="240" w:type="dxa"/>
            <w:tcBorders>
              <w:left w:val="single" w:sz="6" w:space="0" w:color="95B3D7"/>
              <w:bottom w:val="single" w:sz="6" w:space="0" w:color="95B3D7"/>
            </w:tcBorders>
            <w:shd w:fill="FFFFFF" w:val="clear"/>
            <w:tcMar>
              <w:left w:w="28" w:type="dxa"/>
              <w:bottom w:w="28" w:type="dxa"/>
            </w:tcMar>
            <w:vAlign w:val="center"/>
          </w:tcPr>
          <w:p>
            <w:pPr>
              <w:pStyle w:val="TableContents"/>
              <w:bidi w:val="0"/>
              <w:spacing w:before="0" w:after="283"/>
              <w:jc w:val="left"/>
              <w:rPr/>
            </w:pPr>
            <w:r>
              <w:rPr/>
              <w:t>    </w:t>
            </w:r>
          </w:p>
        </w:tc>
        <w:tc>
          <w:tcPr>
            <w:tcW w:w="425" w:type="dxa"/>
            <w:tcBorders>
              <w:bottom w:val="single" w:sz="6" w:space="0" w:color="95B3D7"/>
              <w:right w:val="single" w:sz="6" w:space="0" w:color="95B3D7"/>
            </w:tcBorders>
            <w:shd w:fill="FFFFFF" w:val="clear"/>
            <w:tcMar>
              <w:bottom w:w="120" w:type="dxa"/>
              <w:right w:w="28" w:type="dxa"/>
            </w:tcMar>
            <w:vAlign w:val="center"/>
          </w:tcPr>
          <w:p>
            <w:pPr>
              <w:pStyle w:val="TableContents"/>
              <w:bidi w:val="0"/>
              <w:spacing w:before="0" w:after="283"/>
              <w:jc w:val="left"/>
              <w:rPr/>
            </w:pPr>
            <w:r>
              <w:rPr/>
              <w:t>60</w:t>
            </w:r>
          </w:p>
        </w:tc>
        <w:tc>
          <w:tcPr>
            <w:tcW w:w="120" w:type="dxa"/>
            <w:tcBorders>
              <w:bottom w:val="single" w:sz="6" w:space="0" w:color="95B3D7"/>
            </w:tcBorders>
            <w:shd w:fill="FFFFFF" w:val="clear"/>
            <w:tcMar>
              <w:bottom w:w="28" w:type="dxa"/>
            </w:tcMar>
            <w:vAlign w:val="center"/>
          </w:tcPr>
          <w:p>
            <w:pPr>
              <w:pStyle w:val="TableContents"/>
              <w:bidi w:val="0"/>
              <w:spacing w:before="0" w:after="283"/>
              <w:jc w:val="left"/>
              <w:rPr/>
            </w:pPr>
            <w:r>
              <w:rPr/>
              <w:t>  </w:t>
            </w:r>
          </w:p>
        </w:tc>
        <w:tc>
          <w:tcPr>
            <w:tcW w:w="5915" w:type="dxa"/>
            <w:tcBorders>
              <w:bottom w:val="single" w:sz="6" w:space="0" w:color="95B3D7"/>
            </w:tcBorders>
            <w:shd w:fill="FFFFFF" w:val="clear"/>
            <w:tcMar>
              <w:bottom w:w="120" w:type="dxa"/>
            </w:tcMar>
            <w:vAlign w:val="center"/>
          </w:tcPr>
          <w:p>
            <w:pPr>
              <w:pStyle w:val="TableContents"/>
              <w:bidi w:val="0"/>
              <w:spacing w:before="0" w:after="283"/>
              <w:jc w:val="left"/>
              <w:rPr/>
            </w:pPr>
            <w:r>
              <w:rPr/>
              <w:t>Chief Legal &amp; Administrative Officer</w:t>
            </w:r>
          </w:p>
        </w:tc>
      </w:tr>
      <w:tr>
        <w:trPr/>
        <w:tc>
          <w:tcPr>
            <w:tcW w:w="2420" w:type="dxa"/>
            <w:tcBorders/>
            <w:shd w:fill="DBE5F1" w:val="clear"/>
            <w:vAlign w:val="center"/>
          </w:tcPr>
          <w:p>
            <w:pPr>
              <w:pStyle w:val="TableContents"/>
              <w:bidi w:val="0"/>
              <w:spacing w:before="0" w:after="283"/>
              <w:jc w:val="left"/>
              <w:rPr>
                <w:sz w:val="4"/>
                <w:szCs w:val="4"/>
              </w:rPr>
            </w:pPr>
            <w:r>
              <w:rPr>
                <w:sz w:val="4"/>
                <w:szCs w:val="4"/>
              </w:rPr>
            </w:r>
          </w:p>
        </w:tc>
        <w:tc>
          <w:tcPr>
            <w:tcW w:w="665" w:type="dxa"/>
            <w:gridSpan w:val="2"/>
            <w:tcBorders>
              <w:left w:val="single" w:sz="6" w:space="0" w:color="95B3D7"/>
              <w:right w:val="single" w:sz="6" w:space="0" w:color="95B3D7"/>
            </w:tcBorders>
            <w:shd w:fill="DBE5F1" w:val="clear"/>
            <w:tcMar>
              <w:left w:w="28" w:type="dxa"/>
              <w:right w:w="28" w:type="dxa"/>
            </w:tcMar>
            <w:vAlign w:val="center"/>
          </w:tcPr>
          <w:p>
            <w:pPr>
              <w:pStyle w:val="TableContents"/>
              <w:bidi w:val="0"/>
              <w:spacing w:before="0" w:after="283"/>
              <w:jc w:val="left"/>
              <w:rPr/>
            </w:pPr>
            <w:r>
              <w:rPr/>
              <w:t> </w:t>
            </w:r>
          </w:p>
        </w:tc>
        <w:tc>
          <w:tcPr>
            <w:tcW w:w="6035" w:type="dxa"/>
            <w:gridSpan w:val="2"/>
            <w:tcBorders/>
            <w:shd w:fill="DBE5F1" w:val="clear"/>
            <w:vAlign w:val="center"/>
          </w:tcPr>
          <w:p>
            <w:pPr>
              <w:pStyle w:val="TableContents"/>
              <w:bidi w:val="0"/>
              <w:spacing w:before="0" w:after="283"/>
              <w:jc w:val="left"/>
              <w:rPr>
                <w:sz w:val="4"/>
                <w:szCs w:val="4"/>
              </w:rPr>
            </w:pPr>
            <w:r>
              <w:rPr>
                <w:sz w:val="4"/>
                <w:szCs w:val="4"/>
              </w:rPr>
            </w:r>
          </w:p>
        </w:tc>
      </w:tr>
      <w:tr>
        <w:trPr/>
        <w:tc>
          <w:tcPr>
            <w:tcW w:w="2420" w:type="dxa"/>
            <w:tcBorders>
              <w:bottom w:val="single" w:sz="8" w:space="0" w:color="95B3D7"/>
            </w:tcBorders>
            <w:shd w:fill="DBE5F1" w:val="clear"/>
            <w:tcMar>
              <w:bottom w:w="120" w:type="dxa"/>
            </w:tcMar>
            <w:vAlign w:val="center"/>
          </w:tcPr>
          <w:p>
            <w:pPr>
              <w:pStyle w:val="TableContents"/>
              <w:bidi w:val="0"/>
              <w:spacing w:before="0" w:after="283"/>
              <w:jc w:val="left"/>
              <w:rPr/>
            </w:pPr>
            <w:r>
              <w:rPr/>
              <w:t>Andreas Wagner</w:t>
            </w:r>
          </w:p>
        </w:tc>
        <w:tc>
          <w:tcPr>
            <w:tcW w:w="240" w:type="dxa"/>
            <w:tcBorders>
              <w:left w:val="single" w:sz="6"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425" w:type="dxa"/>
            <w:tcBorders>
              <w:bottom w:val="single" w:sz="8" w:space="0" w:color="95B3D7"/>
              <w:right w:val="single" w:sz="6" w:space="0" w:color="95B3D7"/>
            </w:tcBorders>
            <w:shd w:fill="DBE5F1" w:val="clear"/>
            <w:tcMar>
              <w:bottom w:w="120" w:type="dxa"/>
              <w:right w:w="28" w:type="dxa"/>
            </w:tcMar>
            <w:vAlign w:val="center"/>
          </w:tcPr>
          <w:p>
            <w:pPr>
              <w:pStyle w:val="TableContents"/>
              <w:bidi w:val="0"/>
              <w:spacing w:before="0" w:after="283"/>
              <w:jc w:val="left"/>
              <w:rPr/>
            </w:pPr>
            <w:r>
              <w:rPr/>
              <w:t>54</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5915" w:type="dxa"/>
            <w:tcBorders>
              <w:bottom w:val="single" w:sz="8" w:space="0" w:color="95B3D7"/>
            </w:tcBorders>
            <w:shd w:fill="DBE5F1" w:val="clear"/>
            <w:tcMar>
              <w:bottom w:w="120" w:type="dxa"/>
            </w:tcMar>
            <w:vAlign w:val="center"/>
          </w:tcPr>
          <w:p>
            <w:pPr>
              <w:pStyle w:val="TableContents"/>
              <w:bidi w:val="0"/>
              <w:spacing w:before="0" w:after="283"/>
              <w:jc w:val="left"/>
              <w:rPr/>
            </w:pPr>
            <w:r>
              <w:rPr/>
              <w:t>Chief Human Resources Officer</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96"/>
        <w:gridCol w:w="120"/>
        <w:gridCol w:w="8189"/>
      </w:tblGrid>
      <w:tr>
        <w:trPr/>
        <w:tc>
          <w:tcPr>
            <w:tcW w:w="18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89" w:type="dxa"/>
            <w:tcBorders/>
            <w:vAlign w:val="center"/>
          </w:tcPr>
          <w:p>
            <w:pPr>
              <w:pStyle w:val="TableContents"/>
              <w:bidi w:val="0"/>
              <w:spacing w:before="0" w:after="283"/>
              <w:jc w:val="left"/>
              <w:rPr>
                <w:sz w:val="4"/>
                <w:szCs w:val="4"/>
              </w:rPr>
            </w:pPr>
            <w:r>
              <w:rPr>
                <w:sz w:val="4"/>
                <w:szCs w:val="4"/>
              </w:rPr>
            </w:r>
          </w:p>
        </w:tc>
      </w:tr>
      <w:tr>
        <w:trPr/>
        <w:tc>
          <w:tcPr>
            <w:tcW w:w="1896" w:type="dxa"/>
            <w:tcBorders/>
            <w:vAlign w:val="center"/>
          </w:tcPr>
          <w:p>
            <w:pPr>
              <w:pStyle w:val="TableContents"/>
              <w:bidi w:val="0"/>
              <w:spacing w:before="0" w:after="0"/>
              <w:jc w:val="left"/>
              <w:rPr/>
            </w:pPr>
            <w:r>
              <w:rPr/>
              <w:drawing>
                <wp:inline distT="0" distB="0" distL="0" distR="0">
                  <wp:extent cx="1190625" cy="11144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90625" cy="1114425"/>
                          </a:xfrm>
                          <a:prstGeom prst="rect">
                            <a:avLst/>
                          </a:prstGeom>
                        </pic:spPr>
                      </pic:pic>
                    </a:graphicData>
                  </a:graphic>
                </wp:inline>
              </w:drawing>
            </w:r>
            <w:r>
              <w:rPr/>
              <w:t xml:space="preserve"> </w:t>
            </w:r>
          </w:p>
          <w:p>
            <w:pPr>
              <w:pStyle w:val="TableContents"/>
              <w:bidi w:val="0"/>
              <w:spacing w:before="0" w:after="20"/>
              <w:jc w:val="left"/>
              <w:rPr>
                <w:rFonts w:ascii="ARIAL" w:hAnsi="ARIAL"/>
                <w:i/>
                <w:color w:val="1F497D"/>
                <w:sz w:val="20"/>
              </w:rPr>
            </w:pPr>
            <w:r>
              <w:rPr>
                <w:rFonts w:ascii="ARIAL" w:hAnsi="ARIAL"/>
                <w:i/>
                <w:color w:val="1F497D"/>
                <w:sz w:val="20"/>
              </w:rPr>
              <w:t>John Kao</w:t>
            </w:r>
          </w:p>
        </w:tc>
        <w:tc>
          <w:tcPr>
            <w:tcW w:w="120" w:type="dxa"/>
            <w:tcBorders/>
            <w:vAlign w:val="center"/>
          </w:tcPr>
          <w:p>
            <w:pPr>
              <w:pStyle w:val="TableContents"/>
              <w:bidi w:val="0"/>
              <w:spacing w:before="0" w:after="283"/>
              <w:jc w:val="left"/>
              <w:rPr/>
            </w:pPr>
            <w:r>
              <w:rPr/>
              <w:t>  </w:t>
            </w:r>
          </w:p>
        </w:tc>
        <w:tc>
          <w:tcPr>
            <w:tcW w:w="8189" w:type="dxa"/>
            <w:tcBorders/>
            <w:vAlign w:val="center"/>
          </w:tcPr>
          <w:p>
            <w:pPr>
              <w:pStyle w:val="TableContents"/>
              <w:bidi w:val="0"/>
              <w:spacing w:before="0" w:after="283"/>
              <w:jc w:val="left"/>
              <w:rPr/>
            </w:pPr>
            <w:r>
              <w:rPr/>
              <w:t>Mr. Kao has served as our Chief Executive Officer and as a member of our Board since 2014. Please see “</w:t>
            </w:r>
            <w:r>
              <w:rPr>
                <w:i/>
              </w:rPr>
              <w:t>Proposal 1—Election of Directors—Director Nominees to Serve for a Three-Year Term Expiring at the 2027 Annual Meeting</w:t>
            </w:r>
            <w:r>
              <w:rPr/>
              <w:t>” for Mr. Kao’s biographical information.</w:t>
            </w:r>
          </w:p>
        </w:tc>
      </w:tr>
      <w:tr>
        <w:trPr/>
        <w:tc>
          <w:tcPr>
            <w:tcW w:w="1896" w:type="dxa"/>
            <w:tcBorders/>
            <w:vAlign w:val="center"/>
          </w:tcPr>
          <w:p>
            <w:pPr>
              <w:pStyle w:val="TableContents"/>
              <w:bidi w:val="0"/>
              <w:spacing w:before="0" w:after="283"/>
              <w:jc w:val="left"/>
              <w:rPr>
                <w:sz w:val="4"/>
                <w:szCs w:val="4"/>
              </w:rPr>
            </w:pPr>
            <w:r>
              <w:rPr>
                <w:sz w:val="4"/>
                <w:szCs w:val="4"/>
              </w:rPr>
            </w:r>
          </w:p>
        </w:tc>
        <w:tc>
          <w:tcPr>
            <w:tcW w:w="8309" w:type="dxa"/>
            <w:gridSpan w:val="2"/>
            <w:tcBorders/>
            <w:vAlign w:val="center"/>
          </w:tcPr>
          <w:p>
            <w:pPr>
              <w:pStyle w:val="TableContents"/>
              <w:bidi w:val="0"/>
              <w:spacing w:before="0" w:after="283"/>
              <w:jc w:val="left"/>
              <w:rPr>
                <w:sz w:val="4"/>
                <w:szCs w:val="4"/>
              </w:rPr>
            </w:pPr>
            <w:r>
              <w:rPr>
                <w:sz w:val="4"/>
                <w:szCs w:val="4"/>
              </w:rPr>
            </w:r>
          </w:p>
        </w:tc>
      </w:tr>
      <w:tr>
        <w:trPr/>
        <w:tc>
          <w:tcPr>
            <w:tcW w:w="1896" w:type="dxa"/>
            <w:tcBorders/>
            <w:vAlign w:val="center"/>
          </w:tcPr>
          <w:p>
            <w:pPr>
              <w:pStyle w:val="TableContents"/>
              <w:bidi w:val="0"/>
              <w:spacing w:before="0" w:after="0"/>
              <w:jc w:val="left"/>
              <w:rPr/>
            </w:pPr>
            <w:r>
              <w:rPr/>
              <w:drawing>
                <wp:inline distT="0" distB="0" distL="0" distR="0">
                  <wp:extent cx="1190625" cy="11144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90625" cy="1114425"/>
                          </a:xfrm>
                          <a:prstGeom prst="rect">
                            <a:avLst/>
                          </a:prstGeom>
                        </pic:spPr>
                      </pic:pic>
                    </a:graphicData>
                  </a:graphic>
                </wp:inline>
              </w:drawing>
            </w:r>
            <w:r>
              <w:rPr/>
              <w:t xml:space="preserve"> </w:t>
            </w:r>
          </w:p>
          <w:p>
            <w:pPr>
              <w:pStyle w:val="TableContents"/>
              <w:bidi w:val="0"/>
              <w:spacing w:before="0" w:after="20"/>
              <w:jc w:val="left"/>
              <w:rPr>
                <w:rFonts w:ascii="ARIAL" w:hAnsi="ARIAL"/>
                <w:i/>
                <w:color w:val="1F497D"/>
                <w:sz w:val="20"/>
              </w:rPr>
            </w:pPr>
            <w:r>
              <w:rPr>
                <w:rFonts w:ascii="ARIAL" w:hAnsi="ARIAL"/>
                <w:i/>
                <w:color w:val="1F497D"/>
                <w:sz w:val="20"/>
              </w:rPr>
              <w:t>Dawn Maroney</w:t>
            </w:r>
          </w:p>
        </w:tc>
        <w:tc>
          <w:tcPr>
            <w:tcW w:w="120" w:type="dxa"/>
            <w:tcBorders/>
            <w:vAlign w:val="center"/>
          </w:tcPr>
          <w:p>
            <w:pPr>
              <w:pStyle w:val="TableContents"/>
              <w:bidi w:val="0"/>
              <w:spacing w:before="0" w:after="283"/>
              <w:jc w:val="left"/>
              <w:rPr/>
            </w:pPr>
            <w:r>
              <w:rPr/>
              <w:t>  </w:t>
            </w:r>
          </w:p>
        </w:tc>
        <w:tc>
          <w:tcPr>
            <w:tcW w:w="8189" w:type="dxa"/>
            <w:tcBorders/>
            <w:vAlign w:val="center"/>
          </w:tcPr>
          <w:p>
            <w:pPr>
              <w:pStyle w:val="TableContents"/>
              <w:bidi w:val="0"/>
              <w:spacing w:before="0" w:after="283"/>
              <w:jc w:val="left"/>
              <w:rPr/>
            </w:pPr>
            <w:r>
              <w:rPr/>
              <w:t>Ms. Maroney has served as our President, Markets since 2015 and was our chief sales, product and marketing officer from 2014 to 2015. Prior to joining Alignment, she was chief Medicare officer for Blue Shield of California (formerly known as Care1st Health Plan) from 2013 to 2014 and was chief marketing and sales officer from 2011 to 2013. From 2005 to 2011, she was chief sales and marketing officer for CareMore Health Plan. Ms. Maroney also served as vice president, Medicare, at Secure Horizons from 2003 to 2005. From 1994 to 2003, she served in various roles at HealthNet, including as regional vice president from 1998 to 2003.</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38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905"/>
        <w:gridCol w:w="120"/>
        <w:gridCol w:w="8180"/>
      </w:tblGrid>
      <w:tr>
        <w:trPr/>
        <w:tc>
          <w:tcPr>
            <w:tcW w:w="1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80" w:type="dxa"/>
            <w:tcBorders/>
            <w:vAlign w:val="center"/>
          </w:tcPr>
          <w:p>
            <w:pPr>
              <w:pStyle w:val="TableContents"/>
              <w:bidi w:val="0"/>
              <w:spacing w:before="0" w:after="283"/>
              <w:jc w:val="left"/>
              <w:rPr>
                <w:sz w:val="4"/>
                <w:szCs w:val="4"/>
              </w:rPr>
            </w:pPr>
            <w:r>
              <w:rPr>
                <w:sz w:val="4"/>
                <w:szCs w:val="4"/>
              </w:rPr>
            </w:r>
          </w:p>
        </w:tc>
      </w:tr>
      <w:tr>
        <w:trPr/>
        <w:tc>
          <w:tcPr>
            <w:tcW w:w="1905" w:type="dxa"/>
            <w:tcBorders/>
            <w:vAlign w:val="center"/>
          </w:tcPr>
          <w:p>
            <w:pPr>
              <w:pStyle w:val="TableContents"/>
              <w:bidi w:val="0"/>
              <w:spacing w:before="0" w:after="0"/>
              <w:jc w:val="left"/>
              <w:rPr/>
            </w:pPr>
            <w:r>
              <w:rPr/>
              <w:drawing>
                <wp:inline distT="0" distB="0" distL="0" distR="0">
                  <wp:extent cx="1190625" cy="11144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90625" cy="1114425"/>
                          </a:xfrm>
                          <a:prstGeom prst="rect">
                            <a:avLst/>
                          </a:prstGeom>
                        </pic:spPr>
                      </pic:pic>
                    </a:graphicData>
                  </a:graphic>
                </wp:inline>
              </w:drawing>
            </w:r>
            <w:r>
              <w:rPr/>
              <w:t xml:space="preserve"> </w:t>
            </w:r>
          </w:p>
          <w:p>
            <w:pPr>
              <w:pStyle w:val="TableContents"/>
              <w:bidi w:val="0"/>
              <w:spacing w:before="0" w:after="20"/>
              <w:jc w:val="left"/>
              <w:rPr>
                <w:rFonts w:ascii="ARIAL" w:hAnsi="ARIAL"/>
                <w:b/>
                <w:i/>
                <w:color w:val="1F497D"/>
                <w:sz w:val="20"/>
              </w:rPr>
            </w:pPr>
            <w:r>
              <w:rPr>
                <w:rFonts w:ascii="ARIAL" w:hAnsi="ARIAL"/>
                <w:b/>
                <w:i/>
                <w:color w:val="1F497D"/>
                <w:sz w:val="20"/>
              </w:rPr>
              <w:t>Thomas Freeman</w:t>
            </w:r>
          </w:p>
        </w:tc>
        <w:tc>
          <w:tcPr>
            <w:tcW w:w="12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left"/>
              <w:rPr/>
            </w:pPr>
            <w:r>
              <w:rPr/>
              <w:t>Mr. Freeman has served as our Chief Financial Officer since 2017. Mr. Freeman first joined Alignment in 2015 where he served as our Vice President of Corporate Development. Prior to joining Alignment, Mr. Freeman was a growth investor on the health care team at General Atlantic. Before joining General Atlantic, Mr. Freeman worked in the Investment Banking division at Morgan Stanley &amp; Co. LLC where he also focused on the health care sector. He earned his Bachelor of Science in finance from the University of Kansas, where he graduated with Highest Distinction from the School of Business and University Honors.</w:t>
            </w:r>
          </w:p>
        </w:tc>
      </w:tr>
      <w:tr>
        <w:trPr/>
        <w:tc>
          <w:tcPr>
            <w:tcW w:w="1905" w:type="dxa"/>
            <w:tcBorders/>
            <w:vAlign w:val="center"/>
          </w:tcPr>
          <w:p>
            <w:pPr>
              <w:pStyle w:val="TableContents"/>
              <w:bidi w:val="0"/>
              <w:spacing w:before="0" w:after="283"/>
              <w:jc w:val="left"/>
              <w:rPr>
                <w:sz w:val="4"/>
                <w:szCs w:val="4"/>
              </w:rPr>
            </w:pPr>
            <w:r>
              <w:rPr>
                <w:sz w:val="4"/>
                <w:szCs w:val="4"/>
              </w:rPr>
            </w:r>
          </w:p>
        </w:tc>
        <w:tc>
          <w:tcPr>
            <w:tcW w:w="8300" w:type="dxa"/>
            <w:gridSpan w:val="2"/>
            <w:tcBorders/>
            <w:vAlign w:val="center"/>
          </w:tcPr>
          <w:p>
            <w:pPr>
              <w:pStyle w:val="TableContents"/>
              <w:bidi w:val="0"/>
              <w:spacing w:before="0" w:after="283"/>
              <w:jc w:val="left"/>
              <w:rPr>
                <w:sz w:val="4"/>
                <w:szCs w:val="4"/>
              </w:rPr>
            </w:pPr>
            <w:r>
              <w:rPr>
                <w:sz w:val="4"/>
                <w:szCs w:val="4"/>
              </w:rPr>
            </w:r>
          </w:p>
        </w:tc>
      </w:tr>
      <w:tr>
        <w:trPr/>
        <w:tc>
          <w:tcPr>
            <w:tcW w:w="1905" w:type="dxa"/>
            <w:tcBorders/>
            <w:vAlign w:val="center"/>
          </w:tcPr>
          <w:p>
            <w:pPr>
              <w:pStyle w:val="TableContents"/>
              <w:bidi w:val="0"/>
              <w:spacing w:before="0" w:after="0"/>
              <w:jc w:val="left"/>
              <w:rPr/>
            </w:pPr>
            <w:r>
              <w:rPr/>
              <w:drawing>
                <wp:inline distT="0" distB="0" distL="0" distR="0">
                  <wp:extent cx="1190625" cy="11144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90625" cy="1114425"/>
                          </a:xfrm>
                          <a:prstGeom prst="rect">
                            <a:avLst/>
                          </a:prstGeom>
                        </pic:spPr>
                      </pic:pic>
                    </a:graphicData>
                  </a:graphic>
                </wp:inline>
              </w:drawing>
            </w:r>
            <w:r>
              <w:rPr/>
              <w:t xml:space="preserve"> </w:t>
            </w:r>
          </w:p>
          <w:p>
            <w:pPr>
              <w:pStyle w:val="TableContents"/>
              <w:bidi w:val="0"/>
              <w:spacing w:before="0" w:after="20"/>
              <w:jc w:val="left"/>
              <w:rPr>
                <w:rFonts w:ascii="ARIAL" w:hAnsi="ARIAL"/>
                <w:b/>
                <w:i/>
                <w:color w:val="1F497D"/>
                <w:sz w:val="20"/>
              </w:rPr>
            </w:pPr>
            <w:r>
              <w:rPr>
                <w:rFonts w:ascii="ARIAL" w:hAnsi="ARIAL"/>
                <w:b/>
                <w:i/>
                <w:color w:val="1F497D"/>
                <w:sz w:val="20"/>
              </w:rPr>
              <w:t>Hyong (Ken) Kim, M.D.</w:t>
            </w:r>
          </w:p>
        </w:tc>
        <w:tc>
          <w:tcPr>
            <w:tcW w:w="12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left"/>
              <w:rPr/>
            </w:pPr>
            <w:r>
              <w:rPr/>
              <w:t>Dr. Kim has over 25 years of experience in the health care space and previously served as the Company’s Chief Medical Officer from June 2013 to March 2018. From May 2022 to August 2023, Dr. Kim served as chief clinical officer of CareConnect MD, a home health care services company, where he was responsible for clinical modeling, data analytics and management of clinical staff. He also served in an advisory role for CareConnect MD from July 2019 to May 2022. From July 2018 to July 2019, Dr. Kim was the chief medical officer of the Center for Medicare &amp; Medicaid Innovation (“CMMI”), where he oversaw all payment and clinical model development, and he chaired the Quality Improvement Council, creating operational pathways for performance reviews for all 36 CMMI models. Over 14 years, Dr. Kim held various roles at CareMore Health, an integrated health plan and provider, starting as a hospitalist and ultimately serving as chief medical officer from June 2009 to March 2013. Board-certified in internal medicine, Dr. Kim completed his medical residency at Loma Linda University and holds a bachelor’s degree and M.D. from Indiana University.</w:t>
            </w:r>
          </w:p>
        </w:tc>
      </w:tr>
      <w:tr>
        <w:trPr/>
        <w:tc>
          <w:tcPr>
            <w:tcW w:w="1905" w:type="dxa"/>
            <w:tcBorders/>
            <w:vAlign w:val="center"/>
          </w:tcPr>
          <w:p>
            <w:pPr>
              <w:pStyle w:val="TableContents"/>
              <w:bidi w:val="0"/>
              <w:spacing w:before="0" w:after="283"/>
              <w:jc w:val="left"/>
              <w:rPr>
                <w:sz w:val="4"/>
                <w:szCs w:val="4"/>
              </w:rPr>
            </w:pPr>
            <w:r>
              <w:rPr>
                <w:sz w:val="4"/>
                <w:szCs w:val="4"/>
              </w:rPr>
            </w:r>
          </w:p>
        </w:tc>
        <w:tc>
          <w:tcPr>
            <w:tcW w:w="8300" w:type="dxa"/>
            <w:gridSpan w:val="2"/>
            <w:tcBorders/>
            <w:vAlign w:val="center"/>
          </w:tcPr>
          <w:p>
            <w:pPr>
              <w:pStyle w:val="TableContents"/>
              <w:bidi w:val="0"/>
              <w:spacing w:before="0" w:after="283"/>
              <w:jc w:val="left"/>
              <w:rPr>
                <w:sz w:val="4"/>
                <w:szCs w:val="4"/>
              </w:rPr>
            </w:pPr>
            <w:r>
              <w:rPr>
                <w:sz w:val="4"/>
                <w:szCs w:val="4"/>
              </w:rPr>
            </w:r>
          </w:p>
        </w:tc>
      </w:tr>
      <w:tr>
        <w:trPr/>
        <w:tc>
          <w:tcPr>
            <w:tcW w:w="1905" w:type="dxa"/>
            <w:tcBorders/>
            <w:vAlign w:val="center"/>
          </w:tcPr>
          <w:p>
            <w:pPr>
              <w:pStyle w:val="TableContents"/>
              <w:bidi w:val="0"/>
              <w:spacing w:before="0" w:after="0"/>
              <w:jc w:val="left"/>
              <w:rPr/>
            </w:pPr>
            <w:r>
              <w:rPr/>
              <w:drawing>
                <wp:inline distT="0" distB="0" distL="0" distR="0">
                  <wp:extent cx="1190625" cy="11144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90625" cy="1114425"/>
                          </a:xfrm>
                          <a:prstGeom prst="rect">
                            <a:avLst/>
                          </a:prstGeom>
                        </pic:spPr>
                      </pic:pic>
                    </a:graphicData>
                  </a:graphic>
                </wp:inline>
              </w:drawing>
            </w:r>
            <w:r>
              <w:rPr/>
              <w:t xml:space="preserve"> </w:t>
            </w:r>
          </w:p>
          <w:p>
            <w:pPr>
              <w:pStyle w:val="TableContents"/>
              <w:bidi w:val="0"/>
              <w:spacing w:before="0" w:after="20"/>
              <w:jc w:val="left"/>
              <w:rPr>
                <w:rFonts w:ascii="ARIAL" w:hAnsi="ARIAL"/>
                <w:b/>
                <w:i/>
                <w:color w:val="1F497D"/>
                <w:sz w:val="20"/>
              </w:rPr>
            </w:pPr>
            <w:r>
              <w:rPr>
                <w:rFonts w:ascii="ARIAL" w:hAnsi="ARIAL"/>
                <w:b/>
                <w:i/>
                <w:color w:val="1F497D"/>
                <w:sz w:val="20"/>
              </w:rPr>
              <w:t>Hakan Kardes</w:t>
            </w:r>
          </w:p>
        </w:tc>
        <w:tc>
          <w:tcPr>
            <w:tcW w:w="12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left"/>
              <w:rPr/>
            </w:pPr>
            <w:r>
              <w:rPr/>
              <w:t>Mr. Kardes has served as our Chief Experience Officer since February 2023, leading artificial intelligence (AI), our MA star ratings and consumer-centric operations. He also served as our Chief Technology Officer from January 2019 to February 2024, overseeing data management, technology engineering, and artificial intelligence strategy and execution. From 2015 to 2018, Mr. Kardes was vice president of data science and advanced analytics at Cambia Health Solutions, where he headed up the data science, engineering, product and analytics division. Before joining Cambia, Mr. Kardes was a principal data scientist at Intelius and was responsible for building their proprietary data and insights engine. Mr. Kardes holds a Bachelor of Science in computer science from Bogazici University in Turkey and a Ph.D. in computer science from the University of Nevada, Reno. He has published over 15 papers and holds several patents</w:t>
            </w:r>
          </w:p>
        </w:tc>
      </w:tr>
      <w:tr>
        <w:trPr/>
        <w:tc>
          <w:tcPr>
            <w:tcW w:w="1905" w:type="dxa"/>
            <w:tcBorders/>
            <w:vAlign w:val="center"/>
          </w:tcPr>
          <w:p>
            <w:pPr>
              <w:pStyle w:val="TableContents"/>
              <w:bidi w:val="0"/>
              <w:spacing w:before="0" w:after="283"/>
              <w:jc w:val="left"/>
              <w:rPr>
                <w:sz w:val="4"/>
                <w:szCs w:val="4"/>
              </w:rPr>
            </w:pPr>
            <w:r>
              <w:rPr>
                <w:sz w:val="4"/>
                <w:szCs w:val="4"/>
              </w:rPr>
            </w:r>
          </w:p>
        </w:tc>
        <w:tc>
          <w:tcPr>
            <w:tcW w:w="8300" w:type="dxa"/>
            <w:gridSpan w:val="2"/>
            <w:tcBorders/>
            <w:vAlign w:val="center"/>
          </w:tcPr>
          <w:p>
            <w:pPr>
              <w:pStyle w:val="TableContents"/>
              <w:bidi w:val="0"/>
              <w:spacing w:before="0" w:after="283"/>
              <w:jc w:val="left"/>
              <w:rPr>
                <w:sz w:val="4"/>
                <w:szCs w:val="4"/>
              </w:rPr>
            </w:pPr>
            <w:r>
              <w:rPr>
                <w:sz w:val="4"/>
                <w:szCs w:val="4"/>
              </w:rPr>
            </w:r>
          </w:p>
        </w:tc>
      </w:tr>
      <w:tr>
        <w:trPr/>
        <w:tc>
          <w:tcPr>
            <w:tcW w:w="1905" w:type="dxa"/>
            <w:tcBorders/>
            <w:vAlign w:val="center"/>
          </w:tcPr>
          <w:p>
            <w:pPr>
              <w:pStyle w:val="TableContents"/>
              <w:bidi w:val="0"/>
              <w:spacing w:before="0" w:after="0"/>
              <w:jc w:val="left"/>
              <w:rPr/>
            </w:pPr>
            <w:r>
              <w:rPr/>
              <w:drawing>
                <wp:inline distT="0" distB="0" distL="0" distR="0">
                  <wp:extent cx="1190625" cy="11144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190625" cy="1114425"/>
                          </a:xfrm>
                          <a:prstGeom prst="rect">
                            <a:avLst/>
                          </a:prstGeom>
                        </pic:spPr>
                      </pic:pic>
                    </a:graphicData>
                  </a:graphic>
                </wp:inline>
              </w:drawing>
            </w:r>
            <w:r>
              <w:rPr/>
              <w:t xml:space="preserve"> </w:t>
            </w:r>
          </w:p>
          <w:p>
            <w:pPr>
              <w:pStyle w:val="TableContents"/>
              <w:bidi w:val="0"/>
              <w:spacing w:before="0" w:after="20"/>
              <w:jc w:val="left"/>
              <w:rPr>
                <w:rFonts w:ascii="ARIAL" w:hAnsi="ARIAL"/>
                <w:b/>
                <w:i/>
                <w:color w:val="1F497D"/>
                <w:sz w:val="20"/>
              </w:rPr>
            </w:pPr>
            <w:r>
              <w:rPr>
                <w:rFonts w:ascii="ARIAL" w:hAnsi="ARIAL"/>
                <w:b/>
                <w:i/>
                <w:color w:val="1F497D"/>
                <w:sz w:val="20"/>
              </w:rPr>
              <w:t>Robert L. Scavo</w:t>
            </w:r>
          </w:p>
        </w:tc>
        <w:tc>
          <w:tcPr>
            <w:tcW w:w="12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283"/>
              <w:jc w:val="left"/>
              <w:rPr/>
            </w:pPr>
            <w:r>
              <w:rPr/>
              <w:t>Mr. Scavo has served as our Chief Information Officer since September 2020, overseeing data management, technology engineering, artificial intelligence strategy and execution and claims operations. From January 2017 to April 2020, Mr. Scavo was President and Chief Operations Officer at Welltok, Inc., where he headed up sales, client delivery, product management, software engineering, product implementation and consulting, operations and IT. Before joining Welltok, Inc., Mr. Scavo spent 17 years at the TriZetto Group (now Cognizant). He also spent over seven years with Andersen Consulting (now Accenture) and holds a Bachelor of Science in business administration from the University of Colorado, Boulder.</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39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894"/>
        <w:gridCol w:w="120"/>
        <w:gridCol w:w="8191"/>
      </w:tblGrid>
      <w:tr>
        <w:trPr/>
        <w:tc>
          <w:tcPr>
            <w:tcW w:w="18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1894" w:type="dxa"/>
            <w:tcBorders/>
            <w:vAlign w:val="center"/>
          </w:tcPr>
          <w:p>
            <w:pPr>
              <w:pStyle w:val="TableContents"/>
              <w:bidi w:val="0"/>
              <w:spacing w:before="0" w:after="0"/>
              <w:jc w:val="left"/>
              <w:rPr/>
            </w:pPr>
            <w:r>
              <w:rPr/>
              <w:drawing>
                <wp:inline distT="0" distB="0" distL="0" distR="0">
                  <wp:extent cx="1190625" cy="11144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190625" cy="1114425"/>
                          </a:xfrm>
                          <a:prstGeom prst="rect">
                            <a:avLst/>
                          </a:prstGeom>
                        </pic:spPr>
                      </pic:pic>
                    </a:graphicData>
                  </a:graphic>
                </wp:inline>
              </w:drawing>
            </w:r>
            <w:r>
              <w:rPr/>
              <w:t xml:space="preserve"> </w:t>
            </w:r>
          </w:p>
          <w:p>
            <w:pPr>
              <w:pStyle w:val="TableContents"/>
              <w:bidi w:val="0"/>
              <w:spacing w:before="0" w:after="20"/>
              <w:jc w:val="left"/>
              <w:rPr>
                <w:rFonts w:ascii="ARIAL" w:hAnsi="ARIAL"/>
                <w:b/>
                <w:i/>
                <w:color w:val="1F497D"/>
                <w:sz w:val="20"/>
              </w:rPr>
            </w:pPr>
            <w:r>
              <w:rPr>
                <w:rFonts w:ascii="ARIAL" w:hAnsi="ARIAL"/>
                <w:b/>
                <w:i/>
                <w:color w:val="1F497D"/>
                <w:sz w:val="20"/>
              </w:rPr>
              <w:t>Sebastian Burzacchi</w:t>
            </w:r>
          </w:p>
        </w:tc>
        <w:tc>
          <w:tcPr>
            <w:tcW w:w="120" w:type="dxa"/>
            <w:tcBorders/>
            <w:vAlign w:val="center"/>
          </w:tcPr>
          <w:p>
            <w:pPr>
              <w:pStyle w:val="TableContents"/>
              <w:bidi w:val="0"/>
              <w:spacing w:before="0" w:after="283"/>
              <w:jc w:val="left"/>
              <w:rPr/>
            </w:pPr>
            <w:r>
              <w:rPr/>
              <w:t>  </w:t>
            </w:r>
          </w:p>
        </w:tc>
        <w:tc>
          <w:tcPr>
            <w:tcW w:w="8191" w:type="dxa"/>
            <w:tcBorders/>
            <w:vAlign w:val="center"/>
          </w:tcPr>
          <w:p>
            <w:pPr>
              <w:pStyle w:val="TableContents"/>
              <w:bidi w:val="0"/>
              <w:spacing w:before="0" w:after="283"/>
              <w:jc w:val="left"/>
              <w:rPr/>
            </w:pPr>
            <w:r>
              <w:rPr/>
              <w:t>Sebastian Burzacchi joined Alignment as Chief Operating Officer – Management Services Organization in December 2023. Mr. Burzacchi has over 18 years of experience in operations and management, having most recently served as executive vice president of operations for Veho Tech, an e-commerce logistics company, from March to November 2023. From October 2022 to October 2023, Mr. Burzacchi was an advisor to Oscar Health, a health insurance company. From October 2016 to October 2022, he held various positions of employment at Oscar Health, including as head of claims operations, head of concierge and senior vice president of operations. Mr. Burzacchi holds a Master of Business Administration from MIT Sloan School of Management and a Bachelor of Science in industrial and systems engineering from Virginia Tech.</w:t>
            </w:r>
          </w:p>
        </w:tc>
      </w:tr>
      <w:tr>
        <w:trPr/>
        <w:tc>
          <w:tcPr>
            <w:tcW w:w="1894" w:type="dxa"/>
            <w:tcBorders/>
            <w:vAlign w:val="center"/>
          </w:tcPr>
          <w:p>
            <w:pPr>
              <w:pStyle w:val="TableContents"/>
              <w:bidi w:val="0"/>
              <w:spacing w:before="0" w:after="283"/>
              <w:jc w:val="left"/>
              <w:rPr>
                <w:sz w:val="4"/>
                <w:szCs w:val="4"/>
              </w:rPr>
            </w:pPr>
            <w:r>
              <w:rPr>
                <w:sz w:val="4"/>
                <w:szCs w:val="4"/>
              </w:rPr>
            </w:r>
          </w:p>
        </w:tc>
        <w:tc>
          <w:tcPr>
            <w:tcW w:w="8311" w:type="dxa"/>
            <w:gridSpan w:val="2"/>
            <w:tcBorders/>
            <w:vAlign w:val="center"/>
          </w:tcPr>
          <w:p>
            <w:pPr>
              <w:pStyle w:val="TableContents"/>
              <w:bidi w:val="0"/>
              <w:spacing w:before="0" w:after="283"/>
              <w:jc w:val="left"/>
              <w:rPr>
                <w:sz w:val="4"/>
                <w:szCs w:val="4"/>
              </w:rPr>
            </w:pPr>
            <w:r>
              <w:rPr>
                <w:sz w:val="4"/>
                <w:szCs w:val="4"/>
              </w:rPr>
            </w:r>
          </w:p>
        </w:tc>
      </w:tr>
      <w:tr>
        <w:trPr/>
        <w:tc>
          <w:tcPr>
            <w:tcW w:w="1894" w:type="dxa"/>
            <w:tcBorders/>
            <w:vAlign w:val="center"/>
          </w:tcPr>
          <w:p>
            <w:pPr>
              <w:pStyle w:val="TableContents"/>
              <w:bidi w:val="0"/>
              <w:spacing w:before="0" w:after="0"/>
              <w:jc w:val="left"/>
              <w:rPr/>
            </w:pPr>
            <w:r>
              <w:rPr/>
              <w:drawing>
                <wp:inline distT="0" distB="0" distL="0" distR="0">
                  <wp:extent cx="1190625" cy="11144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90625" cy="1114425"/>
                          </a:xfrm>
                          <a:prstGeom prst="rect">
                            <a:avLst/>
                          </a:prstGeom>
                        </pic:spPr>
                      </pic:pic>
                    </a:graphicData>
                  </a:graphic>
                </wp:inline>
              </w:drawing>
            </w:r>
            <w:r>
              <w:rPr/>
              <w:t xml:space="preserve"> </w:t>
            </w:r>
          </w:p>
          <w:p>
            <w:pPr>
              <w:pStyle w:val="TableContents"/>
              <w:bidi w:val="0"/>
              <w:spacing w:before="0" w:after="20"/>
              <w:jc w:val="left"/>
              <w:rPr>
                <w:rFonts w:ascii="ARIAL" w:hAnsi="ARIAL"/>
                <w:b/>
                <w:i/>
                <w:color w:val="1F497D"/>
                <w:sz w:val="20"/>
              </w:rPr>
            </w:pPr>
            <w:r>
              <w:rPr>
                <w:rFonts w:ascii="ARIAL" w:hAnsi="ARIAL"/>
                <w:b/>
                <w:i/>
                <w:color w:val="1F497D"/>
                <w:sz w:val="20"/>
              </w:rPr>
              <w:t>Christopher J. Joyce</w:t>
            </w:r>
          </w:p>
        </w:tc>
        <w:tc>
          <w:tcPr>
            <w:tcW w:w="120" w:type="dxa"/>
            <w:tcBorders/>
            <w:vAlign w:val="center"/>
          </w:tcPr>
          <w:p>
            <w:pPr>
              <w:pStyle w:val="TableContents"/>
              <w:bidi w:val="0"/>
              <w:spacing w:before="0" w:after="283"/>
              <w:jc w:val="left"/>
              <w:rPr/>
            </w:pPr>
            <w:r>
              <w:rPr/>
              <w:t>  </w:t>
            </w:r>
          </w:p>
        </w:tc>
        <w:tc>
          <w:tcPr>
            <w:tcW w:w="8191" w:type="dxa"/>
            <w:tcBorders/>
            <w:vAlign w:val="center"/>
          </w:tcPr>
          <w:p>
            <w:pPr>
              <w:pStyle w:val="TableContents"/>
              <w:bidi w:val="0"/>
              <w:spacing w:before="0" w:after="283"/>
              <w:jc w:val="left"/>
              <w:rPr/>
            </w:pPr>
            <w:r>
              <w:rPr/>
              <w:t>Mr. Joyce joined the Company as Chief Legal &amp; Administrative Officer in August 2023. He previously served as general counsel of AdaptHealth Holdings, a national leader in providing patient-centered, healthcare-at-home solutions including home medical equipment, medical supplies, and related services, from 2018 to 2023, and of InnovaCare, Inc., a $2.0 billion managed care insurance company with 450,000 Medicare and Medicaid beneficiaries, from 2011 to 2018. Mr. Joyce has over 27 years of experience as chief legal officer and business development executive for publicly traded and privately held provider based and managed care companies. Mr. Joyce holds a bachelor’s degree in Economics from the State University of New York at Albany and a JD from the University of Chicago.</w:t>
            </w:r>
          </w:p>
        </w:tc>
      </w:tr>
      <w:tr>
        <w:trPr/>
        <w:tc>
          <w:tcPr>
            <w:tcW w:w="1894" w:type="dxa"/>
            <w:tcBorders/>
            <w:vAlign w:val="center"/>
          </w:tcPr>
          <w:p>
            <w:pPr>
              <w:pStyle w:val="TableContents"/>
              <w:bidi w:val="0"/>
              <w:spacing w:before="0" w:after="283"/>
              <w:jc w:val="left"/>
              <w:rPr>
                <w:sz w:val="4"/>
                <w:szCs w:val="4"/>
              </w:rPr>
            </w:pPr>
            <w:r>
              <w:rPr>
                <w:sz w:val="4"/>
                <w:szCs w:val="4"/>
              </w:rPr>
            </w:r>
          </w:p>
        </w:tc>
        <w:tc>
          <w:tcPr>
            <w:tcW w:w="8311" w:type="dxa"/>
            <w:gridSpan w:val="2"/>
            <w:tcBorders/>
            <w:vAlign w:val="center"/>
          </w:tcPr>
          <w:p>
            <w:pPr>
              <w:pStyle w:val="TableContents"/>
              <w:bidi w:val="0"/>
              <w:spacing w:before="0" w:after="283"/>
              <w:jc w:val="left"/>
              <w:rPr>
                <w:sz w:val="4"/>
                <w:szCs w:val="4"/>
              </w:rPr>
            </w:pPr>
            <w:r>
              <w:rPr>
                <w:sz w:val="4"/>
                <w:szCs w:val="4"/>
              </w:rPr>
            </w:r>
          </w:p>
        </w:tc>
      </w:tr>
      <w:tr>
        <w:trPr/>
        <w:tc>
          <w:tcPr>
            <w:tcW w:w="1894" w:type="dxa"/>
            <w:tcBorders/>
            <w:vAlign w:val="center"/>
          </w:tcPr>
          <w:p>
            <w:pPr>
              <w:pStyle w:val="TableContents"/>
              <w:bidi w:val="0"/>
              <w:spacing w:before="0" w:after="0"/>
              <w:jc w:val="left"/>
              <w:rPr/>
            </w:pPr>
            <w:r>
              <w:rPr/>
              <w:drawing>
                <wp:inline distT="0" distB="0" distL="0" distR="0">
                  <wp:extent cx="1190625" cy="11144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190625" cy="1114425"/>
                          </a:xfrm>
                          <a:prstGeom prst="rect">
                            <a:avLst/>
                          </a:prstGeom>
                        </pic:spPr>
                      </pic:pic>
                    </a:graphicData>
                  </a:graphic>
                </wp:inline>
              </w:drawing>
            </w:r>
            <w:r>
              <w:rPr/>
              <w:t xml:space="preserve"> </w:t>
            </w:r>
          </w:p>
          <w:p>
            <w:pPr>
              <w:pStyle w:val="TableContents"/>
              <w:bidi w:val="0"/>
              <w:spacing w:before="0" w:after="20"/>
              <w:jc w:val="left"/>
              <w:rPr>
                <w:rFonts w:ascii="ARIAL" w:hAnsi="ARIAL"/>
                <w:b/>
                <w:i/>
                <w:color w:val="1F497D"/>
                <w:sz w:val="20"/>
              </w:rPr>
            </w:pPr>
            <w:r>
              <w:rPr>
                <w:rFonts w:ascii="ARIAL" w:hAnsi="ARIAL"/>
                <w:b/>
                <w:i/>
                <w:color w:val="1F497D"/>
                <w:sz w:val="20"/>
              </w:rPr>
              <w:t>Andreas Wagner</w:t>
            </w:r>
          </w:p>
        </w:tc>
        <w:tc>
          <w:tcPr>
            <w:tcW w:w="120" w:type="dxa"/>
            <w:tcBorders/>
            <w:vAlign w:val="center"/>
          </w:tcPr>
          <w:p>
            <w:pPr>
              <w:pStyle w:val="TableContents"/>
              <w:bidi w:val="0"/>
              <w:spacing w:before="0" w:after="283"/>
              <w:jc w:val="left"/>
              <w:rPr/>
            </w:pPr>
            <w:r>
              <w:rPr/>
              <w:t>  </w:t>
            </w:r>
          </w:p>
        </w:tc>
        <w:tc>
          <w:tcPr>
            <w:tcW w:w="8191" w:type="dxa"/>
            <w:tcBorders/>
            <w:vAlign w:val="center"/>
          </w:tcPr>
          <w:p>
            <w:pPr>
              <w:pStyle w:val="TableContents"/>
              <w:bidi w:val="0"/>
              <w:spacing w:before="0" w:after="283"/>
              <w:jc w:val="left"/>
              <w:rPr/>
            </w:pPr>
            <w:r>
              <w:rPr/>
              <w:t>Mr. Wagner joined Alignment as Chief People Officer in January 2024. Mr. Wagner is a human resources executive with over 30 years of leadership experience where he held various key human resources positions. Prior to joining Alignment, from 2020 to 2023, Mr. Wagner served as the chief human resources officer at Aerojet Rocketdyne, a technology-based engineering and manufacturing company that develops and produces specialized power and propulsion systems. From 2014 to 2019, he served as vice present of human resources at TE Connectivity, an electrical and electronics manufacturing company, and was their director of human resources from 2012 to 2014. From 2004 to 2012, he served as director of human resources at Bombardier Transportation, an aviation and aerospace component manufacturing company. Mr. Wagner holds a master’s degree in Sport Science from the University of Munich, Germany.</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40 </w:t>
      </w:r>
      <w:r>
        <w:br w:type="page"/>
      </w:r>
    </w:p>
    <w:p>
      <w:pPr>
        <w:pStyle w:val="HorizontalLine"/>
        <w:bidi w:val="0"/>
        <w:jc w:val="left"/>
        <w:rPr/>
      </w:pPr>
      <w:r>
        <w:rPr/>
      </w:r>
    </w:p>
    <w:p>
      <w:pPr>
        <w:pStyle w:val="TextBody"/>
        <w:bidi w:val="0"/>
        <w:spacing w:before="0" w:after="0"/>
        <w:jc w:val="center"/>
        <w:rPr>
          <w:rFonts w:ascii="ARIAL" w:hAnsi="ARIAL"/>
          <w:b/>
          <w:sz w:val="20"/>
        </w:rPr>
      </w:pPr>
      <w:bookmarkStart w:id="25" w:name="txa496243_23"/>
      <w:bookmarkEnd w:id="25"/>
      <w:r>
        <w:rPr>
          <w:rFonts w:ascii="ARIAL" w:hAnsi="ARIAL"/>
          <w:b/>
          <w:sz w:val="20"/>
        </w:rPr>
        <w:t xml:space="preserve">COMPENSATION DISCUSSION AND ANALYSIS </w:t>
      </w:r>
    </w:p>
    <w:p>
      <w:pPr>
        <w:pStyle w:val="TextBody"/>
        <w:bidi w:val="0"/>
        <w:spacing w:before="240" w:after="0"/>
        <w:jc w:val="both"/>
        <w:rPr>
          <w:rFonts w:ascii="ARIAL" w:hAnsi="ARIAL"/>
          <w:sz w:val="20"/>
        </w:rPr>
      </w:pPr>
      <w:r>
        <w:rPr>
          <w:rFonts w:ascii="ARIAL" w:hAnsi="ARIAL"/>
          <w:sz w:val="20"/>
        </w:rPr>
        <w:t xml:space="preserve">This Compensation Discussion and Analysis (“CD&amp;A”) explains our executive compensation program for our named executive officers (“Named Executive Officers” or “NEOs”) listed below. This CD&amp;A also describes the Compensation Committee’s process for making pay decisions, as well as its rationale for specific decisions related to the fiscal year ended December 31, 2023. </w:t>
      </w:r>
    </w:p>
    <w:p>
      <w:pPr>
        <w:pStyle w:val="TextBody"/>
        <w:bidi w:val="0"/>
        <w:spacing w:before="0" w:after="0"/>
        <w:jc w:val="left"/>
        <w:rPr/>
      </w:pPr>
      <w:r>
        <w:rPr/>
        <w:t> </w:t>
      </w:r>
    </w:p>
    <w:tbl>
      <w:tblPr>
        <w:tblW w:w="6145" w:type="dxa"/>
        <w:jc w:val="left"/>
        <w:tblInd w:w="0" w:type="dxa"/>
        <w:tblLayout w:type="fixed"/>
        <w:tblCellMar>
          <w:top w:w="0" w:type="dxa"/>
          <w:left w:w="0" w:type="dxa"/>
          <w:bottom w:w="0" w:type="dxa"/>
          <w:right w:w="0" w:type="dxa"/>
        </w:tblCellMar>
      </w:tblPr>
      <w:tblGrid>
        <w:gridCol w:w="2810"/>
        <w:gridCol w:w="120"/>
        <w:gridCol w:w="3215"/>
      </w:tblGrid>
      <w:tr>
        <w:trPr/>
        <w:tc>
          <w:tcPr>
            <w:tcW w:w="2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r>
      <w:tr>
        <w:trPr/>
        <w:tc>
          <w:tcPr>
            <w:tcW w:w="2810" w:type="dxa"/>
            <w:tcBorders>
              <w:bottom w:val="single" w:sz="8" w:space="0" w:color="95B3D7"/>
            </w:tcBorders>
            <w:tcMar>
              <w:bottom w:w="28" w:type="dxa"/>
            </w:tcMar>
            <w:vAlign w:val="center"/>
          </w:tcPr>
          <w:p>
            <w:pPr>
              <w:pStyle w:val="TableContents"/>
              <w:bidi w:val="0"/>
              <w:spacing w:before="0" w:after="283"/>
              <w:jc w:val="left"/>
              <w:rPr/>
            </w:pPr>
            <w:r>
              <w:rPr/>
              <w:t> </w:t>
            </w:r>
            <w:r>
              <w:rPr>
                <w:b/>
              </w:rPr>
              <w:t>Name</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3215" w:type="dxa"/>
            <w:tcBorders>
              <w:bottom w:val="single" w:sz="8" w:space="0" w:color="95B3D7"/>
            </w:tcBorders>
            <w:tcMar>
              <w:bottom w:w="28" w:type="dxa"/>
            </w:tcMar>
            <w:vAlign w:val="center"/>
          </w:tcPr>
          <w:p>
            <w:pPr>
              <w:pStyle w:val="TableContents"/>
              <w:bidi w:val="0"/>
              <w:spacing w:before="0" w:after="283"/>
              <w:jc w:val="left"/>
              <w:rPr>
                <w:b/>
              </w:rPr>
            </w:pPr>
            <w:r>
              <w:rPr>
                <w:b/>
              </w:rPr>
              <w:t>Position</w:t>
            </w:r>
          </w:p>
        </w:tc>
      </w:tr>
      <w:tr>
        <w:trPr/>
        <w:tc>
          <w:tcPr>
            <w:tcW w:w="281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r>
              <w:rPr/>
              <w:t>John Kao</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3215" w:type="dxa"/>
            <w:tcBorders>
              <w:bottom w:val="single" w:sz="8" w:space="0" w:color="95B3D7"/>
            </w:tcBorders>
            <w:shd w:fill="DBE5F1" w:val="clear"/>
            <w:tcMar>
              <w:bottom w:w="28" w:type="dxa"/>
            </w:tcMar>
            <w:vAlign w:val="center"/>
          </w:tcPr>
          <w:p>
            <w:pPr>
              <w:pStyle w:val="TableContents"/>
              <w:bidi w:val="0"/>
              <w:spacing w:before="0" w:after="283"/>
              <w:jc w:val="left"/>
              <w:rPr/>
            </w:pPr>
            <w:r>
              <w:rPr/>
              <w:t>Chief Executive Officer (“CEO”)</w:t>
            </w:r>
          </w:p>
        </w:tc>
      </w:tr>
      <w:tr>
        <w:trPr/>
        <w:tc>
          <w:tcPr>
            <w:tcW w:w="2810" w:type="dxa"/>
            <w:tcBorders>
              <w:bottom w:val="single" w:sz="8" w:space="0" w:color="95B3D7"/>
            </w:tcBorders>
            <w:tcMar>
              <w:bottom w:w="28" w:type="dxa"/>
            </w:tcMar>
            <w:vAlign w:val="center"/>
          </w:tcPr>
          <w:p>
            <w:pPr>
              <w:pStyle w:val="TableContents"/>
              <w:bidi w:val="0"/>
              <w:spacing w:before="0" w:after="283"/>
              <w:jc w:val="left"/>
              <w:rPr/>
            </w:pPr>
            <w:r>
              <w:rPr/>
              <w:t> </w:t>
            </w:r>
            <w:r>
              <w:rPr/>
              <w:t>Thomas Freeman</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3215" w:type="dxa"/>
            <w:tcBorders>
              <w:bottom w:val="single" w:sz="8" w:space="0" w:color="95B3D7"/>
            </w:tcBorders>
            <w:tcMar>
              <w:bottom w:w="28" w:type="dxa"/>
            </w:tcMar>
            <w:vAlign w:val="center"/>
          </w:tcPr>
          <w:p>
            <w:pPr>
              <w:pStyle w:val="TableContents"/>
              <w:bidi w:val="0"/>
              <w:spacing w:before="0" w:after="283"/>
              <w:jc w:val="left"/>
              <w:rPr/>
            </w:pPr>
            <w:r>
              <w:rPr/>
              <w:t>Chief Financial Officer</w:t>
            </w:r>
          </w:p>
        </w:tc>
      </w:tr>
      <w:tr>
        <w:trPr/>
        <w:tc>
          <w:tcPr>
            <w:tcW w:w="281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r>
              <w:rPr/>
              <w:t>Dawn Maroney</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3215" w:type="dxa"/>
            <w:tcBorders>
              <w:bottom w:val="single" w:sz="8" w:space="0" w:color="95B3D7"/>
            </w:tcBorders>
            <w:shd w:fill="DBE5F1" w:val="clear"/>
            <w:tcMar>
              <w:bottom w:w="28" w:type="dxa"/>
            </w:tcMar>
            <w:vAlign w:val="center"/>
          </w:tcPr>
          <w:p>
            <w:pPr>
              <w:pStyle w:val="TableContents"/>
              <w:bidi w:val="0"/>
              <w:spacing w:before="0" w:after="283"/>
              <w:jc w:val="left"/>
              <w:rPr/>
            </w:pPr>
            <w:r>
              <w:rPr/>
              <w:t>President, Markets</w:t>
            </w:r>
          </w:p>
        </w:tc>
      </w:tr>
      <w:tr>
        <w:trPr/>
        <w:tc>
          <w:tcPr>
            <w:tcW w:w="2810" w:type="dxa"/>
            <w:tcBorders>
              <w:bottom w:val="single" w:sz="8" w:space="0" w:color="95B3D7"/>
            </w:tcBorders>
            <w:tcMar>
              <w:bottom w:w="28" w:type="dxa"/>
            </w:tcMar>
            <w:vAlign w:val="center"/>
          </w:tcPr>
          <w:p>
            <w:pPr>
              <w:pStyle w:val="TableContents"/>
              <w:bidi w:val="0"/>
              <w:spacing w:before="0" w:after="283"/>
              <w:jc w:val="left"/>
              <w:rPr/>
            </w:pPr>
            <w:r>
              <w:rPr/>
              <w:t> </w:t>
            </w:r>
            <w:r>
              <w:rPr/>
              <w:t>Hakan Kardes</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3215" w:type="dxa"/>
            <w:tcBorders>
              <w:bottom w:val="single" w:sz="8" w:space="0" w:color="95B3D7"/>
            </w:tcBorders>
            <w:tcMar>
              <w:bottom w:w="28" w:type="dxa"/>
            </w:tcMar>
            <w:vAlign w:val="center"/>
          </w:tcPr>
          <w:p>
            <w:pPr>
              <w:pStyle w:val="TableContents"/>
              <w:bidi w:val="0"/>
              <w:spacing w:before="0" w:after="283"/>
              <w:jc w:val="left"/>
              <w:rPr/>
            </w:pPr>
            <w:r>
              <w:rPr/>
              <w:t>Chief Experience Officer</w:t>
            </w:r>
          </w:p>
        </w:tc>
      </w:tr>
      <w:tr>
        <w:trPr/>
        <w:tc>
          <w:tcPr>
            <w:tcW w:w="281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r>
              <w:rPr/>
              <w:t>Hyong (Ken) Kim, M.D.(1)</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3215" w:type="dxa"/>
            <w:tcBorders>
              <w:bottom w:val="single" w:sz="8" w:space="0" w:color="95B3D7"/>
            </w:tcBorders>
            <w:shd w:fill="DBE5F1" w:val="clear"/>
            <w:tcMar>
              <w:bottom w:w="28" w:type="dxa"/>
            </w:tcMar>
            <w:vAlign w:val="center"/>
          </w:tcPr>
          <w:p>
            <w:pPr>
              <w:pStyle w:val="TableContents"/>
              <w:bidi w:val="0"/>
              <w:spacing w:before="0" w:after="283"/>
              <w:jc w:val="left"/>
              <w:rPr/>
            </w:pPr>
            <w:r>
              <w:rPr/>
              <w:t>Chief Medical Officer</w:t>
            </w:r>
          </w:p>
        </w:tc>
      </w:tr>
    </w:tbl>
    <w:p>
      <w:pPr>
        <w:pStyle w:val="TextBody"/>
        <w:bidi w:val="0"/>
        <w:spacing w:before="0" w:after="0"/>
        <w:jc w:val="left"/>
        <w:rPr/>
      </w:pPr>
      <w:r>
        <w:rPr/>
        <w:t> </w:t>
      </w:r>
    </w:p>
    <w:tbl>
      <w:tblPr>
        <w:tblW w:w="6550" w:type="dxa"/>
        <w:jc w:val="left"/>
        <w:tblInd w:w="0" w:type="dxa"/>
        <w:tblLayout w:type="fixed"/>
        <w:tblCellMar>
          <w:top w:w="0" w:type="dxa"/>
          <w:left w:w="0" w:type="dxa"/>
          <w:bottom w:w="0" w:type="dxa"/>
          <w:right w:w="0" w:type="dxa"/>
        </w:tblCellMar>
      </w:tblPr>
      <w:tblGrid>
        <w:gridCol w:w="75"/>
        <w:gridCol w:w="290"/>
        <w:gridCol w:w="618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6185" w:type="dxa"/>
            <w:tcBorders/>
            <w:vAlign w:val="center"/>
          </w:tcPr>
          <w:p>
            <w:pPr>
              <w:pStyle w:val="TableContents"/>
              <w:bidi w:val="0"/>
              <w:spacing w:before="0" w:after="0"/>
              <w:jc w:val="left"/>
              <w:rPr>
                <w:rFonts w:ascii="ARIAL" w:hAnsi="ARIAL"/>
                <w:sz w:val="16"/>
              </w:rPr>
            </w:pPr>
            <w:r>
              <w:rPr>
                <w:rFonts w:ascii="ARIAL" w:hAnsi="ARIAL"/>
                <w:sz w:val="16"/>
              </w:rPr>
              <w:t xml:space="preserve">Mr. Kim was appointed Chief Medical Officer (“CMO”) effective September 25, 2023. </w:t>
            </w:r>
          </w:p>
        </w:tc>
      </w:tr>
    </w:tbl>
    <w:p>
      <w:pPr>
        <w:pStyle w:val="TextBody"/>
        <w:bidi w:val="0"/>
        <w:spacing w:before="240" w:after="0"/>
        <w:jc w:val="left"/>
        <w:rPr>
          <w:rFonts w:ascii="ARIAL" w:hAnsi="ARIAL"/>
          <w:b/>
          <w:color w:val="1F497D"/>
          <w:sz w:val="20"/>
        </w:rPr>
      </w:pPr>
      <w:bookmarkStart w:id="26" w:name="txa496243_24"/>
      <w:bookmarkEnd w:id="26"/>
      <w:r>
        <w:rPr>
          <w:rFonts w:ascii="ARIAL" w:hAnsi="ARIAL"/>
          <w:b/>
          <w:color w:val="1F497D"/>
          <w:sz w:val="20"/>
        </w:rPr>
        <w:t xml:space="preserve">Executive Summary </w:t>
      </w:r>
    </w:p>
    <w:p>
      <w:pPr>
        <w:pStyle w:val="TextBody"/>
        <w:bidi w:val="0"/>
        <w:spacing w:before="240" w:after="0"/>
        <w:jc w:val="both"/>
        <w:rPr>
          <w:rFonts w:ascii="ARIAL" w:hAnsi="ARIAL"/>
          <w:sz w:val="20"/>
        </w:rPr>
      </w:pPr>
      <w:r>
        <w:rPr>
          <w:rFonts w:ascii="ARIAL" w:hAnsi="ARIAL"/>
          <w:sz w:val="20"/>
        </w:rPr>
        <w:t xml:space="preserve">Alignment is a next generation, consumer-centric platform designed to improve the healthcare experience for seniors. We deliver this experience through our Medicare Advantage plans, which are customized to meet the needs of a diverse array of seniors. Our innovative model of consumer-centric health care is purpose-built to provide seniors with care as it should be: high quality, low cost and accompanied by a vastly improved consumer experience. Our platform was developed to align with the six core principles that we believe will be required to successfully deliver health care in the 21st century and that represent our key competitive strengths. Our platform enables us to: </w:t>
      </w:r>
    </w:p>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75"/>
        <w:gridCol w:w="170"/>
        <w:gridCol w:w="60"/>
        <w:gridCol w:w="6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0"/>
              <w:jc w:val="left"/>
              <w:rPr>
                <w:rFonts w:ascii="ARIAL" w:hAnsi="ARIAL"/>
                <w:sz w:val="20"/>
              </w:rPr>
            </w:pPr>
            <w:r>
              <w:rPr>
                <w:rFonts w:ascii="ARIAL" w:hAnsi="ARIAL"/>
                <w:sz w:val="20"/>
              </w:rPr>
              <w:t xml:space="preserve">leverage data, technology and analytics to power all aspects of our model; </w:t>
            </w:r>
          </w:p>
        </w:tc>
      </w:tr>
    </w:tbl>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75"/>
        <w:gridCol w:w="170"/>
        <w:gridCol w:w="60"/>
        <w:gridCol w:w="61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jc w:val="left"/>
              <w:rPr>
                <w:rFonts w:ascii="ARIAL" w:hAnsi="ARIAL"/>
                <w:sz w:val="20"/>
              </w:rPr>
            </w:pPr>
            <w:r>
              <w:rPr>
                <w:rFonts w:ascii="ARIAL" w:hAnsi="ARIAL"/>
                <w:sz w:val="20"/>
              </w:rPr>
              <w:t xml:space="preserve">engage consumers directly and develop products to meet their needs; </w:t>
            </w:r>
          </w:p>
        </w:tc>
      </w:tr>
    </w:tbl>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75"/>
        <w:gridCol w:w="170"/>
        <w:gridCol w:w="60"/>
        <w:gridCol w:w="6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0"/>
              <w:jc w:val="left"/>
              <w:rPr>
                <w:rFonts w:ascii="ARIAL" w:hAnsi="ARIAL"/>
                <w:sz w:val="20"/>
              </w:rPr>
            </w:pPr>
            <w:r>
              <w:rPr>
                <w:rFonts w:ascii="ARIAL" w:hAnsi="ARIAL"/>
                <w:sz w:val="20"/>
              </w:rPr>
              <w:t xml:space="preserve">proactively manage and coordinate care for our most vulnerable members; </w:t>
            </w:r>
          </w:p>
        </w:tc>
      </w:tr>
    </w:tbl>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75"/>
        <w:gridCol w:w="170"/>
        <w:gridCol w:w="60"/>
        <w:gridCol w:w="53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ARIAL" w:hAnsi="ARIAL"/>
                <w:sz w:val="20"/>
              </w:rPr>
            </w:pPr>
            <w:r>
              <w:rPr>
                <w:rFonts w:ascii="ARIAL" w:hAnsi="ARIAL"/>
                <w:sz w:val="20"/>
              </w:rPr>
              <w:t xml:space="preserve">empower providers and employ flexible care delivery models;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170"/>
        <w:gridCol w:w="60"/>
        <w:gridCol w:w="56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ARIAL" w:hAnsi="ARIAL"/>
                <w:sz w:val="20"/>
              </w:rPr>
            </w:pPr>
            <w:r>
              <w:rPr>
                <w:rFonts w:ascii="ARIAL" w:hAnsi="ARIAL"/>
                <w:sz w:val="20"/>
              </w:rPr>
              <w:t xml:space="preserve">design and deploy innovative value-based payment models; and </w:t>
            </w:r>
          </w:p>
        </w:tc>
      </w:tr>
    </w:tbl>
    <w:p>
      <w:pPr>
        <w:pStyle w:val="TextBody"/>
        <w:bidi w:val="0"/>
        <w:spacing w:before="0" w:after="0"/>
        <w:jc w:val="left"/>
        <w:rPr/>
      </w:pPr>
      <w:r>
        <w:rPr/>
        <w:t> </w:t>
      </w:r>
    </w:p>
    <w:tbl>
      <w:tblPr>
        <w:tblW w:w="3175" w:type="dxa"/>
        <w:jc w:val="left"/>
        <w:tblInd w:w="0" w:type="dxa"/>
        <w:tblLayout w:type="fixed"/>
        <w:tblCellMar>
          <w:top w:w="0" w:type="dxa"/>
          <w:left w:w="0" w:type="dxa"/>
          <w:bottom w:w="0" w:type="dxa"/>
          <w:right w:w="0" w:type="dxa"/>
        </w:tblCellMar>
      </w:tblPr>
      <w:tblGrid>
        <w:gridCol w:w="75"/>
        <w:gridCol w:w="170"/>
        <w:gridCol w:w="60"/>
        <w:gridCol w:w="2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0"/>
              <w:jc w:val="left"/>
              <w:rPr>
                <w:rFonts w:ascii="ARIAL" w:hAnsi="ARIAL"/>
                <w:sz w:val="20"/>
              </w:rPr>
            </w:pPr>
            <w:r>
              <w:rPr>
                <w:rFonts w:ascii="ARIAL" w:hAnsi="ARIAL"/>
                <w:sz w:val="20"/>
              </w:rPr>
              <w:t xml:space="preserve">cultivate a culture of innovation. </w:t>
            </w:r>
          </w:p>
        </w:tc>
      </w:tr>
    </w:tbl>
    <w:p>
      <w:pPr>
        <w:pStyle w:val="TextBody"/>
        <w:bidi w:val="0"/>
        <w:spacing w:before="240" w:after="0"/>
        <w:jc w:val="left"/>
        <w:rPr>
          <w:rFonts w:ascii="ARIAL" w:hAnsi="ARIAL"/>
          <w:sz w:val="20"/>
        </w:rPr>
      </w:pPr>
      <w:r>
        <w:rPr>
          <w:rFonts w:ascii="ARIAL" w:hAnsi="ARIAL"/>
          <w:sz w:val="20"/>
        </w:rPr>
        <w:t xml:space="preserve">As we continue to mature as a public company, we are committed to our stockholder engagement efforts and open and ongoing dialogues with key stakeholders with respect to executive compensation to help ensure that we remain apprised of investor perspectives. We will also continue to consider the feedback we receive from our major stockholders as well as the outcome of say-on-pay votes when making compensation decisions regarding our NEOs. </w:t>
      </w:r>
    </w:p>
    <w:p>
      <w:pPr>
        <w:pStyle w:val="TextBody"/>
        <w:bidi w:val="0"/>
        <w:spacing w:before="240" w:after="0"/>
        <w:jc w:val="left"/>
        <w:rPr>
          <w:rFonts w:ascii="ARIAL" w:hAnsi="ARIAL"/>
          <w:b/>
          <w:i/>
          <w:color w:val="1F497D"/>
          <w:sz w:val="20"/>
        </w:rPr>
      </w:pPr>
      <w:r>
        <w:rPr>
          <w:rFonts w:ascii="ARIAL" w:hAnsi="ARIAL"/>
          <w:b/>
          <w:i/>
          <w:color w:val="1F497D"/>
          <w:sz w:val="20"/>
        </w:rPr>
        <w:t xml:space="preserve">2023 Business Highlights </w:t>
      </w:r>
    </w:p>
    <w:p>
      <w:pPr>
        <w:pStyle w:val="TextBody"/>
        <w:bidi w:val="0"/>
        <w:spacing w:before="240" w:after="0"/>
        <w:jc w:val="left"/>
        <w:rPr>
          <w:rFonts w:ascii="ARIAL" w:hAnsi="ARIAL"/>
          <w:sz w:val="20"/>
        </w:rPr>
      </w:pPr>
      <w:r>
        <w:rPr>
          <w:rFonts w:ascii="ARIAL" w:hAnsi="ARIAL"/>
          <w:sz w:val="20"/>
        </w:rPr>
        <w:t xml:space="preserve">Our focus on quality allowed us to deliver strong financial results in fiscal 2022. We believe that ongoing strategic investments in our people and technology will continue to drive meaningful improvements in the health and quality of life of all those we serve. The following key operational and financial highlights demonstrate our strong performance for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20"/>
              </w:rPr>
            </w:pPr>
            <w:r>
              <w:rPr>
                <w:rFonts w:ascii="ARIAL" w:hAnsi="ARIAL"/>
                <w:sz w:val="20"/>
              </w:rPr>
              <w:t xml:space="preserve">Health plan membership, which we define as members enrolled in our HMO and PPO contracts, increased 44% to a total of 155,500 members as of January 1, 2024. </w:t>
            </w:r>
          </w:p>
        </w:tc>
      </w:tr>
    </w:tbl>
    <w:p>
      <w:pPr>
        <w:pStyle w:val="TextBody"/>
        <w:bidi w:val="0"/>
        <w:spacing w:before="0" w:after="0"/>
        <w:jc w:val="left"/>
        <w:rPr/>
      </w:pPr>
      <w:r>
        <w:rPr/>
        <w:t> </w:t>
      </w:r>
    </w:p>
    <w:tbl>
      <w:tblPr>
        <w:tblW w:w="5725" w:type="dxa"/>
        <w:jc w:val="left"/>
        <w:tblInd w:w="0" w:type="dxa"/>
        <w:tblLayout w:type="fixed"/>
        <w:tblCellMar>
          <w:top w:w="0" w:type="dxa"/>
          <w:left w:w="0" w:type="dxa"/>
          <w:bottom w:w="0" w:type="dxa"/>
          <w:right w:w="0" w:type="dxa"/>
        </w:tblCellMar>
      </w:tblPr>
      <w:tblGrid>
        <w:gridCol w:w="75"/>
        <w:gridCol w:w="170"/>
        <w:gridCol w:w="60"/>
        <w:gridCol w:w="54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0"/>
              <w:jc w:val="left"/>
              <w:rPr>
                <w:rFonts w:ascii="ARIAL" w:hAnsi="ARIAL"/>
                <w:sz w:val="20"/>
              </w:rPr>
            </w:pPr>
            <w:r>
              <w:rPr>
                <w:rFonts w:ascii="ARIAL" w:hAnsi="ARIAL"/>
                <w:sz w:val="20"/>
              </w:rPr>
              <w:t xml:space="preserve">Total revenue was $1,823.6 million, up 27.2% year over year. </w:t>
            </w:r>
          </w:p>
        </w:tc>
      </w:tr>
    </w:tbl>
    <w:p>
      <w:pPr>
        <w:pStyle w:val="TextBody"/>
        <w:bidi w:val="0"/>
        <w:spacing w:before="0" w:after="0"/>
        <w:jc w:val="left"/>
        <w:rPr/>
      </w:pPr>
      <w:r>
        <w:rPr/>
        <w:t> </w:t>
      </w:r>
    </w:p>
    <w:tbl>
      <w:tblPr>
        <w:tblW w:w="6895" w:type="dxa"/>
        <w:jc w:val="left"/>
        <w:tblInd w:w="0" w:type="dxa"/>
        <w:tblLayout w:type="fixed"/>
        <w:tblCellMar>
          <w:top w:w="0" w:type="dxa"/>
          <w:left w:w="0" w:type="dxa"/>
          <w:bottom w:w="0" w:type="dxa"/>
          <w:right w:w="0" w:type="dxa"/>
        </w:tblCellMar>
      </w:tblPr>
      <w:tblGrid>
        <w:gridCol w:w="75"/>
        <w:gridCol w:w="170"/>
        <w:gridCol w:w="60"/>
        <w:gridCol w:w="65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0"/>
              <w:jc w:val="left"/>
              <w:rPr>
                <w:rFonts w:ascii="ARIAL" w:hAnsi="ARIAL"/>
                <w:sz w:val="20"/>
              </w:rPr>
            </w:pPr>
            <w:r>
              <w:rPr>
                <w:rFonts w:ascii="ARIAL" w:hAnsi="ARIAL"/>
                <w:sz w:val="20"/>
              </w:rPr>
              <w:t xml:space="preserve">Health plan premium revenue of $1,800.9 million, up 25.8% year over year.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41 </w:t>
      </w:r>
      <w:r>
        <w:br w:type="page"/>
      </w:r>
    </w:p>
    <w:p>
      <w:pPr>
        <w:pStyle w:val="HorizontalLine"/>
        <w:bidi w:val="0"/>
        <w:jc w:val="left"/>
        <w:rPr/>
      </w:pPr>
      <w:r>
        <w:rPr/>
      </w:r>
    </w:p>
    <w:tbl>
      <w:tblPr>
        <w:tblW w:w="7915" w:type="dxa"/>
        <w:jc w:val="left"/>
        <w:tblInd w:w="0" w:type="dxa"/>
        <w:tblLayout w:type="fixed"/>
        <w:tblCellMar>
          <w:top w:w="0" w:type="dxa"/>
          <w:left w:w="0" w:type="dxa"/>
          <w:bottom w:w="0" w:type="dxa"/>
          <w:right w:w="0" w:type="dxa"/>
        </w:tblCellMar>
      </w:tblPr>
      <w:tblGrid>
        <w:gridCol w:w="75"/>
        <w:gridCol w:w="170"/>
        <w:gridCol w:w="60"/>
        <w:gridCol w:w="76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ARIAL" w:hAnsi="ARIAL"/>
                <w:sz w:val="20"/>
              </w:rPr>
            </w:pPr>
            <w:r>
              <w:rPr>
                <w:rFonts w:ascii="ARIAL" w:hAnsi="ARIAL"/>
                <w:sz w:val="20"/>
              </w:rPr>
              <w:t xml:space="preserve">Adjusted gross profit was $208.8 million and loss from operations was ($127.8)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20"/>
              </w:rPr>
            </w:pPr>
            <w:r>
              <w:rPr>
                <w:rFonts w:ascii="ARIAL" w:hAnsi="ARIAL"/>
                <w:sz w:val="20"/>
              </w:rPr>
              <w:t xml:space="preserve">Adjusted gross profit excludes depreciation and amortization of $21.7 million and selling, general, and administrative expenses of $307.4 million (which includes $59.3 million of equity-based compensation). Adjusted gross profit also excludes an additional $7.5 million of equity-based compensation recorded within medical expenses. Loss from operations includes $66.8 million of equity-based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20"/>
              </w:rPr>
            </w:pPr>
            <w:r>
              <w:rPr>
                <w:rFonts w:ascii="ARIAL" w:hAnsi="ARIAL"/>
                <w:sz w:val="20"/>
              </w:rPr>
              <w:t xml:space="preserve">Medical benefits ratio based on adjusted gross profit was 88.5%. Medical benefits ratio excluding ACO REACH was 87.6%.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20"/>
              </w:rPr>
            </w:pPr>
            <w:r>
              <w:rPr>
                <w:rFonts w:ascii="ARIAL" w:hAnsi="ARIAL"/>
                <w:sz w:val="20"/>
              </w:rPr>
              <w:t xml:space="preserve">Adjusted EBITDA was ($35.3) million and net loss was ($148.2) million (which includes, with respect to net loss, $66.8 million of equity-based compensation). </w:t>
            </w:r>
          </w:p>
        </w:tc>
      </w:tr>
    </w:tbl>
    <w:p>
      <w:pPr>
        <w:pStyle w:val="TextBody"/>
        <w:bidi w:val="0"/>
        <w:spacing w:before="240" w:after="0"/>
        <w:jc w:val="left"/>
        <w:rPr>
          <w:rFonts w:ascii="ARIAL" w:hAnsi="ARIAL"/>
          <w:sz w:val="20"/>
        </w:rPr>
      </w:pPr>
      <w:r>
        <w:rPr>
          <w:rFonts w:ascii="ARIAL" w:hAnsi="ARIAL"/>
          <w:sz w:val="20"/>
        </w:rPr>
        <w:t>Adjusted gross profit and adjusted EBITDA are non-GAAP measures. An explanation of these measures, how they are calculated and reconciliations to the most directly comparable GAAP financial measures can be found in “</w:t>
      </w:r>
      <w:r>
        <w:rPr>
          <w:rFonts w:ascii="ARIAL" w:hAnsi="ARIAL"/>
          <w:i/>
          <w:sz w:val="20"/>
        </w:rPr>
        <w:t>Item 7. Management’s Discussion and Analysis of Financial Condition and Results of Operations—Key Business Metrics</w:t>
      </w:r>
      <w:r>
        <w:rPr>
          <w:rFonts w:ascii="ARIAL" w:hAnsi="ARIAL"/>
          <w:sz w:val="20"/>
        </w:rPr>
        <w:t xml:space="preserve">” in the Company’s Annual Report on Form 10-K for the fiscal year ended December 31, 2023 and in the Appendix to this proxy statement. </w:t>
      </w:r>
    </w:p>
    <w:p>
      <w:pPr>
        <w:pStyle w:val="TextBody"/>
        <w:bidi w:val="0"/>
        <w:spacing w:before="240" w:after="0"/>
        <w:jc w:val="left"/>
        <w:rPr>
          <w:rFonts w:ascii="ARIAL" w:hAnsi="ARIAL"/>
          <w:b/>
          <w:i/>
          <w:color w:val="1F497D"/>
          <w:sz w:val="20"/>
        </w:rPr>
      </w:pPr>
      <w:r>
        <w:rPr>
          <w:rFonts w:ascii="ARIAL" w:hAnsi="ARIAL"/>
          <w:b/>
          <w:i/>
          <w:color w:val="1F497D"/>
          <w:sz w:val="20"/>
        </w:rPr>
        <w:t xml:space="preserve">2023 Compensation Highlights </w:t>
      </w:r>
    </w:p>
    <w:p>
      <w:pPr>
        <w:pStyle w:val="TextBody"/>
        <w:bidi w:val="0"/>
        <w:spacing w:before="240" w:after="0"/>
        <w:jc w:val="both"/>
        <w:rPr>
          <w:rFonts w:ascii="ARIAL" w:hAnsi="ARIAL"/>
          <w:sz w:val="20"/>
        </w:rPr>
      </w:pPr>
      <w:r>
        <w:rPr>
          <w:rFonts w:ascii="ARIAL" w:hAnsi="ARIAL"/>
          <w:sz w:val="20"/>
        </w:rPr>
        <w:t xml:space="preserve">The Board of Directors and Compensation Committee made the following executive compensation decisions for fiscal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0"/>
              </w:rPr>
            </w:pPr>
            <w:r>
              <w:rPr>
                <w:rFonts w:ascii="ARIAL" w:hAnsi="ARIAL"/>
                <w:b/>
                <w:sz w:val="20"/>
              </w:rPr>
              <w:t>Base Salaries.</w:t>
            </w:r>
            <w:r>
              <w:rPr>
                <w:rFonts w:ascii="ARIAL" w:hAnsi="ARIAL"/>
                <w:sz w:val="20"/>
              </w:rPr>
              <w:t xml:space="preserve"> For 2023, the Compensation Committee approved base salary increases for Messrs. Kao and Freeman, of 6.66% and 12%, respectively, in order to align their cash compensation with the market for similar roles and responsibilities.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0"/>
              </w:rPr>
            </w:pPr>
            <w:r>
              <w:rPr>
                <w:rFonts w:ascii="ARIAL" w:hAnsi="ARIAL"/>
                <w:b/>
                <w:sz w:val="20"/>
              </w:rPr>
              <w:t>Annual Cash Incentives.</w:t>
            </w:r>
            <w:r>
              <w:rPr>
                <w:rFonts w:ascii="ARIAL" w:hAnsi="ARIAL"/>
                <w:sz w:val="20"/>
              </w:rPr>
              <w:t xml:space="preserve"> Based on our financial performance in 2023, the Compensation Committee determined that corporate goals under the Annual Incentive Plan were achieved at 134.4% of each NEO’s applicable bonus target (for NEOs other than the CEO, corporate goals determine 75% of the overall payout; for the CEO, corporate goals determine 100% of the overall payout). The Compensation Committee also made determinations regarding the achievement of individual performance goals for our NEOs, which ranged from 100% to 200% (individual goals determine 25% of overall payout for NEOs other than the CEO, whose payout is not influenced by individual goal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0"/>
              </w:rPr>
            </w:pPr>
            <w:r>
              <w:rPr>
                <w:rFonts w:ascii="ARIAL" w:hAnsi="ARIAL"/>
                <w:b/>
                <w:sz w:val="20"/>
              </w:rPr>
              <w:t>Long-Term Equity Incentives</w:t>
            </w:r>
            <w:r>
              <w:rPr>
                <w:rFonts w:ascii="ARIAL" w:hAnsi="ARIAL"/>
                <w:sz w:val="20"/>
              </w:rPr>
              <w:t xml:space="preserve">. In September 2023, the Compensation Committee recommended, and the Board approved, long-term equity grants to executive officers entirely in the form of performance-based restricted stock units (“September 2023 PSUs”). In arriving at its recommendation to grant equity in PSUs, the Compensation Committee considered our team’s continued strong performance amidst the challenging macroeconomic environment since our IPO in 2021, particularly as compared to certain peer Medicare Advantage companies, as well as several other critical factors: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o</w:t>
            </w:r>
          </w:p>
        </w:tc>
        <w:tc>
          <w:tcPr>
            <w:tcW w:w="9990" w:type="dxa"/>
            <w:tcBorders/>
            <w:vAlign w:val="center"/>
          </w:tcPr>
          <w:p>
            <w:pPr>
              <w:pStyle w:val="TableContents"/>
              <w:bidi w:val="0"/>
              <w:spacing w:before="0" w:after="0"/>
              <w:jc w:val="both"/>
              <w:rPr>
                <w:rFonts w:ascii="ARIAL" w:hAnsi="ARIAL"/>
                <w:sz w:val="20"/>
              </w:rPr>
            </w:pPr>
            <w:r>
              <w:rPr>
                <w:rFonts w:ascii="ARIAL" w:hAnsi="ARIAL"/>
                <w:sz w:val="20"/>
              </w:rPr>
              <w:t xml:space="preserve">The Committee’s desire to mature our compensation program and establish a stronger focus on performance-based shares; </w:t>
            </w:r>
          </w:p>
        </w:tc>
      </w:tr>
    </w:tbl>
    <w:p>
      <w:pPr>
        <w:pStyle w:val="TextBody"/>
        <w:bidi w:val="0"/>
        <w:spacing w:before="0" w:after="0"/>
        <w:jc w:val="left"/>
        <w:rPr/>
      </w:pPr>
      <w:r>
        <w:rPr/>
        <w:t> </w:t>
      </w:r>
    </w:p>
    <w:tbl>
      <w:tblPr>
        <w:tblW w:w="8755" w:type="dxa"/>
        <w:jc w:val="left"/>
        <w:tblInd w:w="0" w:type="dxa"/>
        <w:tblLayout w:type="fixed"/>
        <w:tblCellMar>
          <w:top w:w="0" w:type="dxa"/>
          <w:left w:w="0" w:type="dxa"/>
          <w:bottom w:w="0" w:type="dxa"/>
          <w:right w:w="0" w:type="dxa"/>
        </w:tblCellMar>
      </w:tblPr>
      <w:tblGrid>
        <w:gridCol w:w="75"/>
        <w:gridCol w:w="140"/>
        <w:gridCol w:w="854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o</w:t>
            </w:r>
          </w:p>
        </w:tc>
        <w:tc>
          <w:tcPr>
            <w:tcW w:w="8540" w:type="dxa"/>
            <w:tcBorders/>
            <w:vAlign w:val="center"/>
          </w:tcPr>
          <w:p>
            <w:pPr>
              <w:pStyle w:val="TableContents"/>
              <w:bidi w:val="0"/>
              <w:spacing w:before="0" w:after="0"/>
              <w:jc w:val="both"/>
              <w:rPr>
                <w:rFonts w:ascii="ARIAL" w:hAnsi="ARIAL"/>
                <w:sz w:val="20"/>
              </w:rPr>
            </w:pPr>
            <w:r>
              <w:rPr>
                <w:rFonts w:ascii="ARIAL" w:hAnsi="ARIAL"/>
                <w:sz w:val="20"/>
              </w:rPr>
              <w:t xml:space="preserve">The Company’s retention objectives in light of competition for talent in the health care space; and </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140"/>
        <w:gridCol w:w="909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o</w:t>
            </w:r>
          </w:p>
        </w:tc>
        <w:tc>
          <w:tcPr>
            <w:tcW w:w="9095" w:type="dxa"/>
            <w:tcBorders/>
            <w:vAlign w:val="center"/>
          </w:tcPr>
          <w:p>
            <w:pPr>
              <w:pStyle w:val="TableContents"/>
              <w:bidi w:val="0"/>
              <w:spacing w:before="0" w:after="0"/>
              <w:jc w:val="both"/>
              <w:rPr>
                <w:rFonts w:ascii="ARIAL" w:hAnsi="ARIAL"/>
                <w:sz w:val="20"/>
              </w:rPr>
            </w:pPr>
            <w:r>
              <w:rPr>
                <w:rFonts w:ascii="ARIAL" w:hAnsi="ARIAL"/>
                <w:sz w:val="20"/>
              </w:rPr>
              <w:t xml:space="preserve">The diminution of the intended target value of the equity awards granted at our IPO in 2021 and in 2022.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42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With respect to the September 2023 PSUs, our NEOs can earn between 0% to 150% of their target award depending on the Company’s achievement of certain performance metrics over a one-year period (i.e., fiscal year 2024). The Compensation Committee chose to measure performance for this grant using a one-year performance period, although the Compensation Committee intends to adopt PSUs contingent upon longer performance measurement cycles as the Company’s long-term incentive strategy evolves with respect to future grants. For more information, see “—</w:t>
      </w:r>
      <w:r>
        <w:rPr>
          <w:rFonts w:ascii="ARIAL" w:hAnsi="ARIAL"/>
          <w:i/>
          <w:sz w:val="20"/>
        </w:rPr>
        <w:t>2023 Executive Compensation Program in Detail—Long-Term Equity Incentives</w:t>
      </w:r>
      <w:r>
        <w:rPr>
          <w:rFonts w:ascii="ARIAL" w:hAnsi="ARIAL"/>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0"/>
              </w:rPr>
            </w:pPr>
            <w:r>
              <w:rPr>
                <w:rFonts w:ascii="ARIAL" w:hAnsi="ARIAL"/>
                <w:b/>
                <w:sz w:val="20"/>
              </w:rPr>
              <w:t>Compensation Clawback Policy</w:t>
            </w:r>
            <w:r>
              <w:rPr>
                <w:rFonts w:ascii="ARIAL" w:hAnsi="ARIAL"/>
                <w:sz w:val="20"/>
              </w:rPr>
              <w:t>. In October 2023, in accordance with SEC rules and the listing standards of the Nasdaq Stock Market, our Board adopted a compensation clawback policy providing for the recovery of erroneously awarded incentive-based compensation in the event of certain restatements of our financial statements. For more information, see “—</w:t>
            </w:r>
            <w:r>
              <w:rPr>
                <w:rFonts w:ascii="ARIAL" w:hAnsi="ARIAL"/>
                <w:i/>
                <w:sz w:val="20"/>
              </w:rPr>
              <w:t>Other Compensation Matters—Alignment healthcare, Inc. Clawback Policy.</w:t>
            </w:r>
            <w:r>
              <w:rPr>
                <w:rFonts w:ascii="ARIAL" w:hAnsi="ARIAL"/>
                <w:sz w:val="20"/>
              </w:rPr>
              <w:t xml:space="preserve">” </w:t>
            </w:r>
          </w:p>
        </w:tc>
      </w:tr>
    </w:tbl>
    <w:p>
      <w:pPr>
        <w:pStyle w:val="TextBody"/>
        <w:bidi w:val="0"/>
        <w:spacing w:before="240" w:after="0"/>
        <w:jc w:val="left"/>
        <w:rPr>
          <w:rFonts w:ascii="ARIAL" w:hAnsi="ARIAL"/>
          <w:b/>
          <w:i/>
          <w:color w:val="1F497D"/>
          <w:sz w:val="20"/>
        </w:rPr>
      </w:pPr>
      <w:r>
        <w:rPr>
          <w:rFonts w:ascii="ARIAL" w:hAnsi="ARIAL"/>
          <w:b/>
          <w:i/>
          <w:color w:val="1F497D"/>
          <w:sz w:val="20"/>
        </w:rPr>
        <w:t xml:space="preserve">2023 Advisory Vote on Executive Compensation (“Say on Pay”) </w:t>
      </w:r>
    </w:p>
    <w:p>
      <w:pPr>
        <w:pStyle w:val="TextBody"/>
        <w:bidi w:val="0"/>
        <w:spacing w:before="240" w:after="0"/>
        <w:jc w:val="both"/>
        <w:rPr>
          <w:rFonts w:ascii="ARIAL" w:hAnsi="ARIAL"/>
          <w:sz w:val="20"/>
        </w:rPr>
      </w:pPr>
      <w:r>
        <w:rPr>
          <w:rFonts w:ascii="ARIAL" w:hAnsi="ARIAL"/>
          <w:sz w:val="20"/>
        </w:rPr>
        <w:t xml:space="preserve">In 2023, our stockholders had their first opportunity to cast a non-binding advisory vote to approve the compensation of our Named Executive Officers at the annual stockholder meeting, the results of which were that approximately 66.9% of the votes cast were in support for our program. The Compensation Committee is continuing to work closely with its independent compensation consultant to ensure that our program evolves at a pace that is in the best interests of our stockholders and executive team. </w:t>
      </w:r>
    </w:p>
    <w:p>
      <w:pPr>
        <w:pStyle w:val="TextBody"/>
        <w:bidi w:val="0"/>
        <w:spacing w:before="240" w:after="0"/>
        <w:jc w:val="left"/>
        <w:rPr>
          <w:rFonts w:ascii="ARIAL" w:hAnsi="ARIAL"/>
          <w:b/>
          <w:color w:val="1F497D"/>
          <w:sz w:val="20"/>
        </w:rPr>
      </w:pPr>
      <w:bookmarkStart w:id="27" w:name="txa496243_25"/>
      <w:bookmarkEnd w:id="27"/>
      <w:r>
        <w:rPr>
          <w:rFonts w:ascii="ARIAL" w:hAnsi="ARIAL"/>
          <w:b/>
          <w:color w:val="1F497D"/>
          <w:sz w:val="20"/>
        </w:rPr>
        <w:t xml:space="preserve">Compensation Best Practices &amp; Policies </w:t>
      </w:r>
    </w:p>
    <w:p>
      <w:pPr>
        <w:pStyle w:val="TextBody"/>
        <w:bidi w:val="0"/>
        <w:spacing w:before="240" w:after="0"/>
        <w:jc w:val="left"/>
        <w:rPr>
          <w:rFonts w:ascii="ARIAL" w:hAnsi="ARIAL"/>
          <w:sz w:val="20"/>
        </w:rPr>
      </w:pPr>
      <w:r>
        <w:rPr>
          <w:rFonts w:ascii="ARIAL" w:hAnsi="ARIAL"/>
          <w:sz w:val="20"/>
        </w:rPr>
        <w:t xml:space="preserve">We believe the following practices and policies within our program promote sound compensation governance and are in the best interests of our stockholders and executives. We also believe that these principles have been instrumental in the Company’s retention and recruitment of executive talent and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43 </w:t>
      </w:r>
      <w:r>
        <w:br w:type="page"/>
      </w:r>
    </w:p>
    <w:p>
      <w:pPr>
        <w:pStyle w:val="HorizontalLine"/>
        <w:bidi w:val="0"/>
        <w:jc w:val="left"/>
        <w:rPr/>
      </w:pPr>
      <w:r>
        <w:rPr/>
      </w:r>
    </w:p>
    <w:p>
      <w:pPr>
        <w:pStyle w:val="TextBody"/>
        <w:bidi w:val="0"/>
        <w:spacing w:before="0" w:after="0"/>
        <w:jc w:val="left"/>
        <w:rPr>
          <w:rFonts w:ascii="ARIAL" w:hAnsi="ARIAL"/>
          <w:sz w:val="20"/>
        </w:rPr>
      </w:pPr>
      <w:r>
        <w:rPr>
          <w:rFonts w:ascii="ARIAL" w:hAnsi="ARIAL"/>
          <w:sz w:val="20"/>
        </w:rPr>
        <w:t xml:space="preserve">successful execution of the Company’s initiatives and our overall performance relative to the challenging macroeconomic factors experienced by our competitors.: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60"/>
        <w:gridCol w:w="230"/>
        <w:gridCol w:w="120"/>
        <w:gridCol w:w="5093"/>
        <w:gridCol w:w="60"/>
        <w:gridCol w:w="155"/>
        <w:gridCol w:w="120"/>
        <w:gridCol w:w="3996"/>
        <w:gridCol w:w="60"/>
        <w:gridCol w:w="156"/>
      </w:tblGrid>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5" w:type="dxa"/>
            <w:tcBorders>
              <w:bottom w:val="single" w:sz="6" w:space="0" w:color="95B3D7"/>
            </w:tcBorders>
            <w:tcMar>
              <w:bottom w:w="28" w:type="dxa"/>
            </w:tcMar>
            <w:vAlign w:val="center"/>
          </w:tcPr>
          <w:p>
            <w:pPr>
              <w:pStyle w:val="TableContents"/>
              <w:bidi w:val="0"/>
              <w:spacing w:before="0" w:after="283"/>
              <w:jc w:val="left"/>
              <w:rPr/>
            </w:pPr>
            <w:r>
              <w:rPr/>
              <w:t> </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5443" w:type="dxa"/>
            <w:gridSpan w:val="3"/>
            <w:tcBorders>
              <w:bottom w:val="single" w:sz="6" w:space="0" w:color="95B3D7"/>
            </w:tcBorders>
            <w:tcMar>
              <w:bottom w:w="28" w:type="dxa"/>
            </w:tcMar>
            <w:vAlign w:val="center"/>
          </w:tcPr>
          <w:p>
            <w:pPr>
              <w:pStyle w:val="TableContents"/>
              <w:bidi w:val="0"/>
              <w:spacing w:before="0" w:after="283"/>
              <w:jc w:val="center"/>
              <w:rPr>
                <w:b/>
              </w:rPr>
            </w:pPr>
            <w:r>
              <w:rPr>
                <w:b/>
              </w:rPr>
              <w:t>What We Do</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4271" w:type="dxa"/>
            <w:gridSpan w:val="3"/>
            <w:tcBorders>
              <w:bottom w:val="single" w:sz="6" w:space="0" w:color="95B3D7"/>
            </w:tcBorders>
            <w:tcMar>
              <w:bottom w:w="28" w:type="dxa"/>
            </w:tcMar>
            <w:vAlign w:val="center"/>
          </w:tcPr>
          <w:p>
            <w:pPr>
              <w:pStyle w:val="TableContents"/>
              <w:bidi w:val="0"/>
              <w:spacing w:before="0" w:after="283"/>
              <w:jc w:val="center"/>
              <w:rPr>
                <w:b/>
              </w:rPr>
            </w:pPr>
            <w:r>
              <w:rPr>
                <w:b/>
              </w:rPr>
              <w:t>What We Don’t Do</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156" w:type="dxa"/>
            <w:tcBorders>
              <w:bottom w:val="single" w:sz="6" w:space="0" w:color="95B3D7"/>
            </w:tcBorders>
            <w:tcMar>
              <w:bottom w:w="28" w:type="dxa"/>
            </w:tcMar>
            <w:vAlign w:val="center"/>
          </w:tcPr>
          <w:p>
            <w:pPr>
              <w:pStyle w:val="TableContents"/>
              <w:bidi w:val="0"/>
              <w:spacing w:before="0" w:after="283"/>
              <w:jc w:val="left"/>
              <w:rPr/>
            </w:pPr>
            <w:r>
              <w:rPr/>
              <w:t> </w:t>
            </w:r>
          </w:p>
        </w:tc>
      </w:tr>
      <w:tr>
        <w:trPr/>
        <w:tc>
          <w:tcPr>
            <w:tcW w:w="155" w:type="dxa"/>
            <w:tcBorders/>
            <w:vAlign w:val="center"/>
          </w:tcPr>
          <w:p>
            <w:pPr>
              <w:pStyle w:val="TableContents"/>
              <w:bidi w:val="0"/>
              <w:spacing w:before="0" w:after="283"/>
              <w:jc w:val="left"/>
              <w:rPr/>
            </w:pPr>
            <w:r>
              <w:rPr/>
              <w:t> </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23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5093"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Emphasize variable pay over fixed pay, with a significant portion focused on long-term value creation</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5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rFonts w:ascii="Times New Roman" w:hAnsi="Times New Roman"/>
                <w:b/>
                <w:i/>
              </w:rPr>
            </w:pPr>
            <w:r>
              <w:rPr>
                <w:rFonts w:ascii="Times New Roman" w:hAnsi="Times New Roman"/>
                <w:b/>
                <w:i/>
              </w:rPr>
              <w:t>×</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3996" w:type="dxa"/>
            <w:tcBorders>
              <w:bottom w:val="single" w:sz="6" w:space="0" w:color="95B3D7"/>
            </w:tcBorders>
            <w:shd w:fill="DBE5F1" w:val="clear"/>
            <w:tcMar>
              <w:bottom w:w="28" w:type="dxa"/>
            </w:tcMar>
            <w:vAlign w:val="center"/>
          </w:tcPr>
          <w:p>
            <w:pPr>
              <w:pStyle w:val="TableContents"/>
              <w:bidi w:val="0"/>
              <w:spacing w:before="0" w:after="283"/>
              <w:jc w:val="left"/>
              <w:rPr/>
            </w:pPr>
            <w:r>
              <w:rPr/>
              <w:t>No guaranteed or uncapped incentive payouts in our annual bonus plan</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23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5093"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Disclose our corporate performance goals and achievements relative to these goals</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155"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rFonts w:ascii="Times New Roman" w:hAnsi="Times New Roman"/>
                <w:b/>
                <w:i/>
              </w:rPr>
            </w:pPr>
            <w:r>
              <w:rPr>
                <w:rFonts w:ascii="Times New Roman" w:hAnsi="Times New Roman"/>
                <w:b/>
                <w:i/>
              </w:rPr>
              <w:t>×</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3996" w:type="dxa"/>
            <w:tcBorders>
              <w:bottom w:val="single" w:sz="6" w:space="0" w:color="95B3D7"/>
            </w:tcBorders>
            <w:tcMar>
              <w:bottom w:w="28" w:type="dxa"/>
            </w:tcMar>
            <w:vAlign w:val="center"/>
          </w:tcPr>
          <w:p>
            <w:pPr>
              <w:pStyle w:val="TableContents"/>
              <w:bidi w:val="0"/>
              <w:spacing w:before="0" w:after="283"/>
              <w:jc w:val="left"/>
              <w:rPr/>
            </w:pPr>
            <w:r>
              <w:rPr/>
              <w:t>No repricing or exchange of underwater options without stockholder approval</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23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5093"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Use an independent compensation consultant</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5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rFonts w:ascii="Times New Roman" w:hAnsi="Times New Roman"/>
                <w:b/>
                <w:i/>
              </w:rPr>
            </w:pPr>
            <w:r>
              <w:rPr>
                <w:rFonts w:ascii="Times New Roman" w:hAnsi="Times New Roman"/>
                <w:b/>
                <w:i/>
              </w:rPr>
              <w:t>×</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3996" w:type="dxa"/>
            <w:tcBorders>
              <w:bottom w:val="single" w:sz="6" w:space="0" w:color="95B3D7"/>
            </w:tcBorders>
            <w:shd w:fill="DBE5F1" w:val="clear"/>
            <w:tcMar>
              <w:bottom w:w="28" w:type="dxa"/>
            </w:tcMar>
            <w:vAlign w:val="center"/>
          </w:tcPr>
          <w:p>
            <w:pPr>
              <w:pStyle w:val="TableContents"/>
              <w:bidi w:val="0"/>
              <w:spacing w:before="0" w:after="283"/>
              <w:jc w:val="left"/>
              <w:rPr/>
            </w:pPr>
            <w:r>
              <w:rPr/>
              <w:t>No option or stock appreciation rights granted below fair market value</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23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5093"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Maintain anti-hedging and anti-pledging policies</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155"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rFonts w:ascii="Times New Roman" w:hAnsi="Times New Roman"/>
                <w:b/>
                <w:i/>
              </w:rPr>
            </w:pPr>
            <w:r>
              <w:rPr>
                <w:rFonts w:ascii="Times New Roman" w:hAnsi="Times New Roman"/>
                <w:b/>
                <w:i/>
              </w:rPr>
              <w:t>×</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3996" w:type="dxa"/>
            <w:tcBorders>
              <w:bottom w:val="single" w:sz="6" w:space="0" w:color="95B3D7"/>
            </w:tcBorders>
            <w:tcMar>
              <w:bottom w:w="28" w:type="dxa"/>
            </w:tcMar>
            <w:vAlign w:val="center"/>
          </w:tcPr>
          <w:p>
            <w:pPr>
              <w:pStyle w:val="TableContents"/>
              <w:bidi w:val="0"/>
              <w:spacing w:before="0" w:after="283"/>
              <w:jc w:val="left"/>
              <w:rPr/>
            </w:pPr>
            <w:r>
              <w:rPr/>
              <w:t>No significant perquisites</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23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5093"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Conduct an annual advisory vote on the compensation of our NEOs.</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5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rFonts w:ascii="Times New Roman" w:hAnsi="Times New Roman"/>
                <w:b/>
                <w:i/>
              </w:rPr>
            </w:pPr>
            <w:r>
              <w:rPr>
                <w:rFonts w:ascii="Times New Roman" w:hAnsi="Times New Roman"/>
                <w:b/>
                <w:i/>
              </w:rPr>
              <w:t>×</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3996" w:type="dxa"/>
            <w:tcBorders>
              <w:bottom w:val="single" w:sz="6" w:space="0" w:color="95B3D7"/>
            </w:tcBorders>
            <w:shd w:fill="DBE5F1" w:val="clear"/>
            <w:tcMar>
              <w:bottom w:w="28" w:type="dxa"/>
            </w:tcMar>
            <w:vAlign w:val="center"/>
          </w:tcPr>
          <w:p>
            <w:pPr>
              <w:pStyle w:val="TableContents"/>
              <w:bidi w:val="0"/>
              <w:spacing w:before="0" w:after="283"/>
              <w:jc w:val="left"/>
              <w:rPr/>
            </w:pPr>
            <w:r>
              <w:rPr/>
              <w:t>No tax gross-ups, other than for certain relocation expenses</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23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5093"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Maintain stock ownership guidelines for our executive officers and Board of Directors.</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155"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3996" w:type="dxa"/>
            <w:tcBorders>
              <w:bottom w:val="single" w:sz="6" w:space="0" w:color="95B3D7"/>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r>
      <w:tr>
        <w:trPr/>
        <w:tc>
          <w:tcPr>
            <w:tcW w:w="155"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23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5093"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Maintain a Clawback Policy consistent with the SEC and Nasdaq listing standards.</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5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3996"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b/>
          <w:color w:val="1F497D"/>
          <w:sz w:val="20"/>
        </w:rPr>
      </w:pPr>
      <w:bookmarkStart w:id="28" w:name="txa496243_26"/>
      <w:bookmarkEnd w:id="28"/>
      <w:r>
        <w:rPr>
          <w:rFonts w:ascii="ARIAL" w:hAnsi="ARIAL"/>
          <w:b/>
          <w:color w:val="1F497D"/>
          <w:sz w:val="20"/>
        </w:rPr>
        <w:t xml:space="preserve">What Guides Our Program </w:t>
      </w:r>
    </w:p>
    <w:p>
      <w:pPr>
        <w:pStyle w:val="TextBody"/>
        <w:bidi w:val="0"/>
        <w:spacing w:before="240" w:after="0"/>
        <w:jc w:val="left"/>
        <w:rPr>
          <w:rFonts w:ascii="ARIAL" w:hAnsi="ARIAL"/>
          <w:b/>
          <w:i/>
          <w:color w:val="1F497D"/>
          <w:sz w:val="20"/>
        </w:rPr>
      </w:pPr>
      <w:r>
        <w:rPr>
          <w:rFonts w:ascii="ARIAL" w:hAnsi="ARIAL"/>
          <w:b/>
          <w:i/>
          <w:color w:val="1F497D"/>
          <w:sz w:val="20"/>
        </w:rPr>
        <w:t xml:space="preserve">Executive Compensation Philosophy and Objectives </w:t>
      </w:r>
    </w:p>
    <w:p>
      <w:pPr>
        <w:pStyle w:val="TextBody"/>
        <w:bidi w:val="0"/>
        <w:spacing w:before="240" w:after="0"/>
        <w:jc w:val="both"/>
        <w:rPr>
          <w:rFonts w:ascii="ARIAL" w:hAnsi="ARIAL"/>
          <w:sz w:val="20"/>
        </w:rPr>
      </w:pPr>
      <w:r>
        <w:rPr>
          <w:rFonts w:ascii="ARIAL" w:hAnsi="ARIAL"/>
          <w:sz w:val="20"/>
        </w:rPr>
        <w:t xml:space="preserve">Our executive compensation philosophy is to forge critical connections between performance, long-term value creation, employee engagement and retention, compensation governance and our cultural values. To that end, our executive compensation program is grounded in the following principles: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54"/>
        <w:gridCol w:w="120"/>
        <w:gridCol w:w="8131"/>
      </w:tblGrid>
      <w:tr>
        <w:trPr/>
        <w:tc>
          <w:tcPr>
            <w:tcW w:w="19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31" w:type="dxa"/>
            <w:tcBorders/>
            <w:vAlign w:val="center"/>
          </w:tcPr>
          <w:p>
            <w:pPr>
              <w:pStyle w:val="TableContents"/>
              <w:bidi w:val="0"/>
              <w:spacing w:before="0" w:after="283"/>
              <w:jc w:val="left"/>
              <w:rPr>
                <w:sz w:val="4"/>
                <w:szCs w:val="4"/>
              </w:rPr>
            </w:pPr>
            <w:r>
              <w:rPr>
                <w:sz w:val="4"/>
                <w:szCs w:val="4"/>
              </w:rPr>
            </w:r>
          </w:p>
        </w:tc>
      </w:tr>
      <w:tr>
        <w:trPr/>
        <w:tc>
          <w:tcPr>
            <w:tcW w:w="1954" w:type="dxa"/>
            <w:tcBorders>
              <w:top w:val="single" w:sz="8" w:space="0" w:color="95B3D7"/>
              <w:right w:val="single" w:sz="8" w:space="0" w:color="95B3D7"/>
            </w:tcBorders>
            <w:shd w:fill="DBE5F1" w:val="clear"/>
            <w:tcMar>
              <w:top w:w="28" w:type="dxa"/>
              <w:right w:w="28" w:type="dxa"/>
            </w:tcMar>
            <w:vAlign w:val="center"/>
          </w:tcPr>
          <w:p>
            <w:pPr>
              <w:pStyle w:val="TableContents"/>
              <w:bidi w:val="0"/>
              <w:spacing w:before="0" w:after="283"/>
              <w:jc w:val="left"/>
              <w:rPr/>
            </w:pPr>
            <w:r>
              <w:rPr/>
              <w:t> </w:t>
            </w:r>
          </w:p>
        </w:tc>
        <w:tc>
          <w:tcPr>
            <w:tcW w:w="8251" w:type="dxa"/>
            <w:gridSpan w:val="2"/>
            <w:tcBorders>
              <w:top w:val="single" w:sz="8" w:space="0" w:color="95B3D7"/>
            </w:tcBorders>
            <w:shd w:fill="DBE5F1" w:val="clear"/>
            <w:tcMar>
              <w:top w:w="28" w:type="dxa"/>
            </w:tcMar>
            <w:vAlign w:val="center"/>
          </w:tcPr>
          <w:p>
            <w:pPr>
              <w:pStyle w:val="TableContents"/>
              <w:bidi w:val="0"/>
              <w:spacing w:before="0" w:after="283"/>
              <w:jc w:val="left"/>
              <w:rPr/>
            </w:pPr>
            <w:r>
              <w:rPr/>
              <w:t> </w:t>
            </w:r>
          </w:p>
        </w:tc>
      </w:tr>
      <w:tr>
        <w:trPr/>
        <w:tc>
          <w:tcPr>
            <w:tcW w:w="1954" w:type="dxa"/>
            <w:tcBorders>
              <w:bottom w:val="single" w:sz="8" w:space="0" w:color="95B3D7"/>
              <w:right w:val="single" w:sz="8" w:space="0" w:color="95B3D7"/>
            </w:tcBorders>
            <w:shd w:fill="DBE5F1" w:val="clear"/>
            <w:tcMar>
              <w:bottom w:w="120" w:type="dxa"/>
              <w:right w:w="28" w:type="dxa"/>
            </w:tcMar>
            <w:vAlign w:val="center"/>
          </w:tcPr>
          <w:p>
            <w:pPr>
              <w:pStyle w:val="TableContents"/>
              <w:bidi w:val="0"/>
              <w:spacing w:before="0" w:after="283"/>
              <w:jc w:val="left"/>
              <w:rPr>
                <w:b/>
              </w:rPr>
            </w:pPr>
            <w:r>
              <w:rPr>
                <w:b/>
              </w:rPr>
              <w:t>Attraction and Retention</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8131" w:type="dxa"/>
            <w:tcBorders>
              <w:bottom w:val="single" w:sz="8" w:space="0" w:color="95B3D7"/>
            </w:tcBorders>
            <w:shd w:fill="DBE5F1" w:val="clear"/>
            <w:tcMar>
              <w:bottom w:w="120" w:type="dxa"/>
            </w:tcMar>
            <w:vAlign w:val="center"/>
          </w:tcPr>
          <w:p>
            <w:pPr>
              <w:pStyle w:val="TableContents"/>
              <w:bidi w:val="0"/>
              <w:spacing w:before="0" w:after="283"/>
              <w:jc w:val="left"/>
              <w:rPr/>
            </w:pPr>
            <w:r>
              <w:rPr/>
              <w:t>Our compensation program should enable the Company to attract and retain highly talented people with exceptional leadership capabilities.</w:t>
            </w:r>
          </w:p>
        </w:tc>
      </w:tr>
      <w:tr>
        <w:trPr/>
        <w:tc>
          <w:tcPr>
            <w:tcW w:w="1954" w:type="dxa"/>
            <w:tcBorders>
              <w:top w:val="single" w:sz="8" w:space="0" w:color="95B3D7"/>
              <w:right w:val="single" w:sz="8" w:space="0" w:color="95B3D7"/>
            </w:tcBorders>
            <w:tcMar>
              <w:top w:w="28" w:type="dxa"/>
              <w:right w:w="28" w:type="dxa"/>
            </w:tcMar>
            <w:vAlign w:val="center"/>
          </w:tcPr>
          <w:p>
            <w:pPr>
              <w:pStyle w:val="TableContents"/>
              <w:bidi w:val="0"/>
              <w:spacing w:before="0" w:after="283"/>
              <w:jc w:val="left"/>
              <w:rPr/>
            </w:pPr>
            <w:r>
              <w:rPr/>
              <w:t> </w:t>
            </w:r>
          </w:p>
        </w:tc>
        <w:tc>
          <w:tcPr>
            <w:tcW w:w="8251" w:type="dxa"/>
            <w:gridSpan w:val="2"/>
            <w:tcBorders>
              <w:top w:val="single" w:sz="8" w:space="0" w:color="95B3D7"/>
            </w:tcBorders>
            <w:tcMar>
              <w:top w:w="28" w:type="dxa"/>
            </w:tcMar>
            <w:vAlign w:val="center"/>
          </w:tcPr>
          <w:p>
            <w:pPr>
              <w:pStyle w:val="TableContents"/>
              <w:bidi w:val="0"/>
              <w:spacing w:before="0" w:after="283"/>
              <w:jc w:val="left"/>
              <w:rPr/>
            </w:pPr>
            <w:r>
              <w:rPr/>
              <w:t> </w:t>
            </w:r>
          </w:p>
        </w:tc>
      </w:tr>
      <w:tr>
        <w:trPr/>
        <w:tc>
          <w:tcPr>
            <w:tcW w:w="1954" w:type="dxa"/>
            <w:tcBorders>
              <w:bottom w:val="single" w:sz="8" w:space="0" w:color="95B3D7"/>
              <w:right w:val="single" w:sz="8" w:space="0" w:color="95B3D7"/>
            </w:tcBorders>
            <w:tcMar>
              <w:bottom w:w="120" w:type="dxa"/>
              <w:right w:w="28" w:type="dxa"/>
            </w:tcMar>
            <w:vAlign w:val="center"/>
          </w:tcPr>
          <w:p>
            <w:pPr>
              <w:pStyle w:val="TableContents"/>
              <w:bidi w:val="0"/>
              <w:spacing w:before="0" w:after="283"/>
              <w:jc w:val="left"/>
              <w:rPr>
                <w:b/>
              </w:rPr>
            </w:pPr>
            <w:r>
              <w:rPr>
                <w:b/>
              </w:rPr>
              <w:t>Competitiveness</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8131" w:type="dxa"/>
            <w:tcBorders>
              <w:bottom w:val="single" w:sz="8" w:space="0" w:color="95B3D7"/>
            </w:tcBorders>
            <w:tcMar>
              <w:bottom w:w="120" w:type="dxa"/>
            </w:tcMar>
            <w:vAlign w:val="center"/>
          </w:tcPr>
          <w:p>
            <w:pPr>
              <w:pStyle w:val="TableContents"/>
              <w:bidi w:val="0"/>
              <w:spacing w:before="0" w:after="283"/>
              <w:jc w:val="left"/>
              <w:rPr/>
            </w:pPr>
            <w:r>
              <w:rPr/>
              <w:t>We seek to provide total compensation opportunity levels that are competitive with those being offered to individuals holding comparable positions at other companies with which we compete for business and leadership talent.</w:t>
            </w:r>
          </w:p>
        </w:tc>
      </w:tr>
      <w:tr>
        <w:trPr/>
        <w:tc>
          <w:tcPr>
            <w:tcW w:w="1954" w:type="dxa"/>
            <w:tcBorders>
              <w:top w:val="single" w:sz="8" w:space="0" w:color="95B3D7"/>
              <w:right w:val="single" w:sz="8" w:space="0" w:color="95B3D7"/>
            </w:tcBorders>
            <w:shd w:fill="DBE5F1" w:val="clear"/>
            <w:tcMar>
              <w:top w:w="28" w:type="dxa"/>
              <w:right w:w="28" w:type="dxa"/>
            </w:tcMar>
            <w:vAlign w:val="center"/>
          </w:tcPr>
          <w:p>
            <w:pPr>
              <w:pStyle w:val="TableContents"/>
              <w:bidi w:val="0"/>
              <w:spacing w:before="0" w:after="283"/>
              <w:jc w:val="left"/>
              <w:rPr/>
            </w:pPr>
            <w:r>
              <w:rPr/>
              <w:t> </w:t>
            </w:r>
          </w:p>
        </w:tc>
        <w:tc>
          <w:tcPr>
            <w:tcW w:w="8251" w:type="dxa"/>
            <w:gridSpan w:val="2"/>
            <w:tcBorders>
              <w:top w:val="single" w:sz="8" w:space="0" w:color="95B3D7"/>
            </w:tcBorders>
            <w:shd w:fill="DBE5F1" w:val="clear"/>
            <w:tcMar>
              <w:top w:w="28" w:type="dxa"/>
            </w:tcMar>
            <w:vAlign w:val="center"/>
          </w:tcPr>
          <w:p>
            <w:pPr>
              <w:pStyle w:val="TableContents"/>
              <w:bidi w:val="0"/>
              <w:spacing w:before="0" w:after="283"/>
              <w:jc w:val="left"/>
              <w:rPr/>
            </w:pPr>
            <w:r>
              <w:rPr/>
              <w:t> </w:t>
            </w:r>
          </w:p>
        </w:tc>
      </w:tr>
      <w:tr>
        <w:trPr/>
        <w:tc>
          <w:tcPr>
            <w:tcW w:w="1954" w:type="dxa"/>
            <w:tcBorders>
              <w:bottom w:val="single" w:sz="8" w:space="0" w:color="95B3D7"/>
              <w:right w:val="single" w:sz="8" w:space="0" w:color="95B3D7"/>
            </w:tcBorders>
            <w:shd w:fill="DBE5F1" w:val="clear"/>
            <w:tcMar>
              <w:bottom w:w="120" w:type="dxa"/>
              <w:right w:w="28" w:type="dxa"/>
            </w:tcMar>
            <w:vAlign w:val="center"/>
          </w:tcPr>
          <w:p>
            <w:pPr>
              <w:pStyle w:val="TableContents"/>
              <w:bidi w:val="0"/>
              <w:spacing w:before="0" w:after="283"/>
              <w:jc w:val="left"/>
              <w:rPr>
                <w:b/>
              </w:rPr>
            </w:pPr>
            <w:r>
              <w:rPr>
                <w:b/>
              </w:rPr>
              <w:t>Stockholder Alignment</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8131" w:type="dxa"/>
            <w:tcBorders>
              <w:bottom w:val="single" w:sz="8" w:space="0" w:color="95B3D7"/>
            </w:tcBorders>
            <w:shd w:fill="DBE5F1" w:val="clear"/>
            <w:tcMar>
              <w:bottom w:w="120" w:type="dxa"/>
            </w:tcMar>
            <w:vAlign w:val="center"/>
          </w:tcPr>
          <w:p>
            <w:pPr>
              <w:pStyle w:val="TableContents"/>
              <w:bidi w:val="0"/>
              <w:spacing w:before="0" w:after="283"/>
              <w:jc w:val="left"/>
              <w:rPr/>
            </w:pPr>
            <w:r>
              <w:rPr/>
              <w:t>We employ pay elements that are designed to create long-term value for our stockholders, as well as foster a culture of ownership in the Company.</w:t>
            </w:r>
          </w:p>
        </w:tc>
      </w:tr>
      <w:tr>
        <w:trPr/>
        <w:tc>
          <w:tcPr>
            <w:tcW w:w="1954" w:type="dxa"/>
            <w:tcBorders>
              <w:top w:val="single" w:sz="8" w:space="0" w:color="95B3D7"/>
              <w:right w:val="single" w:sz="8" w:space="0" w:color="95B3D7"/>
            </w:tcBorders>
            <w:tcMar>
              <w:top w:w="28" w:type="dxa"/>
              <w:right w:w="28" w:type="dxa"/>
            </w:tcMar>
            <w:vAlign w:val="center"/>
          </w:tcPr>
          <w:p>
            <w:pPr>
              <w:pStyle w:val="TableContents"/>
              <w:bidi w:val="0"/>
              <w:spacing w:before="0" w:after="283"/>
              <w:jc w:val="left"/>
              <w:rPr/>
            </w:pPr>
            <w:r>
              <w:rPr/>
              <w:t> </w:t>
            </w:r>
          </w:p>
        </w:tc>
        <w:tc>
          <w:tcPr>
            <w:tcW w:w="8251" w:type="dxa"/>
            <w:gridSpan w:val="2"/>
            <w:tcBorders>
              <w:top w:val="single" w:sz="8" w:space="0" w:color="95B3D7"/>
            </w:tcBorders>
            <w:tcMar>
              <w:top w:w="28" w:type="dxa"/>
            </w:tcMar>
            <w:vAlign w:val="center"/>
          </w:tcPr>
          <w:p>
            <w:pPr>
              <w:pStyle w:val="TableContents"/>
              <w:bidi w:val="0"/>
              <w:spacing w:before="0" w:after="283"/>
              <w:jc w:val="left"/>
              <w:rPr/>
            </w:pPr>
            <w:r>
              <w:rPr/>
              <w:t> </w:t>
            </w:r>
          </w:p>
        </w:tc>
      </w:tr>
      <w:tr>
        <w:trPr/>
        <w:tc>
          <w:tcPr>
            <w:tcW w:w="1954" w:type="dxa"/>
            <w:tcBorders>
              <w:bottom w:val="single" w:sz="8" w:space="0" w:color="95B3D7"/>
              <w:right w:val="single" w:sz="8" w:space="0" w:color="95B3D7"/>
            </w:tcBorders>
            <w:tcMar>
              <w:bottom w:w="120" w:type="dxa"/>
              <w:right w:w="28" w:type="dxa"/>
            </w:tcMar>
            <w:vAlign w:val="center"/>
          </w:tcPr>
          <w:p>
            <w:pPr>
              <w:pStyle w:val="TableContents"/>
              <w:bidi w:val="0"/>
              <w:spacing w:before="0" w:after="283"/>
              <w:jc w:val="left"/>
              <w:rPr>
                <w:b/>
              </w:rPr>
            </w:pPr>
            <w:r>
              <w:rPr>
                <w:b/>
              </w:rPr>
              <w:t>Pay for Performance</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8131" w:type="dxa"/>
            <w:tcBorders>
              <w:bottom w:val="single" w:sz="8" w:space="0" w:color="95B3D7"/>
            </w:tcBorders>
            <w:tcMar>
              <w:bottom w:w="120" w:type="dxa"/>
            </w:tcMar>
            <w:vAlign w:val="center"/>
          </w:tcPr>
          <w:p>
            <w:pPr>
              <w:pStyle w:val="TableContents"/>
              <w:bidi w:val="0"/>
              <w:spacing w:before="0" w:after="283"/>
              <w:jc w:val="left"/>
              <w:rPr/>
            </w:pPr>
            <w:r>
              <w:rPr/>
              <w:t>Our program is designed to ensure that a significant portion of an executive’s total compensation is variable (“at risk”) and dependent upon the attainment of certain specific and measurable short-term and long-term business performance objectives.</w:t>
            </w:r>
          </w:p>
        </w:tc>
      </w:tr>
      <w:tr>
        <w:trPr/>
        <w:tc>
          <w:tcPr>
            <w:tcW w:w="1954" w:type="dxa"/>
            <w:tcBorders>
              <w:top w:val="single" w:sz="8" w:space="0" w:color="95B3D7"/>
              <w:right w:val="single" w:sz="8" w:space="0" w:color="95B3D7"/>
            </w:tcBorders>
            <w:shd w:fill="DBE5F1" w:val="clear"/>
            <w:tcMar>
              <w:top w:w="28" w:type="dxa"/>
              <w:right w:w="28" w:type="dxa"/>
            </w:tcMar>
            <w:vAlign w:val="center"/>
          </w:tcPr>
          <w:p>
            <w:pPr>
              <w:pStyle w:val="TableContents"/>
              <w:bidi w:val="0"/>
              <w:spacing w:before="0" w:after="283"/>
              <w:jc w:val="left"/>
              <w:rPr/>
            </w:pPr>
            <w:r>
              <w:rPr/>
              <w:t> </w:t>
            </w:r>
          </w:p>
        </w:tc>
        <w:tc>
          <w:tcPr>
            <w:tcW w:w="8251" w:type="dxa"/>
            <w:gridSpan w:val="2"/>
            <w:tcBorders>
              <w:top w:val="single" w:sz="8" w:space="0" w:color="95B3D7"/>
            </w:tcBorders>
            <w:shd w:fill="DBE5F1" w:val="clear"/>
            <w:tcMar>
              <w:top w:w="28" w:type="dxa"/>
            </w:tcMar>
            <w:vAlign w:val="center"/>
          </w:tcPr>
          <w:p>
            <w:pPr>
              <w:pStyle w:val="TableContents"/>
              <w:bidi w:val="0"/>
              <w:spacing w:before="0" w:after="283"/>
              <w:jc w:val="left"/>
              <w:rPr/>
            </w:pPr>
            <w:r>
              <w:rPr/>
              <w:t> </w:t>
            </w:r>
          </w:p>
        </w:tc>
      </w:tr>
      <w:tr>
        <w:trPr/>
        <w:tc>
          <w:tcPr>
            <w:tcW w:w="1954" w:type="dxa"/>
            <w:tcBorders>
              <w:bottom w:val="single" w:sz="8" w:space="0" w:color="95B3D7"/>
              <w:right w:val="single" w:sz="8" w:space="0" w:color="95B3D7"/>
            </w:tcBorders>
            <w:shd w:fill="DBE5F1" w:val="clear"/>
            <w:tcMar>
              <w:bottom w:w="120" w:type="dxa"/>
              <w:right w:w="28" w:type="dxa"/>
            </w:tcMar>
            <w:vAlign w:val="center"/>
          </w:tcPr>
          <w:p>
            <w:pPr>
              <w:pStyle w:val="TableContents"/>
              <w:bidi w:val="0"/>
              <w:spacing w:before="0" w:after="283"/>
              <w:jc w:val="left"/>
              <w:rPr>
                <w:b/>
              </w:rPr>
            </w:pPr>
            <w:r>
              <w:rPr>
                <w:b/>
              </w:rPr>
              <w:t>Responsible Governance</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8131" w:type="dxa"/>
            <w:tcBorders>
              <w:bottom w:val="single" w:sz="8" w:space="0" w:color="95B3D7"/>
            </w:tcBorders>
            <w:shd w:fill="DBE5F1" w:val="clear"/>
            <w:tcMar>
              <w:bottom w:w="120" w:type="dxa"/>
            </w:tcMar>
            <w:vAlign w:val="center"/>
          </w:tcPr>
          <w:p>
            <w:pPr>
              <w:pStyle w:val="TableContents"/>
              <w:bidi w:val="0"/>
              <w:spacing w:before="0" w:after="283"/>
              <w:jc w:val="left"/>
              <w:rPr/>
            </w:pPr>
            <w:r>
              <w:rPr/>
              <w:t>Decisions about compensation should be guided by best-practice governance standards and rigorous processes that encourage prudent decision-making.</w:t>
            </w:r>
          </w:p>
        </w:tc>
      </w:tr>
    </w:tbl>
    <w:p>
      <w:pPr>
        <w:pStyle w:val="TextBody"/>
        <w:bidi w:val="0"/>
        <w:spacing w:before="240" w:after="0"/>
        <w:jc w:val="left"/>
        <w:rPr>
          <w:rFonts w:ascii="ARIAL" w:hAnsi="ARIAL"/>
          <w:b/>
          <w:i/>
          <w:color w:val="1F497D"/>
          <w:sz w:val="20"/>
        </w:rPr>
      </w:pPr>
      <w:r>
        <w:rPr>
          <w:rFonts w:ascii="ARIAL" w:hAnsi="ARIAL"/>
          <w:b/>
          <w:i/>
          <w:color w:val="1F497D"/>
          <w:sz w:val="20"/>
        </w:rPr>
        <w:t xml:space="preserve">Elements of Pay </w:t>
      </w:r>
    </w:p>
    <w:p>
      <w:pPr>
        <w:pStyle w:val="TextBody"/>
        <w:bidi w:val="0"/>
        <w:spacing w:before="240" w:after="0"/>
        <w:jc w:val="both"/>
        <w:rPr>
          <w:rFonts w:ascii="ARIAL" w:hAnsi="ARIAL"/>
          <w:sz w:val="20"/>
        </w:rPr>
      </w:pPr>
      <w:r>
        <w:rPr>
          <w:rFonts w:ascii="ARIAL" w:hAnsi="ARIAL"/>
          <w:sz w:val="20"/>
        </w:rPr>
        <w:t xml:space="preserve">The executive compensation program uses a mix of fixed and variable pay, with an emphasis on variable pay. The program is structured to create a meaningful balance between achieving strong short-term annual results while ensuring long-term viability and success. Therefore, the mix of incentives is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44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reviewed and determined regularly by the Compensation Committee based on the short-and long-term objectives of the business. The following table illustrates the elements of pay we currently employ, the manner in which we position these elements relative to the market and the objectives achieved by each element: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52"/>
        <w:gridCol w:w="60"/>
        <w:gridCol w:w="965"/>
        <w:gridCol w:w="120"/>
        <w:gridCol w:w="3015"/>
        <w:gridCol w:w="120"/>
        <w:gridCol w:w="4973"/>
      </w:tblGrid>
      <w:tr>
        <w:trPr/>
        <w:tc>
          <w:tcPr>
            <w:tcW w:w="9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973" w:type="dxa"/>
            <w:tcBorders/>
            <w:vAlign w:val="center"/>
          </w:tcPr>
          <w:p>
            <w:pPr>
              <w:pStyle w:val="TableContents"/>
              <w:bidi w:val="0"/>
              <w:spacing w:before="0" w:after="283"/>
              <w:jc w:val="left"/>
              <w:rPr>
                <w:sz w:val="4"/>
                <w:szCs w:val="4"/>
              </w:rPr>
            </w:pPr>
            <w:r>
              <w:rPr>
                <w:sz w:val="4"/>
                <w:szCs w:val="4"/>
              </w:rPr>
            </w:r>
          </w:p>
        </w:tc>
      </w:tr>
      <w:tr>
        <w:trPr/>
        <w:tc>
          <w:tcPr>
            <w:tcW w:w="952" w:type="dxa"/>
            <w:tcBorders>
              <w:bottom w:val="single" w:sz="12" w:space="0" w:color="95B3D7"/>
            </w:tcBorders>
            <w:tcMar>
              <w:bottom w:w="28" w:type="dxa"/>
            </w:tcMar>
            <w:vAlign w:val="center"/>
          </w:tcPr>
          <w:p>
            <w:pPr>
              <w:pStyle w:val="TableContents"/>
              <w:bidi w:val="0"/>
              <w:spacing w:before="0" w:after="283"/>
              <w:jc w:val="center"/>
              <w:rPr>
                <w:b/>
              </w:rPr>
            </w:pPr>
            <w:r>
              <w:rPr>
                <w:b/>
              </w:rPr>
              <w:t>Element</w:t>
            </w:r>
          </w:p>
        </w:tc>
        <w:tc>
          <w:tcPr>
            <w:tcW w:w="60" w:type="dxa"/>
            <w:tcBorders>
              <w:bottom w:val="single" w:sz="12" w:space="0" w:color="95B3D7"/>
            </w:tcBorders>
            <w:tcMar>
              <w:bottom w:w="28" w:type="dxa"/>
            </w:tcMar>
            <w:vAlign w:val="center"/>
          </w:tcPr>
          <w:p>
            <w:pPr>
              <w:pStyle w:val="TableContents"/>
              <w:bidi w:val="0"/>
              <w:spacing w:before="0" w:after="283"/>
              <w:jc w:val="left"/>
              <w:rPr/>
            </w:pPr>
            <w:r>
              <w:rPr/>
              <w:t> </w:t>
            </w:r>
          </w:p>
        </w:tc>
        <w:tc>
          <w:tcPr>
            <w:tcW w:w="965" w:type="dxa"/>
            <w:tcBorders>
              <w:bottom w:val="single" w:sz="12" w:space="0" w:color="95B3D7"/>
            </w:tcBorders>
            <w:tcMar>
              <w:bottom w:w="28" w:type="dxa"/>
            </w:tcMar>
            <w:vAlign w:val="center"/>
          </w:tcPr>
          <w:p>
            <w:pPr>
              <w:pStyle w:val="TableContents"/>
              <w:bidi w:val="0"/>
              <w:spacing w:before="0" w:after="0"/>
              <w:jc w:val="center"/>
              <w:rPr>
                <w:rFonts w:ascii="ARIAL" w:hAnsi="ARIAL"/>
                <w:b/>
                <w:sz w:val="18"/>
              </w:rPr>
            </w:pPr>
            <w:r>
              <w:rPr>
                <w:rFonts w:ascii="ARIAL" w:hAnsi="ARIAL"/>
                <w:b/>
                <w:sz w:val="18"/>
              </w:rPr>
              <w:t>Target</w:t>
            </w:r>
          </w:p>
          <w:p>
            <w:pPr>
              <w:pStyle w:val="TableContents"/>
              <w:bidi w:val="0"/>
              <w:spacing w:before="0" w:after="0"/>
              <w:jc w:val="center"/>
              <w:rPr>
                <w:rFonts w:ascii="ARIAL" w:hAnsi="ARIAL"/>
                <w:b/>
                <w:sz w:val="18"/>
              </w:rPr>
            </w:pPr>
            <w:r>
              <w:rPr>
                <w:rFonts w:ascii="ARIAL" w:hAnsi="ARIAL"/>
                <w:b/>
                <w:sz w:val="18"/>
              </w:rPr>
              <w:t>Positioning</w:t>
            </w:r>
          </w:p>
          <w:p>
            <w:pPr>
              <w:pStyle w:val="TableContents"/>
              <w:bidi w:val="0"/>
              <w:spacing w:before="0" w:after="0"/>
              <w:jc w:val="center"/>
              <w:rPr>
                <w:rFonts w:ascii="ARIAL" w:hAnsi="ARIAL"/>
                <w:b/>
                <w:sz w:val="18"/>
              </w:rPr>
            </w:pPr>
            <w:r>
              <w:rPr>
                <w:rFonts w:ascii="ARIAL" w:hAnsi="ARIAL"/>
                <w:b/>
                <w:sz w:val="18"/>
              </w:rPr>
              <w:t>vs.</w:t>
            </w:r>
          </w:p>
          <w:p>
            <w:pPr>
              <w:pStyle w:val="TableContents"/>
              <w:bidi w:val="0"/>
              <w:spacing w:before="0" w:after="20"/>
              <w:jc w:val="center"/>
              <w:rPr>
                <w:rFonts w:ascii="ARIAL" w:hAnsi="ARIAL"/>
                <w:b/>
                <w:sz w:val="18"/>
              </w:rPr>
            </w:pPr>
            <w:r>
              <w:rPr>
                <w:rFonts w:ascii="ARIAL" w:hAnsi="ARIAL"/>
                <w:b/>
                <w:sz w:val="18"/>
              </w:rPr>
              <w:t>Market</w:t>
            </w:r>
          </w:p>
        </w:tc>
        <w:tc>
          <w:tcPr>
            <w:tcW w:w="120" w:type="dxa"/>
            <w:tcBorders>
              <w:bottom w:val="single" w:sz="12" w:space="0" w:color="95B3D7"/>
            </w:tcBorders>
            <w:tcMar>
              <w:bottom w:w="28" w:type="dxa"/>
            </w:tcMar>
            <w:vAlign w:val="center"/>
          </w:tcPr>
          <w:p>
            <w:pPr>
              <w:pStyle w:val="TableContents"/>
              <w:bidi w:val="0"/>
              <w:spacing w:before="0" w:after="283"/>
              <w:jc w:val="left"/>
              <w:rPr/>
            </w:pPr>
            <w:r>
              <w:rPr/>
              <w:t>  </w:t>
            </w:r>
          </w:p>
        </w:tc>
        <w:tc>
          <w:tcPr>
            <w:tcW w:w="3015" w:type="dxa"/>
            <w:tcBorders>
              <w:bottom w:val="single" w:sz="12" w:space="0" w:color="95B3D7"/>
            </w:tcBorders>
            <w:tcMar>
              <w:bottom w:w="28" w:type="dxa"/>
            </w:tcMar>
            <w:vAlign w:val="center"/>
          </w:tcPr>
          <w:p>
            <w:pPr>
              <w:pStyle w:val="TableContents"/>
              <w:bidi w:val="0"/>
              <w:spacing w:before="0" w:after="283"/>
              <w:jc w:val="center"/>
              <w:rPr>
                <w:b/>
              </w:rPr>
            </w:pPr>
            <w:r>
              <w:rPr>
                <w:b/>
              </w:rPr>
              <w:t>Primary Objective</w:t>
            </w:r>
          </w:p>
        </w:tc>
        <w:tc>
          <w:tcPr>
            <w:tcW w:w="120" w:type="dxa"/>
            <w:tcBorders>
              <w:bottom w:val="single" w:sz="12" w:space="0" w:color="95B3D7"/>
            </w:tcBorders>
            <w:tcMar>
              <w:bottom w:w="28" w:type="dxa"/>
            </w:tcMar>
            <w:vAlign w:val="center"/>
          </w:tcPr>
          <w:p>
            <w:pPr>
              <w:pStyle w:val="TableContents"/>
              <w:bidi w:val="0"/>
              <w:spacing w:before="0" w:after="283"/>
              <w:jc w:val="left"/>
              <w:rPr/>
            </w:pPr>
            <w:r>
              <w:rPr/>
              <w:t>  </w:t>
            </w:r>
          </w:p>
        </w:tc>
        <w:tc>
          <w:tcPr>
            <w:tcW w:w="4973" w:type="dxa"/>
            <w:tcBorders>
              <w:bottom w:val="single" w:sz="12" w:space="0" w:color="95B3D7"/>
            </w:tcBorders>
            <w:tcMar>
              <w:bottom w:w="28" w:type="dxa"/>
            </w:tcMar>
            <w:vAlign w:val="center"/>
          </w:tcPr>
          <w:p>
            <w:pPr>
              <w:pStyle w:val="TableContents"/>
              <w:bidi w:val="0"/>
              <w:spacing w:before="0" w:after="283"/>
              <w:jc w:val="center"/>
              <w:rPr>
                <w:b/>
              </w:rPr>
            </w:pPr>
            <w:r>
              <w:rPr>
                <w:b/>
              </w:rPr>
              <w:t>Determination Factors</w:t>
            </w:r>
          </w:p>
        </w:tc>
      </w:tr>
      <w:tr>
        <w:trPr/>
        <w:tc>
          <w:tcPr>
            <w:tcW w:w="952" w:type="dxa"/>
            <w:tcBorders>
              <w:bottom w:val="single" w:sz="12" w:space="0" w:color="95B3D7"/>
            </w:tcBorders>
            <w:shd w:fill="DBE5F1" w:val="clear"/>
            <w:tcMar>
              <w:bottom w:w="80" w:type="dxa"/>
            </w:tcMar>
            <w:vAlign w:val="center"/>
          </w:tcPr>
          <w:p>
            <w:pPr>
              <w:pStyle w:val="TableContents"/>
              <w:bidi w:val="0"/>
              <w:spacing w:before="0" w:after="0"/>
              <w:jc w:val="left"/>
              <w:rPr/>
            </w:pPr>
            <w:r>
              <w:rPr/>
              <w:t> </w:t>
            </w:r>
            <w:r>
              <w:rPr>
                <w:rFonts w:ascii="ARIAL" w:hAnsi="ARIAL"/>
                <w:b/>
                <w:sz w:val="18"/>
              </w:rPr>
              <w:t>Base</w:t>
            </w:r>
          </w:p>
          <w:p>
            <w:pPr>
              <w:pStyle w:val="TableContents"/>
              <w:bidi w:val="0"/>
              <w:spacing w:before="0" w:after="20"/>
              <w:jc w:val="left"/>
              <w:rPr/>
            </w:pPr>
            <w:r>
              <w:rPr/>
              <w:t> </w:t>
            </w:r>
            <w:r>
              <w:rPr>
                <w:rFonts w:ascii="ARIAL" w:hAnsi="ARIAL"/>
                <w:b/>
                <w:sz w:val="18"/>
              </w:rPr>
              <w:t xml:space="preserve">Salary </w:t>
            </w:r>
          </w:p>
        </w:tc>
        <w:tc>
          <w:tcPr>
            <w:tcW w:w="60" w:type="dxa"/>
            <w:tcBorders>
              <w:left w:val="single" w:sz="8" w:space="0" w:color="95B3D7"/>
              <w:bottom w:val="single" w:sz="12" w:space="0" w:color="95B3D7"/>
            </w:tcBorders>
            <w:shd w:fill="DBE5F1" w:val="clear"/>
            <w:tcMar>
              <w:left w:w="28" w:type="dxa"/>
              <w:bottom w:w="28" w:type="dxa"/>
            </w:tcMar>
            <w:vAlign w:val="center"/>
          </w:tcPr>
          <w:p>
            <w:pPr>
              <w:pStyle w:val="TableContents"/>
              <w:bidi w:val="0"/>
              <w:spacing w:before="0" w:after="283"/>
              <w:jc w:val="left"/>
              <w:rPr/>
            </w:pPr>
            <w:r>
              <w:rPr/>
              <w:t> </w:t>
            </w:r>
          </w:p>
        </w:tc>
        <w:tc>
          <w:tcPr>
            <w:tcW w:w="965" w:type="dxa"/>
            <w:tcBorders>
              <w:bottom w:val="single" w:sz="12" w:space="0" w:color="95B3D7"/>
              <w:right w:val="single" w:sz="8" w:space="0" w:color="95B3D7"/>
            </w:tcBorders>
            <w:shd w:fill="DBE5F1" w:val="clear"/>
            <w:tcMar>
              <w:bottom w:w="80" w:type="dxa"/>
              <w:right w:w="28" w:type="dxa"/>
            </w:tcMar>
            <w:vAlign w:val="center"/>
          </w:tcPr>
          <w:p>
            <w:pPr>
              <w:pStyle w:val="TableContents"/>
              <w:bidi w:val="0"/>
              <w:spacing w:before="0" w:after="0"/>
              <w:jc w:val="center"/>
              <w:rPr>
                <w:rFonts w:ascii="ARIAL" w:hAnsi="ARIAL"/>
                <w:sz w:val="18"/>
              </w:rPr>
            </w:pPr>
            <w:r>
              <w:rPr>
                <w:rFonts w:ascii="ARIAL" w:hAnsi="ARIAL"/>
                <w:sz w:val="18"/>
              </w:rPr>
              <w:t>Target at</w:t>
            </w:r>
          </w:p>
          <w:p>
            <w:pPr>
              <w:pStyle w:val="TableContents"/>
              <w:bidi w:val="0"/>
              <w:spacing w:before="0" w:after="20"/>
              <w:jc w:val="center"/>
              <w:rPr>
                <w:rFonts w:ascii="ARIAL" w:hAnsi="ARIAL"/>
                <w:sz w:val="18"/>
              </w:rPr>
            </w:pPr>
            <w:r>
              <w:rPr>
                <w:rFonts w:ascii="ARIAL" w:hAnsi="ARIAL"/>
                <w:sz w:val="18"/>
              </w:rPr>
              <w:t>Median</w:t>
            </w:r>
          </w:p>
        </w:tc>
        <w:tc>
          <w:tcPr>
            <w:tcW w:w="120" w:type="dxa"/>
            <w:tcBorders>
              <w:left w:val="single" w:sz="8" w:space="0" w:color="95B3D7"/>
              <w:bottom w:val="single" w:sz="12" w:space="0" w:color="95B3D7"/>
            </w:tcBorders>
            <w:shd w:fill="DBE5F1" w:val="clear"/>
            <w:tcMar>
              <w:left w:w="28" w:type="dxa"/>
              <w:bottom w:w="28" w:type="dxa"/>
            </w:tcMar>
            <w:vAlign w:val="center"/>
          </w:tcPr>
          <w:p>
            <w:pPr>
              <w:pStyle w:val="TableContents"/>
              <w:bidi w:val="0"/>
              <w:spacing w:before="0" w:after="283"/>
              <w:jc w:val="left"/>
              <w:rPr/>
            </w:pPr>
            <w:r>
              <w:rPr/>
              <w:t>  </w:t>
            </w:r>
          </w:p>
        </w:tc>
        <w:tc>
          <w:tcPr>
            <w:tcW w:w="3015" w:type="dxa"/>
            <w:tcBorders>
              <w:bottom w:val="single" w:sz="12" w:space="0" w:color="95B3D7"/>
              <w:right w:val="single" w:sz="8" w:space="0" w:color="95B3D7"/>
            </w:tcBorders>
            <w:shd w:fill="DBE5F1" w:val="clear"/>
            <w:tcMar>
              <w:bottom w:w="80" w:type="dxa"/>
              <w:right w:w="28" w:type="dxa"/>
            </w:tcMar>
            <w:vAlign w:val="center"/>
          </w:tcPr>
          <w:p>
            <w:pPr>
              <w:pStyle w:val="TableContents"/>
              <w:bidi w:val="0"/>
              <w:spacing w:before="0" w:after="0"/>
              <w:jc w:val="left"/>
              <w:rPr/>
            </w:pPr>
            <w:r>
              <w:rPr/>
              <w:t>●   </w:t>
            </w:r>
            <w:r>
              <w:rPr>
                <w:rFonts w:ascii="ARIAL" w:hAnsi="ARIAL"/>
                <w:sz w:val="18"/>
              </w:rPr>
              <w:t>Attract and retain high-performing and experienced individuals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Provide steady source of income so executives can focus on the needs of the business</w:t>
            </w:r>
          </w:p>
          <w:p>
            <w:pPr>
              <w:pStyle w:val="TableContents"/>
              <w:bidi w:val="0"/>
              <w:spacing w:before="0" w:after="20"/>
              <w:jc w:val="left"/>
              <w:rPr/>
            </w:pPr>
            <w:r>
              <w:rPr/>
              <w:t> </w:t>
            </w:r>
          </w:p>
        </w:tc>
        <w:tc>
          <w:tcPr>
            <w:tcW w:w="120" w:type="dxa"/>
            <w:tcBorders>
              <w:bottom w:val="single" w:sz="12" w:space="0" w:color="95B3D7"/>
            </w:tcBorders>
            <w:shd w:fill="DBE5F1" w:val="clear"/>
            <w:tcMar>
              <w:bottom w:w="28" w:type="dxa"/>
            </w:tcMar>
            <w:vAlign w:val="center"/>
          </w:tcPr>
          <w:p>
            <w:pPr>
              <w:pStyle w:val="TableContents"/>
              <w:bidi w:val="0"/>
              <w:spacing w:before="0" w:after="283"/>
              <w:jc w:val="left"/>
              <w:rPr/>
            </w:pPr>
            <w:r>
              <w:rPr/>
              <w:t>  </w:t>
            </w:r>
          </w:p>
        </w:tc>
        <w:tc>
          <w:tcPr>
            <w:tcW w:w="4973" w:type="dxa"/>
            <w:tcBorders>
              <w:bottom w:val="single" w:sz="12" w:space="0" w:color="95B3D7"/>
            </w:tcBorders>
            <w:shd w:fill="DBE5F1" w:val="clear"/>
            <w:tcMar>
              <w:bottom w:w="80" w:type="dxa"/>
            </w:tcMar>
            <w:vAlign w:val="center"/>
          </w:tcPr>
          <w:p>
            <w:pPr>
              <w:pStyle w:val="TableContents"/>
              <w:bidi w:val="0"/>
              <w:spacing w:before="0" w:after="0"/>
              <w:jc w:val="left"/>
              <w:rPr/>
            </w:pPr>
            <w:r>
              <w:rPr/>
              <w:t>●   </w:t>
            </w:r>
            <w:r>
              <w:rPr>
                <w:rFonts w:ascii="ARIAL" w:hAnsi="ARIAL"/>
                <w:sz w:val="18"/>
              </w:rPr>
              <w:t>Value of role in competitive marketplace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Value of role to the Company</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Skills, experience and performance of individual compared to the market as well as others in the Company</w:t>
            </w:r>
          </w:p>
          <w:p>
            <w:pPr>
              <w:pStyle w:val="TableContents"/>
              <w:bidi w:val="0"/>
              <w:spacing w:before="0" w:after="20"/>
              <w:jc w:val="left"/>
              <w:rPr/>
            </w:pPr>
            <w:r>
              <w:rPr/>
              <w:t> </w:t>
            </w:r>
          </w:p>
        </w:tc>
      </w:tr>
      <w:tr>
        <w:trPr/>
        <w:tc>
          <w:tcPr>
            <w:tcW w:w="952" w:type="dxa"/>
            <w:tcBorders>
              <w:bottom w:val="single" w:sz="12" w:space="0" w:color="95B3D7"/>
            </w:tcBorders>
            <w:tcMar>
              <w:bottom w:w="80" w:type="dxa"/>
            </w:tcMar>
            <w:vAlign w:val="center"/>
          </w:tcPr>
          <w:p>
            <w:pPr>
              <w:pStyle w:val="TableContents"/>
              <w:bidi w:val="0"/>
              <w:spacing w:before="0" w:after="0"/>
              <w:jc w:val="left"/>
              <w:rPr/>
            </w:pPr>
            <w:r>
              <w:rPr/>
              <w:t> </w:t>
            </w:r>
            <w:r>
              <w:rPr>
                <w:rFonts w:ascii="ARIAL" w:hAnsi="ARIAL"/>
                <w:b/>
                <w:sz w:val="18"/>
              </w:rPr>
              <w:t>Annual</w:t>
            </w:r>
          </w:p>
          <w:p>
            <w:pPr>
              <w:pStyle w:val="TableContents"/>
              <w:bidi w:val="0"/>
              <w:spacing w:before="0" w:after="0"/>
              <w:jc w:val="left"/>
              <w:rPr/>
            </w:pPr>
            <w:r>
              <w:rPr/>
              <w:t> </w:t>
            </w:r>
            <w:r>
              <w:rPr>
                <w:rFonts w:ascii="ARIAL" w:hAnsi="ARIAL"/>
                <w:b/>
                <w:sz w:val="18"/>
              </w:rPr>
              <w:t>Cash</w:t>
            </w:r>
          </w:p>
          <w:p>
            <w:pPr>
              <w:pStyle w:val="TableContents"/>
              <w:bidi w:val="0"/>
              <w:spacing w:before="0" w:after="20"/>
              <w:jc w:val="left"/>
              <w:rPr/>
            </w:pPr>
            <w:r>
              <w:rPr/>
              <w:t> </w:t>
            </w:r>
            <w:r>
              <w:rPr>
                <w:rFonts w:ascii="ARIAL" w:hAnsi="ARIAL"/>
                <w:b/>
                <w:sz w:val="18"/>
              </w:rPr>
              <w:t>Incentives</w:t>
            </w:r>
          </w:p>
        </w:tc>
        <w:tc>
          <w:tcPr>
            <w:tcW w:w="60" w:type="dxa"/>
            <w:tcBorders>
              <w:left w:val="single" w:sz="8" w:space="0" w:color="95B3D7"/>
              <w:bottom w:val="single" w:sz="12" w:space="0" w:color="95B3D7"/>
            </w:tcBorders>
            <w:tcMar>
              <w:left w:w="28" w:type="dxa"/>
              <w:bottom w:w="28" w:type="dxa"/>
            </w:tcMar>
            <w:vAlign w:val="center"/>
          </w:tcPr>
          <w:p>
            <w:pPr>
              <w:pStyle w:val="TableContents"/>
              <w:bidi w:val="0"/>
              <w:spacing w:before="0" w:after="283"/>
              <w:jc w:val="left"/>
              <w:rPr/>
            </w:pPr>
            <w:r>
              <w:rPr/>
              <w:t> </w:t>
            </w:r>
          </w:p>
        </w:tc>
        <w:tc>
          <w:tcPr>
            <w:tcW w:w="965" w:type="dxa"/>
            <w:tcBorders>
              <w:bottom w:val="single" w:sz="12" w:space="0" w:color="95B3D7"/>
              <w:right w:val="single" w:sz="8" w:space="0" w:color="95B3D7"/>
            </w:tcBorders>
            <w:tcMar>
              <w:bottom w:w="80" w:type="dxa"/>
              <w:right w:w="28" w:type="dxa"/>
            </w:tcMar>
            <w:vAlign w:val="center"/>
          </w:tcPr>
          <w:p>
            <w:pPr>
              <w:pStyle w:val="TableContents"/>
              <w:bidi w:val="0"/>
              <w:spacing w:before="0" w:after="0"/>
              <w:jc w:val="center"/>
              <w:rPr>
                <w:rFonts w:ascii="ARIAL" w:hAnsi="ARIAL"/>
                <w:sz w:val="18"/>
              </w:rPr>
            </w:pPr>
            <w:r>
              <w:rPr>
                <w:rFonts w:ascii="ARIAL" w:hAnsi="ARIAL"/>
                <w:sz w:val="18"/>
              </w:rPr>
              <w:t>Target at</w:t>
            </w:r>
          </w:p>
          <w:p>
            <w:pPr>
              <w:pStyle w:val="TableContents"/>
              <w:bidi w:val="0"/>
              <w:spacing w:before="0" w:after="20"/>
              <w:jc w:val="center"/>
              <w:rPr>
                <w:rFonts w:ascii="ARIAL" w:hAnsi="ARIAL"/>
                <w:sz w:val="18"/>
              </w:rPr>
            </w:pPr>
            <w:r>
              <w:rPr>
                <w:rFonts w:ascii="ARIAL" w:hAnsi="ARIAL"/>
                <w:sz w:val="18"/>
              </w:rPr>
              <w:t>Median</w:t>
            </w:r>
          </w:p>
        </w:tc>
        <w:tc>
          <w:tcPr>
            <w:tcW w:w="120" w:type="dxa"/>
            <w:tcBorders>
              <w:left w:val="single" w:sz="8" w:space="0" w:color="95B3D7"/>
              <w:bottom w:val="single" w:sz="12" w:space="0" w:color="95B3D7"/>
            </w:tcBorders>
            <w:tcMar>
              <w:left w:w="28" w:type="dxa"/>
              <w:bottom w:w="28" w:type="dxa"/>
            </w:tcMar>
            <w:vAlign w:val="center"/>
          </w:tcPr>
          <w:p>
            <w:pPr>
              <w:pStyle w:val="TableContents"/>
              <w:bidi w:val="0"/>
              <w:spacing w:before="0" w:after="283"/>
              <w:jc w:val="left"/>
              <w:rPr/>
            </w:pPr>
            <w:r>
              <w:rPr/>
              <w:t>  </w:t>
            </w:r>
          </w:p>
        </w:tc>
        <w:tc>
          <w:tcPr>
            <w:tcW w:w="3015" w:type="dxa"/>
            <w:tcBorders>
              <w:bottom w:val="single" w:sz="12" w:space="0" w:color="95B3D7"/>
              <w:right w:val="single" w:sz="8" w:space="0" w:color="95B3D7"/>
            </w:tcBorders>
            <w:tcMar>
              <w:bottom w:w="80" w:type="dxa"/>
              <w:right w:w="28" w:type="dxa"/>
            </w:tcMar>
            <w:vAlign w:val="center"/>
          </w:tcPr>
          <w:p>
            <w:pPr>
              <w:pStyle w:val="TableContents"/>
              <w:bidi w:val="0"/>
              <w:spacing w:before="0" w:after="0"/>
              <w:jc w:val="left"/>
              <w:rPr/>
            </w:pPr>
            <w:r>
              <w:rPr/>
              <w:t>●   </w:t>
            </w:r>
            <w:r>
              <w:rPr>
                <w:rFonts w:ascii="ARIAL" w:hAnsi="ARIAL"/>
                <w:sz w:val="18"/>
              </w:rPr>
              <w:t>Motivate executives to achieve challenging short-term performance goals</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t>Align with annual financial objectives</w:t>
            </w:r>
          </w:p>
        </w:tc>
        <w:tc>
          <w:tcPr>
            <w:tcW w:w="120" w:type="dxa"/>
            <w:tcBorders>
              <w:bottom w:val="single" w:sz="12" w:space="0" w:color="95B3D7"/>
            </w:tcBorders>
            <w:tcMar>
              <w:bottom w:w="28" w:type="dxa"/>
            </w:tcMar>
            <w:vAlign w:val="center"/>
          </w:tcPr>
          <w:p>
            <w:pPr>
              <w:pStyle w:val="TableContents"/>
              <w:bidi w:val="0"/>
              <w:spacing w:before="0" w:after="283"/>
              <w:jc w:val="left"/>
              <w:rPr/>
            </w:pPr>
            <w:r>
              <w:rPr/>
              <w:t>  </w:t>
            </w:r>
          </w:p>
        </w:tc>
        <w:tc>
          <w:tcPr>
            <w:tcW w:w="4973" w:type="dxa"/>
            <w:tcBorders>
              <w:bottom w:val="single" w:sz="12" w:space="0" w:color="95B3D7"/>
            </w:tcBorders>
            <w:tcMar>
              <w:bottom w:w="80" w:type="dxa"/>
            </w:tcMar>
            <w:vAlign w:val="center"/>
          </w:tcPr>
          <w:p>
            <w:pPr>
              <w:pStyle w:val="TableContents"/>
              <w:bidi w:val="0"/>
              <w:spacing w:before="0" w:after="0"/>
              <w:jc w:val="left"/>
              <w:rPr/>
            </w:pPr>
            <w:r>
              <w:rPr/>
              <w:t>●   </w:t>
            </w:r>
            <w:r>
              <w:rPr>
                <w:rFonts w:ascii="ARIAL" w:hAnsi="ARIAL"/>
                <w:sz w:val="18"/>
              </w:rPr>
              <w:t>Target awards based on competitive marketplace, level of position, skills and performance of executive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75% of actual awards based on achievement against the following annual corporate metrics: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o   Health Plan membership</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o   Adjusted gross profit</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o   Adjusted EBITDA</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25% of actual awards based on achievement of individual and/or departmental goals (other than the CEO)</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For 2023, awards were subject to a modifier (-25% to +50%) based on the Company’s CMS Star Ratings, with potential payouts ranging from 0% to 200% of target bonus</w:t>
            </w:r>
          </w:p>
          <w:p>
            <w:pPr>
              <w:pStyle w:val="TableContents"/>
              <w:bidi w:val="0"/>
              <w:spacing w:before="0" w:after="20"/>
              <w:jc w:val="left"/>
              <w:rPr/>
            </w:pPr>
            <w:r>
              <w:rPr/>
              <w:t> </w:t>
            </w:r>
          </w:p>
        </w:tc>
      </w:tr>
      <w:tr>
        <w:trPr/>
        <w:tc>
          <w:tcPr>
            <w:tcW w:w="952" w:type="dxa"/>
            <w:tcBorders>
              <w:bottom w:val="single" w:sz="8" w:space="0" w:color="95B3D7"/>
            </w:tcBorders>
            <w:shd w:fill="DBE5F1" w:val="clear"/>
            <w:tcMar>
              <w:bottom w:w="28" w:type="dxa"/>
            </w:tcMar>
            <w:vAlign w:val="center"/>
          </w:tcPr>
          <w:p>
            <w:pPr>
              <w:pStyle w:val="TableContents"/>
              <w:bidi w:val="0"/>
              <w:spacing w:before="0" w:after="0"/>
              <w:jc w:val="left"/>
              <w:rPr/>
            </w:pPr>
            <w:r>
              <w:rPr/>
              <w:t> </w:t>
            </w:r>
            <w:r>
              <w:rPr>
                <w:rFonts w:ascii="ARIAL" w:hAnsi="ARIAL"/>
                <w:b/>
                <w:sz w:val="18"/>
              </w:rPr>
              <w:t>Long-</w:t>
            </w:r>
          </w:p>
          <w:p>
            <w:pPr>
              <w:pStyle w:val="TableContents"/>
              <w:bidi w:val="0"/>
              <w:spacing w:before="0" w:after="0"/>
              <w:jc w:val="left"/>
              <w:rPr/>
            </w:pPr>
            <w:r>
              <w:rPr/>
              <w:t> </w:t>
            </w:r>
            <w:r>
              <w:rPr>
                <w:rFonts w:ascii="ARIAL" w:hAnsi="ARIAL"/>
                <w:b/>
                <w:sz w:val="18"/>
              </w:rPr>
              <w:t>Term</w:t>
            </w:r>
          </w:p>
          <w:p>
            <w:pPr>
              <w:pStyle w:val="TableContents"/>
              <w:bidi w:val="0"/>
              <w:spacing w:before="0" w:after="0"/>
              <w:jc w:val="left"/>
              <w:rPr/>
            </w:pPr>
            <w:r>
              <w:rPr/>
              <w:t> </w:t>
            </w:r>
            <w:r>
              <w:rPr>
                <w:rFonts w:ascii="ARIAL" w:hAnsi="ARIAL"/>
                <w:b/>
                <w:sz w:val="18"/>
              </w:rPr>
              <w:t>Equity</w:t>
            </w:r>
          </w:p>
          <w:p>
            <w:pPr>
              <w:pStyle w:val="TableContents"/>
              <w:bidi w:val="0"/>
              <w:spacing w:before="0" w:after="20"/>
              <w:jc w:val="left"/>
              <w:rPr/>
            </w:pPr>
            <w:r>
              <w:rPr/>
              <w:t> </w:t>
            </w:r>
            <w:r>
              <w:rPr>
                <w:rFonts w:ascii="ARIAL" w:hAnsi="ARIAL"/>
                <w:b/>
                <w:sz w:val="18"/>
              </w:rPr>
              <w:t>Incentives</w:t>
            </w:r>
          </w:p>
        </w:tc>
        <w:tc>
          <w:tcPr>
            <w:tcW w:w="6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965" w:type="dxa"/>
            <w:tcBorders>
              <w:bottom w:val="single" w:sz="8" w:space="0" w:color="95B3D7"/>
              <w:right w:val="single" w:sz="8" w:space="0" w:color="95B3D7"/>
            </w:tcBorders>
            <w:shd w:fill="DBE5F1" w:val="clear"/>
            <w:tcMar>
              <w:bottom w:w="28" w:type="dxa"/>
              <w:right w:w="28" w:type="dxa"/>
            </w:tcMar>
            <w:vAlign w:val="center"/>
          </w:tcPr>
          <w:p>
            <w:pPr>
              <w:pStyle w:val="TableContents"/>
              <w:bidi w:val="0"/>
              <w:spacing w:before="0" w:after="0"/>
              <w:jc w:val="center"/>
              <w:rPr>
                <w:rFonts w:ascii="ARIAL" w:hAnsi="ARIAL"/>
                <w:sz w:val="18"/>
              </w:rPr>
            </w:pPr>
            <w:r>
              <w:rPr>
                <w:rFonts w:ascii="ARIAL" w:hAnsi="ARIAL"/>
                <w:sz w:val="18"/>
              </w:rPr>
              <w:t>Target</w:t>
            </w:r>
          </w:p>
          <w:p>
            <w:pPr>
              <w:pStyle w:val="TableContents"/>
              <w:bidi w:val="0"/>
              <w:spacing w:before="0" w:after="0"/>
              <w:jc w:val="center"/>
              <w:rPr>
                <w:rFonts w:ascii="ARIAL" w:hAnsi="ARIAL"/>
                <w:sz w:val="18"/>
              </w:rPr>
            </w:pPr>
            <w:r>
              <w:rPr>
                <w:rFonts w:ascii="ARIAL" w:hAnsi="ARIAL"/>
                <w:sz w:val="18"/>
              </w:rPr>
              <w:t>between</w:t>
            </w:r>
          </w:p>
          <w:p>
            <w:pPr>
              <w:pStyle w:val="TableContents"/>
              <w:bidi w:val="0"/>
              <w:spacing w:before="0" w:after="0"/>
              <w:jc w:val="center"/>
              <w:rPr>
                <w:rFonts w:ascii="ARIAL" w:hAnsi="ARIAL"/>
                <w:sz w:val="18"/>
              </w:rPr>
            </w:pPr>
            <w:r>
              <w:rPr>
                <w:rFonts w:ascii="ARIAL" w:hAnsi="ARIAL"/>
                <w:sz w:val="18"/>
              </w:rPr>
              <w:t>50th - 75th</w:t>
            </w:r>
          </w:p>
          <w:p>
            <w:pPr>
              <w:pStyle w:val="TableContents"/>
              <w:bidi w:val="0"/>
              <w:spacing w:before="0" w:after="20"/>
              <w:jc w:val="center"/>
              <w:rPr>
                <w:rFonts w:ascii="ARIAL" w:hAnsi="ARIAL"/>
                <w:sz w:val="18"/>
              </w:rPr>
            </w:pPr>
            <w:r>
              <w:rPr>
                <w:rFonts w:ascii="ARIAL" w:hAnsi="ARIAL"/>
                <w:sz w:val="18"/>
              </w:rPr>
              <w:t>percentile</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3015" w:type="dxa"/>
            <w:tcBorders>
              <w:bottom w:val="single" w:sz="8" w:space="0" w:color="95B3D7"/>
              <w:right w:val="single" w:sz="8" w:space="0" w:color="95B3D7"/>
            </w:tcBorders>
            <w:shd w:fill="DBE5F1" w:val="clear"/>
            <w:tcMar>
              <w:bottom w:w="28" w:type="dxa"/>
              <w:right w:w="28" w:type="dxa"/>
            </w:tcMar>
            <w:vAlign w:val="center"/>
          </w:tcPr>
          <w:p>
            <w:pPr>
              <w:pStyle w:val="TableContents"/>
              <w:bidi w:val="0"/>
              <w:spacing w:before="0" w:after="0"/>
              <w:jc w:val="left"/>
              <w:rPr/>
            </w:pPr>
            <w:r>
              <w:rPr/>
              <w:t>●   </w:t>
            </w:r>
            <w:r>
              <w:rPr>
                <w:rFonts w:ascii="ARIAL" w:hAnsi="ARIAL"/>
                <w:sz w:val="18"/>
              </w:rPr>
              <w:t>Align executives’ interests with those of stockholders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Align with long-term business strategy</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Retain executive talent through multi-year vesting schedules</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Motivate sustainable performance that creates long-term value for stockholders</w:t>
            </w:r>
          </w:p>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t>Foster our purpose and values to build teams that think and act like owners</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4973" w:type="dxa"/>
            <w:tcBorders>
              <w:bottom w:val="single" w:sz="8" w:space="0" w:color="95B3D7"/>
            </w:tcBorders>
            <w:shd w:fill="DBE5F1" w:val="clear"/>
            <w:tcMar>
              <w:bottom w:w="28" w:type="dxa"/>
            </w:tcMar>
            <w:vAlign w:val="center"/>
          </w:tcPr>
          <w:p>
            <w:pPr>
              <w:pStyle w:val="TableContents"/>
              <w:bidi w:val="0"/>
              <w:spacing w:before="0" w:after="0"/>
              <w:jc w:val="left"/>
              <w:rPr/>
            </w:pPr>
            <w:r>
              <w:rPr/>
              <w:t>●   </w:t>
            </w:r>
            <w:r>
              <w:rPr>
                <w:rFonts w:ascii="ARIAL" w:hAnsi="ARIAL"/>
                <w:sz w:val="18"/>
              </w:rPr>
              <w:t>Awards based on competitive marketplace, current value of unvested equity holdings, level of position, skills and performance of the executive</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8"/>
              </w:rPr>
              <w:t>For 2023, awards were issued using 100% PSUs that vest after the end of the performance period based on the following metrics:</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o   Health Plan Revenue Growth Percentage</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o   At-Risk Returning Member Medical Benefit Ratio</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o   Adjusted EBITDA, less Capital Expenditures</w:t>
            </w:r>
          </w:p>
        </w:tc>
      </w:tr>
    </w:tbl>
    <w:p>
      <w:pPr>
        <w:pStyle w:val="TextBody"/>
        <w:bidi w:val="0"/>
        <w:spacing w:before="240" w:after="0"/>
        <w:jc w:val="left"/>
        <w:rPr>
          <w:rFonts w:ascii="ARIAL" w:hAnsi="ARIAL"/>
          <w:sz w:val="20"/>
        </w:rPr>
      </w:pPr>
      <w:r>
        <w:rPr>
          <w:rFonts w:ascii="ARIAL" w:hAnsi="ARIAL"/>
          <w:sz w:val="20"/>
        </w:rPr>
        <w:t xml:space="preserve">For fiscal 2023, using the base salaries, the annual incentive targets at the end of the year and the September 2023 PSUs, the vast majority of executive compensation was variable (88.7% for our CEO as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45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illustrated below and an average of 79.2% for our other three NEOs that were employed throughout the entire fiscal year). For more information, please see “—</w:t>
      </w:r>
      <w:r>
        <w:rPr>
          <w:rFonts w:ascii="ARIAL" w:hAnsi="ARIAL"/>
          <w:i/>
          <w:sz w:val="20"/>
        </w:rPr>
        <w:t>2023 Executive Compensation Program in Detail</w:t>
      </w:r>
      <w:r>
        <w:rPr>
          <w:rFonts w:ascii="ARIAL" w:hAnsi="ARIAL"/>
          <w:sz w:val="20"/>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4562475" cy="19145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4562475" cy="1914525"/>
                    </a:xfrm>
                    <a:prstGeom prst="rect">
                      <a:avLst/>
                    </a:prstGeom>
                  </pic:spPr>
                </pic:pic>
              </a:graphicData>
            </a:graphic>
          </wp:inline>
        </w:drawing>
      </w:r>
      <w:r>
        <w:rPr/>
        <w:t xml:space="preserve"> </w:t>
      </w:r>
    </w:p>
    <w:p>
      <w:pPr>
        <w:pStyle w:val="TextBody"/>
        <w:bidi w:val="0"/>
        <w:spacing w:before="240" w:after="0"/>
        <w:jc w:val="left"/>
        <w:rPr>
          <w:rFonts w:ascii="ARIAL" w:hAnsi="ARIAL"/>
          <w:b/>
          <w:color w:val="1F497D"/>
          <w:sz w:val="20"/>
        </w:rPr>
      </w:pPr>
      <w:bookmarkStart w:id="29" w:name="txa496243_27"/>
      <w:bookmarkEnd w:id="29"/>
      <w:r>
        <w:rPr>
          <w:rFonts w:ascii="ARIAL" w:hAnsi="ARIAL"/>
          <w:b/>
          <w:color w:val="1F497D"/>
          <w:sz w:val="20"/>
        </w:rPr>
        <w:t xml:space="preserve">Executive Compensation Decision-Making Process </w:t>
      </w:r>
    </w:p>
    <w:p>
      <w:pPr>
        <w:pStyle w:val="TextBody"/>
        <w:bidi w:val="0"/>
        <w:spacing w:before="240" w:after="0"/>
        <w:jc w:val="left"/>
        <w:rPr>
          <w:rFonts w:ascii="ARIAL" w:hAnsi="ARIAL"/>
          <w:b/>
          <w:i/>
          <w:color w:val="4B6D97"/>
          <w:sz w:val="20"/>
        </w:rPr>
      </w:pPr>
      <w:r>
        <w:rPr>
          <w:rFonts w:ascii="ARIAL" w:hAnsi="ARIAL"/>
          <w:b/>
          <w:i/>
          <w:color w:val="4B6D97"/>
          <w:sz w:val="20"/>
        </w:rPr>
        <w:t xml:space="preserve">The Role of the Compensation Committee </w:t>
      </w:r>
    </w:p>
    <w:p>
      <w:pPr>
        <w:pStyle w:val="TextBody"/>
        <w:bidi w:val="0"/>
        <w:spacing w:before="240" w:after="0"/>
        <w:jc w:val="both"/>
        <w:rPr>
          <w:rFonts w:ascii="ARIAL" w:hAnsi="ARIAL"/>
          <w:sz w:val="20"/>
        </w:rPr>
      </w:pPr>
      <w:r>
        <w:rPr>
          <w:rFonts w:ascii="ARIAL" w:hAnsi="ARIAL"/>
          <w:sz w:val="20"/>
        </w:rPr>
        <w:t xml:space="preserve">The Compensation Committee oversees the executive compensation program for our NEOs. The committee is composed solely of independent members of the Board. The Committee works closely with its independent compensation consultant and management to examine the effectiveness of the Company’s executive compensation program throughout the year. Details of the Compensation Committee’s authority and responsibilities are specified in its charter, which may be accessed on the investor relations section of our corporate website at https://ir.alignmenthealth.com/. The committee makes all final compensation decisions and equity award recommendations regarding our NEOs. </w:t>
      </w:r>
    </w:p>
    <w:p>
      <w:pPr>
        <w:pStyle w:val="TextBody"/>
        <w:bidi w:val="0"/>
        <w:spacing w:before="240" w:after="0"/>
        <w:jc w:val="left"/>
        <w:rPr>
          <w:rFonts w:ascii="ARIAL" w:hAnsi="ARIAL"/>
          <w:b/>
          <w:i/>
          <w:color w:val="4B6D97"/>
          <w:sz w:val="20"/>
        </w:rPr>
      </w:pPr>
      <w:r>
        <w:rPr>
          <w:rFonts w:ascii="ARIAL" w:hAnsi="ARIAL"/>
          <w:b/>
          <w:i/>
          <w:color w:val="4B6D97"/>
          <w:sz w:val="20"/>
        </w:rPr>
        <w:t xml:space="preserve">The Role of Management </w:t>
      </w:r>
    </w:p>
    <w:p>
      <w:pPr>
        <w:pStyle w:val="TextBody"/>
        <w:bidi w:val="0"/>
        <w:spacing w:before="240" w:after="0"/>
        <w:jc w:val="both"/>
        <w:rPr>
          <w:rFonts w:ascii="ARIAL" w:hAnsi="ARIAL"/>
          <w:sz w:val="20"/>
        </w:rPr>
      </w:pPr>
      <w:r>
        <w:rPr>
          <w:rFonts w:ascii="ARIAL" w:hAnsi="ARIAL"/>
          <w:sz w:val="20"/>
        </w:rPr>
        <w:t xml:space="preserve">Members of our management team attend regular meetings where executive compensation, corporate and individual performance, and competitive compensation levels and practices are discussed and evaluated; however, they are not present in the board room for, nor do they participate in, discussions about their own pay. Only the Compensation Committee members are allowed to vote on decisions regarding NEO compensation. The CEO reviews his recommendations pertaining to other executives pay with the Committee providing transparency and oversight. Decisions on non-executive officer pay are made by the CEO in collaboration with the executive officers who manage such employees. The CEO does not participate in the deliberations of the Compensation Committee regarding his own compensation. The Compensation Committee makes all final determinations regarding CEO compensation. </w:t>
      </w:r>
    </w:p>
    <w:p>
      <w:pPr>
        <w:pStyle w:val="TextBody"/>
        <w:bidi w:val="0"/>
        <w:spacing w:before="240" w:after="0"/>
        <w:jc w:val="left"/>
        <w:rPr>
          <w:rFonts w:ascii="ARIAL" w:hAnsi="ARIAL"/>
          <w:b/>
          <w:i/>
          <w:color w:val="4B6D97"/>
          <w:sz w:val="20"/>
        </w:rPr>
      </w:pPr>
      <w:r>
        <w:rPr>
          <w:rFonts w:ascii="ARIAL" w:hAnsi="ARIAL"/>
          <w:b/>
          <w:i/>
          <w:color w:val="4B6D97"/>
          <w:sz w:val="20"/>
        </w:rPr>
        <w:t xml:space="preserve">The Role of the Independent Consultant </w:t>
      </w:r>
    </w:p>
    <w:p>
      <w:pPr>
        <w:pStyle w:val="TextBody"/>
        <w:bidi w:val="0"/>
        <w:spacing w:before="240" w:after="0"/>
        <w:jc w:val="both"/>
        <w:rPr>
          <w:rFonts w:ascii="ARIAL" w:hAnsi="ARIAL"/>
          <w:sz w:val="20"/>
        </w:rPr>
      </w:pPr>
      <w:r>
        <w:rPr>
          <w:rFonts w:ascii="ARIAL" w:hAnsi="ARIAL"/>
          <w:sz w:val="20"/>
        </w:rPr>
        <w:t xml:space="preserve">The Compensation Committee engages an independent compensation consultant to provide expertise on competitive pay practices, program design, and an objective assessment of any inherent risks of any programs. Pursuant to authority granted to it under its charter, the Compensation Committee has hired Pearl Meyer &amp; Partners, LLC (“Pearl Meyer”) as its independent consultant. Pearl Meyer reports directly to the Compensation Committee and does not provide any additional services to management. The Compensation Committee has conducted an independence assessment of Pearl Meyer in accordance with Nasdaq rules. </w:t>
      </w:r>
    </w:p>
    <w:p>
      <w:pPr>
        <w:pStyle w:val="TextBody"/>
        <w:bidi w:val="0"/>
        <w:spacing w:before="240" w:after="0"/>
        <w:jc w:val="left"/>
        <w:rPr>
          <w:rFonts w:ascii="ARIAL" w:hAnsi="ARIAL"/>
          <w:b/>
          <w:i/>
          <w:color w:val="4B6D97"/>
          <w:sz w:val="20"/>
        </w:rPr>
      </w:pPr>
      <w:r>
        <w:rPr>
          <w:rFonts w:ascii="ARIAL" w:hAnsi="ARIAL"/>
          <w:b/>
          <w:i/>
          <w:color w:val="4B6D97"/>
          <w:sz w:val="20"/>
        </w:rPr>
        <w:t xml:space="preserve">The Role of Peer Group Companies </w:t>
      </w:r>
    </w:p>
    <w:p>
      <w:pPr>
        <w:pStyle w:val="TextBody"/>
        <w:bidi w:val="0"/>
        <w:spacing w:before="240" w:after="0"/>
        <w:jc w:val="both"/>
        <w:rPr>
          <w:rFonts w:ascii="ARIAL" w:hAnsi="ARIAL"/>
          <w:sz w:val="20"/>
        </w:rPr>
      </w:pPr>
      <w:r>
        <w:rPr>
          <w:rFonts w:ascii="ARIAL" w:hAnsi="ARIAL"/>
          <w:sz w:val="20"/>
        </w:rPr>
        <w:t xml:space="preserve">The Compensation Committee strives to set a competitive level of total compensation for each NEO as compared with executive officers in similar positions at peer companies. For purposes of setting 2023 compensation levels, in conjunction with the recommendation of Pearl Meyer, the Compensation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46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Committee considered publicly available data for a group of peer companies (the “2023 Compensation Peer Group”) listed below, along with industry specific survey data, where appropriate. Selection criteria for determining/reviewing the 2023 Compensation Peer Group, used to establish the competitive market for the NEOs, generally include companies within the “Health Care Services” and “Health Care Technologies” industry groups and last twelve-month revenues ranging from approximately 1/5 times to 3 times Alignment Healthcare’s revenues (i.e., ~$282 million -$3.2billion) as of June 1, 2023. </w:t>
      </w:r>
    </w:p>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2375"/>
        <w:gridCol w:w="120"/>
        <w:gridCol w:w="2360"/>
      </w:tblGrid>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r>
      <w:tr>
        <w:trPr/>
        <w:tc>
          <w:tcPr>
            <w:tcW w:w="2375" w:type="dxa"/>
            <w:tcBorders>
              <w:top w:val="single" w:sz="8" w:space="0" w:color="95B3D7"/>
              <w:bottom w:val="single" w:sz="8" w:space="0" w:color="95B3D7"/>
              <w:right w:val="single" w:sz="8" w:space="0" w:color="95B3D7"/>
            </w:tcBorders>
            <w:shd w:fill="E2EAF3" w:val="clear"/>
            <w:tcMar>
              <w:top w:w="28" w:type="dxa"/>
              <w:bottom w:w="28" w:type="dxa"/>
              <w:right w:w="28" w:type="dxa"/>
            </w:tcMar>
            <w:vAlign w:val="center"/>
          </w:tcPr>
          <w:p>
            <w:pPr>
              <w:pStyle w:val="TableContents"/>
              <w:bidi w:val="0"/>
              <w:spacing w:before="0" w:after="0"/>
              <w:jc w:val="left"/>
              <w:rPr/>
            </w:pPr>
            <w:r>
              <w:rPr/>
              <w:t>•  </w:t>
            </w:r>
            <w:r>
              <w:rPr>
                <w:rFonts w:ascii="ARIAL" w:hAnsi="ARIAL"/>
                <w:sz w:val="18"/>
              </w:rPr>
              <w:t>1Life Healthcare, Inc.</w:t>
            </w:r>
          </w:p>
        </w:tc>
        <w:tc>
          <w:tcPr>
            <w:tcW w:w="120" w:type="dxa"/>
            <w:tcBorders>
              <w:top w:val="single" w:sz="8" w:space="0" w:color="95B3D7"/>
              <w:bottom w:val="single" w:sz="8" w:space="0" w:color="95B3D7"/>
            </w:tcBorders>
            <w:shd w:fill="E2EAF3" w:val="clear"/>
            <w:tcMar>
              <w:top w:w="28" w:type="dxa"/>
              <w:bottom w:w="28" w:type="dxa"/>
            </w:tcMar>
            <w:vAlign w:val="center"/>
          </w:tcPr>
          <w:p>
            <w:pPr>
              <w:pStyle w:val="TableContents"/>
              <w:bidi w:val="0"/>
              <w:spacing w:before="0" w:after="283"/>
              <w:jc w:val="left"/>
              <w:rPr/>
            </w:pPr>
            <w:r>
              <w:rPr/>
              <w:t>  </w:t>
            </w:r>
          </w:p>
        </w:tc>
        <w:tc>
          <w:tcPr>
            <w:tcW w:w="2360" w:type="dxa"/>
            <w:tcBorders>
              <w:top w:val="single" w:sz="8" w:space="0" w:color="95B3D7"/>
              <w:bottom w:val="single" w:sz="8" w:space="0" w:color="95B3D7"/>
            </w:tcBorders>
            <w:shd w:fill="E2EAF3" w:val="clear"/>
            <w:tcMar>
              <w:top w:w="28" w:type="dxa"/>
              <w:bottom w:w="28" w:type="dxa"/>
            </w:tcMar>
            <w:vAlign w:val="center"/>
          </w:tcPr>
          <w:p>
            <w:pPr>
              <w:pStyle w:val="TableContents"/>
              <w:bidi w:val="0"/>
              <w:spacing w:before="0" w:after="0"/>
              <w:jc w:val="left"/>
              <w:rPr/>
            </w:pPr>
            <w:r>
              <w:rPr/>
              <w:t>•  </w:t>
            </w:r>
            <w:r>
              <w:rPr>
                <w:rFonts w:ascii="ARIAL" w:hAnsi="ARIAL"/>
                <w:sz w:val="18"/>
              </w:rPr>
              <w:t>HealthEquity, Inc.</w:t>
            </w:r>
          </w:p>
        </w:tc>
      </w:tr>
      <w:tr>
        <w:trPr/>
        <w:tc>
          <w:tcPr>
            <w:tcW w:w="2375" w:type="dxa"/>
            <w:tcBorders>
              <w:bottom w:val="single" w:sz="8" w:space="0" w:color="95B3D7"/>
              <w:right w:val="single" w:sz="8" w:space="0" w:color="95B3D7"/>
            </w:tcBorders>
            <w:tcMar>
              <w:bottom w:w="28" w:type="dxa"/>
              <w:right w:w="28" w:type="dxa"/>
            </w:tcMar>
            <w:vAlign w:val="center"/>
          </w:tcPr>
          <w:p>
            <w:pPr>
              <w:pStyle w:val="TableContents"/>
              <w:bidi w:val="0"/>
              <w:spacing w:before="0" w:after="0"/>
              <w:jc w:val="left"/>
              <w:rPr/>
            </w:pPr>
            <w:r>
              <w:rPr/>
              <w:t>•  </w:t>
            </w:r>
            <w:r>
              <w:rPr>
                <w:rFonts w:ascii="ARIAL" w:hAnsi="ARIAL"/>
                <w:sz w:val="18"/>
              </w:rPr>
              <w:t>agilon health, inc.</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2360" w:type="dxa"/>
            <w:tcBorders>
              <w:bottom w:val="single" w:sz="8" w:space="0" w:color="95B3D7"/>
            </w:tcBorders>
            <w:tcMar>
              <w:bottom w:w="28" w:type="dxa"/>
            </w:tcMar>
            <w:vAlign w:val="center"/>
          </w:tcPr>
          <w:p>
            <w:pPr>
              <w:pStyle w:val="TableContents"/>
              <w:bidi w:val="0"/>
              <w:spacing w:before="0" w:after="0"/>
              <w:jc w:val="left"/>
              <w:rPr/>
            </w:pPr>
            <w:r>
              <w:rPr/>
              <w:t>•  </w:t>
            </w:r>
            <w:r>
              <w:rPr>
                <w:rFonts w:ascii="ARIAL" w:hAnsi="ARIAL"/>
                <w:sz w:val="18"/>
              </w:rPr>
              <w:t>Oak Street Health</w:t>
            </w:r>
          </w:p>
        </w:tc>
      </w:tr>
      <w:tr>
        <w:trPr/>
        <w:tc>
          <w:tcPr>
            <w:tcW w:w="2375" w:type="dxa"/>
            <w:tcBorders>
              <w:bottom w:val="single" w:sz="8" w:space="0" w:color="95B3D7"/>
              <w:right w:val="single" w:sz="8" w:space="0" w:color="95B3D7"/>
            </w:tcBorders>
            <w:shd w:fill="E2EAF3" w:val="clear"/>
            <w:tcMar>
              <w:bottom w:w="28" w:type="dxa"/>
              <w:right w:w="28" w:type="dxa"/>
            </w:tcMar>
            <w:vAlign w:val="center"/>
          </w:tcPr>
          <w:p>
            <w:pPr>
              <w:pStyle w:val="TableContents"/>
              <w:bidi w:val="0"/>
              <w:spacing w:before="0" w:after="0"/>
              <w:jc w:val="left"/>
              <w:rPr/>
            </w:pPr>
            <w:r>
              <w:rPr/>
              <w:t>•  </w:t>
            </w:r>
            <w:r>
              <w:rPr>
                <w:rFonts w:ascii="ARIAL" w:hAnsi="ARIAL"/>
                <w:sz w:val="18"/>
              </w:rPr>
              <w:t>Amedisys, Inc.</w:t>
            </w:r>
          </w:p>
        </w:tc>
        <w:tc>
          <w:tcPr>
            <w:tcW w:w="120" w:type="dxa"/>
            <w:tcBorders>
              <w:bottom w:val="single" w:sz="8" w:space="0" w:color="95B3D7"/>
            </w:tcBorders>
            <w:shd w:fill="E2EAF3" w:val="clear"/>
            <w:tcMar>
              <w:bottom w:w="28" w:type="dxa"/>
            </w:tcMar>
            <w:vAlign w:val="center"/>
          </w:tcPr>
          <w:p>
            <w:pPr>
              <w:pStyle w:val="TableContents"/>
              <w:bidi w:val="0"/>
              <w:spacing w:before="0" w:after="283"/>
              <w:jc w:val="left"/>
              <w:rPr/>
            </w:pPr>
            <w:r>
              <w:rPr/>
              <w:t>  </w:t>
            </w:r>
          </w:p>
        </w:tc>
        <w:tc>
          <w:tcPr>
            <w:tcW w:w="2360" w:type="dxa"/>
            <w:tcBorders>
              <w:bottom w:val="single" w:sz="8" w:space="0" w:color="95B3D7"/>
            </w:tcBorders>
            <w:shd w:fill="E2EAF3" w:val="clear"/>
            <w:tcMar>
              <w:bottom w:w="28" w:type="dxa"/>
            </w:tcMar>
            <w:vAlign w:val="center"/>
          </w:tcPr>
          <w:p>
            <w:pPr>
              <w:pStyle w:val="TableContents"/>
              <w:bidi w:val="0"/>
              <w:spacing w:before="0" w:after="0"/>
              <w:jc w:val="left"/>
              <w:rPr/>
            </w:pPr>
            <w:r>
              <w:rPr/>
              <w:t>•  </w:t>
            </w:r>
            <w:r>
              <w:rPr>
                <w:rFonts w:ascii="ARIAL" w:hAnsi="ARIAL"/>
                <w:sz w:val="18"/>
              </w:rPr>
              <w:t>Omnicell, Inc.</w:t>
            </w:r>
          </w:p>
        </w:tc>
      </w:tr>
      <w:tr>
        <w:trPr/>
        <w:tc>
          <w:tcPr>
            <w:tcW w:w="2375" w:type="dxa"/>
            <w:tcBorders>
              <w:bottom w:val="single" w:sz="8" w:space="0" w:color="95B3D7"/>
              <w:right w:val="single" w:sz="8" w:space="0" w:color="95B3D7"/>
            </w:tcBorders>
            <w:tcMar>
              <w:bottom w:w="28" w:type="dxa"/>
              <w:right w:w="28" w:type="dxa"/>
            </w:tcMar>
            <w:vAlign w:val="center"/>
          </w:tcPr>
          <w:p>
            <w:pPr>
              <w:pStyle w:val="TableContents"/>
              <w:bidi w:val="0"/>
              <w:spacing w:before="0" w:after="0"/>
              <w:jc w:val="left"/>
              <w:rPr/>
            </w:pPr>
            <w:r>
              <w:rPr/>
              <w:t>•  </w:t>
            </w:r>
            <w:r>
              <w:rPr>
                <w:rFonts w:ascii="ARIAL" w:hAnsi="ARIAL"/>
                <w:sz w:val="18"/>
              </w:rPr>
              <w:t>Bright Health Group, Inc.</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2360" w:type="dxa"/>
            <w:tcBorders>
              <w:bottom w:val="single" w:sz="8" w:space="0" w:color="95B3D7"/>
            </w:tcBorders>
            <w:tcMar>
              <w:bottom w:w="28" w:type="dxa"/>
            </w:tcMar>
            <w:vAlign w:val="center"/>
          </w:tcPr>
          <w:p>
            <w:pPr>
              <w:pStyle w:val="TableContents"/>
              <w:bidi w:val="0"/>
              <w:spacing w:before="0" w:after="0"/>
              <w:jc w:val="left"/>
              <w:rPr/>
            </w:pPr>
            <w:r>
              <w:rPr/>
              <w:t>•  </w:t>
            </w:r>
            <w:r>
              <w:rPr>
                <w:rFonts w:ascii="ARIAL" w:hAnsi="ARIAL"/>
                <w:sz w:val="18"/>
              </w:rPr>
              <w:t>Phreesia, Inc.</w:t>
            </w:r>
          </w:p>
        </w:tc>
      </w:tr>
      <w:tr>
        <w:trPr/>
        <w:tc>
          <w:tcPr>
            <w:tcW w:w="2375" w:type="dxa"/>
            <w:tcBorders>
              <w:bottom w:val="single" w:sz="8" w:space="0" w:color="95B3D7"/>
              <w:right w:val="single" w:sz="8" w:space="0" w:color="95B3D7"/>
            </w:tcBorders>
            <w:shd w:fill="E2EAF3" w:val="clear"/>
            <w:tcMar>
              <w:bottom w:w="28" w:type="dxa"/>
              <w:right w:w="28" w:type="dxa"/>
            </w:tcMar>
            <w:vAlign w:val="center"/>
          </w:tcPr>
          <w:p>
            <w:pPr>
              <w:pStyle w:val="TableContents"/>
              <w:bidi w:val="0"/>
              <w:spacing w:before="0" w:after="0"/>
              <w:jc w:val="left"/>
              <w:rPr/>
            </w:pPr>
            <w:r>
              <w:rPr/>
              <w:t>•  </w:t>
            </w:r>
            <w:r>
              <w:rPr>
                <w:rFonts w:ascii="ARIAL" w:hAnsi="ARIAL"/>
                <w:sz w:val="18"/>
              </w:rPr>
              <w:t>Cano Health, Inc.</w:t>
            </w:r>
          </w:p>
        </w:tc>
        <w:tc>
          <w:tcPr>
            <w:tcW w:w="120" w:type="dxa"/>
            <w:tcBorders>
              <w:bottom w:val="single" w:sz="8" w:space="0" w:color="95B3D7"/>
            </w:tcBorders>
            <w:shd w:fill="E2EAF3" w:val="clear"/>
            <w:tcMar>
              <w:bottom w:w="28" w:type="dxa"/>
            </w:tcMar>
            <w:vAlign w:val="center"/>
          </w:tcPr>
          <w:p>
            <w:pPr>
              <w:pStyle w:val="TableContents"/>
              <w:bidi w:val="0"/>
              <w:spacing w:before="0" w:after="283"/>
              <w:jc w:val="left"/>
              <w:rPr/>
            </w:pPr>
            <w:r>
              <w:rPr/>
              <w:t>  </w:t>
            </w:r>
          </w:p>
        </w:tc>
        <w:tc>
          <w:tcPr>
            <w:tcW w:w="2360" w:type="dxa"/>
            <w:tcBorders>
              <w:bottom w:val="single" w:sz="8" w:space="0" w:color="95B3D7"/>
            </w:tcBorders>
            <w:shd w:fill="E2EAF3" w:val="clear"/>
            <w:tcMar>
              <w:bottom w:w="28" w:type="dxa"/>
            </w:tcMar>
            <w:vAlign w:val="center"/>
          </w:tcPr>
          <w:p>
            <w:pPr>
              <w:pStyle w:val="TableContents"/>
              <w:bidi w:val="0"/>
              <w:spacing w:before="0" w:after="0"/>
              <w:jc w:val="left"/>
              <w:rPr/>
            </w:pPr>
            <w:r>
              <w:rPr/>
              <w:t>•  </w:t>
            </w:r>
            <w:r>
              <w:rPr>
                <w:rFonts w:ascii="ARIAL" w:hAnsi="ARIAL"/>
                <w:sz w:val="18"/>
              </w:rPr>
              <w:t>Privia Health Group, Inc.</w:t>
            </w:r>
          </w:p>
        </w:tc>
      </w:tr>
      <w:tr>
        <w:trPr/>
        <w:tc>
          <w:tcPr>
            <w:tcW w:w="2375" w:type="dxa"/>
            <w:tcBorders>
              <w:bottom w:val="single" w:sz="8" w:space="0" w:color="95B3D7"/>
              <w:right w:val="single" w:sz="8" w:space="0" w:color="95B3D7"/>
            </w:tcBorders>
            <w:tcMar>
              <w:bottom w:w="28" w:type="dxa"/>
              <w:right w:w="28" w:type="dxa"/>
            </w:tcMar>
            <w:vAlign w:val="center"/>
          </w:tcPr>
          <w:p>
            <w:pPr>
              <w:pStyle w:val="TableContents"/>
              <w:bidi w:val="0"/>
              <w:spacing w:before="0" w:after="0"/>
              <w:jc w:val="left"/>
              <w:rPr/>
            </w:pPr>
            <w:r>
              <w:rPr/>
              <w:t>•  </w:t>
            </w:r>
            <w:r>
              <w:rPr>
                <w:rFonts w:ascii="ARIAL" w:hAnsi="ARIAL"/>
                <w:sz w:val="18"/>
              </w:rPr>
              <w:t>Evolent Health, Inc.</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2360" w:type="dxa"/>
            <w:tcBorders>
              <w:bottom w:val="single" w:sz="8" w:space="0" w:color="95B3D7"/>
            </w:tcBorders>
            <w:tcMar>
              <w:bottom w:w="28" w:type="dxa"/>
            </w:tcMar>
            <w:vAlign w:val="center"/>
          </w:tcPr>
          <w:p>
            <w:pPr>
              <w:pStyle w:val="TableContents"/>
              <w:bidi w:val="0"/>
              <w:spacing w:before="0" w:after="0"/>
              <w:jc w:val="left"/>
              <w:rPr/>
            </w:pPr>
            <w:r>
              <w:rPr/>
              <w:t>•  </w:t>
            </w:r>
            <w:r>
              <w:rPr>
                <w:rFonts w:ascii="ARIAL" w:hAnsi="ARIAL"/>
                <w:sz w:val="18"/>
              </w:rPr>
              <w:t>Signify Health, Inc.</w:t>
            </w:r>
          </w:p>
        </w:tc>
      </w:tr>
      <w:tr>
        <w:trPr/>
        <w:tc>
          <w:tcPr>
            <w:tcW w:w="2375" w:type="dxa"/>
            <w:tcBorders>
              <w:bottom w:val="single" w:sz="8" w:space="0" w:color="95B3D7"/>
              <w:right w:val="single" w:sz="8" w:space="0" w:color="95B3D7"/>
            </w:tcBorders>
            <w:shd w:fill="E2EAF3" w:val="clear"/>
            <w:tcMar>
              <w:bottom w:w="28" w:type="dxa"/>
              <w:right w:w="28" w:type="dxa"/>
            </w:tcMar>
            <w:vAlign w:val="center"/>
          </w:tcPr>
          <w:p>
            <w:pPr>
              <w:pStyle w:val="TableContents"/>
              <w:bidi w:val="0"/>
              <w:spacing w:before="0" w:after="0"/>
              <w:jc w:val="left"/>
              <w:rPr/>
            </w:pPr>
            <w:r>
              <w:rPr/>
              <w:t>•  </w:t>
            </w:r>
            <w:r>
              <w:rPr>
                <w:rFonts w:ascii="ARIAL" w:hAnsi="ARIAL"/>
                <w:sz w:val="18"/>
              </w:rPr>
              <w:t>Health Catalyst, Inc.</w:t>
            </w:r>
          </w:p>
        </w:tc>
        <w:tc>
          <w:tcPr>
            <w:tcW w:w="120" w:type="dxa"/>
            <w:tcBorders>
              <w:bottom w:val="single" w:sz="8" w:space="0" w:color="95B3D7"/>
            </w:tcBorders>
            <w:shd w:fill="E2EAF3" w:val="clear"/>
            <w:tcMar>
              <w:bottom w:w="28" w:type="dxa"/>
            </w:tcMar>
            <w:vAlign w:val="center"/>
          </w:tcPr>
          <w:p>
            <w:pPr>
              <w:pStyle w:val="TableContents"/>
              <w:bidi w:val="0"/>
              <w:spacing w:before="0" w:after="283"/>
              <w:jc w:val="left"/>
              <w:rPr/>
            </w:pPr>
            <w:r>
              <w:rPr/>
              <w:t>  </w:t>
            </w:r>
          </w:p>
        </w:tc>
        <w:tc>
          <w:tcPr>
            <w:tcW w:w="2360" w:type="dxa"/>
            <w:tcBorders>
              <w:bottom w:val="single" w:sz="8" w:space="0" w:color="95B3D7"/>
            </w:tcBorders>
            <w:shd w:fill="E2EAF3" w:val="clear"/>
            <w:tcMar>
              <w:bottom w:w="28" w:type="dxa"/>
            </w:tcMar>
            <w:vAlign w:val="center"/>
          </w:tcPr>
          <w:p>
            <w:pPr>
              <w:pStyle w:val="TableContents"/>
              <w:bidi w:val="0"/>
              <w:spacing w:before="0" w:after="0"/>
              <w:jc w:val="left"/>
              <w:rPr/>
            </w:pPr>
            <w:r>
              <w:rPr/>
              <w:t>•  </w:t>
            </w:r>
            <w:r>
              <w:rPr>
                <w:rFonts w:ascii="ARIAL" w:hAnsi="ARIAL"/>
                <w:sz w:val="18"/>
              </w:rPr>
              <w:t>Veradigm, Inc.</w:t>
            </w:r>
          </w:p>
        </w:tc>
      </w:tr>
    </w:tbl>
    <w:p>
      <w:pPr>
        <w:pStyle w:val="TextBody"/>
        <w:bidi w:val="0"/>
        <w:spacing w:before="240" w:after="0"/>
        <w:jc w:val="both"/>
        <w:rPr>
          <w:rFonts w:ascii="ARIAL" w:hAnsi="ARIAL"/>
          <w:sz w:val="20"/>
        </w:rPr>
      </w:pPr>
      <w:r>
        <w:rPr>
          <w:rFonts w:ascii="ARIAL" w:hAnsi="ARIAL"/>
          <w:sz w:val="20"/>
        </w:rPr>
        <w:t xml:space="preserve">Given the significant growth of the Company over the course of the year and consolidation in the healthcare space, the peer group was revisited in mid-2023 to better fit the current size and operating complexities of the Company for purposes of setting pay levels for 2024. Selection criteria used to establish the competitive market for the NEOs generally included companies within the “Health Care Services,” Life and Health Insurance,” “Health Care Facilities,” “Health Care Equipment,” and “Health Care Technologies” industry groups, with last twelve-month revenues ranging from approximately one-fifth to three times that of Alignment Healthcare’s revenues (i.e., ~$653 million - $4,482 million) as of June 1, 2023. </w:t>
      </w:r>
    </w:p>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3080"/>
        <w:gridCol w:w="120"/>
        <w:gridCol w:w="2720"/>
      </w:tblGrid>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3080" w:type="dxa"/>
            <w:tcBorders>
              <w:top w:val="single" w:sz="8" w:space="0" w:color="95B3D7"/>
              <w:bottom w:val="single" w:sz="8" w:space="0" w:color="95B3D7"/>
              <w:right w:val="single" w:sz="8" w:space="0" w:color="95B3D7"/>
            </w:tcBorders>
            <w:shd w:fill="E2EAF3" w:val="clear"/>
            <w:tcMar>
              <w:top w:w="28" w:type="dxa"/>
              <w:bottom w:w="28" w:type="dxa"/>
              <w:right w:w="28" w:type="dxa"/>
            </w:tcMar>
            <w:vAlign w:val="center"/>
          </w:tcPr>
          <w:p>
            <w:pPr>
              <w:pStyle w:val="TableContents"/>
              <w:bidi w:val="0"/>
              <w:spacing w:before="0" w:after="0"/>
              <w:jc w:val="left"/>
              <w:rPr/>
            </w:pPr>
            <w:r>
              <w:rPr/>
              <w:t>•  </w:t>
            </w:r>
            <w:r>
              <w:rPr>
                <w:rFonts w:ascii="ARIAL" w:hAnsi="ARIAL"/>
                <w:sz w:val="18"/>
              </w:rPr>
              <w:t>Addus HomeCare Corporation</w:t>
            </w:r>
          </w:p>
        </w:tc>
        <w:tc>
          <w:tcPr>
            <w:tcW w:w="120" w:type="dxa"/>
            <w:tcBorders>
              <w:top w:val="single" w:sz="8" w:space="0" w:color="95B3D7"/>
              <w:bottom w:val="single" w:sz="8" w:space="0" w:color="95B3D7"/>
            </w:tcBorders>
            <w:shd w:fill="E2EAF3" w:val="clear"/>
            <w:tcMar>
              <w:top w:w="28" w:type="dxa"/>
              <w:bottom w:w="28" w:type="dxa"/>
            </w:tcMar>
            <w:vAlign w:val="center"/>
          </w:tcPr>
          <w:p>
            <w:pPr>
              <w:pStyle w:val="TableContents"/>
              <w:bidi w:val="0"/>
              <w:spacing w:before="0" w:after="283"/>
              <w:jc w:val="left"/>
              <w:rPr/>
            </w:pPr>
            <w:r>
              <w:rPr/>
              <w:t>  </w:t>
            </w:r>
          </w:p>
        </w:tc>
        <w:tc>
          <w:tcPr>
            <w:tcW w:w="2720" w:type="dxa"/>
            <w:tcBorders>
              <w:top w:val="single" w:sz="8" w:space="0" w:color="95B3D7"/>
              <w:bottom w:val="single" w:sz="8" w:space="0" w:color="95B3D7"/>
            </w:tcBorders>
            <w:shd w:fill="E2EAF3" w:val="clear"/>
            <w:tcMar>
              <w:top w:w="28" w:type="dxa"/>
              <w:bottom w:w="28" w:type="dxa"/>
            </w:tcMar>
            <w:vAlign w:val="center"/>
          </w:tcPr>
          <w:p>
            <w:pPr>
              <w:pStyle w:val="TableContents"/>
              <w:bidi w:val="0"/>
              <w:spacing w:before="0" w:after="0"/>
              <w:jc w:val="left"/>
              <w:rPr/>
            </w:pPr>
            <w:r>
              <w:rPr/>
              <w:t>•  </w:t>
            </w:r>
            <w:r>
              <w:rPr>
                <w:rFonts w:ascii="ARIAL" w:hAnsi="ARIAL"/>
                <w:sz w:val="18"/>
              </w:rPr>
              <w:t>NextGen Healthcare, Inc.</w:t>
            </w:r>
          </w:p>
        </w:tc>
      </w:tr>
      <w:tr>
        <w:trPr/>
        <w:tc>
          <w:tcPr>
            <w:tcW w:w="3080" w:type="dxa"/>
            <w:tcBorders>
              <w:bottom w:val="single" w:sz="8" w:space="0" w:color="95B3D7"/>
              <w:right w:val="single" w:sz="8" w:space="0" w:color="95B3D7"/>
            </w:tcBorders>
            <w:tcMar>
              <w:bottom w:w="28" w:type="dxa"/>
              <w:right w:w="28" w:type="dxa"/>
            </w:tcMar>
            <w:vAlign w:val="center"/>
          </w:tcPr>
          <w:p>
            <w:pPr>
              <w:pStyle w:val="TableContents"/>
              <w:bidi w:val="0"/>
              <w:spacing w:before="0" w:after="0"/>
              <w:jc w:val="left"/>
              <w:rPr/>
            </w:pPr>
            <w:r>
              <w:rPr/>
              <w:t>•  </w:t>
            </w:r>
            <w:r>
              <w:rPr>
                <w:rFonts w:ascii="ARIAL" w:hAnsi="ARIAL"/>
                <w:sz w:val="18"/>
              </w:rPr>
              <w:t>Agiliti, Inc.</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2720" w:type="dxa"/>
            <w:tcBorders>
              <w:bottom w:val="single" w:sz="8" w:space="0" w:color="95B3D7"/>
            </w:tcBorders>
            <w:tcMar>
              <w:bottom w:w="28" w:type="dxa"/>
            </w:tcMar>
            <w:vAlign w:val="center"/>
          </w:tcPr>
          <w:p>
            <w:pPr>
              <w:pStyle w:val="TableContents"/>
              <w:bidi w:val="0"/>
              <w:spacing w:before="0" w:after="0"/>
              <w:jc w:val="left"/>
              <w:rPr/>
            </w:pPr>
            <w:r>
              <w:rPr/>
              <w:t>•  </w:t>
            </w:r>
            <w:r>
              <w:rPr>
                <w:rFonts w:ascii="ARIAL" w:hAnsi="ARIAL"/>
                <w:sz w:val="18"/>
              </w:rPr>
              <w:t>Oak Street Health, Inc.</w:t>
            </w:r>
          </w:p>
        </w:tc>
      </w:tr>
      <w:tr>
        <w:trPr/>
        <w:tc>
          <w:tcPr>
            <w:tcW w:w="3080" w:type="dxa"/>
            <w:tcBorders>
              <w:bottom w:val="single" w:sz="8" w:space="0" w:color="95B3D7"/>
              <w:right w:val="single" w:sz="8" w:space="0" w:color="95B3D7"/>
            </w:tcBorders>
            <w:shd w:fill="E2EAF3" w:val="clear"/>
            <w:tcMar>
              <w:bottom w:w="28" w:type="dxa"/>
              <w:right w:w="28" w:type="dxa"/>
            </w:tcMar>
            <w:vAlign w:val="center"/>
          </w:tcPr>
          <w:p>
            <w:pPr>
              <w:pStyle w:val="TableContents"/>
              <w:bidi w:val="0"/>
              <w:spacing w:before="0" w:after="0"/>
              <w:jc w:val="left"/>
              <w:rPr/>
            </w:pPr>
            <w:r>
              <w:rPr/>
              <w:t>•  </w:t>
            </w:r>
            <w:r>
              <w:rPr>
                <w:rFonts w:ascii="ARIAL" w:hAnsi="ARIAL"/>
                <w:sz w:val="18"/>
              </w:rPr>
              <w:t>agilon health, inc.</w:t>
            </w:r>
          </w:p>
        </w:tc>
        <w:tc>
          <w:tcPr>
            <w:tcW w:w="120" w:type="dxa"/>
            <w:tcBorders>
              <w:bottom w:val="single" w:sz="8" w:space="0" w:color="95B3D7"/>
            </w:tcBorders>
            <w:shd w:fill="E2EAF3" w:val="clear"/>
            <w:tcMar>
              <w:bottom w:w="28" w:type="dxa"/>
            </w:tcMar>
            <w:vAlign w:val="center"/>
          </w:tcPr>
          <w:p>
            <w:pPr>
              <w:pStyle w:val="TableContents"/>
              <w:bidi w:val="0"/>
              <w:spacing w:before="0" w:after="283"/>
              <w:jc w:val="left"/>
              <w:rPr/>
            </w:pPr>
            <w:r>
              <w:rPr/>
              <w:t>  </w:t>
            </w:r>
          </w:p>
        </w:tc>
        <w:tc>
          <w:tcPr>
            <w:tcW w:w="2720" w:type="dxa"/>
            <w:tcBorders>
              <w:bottom w:val="single" w:sz="8" w:space="0" w:color="95B3D7"/>
            </w:tcBorders>
            <w:shd w:fill="E2EAF3" w:val="clear"/>
            <w:tcMar>
              <w:bottom w:w="28" w:type="dxa"/>
            </w:tcMar>
            <w:vAlign w:val="center"/>
          </w:tcPr>
          <w:p>
            <w:pPr>
              <w:pStyle w:val="TableContents"/>
              <w:bidi w:val="0"/>
              <w:spacing w:before="0" w:after="0"/>
              <w:jc w:val="left"/>
              <w:rPr/>
            </w:pPr>
            <w:r>
              <w:rPr/>
              <w:t>•  </w:t>
            </w:r>
            <w:r>
              <w:rPr>
                <w:rFonts w:ascii="ARIAL" w:hAnsi="ARIAL"/>
                <w:sz w:val="18"/>
              </w:rPr>
              <w:t>Omnicell, Inc.</w:t>
            </w:r>
          </w:p>
        </w:tc>
      </w:tr>
      <w:tr>
        <w:trPr/>
        <w:tc>
          <w:tcPr>
            <w:tcW w:w="3080" w:type="dxa"/>
            <w:tcBorders>
              <w:bottom w:val="single" w:sz="8" w:space="0" w:color="95B3D7"/>
              <w:right w:val="single" w:sz="8" w:space="0" w:color="95B3D7"/>
            </w:tcBorders>
            <w:tcMar>
              <w:bottom w:w="28" w:type="dxa"/>
              <w:right w:w="28" w:type="dxa"/>
            </w:tcMar>
            <w:vAlign w:val="center"/>
          </w:tcPr>
          <w:p>
            <w:pPr>
              <w:pStyle w:val="TableContents"/>
              <w:bidi w:val="0"/>
              <w:spacing w:before="0" w:after="0"/>
              <w:jc w:val="left"/>
              <w:rPr/>
            </w:pPr>
            <w:r>
              <w:rPr/>
              <w:t>•  </w:t>
            </w:r>
            <w:r>
              <w:rPr>
                <w:rFonts w:ascii="ARIAL" w:hAnsi="ARIAL"/>
                <w:sz w:val="18"/>
              </w:rPr>
              <w:t>Amedisys, Inc.</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2720" w:type="dxa"/>
            <w:tcBorders>
              <w:bottom w:val="single" w:sz="8" w:space="0" w:color="95B3D7"/>
            </w:tcBorders>
            <w:tcMar>
              <w:bottom w:w="28" w:type="dxa"/>
            </w:tcMar>
            <w:vAlign w:val="center"/>
          </w:tcPr>
          <w:p>
            <w:pPr>
              <w:pStyle w:val="TableContents"/>
              <w:bidi w:val="0"/>
              <w:spacing w:before="0" w:after="0"/>
              <w:jc w:val="left"/>
              <w:rPr/>
            </w:pPr>
            <w:r>
              <w:rPr/>
              <w:t>•  </w:t>
            </w:r>
            <w:r>
              <w:rPr>
                <w:rFonts w:ascii="ARIAL" w:hAnsi="ARIAL"/>
                <w:sz w:val="18"/>
              </w:rPr>
              <w:t>Oscar Health, Inc.</w:t>
            </w:r>
          </w:p>
        </w:tc>
      </w:tr>
      <w:tr>
        <w:trPr/>
        <w:tc>
          <w:tcPr>
            <w:tcW w:w="3080" w:type="dxa"/>
            <w:tcBorders>
              <w:bottom w:val="single" w:sz="8" w:space="0" w:color="95B3D7"/>
              <w:right w:val="single" w:sz="8" w:space="0" w:color="95B3D7"/>
            </w:tcBorders>
            <w:shd w:fill="E2EAF3" w:val="clear"/>
            <w:tcMar>
              <w:bottom w:w="28" w:type="dxa"/>
              <w:right w:w="28" w:type="dxa"/>
            </w:tcMar>
            <w:vAlign w:val="center"/>
          </w:tcPr>
          <w:p>
            <w:pPr>
              <w:pStyle w:val="TableContents"/>
              <w:bidi w:val="0"/>
              <w:spacing w:before="0" w:after="0"/>
              <w:jc w:val="left"/>
              <w:rPr/>
            </w:pPr>
            <w:r>
              <w:rPr/>
              <w:t>•  </w:t>
            </w:r>
            <w:r>
              <w:rPr>
                <w:rFonts w:ascii="ARIAL" w:hAnsi="ARIAL"/>
                <w:sz w:val="18"/>
              </w:rPr>
              <w:t>Evolent Health, Inc.</w:t>
            </w:r>
          </w:p>
        </w:tc>
        <w:tc>
          <w:tcPr>
            <w:tcW w:w="120" w:type="dxa"/>
            <w:tcBorders>
              <w:bottom w:val="single" w:sz="8" w:space="0" w:color="95B3D7"/>
            </w:tcBorders>
            <w:shd w:fill="E2EAF3" w:val="clear"/>
            <w:tcMar>
              <w:bottom w:w="28" w:type="dxa"/>
            </w:tcMar>
            <w:vAlign w:val="center"/>
          </w:tcPr>
          <w:p>
            <w:pPr>
              <w:pStyle w:val="TableContents"/>
              <w:bidi w:val="0"/>
              <w:spacing w:before="0" w:after="283"/>
              <w:jc w:val="left"/>
              <w:rPr/>
            </w:pPr>
            <w:r>
              <w:rPr/>
              <w:t>  </w:t>
            </w:r>
          </w:p>
        </w:tc>
        <w:tc>
          <w:tcPr>
            <w:tcW w:w="2720" w:type="dxa"/>
            <w:tcBorders>
              <w:bottom w:val="single" w:sz="8" w:space="0" w:color="95B3D7"/>
            </w:tcBorders>
            <w:shd w:fill="E2EAF3" w:val="clear"/>
            <w:tcMar>
              <w:bottom w:w="28" w:type="dxa"/>
            </w:tcMar>
            <w:vAlign w:val="center"/>
          </w:tcPr>
          <w:p>
            <w:pPr>
              <w:pStyle w:val="TableContents"/>
              <w:bidi w:val="0"/>
              <w:spacing w:before="0" w:after="0"/>
              <w:jc w:val="left"/>
              <w:rPr/>
            </w:pPr>
            <w:r>
              <w:rPr/>
              <w:t>•  </w:t>
            </w:r>
            <w:r>
              <w:rPr>
                <w:rFonts w:ascii="ARIAL" w:hAnsi="ARIAL"/>
                <w:sz w:val="18"/>
              </w:rPr>
              <w:t>Pediatrix Medical Group, Inc.</w:t>
            </w:r>
          </w:p>
        </w:tc>
      </w:tr>
      <w:tr>
        <w:trPr/>
        <w:tc>
          <w:tcPr>
            <w:tcW w:w="3080" w:type="dxa"/>
            <w:tcBorders>
              <w:bottom w:val="single" w:sz="8" w:space="0" w:color="95B3D7"/>
              <w:right w:val="single" w:sz="8" w:space="0" w:color="95B3D7"/>
            </w:tcBorders>
            <w:tcMar>
              <w:bottom w:w="28" w:type="dxa"/>
              <w:right w:w="28" w:type="dxa"/>
            </w:tcMar>
            <w:vAlign w:val="center"/>
          </w:tcPr>
          <w:p>
            <w:pPr>
              <w:pStyle w:val="TableContents"/>
              <w:bidi w:val="0"/>
              <w:spacing w:before="0" w:after="0"/>
              <w:jc w:val="left"/>
              <w:rPr/>
            </w:pPr>
            <w:r>
              <w:rPr/>
              <w:t>•  </w:t>
            </w:r>
            <w:r>
              <w:rPr>
                <w:rFonts w:ascii="ARIAL" w:hAnsi="ARIAL"/>
                <w:sz w:val="18"/>
              </w:rPr>
              <w:t>LifeStance Health Group, Inc.</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2720" w:type="dxa"/>
            <w:tcBorders>
              <w:bottom w:val="single" w:sz="8" w:space="0" w:color="95B3D7"/>
            </w:tcBorders>
            <w:tcMar>
              <w:bottom w:w="28" w:type="dxa"/>
            </w:tcMar>
            <w:vAlign w:val="center"/>
          </w:tcPr>
          <w:p>
            <w:pPr>
              <w:pStyle w:val="TableContents"/>
              <w:bidi w:val="0"/>
              <w:spacing w:before="0" w:after="0"/>
              <w:jc w:val="left"/>
              <w:rPr/>
            </w:pPr>
            <w:r>
              <w:rPr/>
              <w:t>•  </w:t>
            </w:r>
            <w:r>
              <w:rPr>
                <w:rFonts w:ascii="ARIAL" w:hAnsi="ARIAL"/>
                <w:sz w:val="18"/>
              </w:rPr>
              <w:t>Privia Health Group, Inc.</w:t>
            </w:r>
          </w:p>
        </w:tc>
      </w:tr>
      <w:tr>
        <w:trPr/>
        <w:tc>
          <w:tcPr>
            <w:tcW w:w="3080" w:type="dxa"/>
            <w:tcBorders>
              <w:bottom w:val="single" w:sz="8" w:space="0" w:color="95B3D7"/>
              <w:right w:val="single" w:sz="8" w:space="0" w:color="95B3D7"/>
            </w:tcBorders>
            <w:shd w:fill="E2EAF3" w:val="clear"/>
            <w:tcMar>
              <w:bottom w:w="28" w:type="dxa"/>
              <w:right w:w="28" w:type="dxa"/>
            </w:tcMar>
            <w:vAlign w:val="center"/>
          </w:tcPr>
          <w:p>
            <w:pPr>
              <w:pStyle w:val="TableContents"/>
              <w:bidi w:val="0"/>
              <w:spacing w:before="0" w:after="0"/>
              <w:jc w:val="left"/>
              <w:rPr/>
            </w:pPr>
            <w:r>
              <w:rPr/>
              <w:t>•  </w:t>
            </w:r>
            <w:r>
              <w:rPr>
                <w:rFonts w:ascii="ARIAL" w:hAnsi="ARIAL"/>
                <w:sz w:val="18"/>
              </w:rPr>
              <w:t>Molina Healthcare, Inc.</w:t>
            </w:r>
          </w:p>
        </w:tc>
        <w:tc>
          <w:tcPr>
            <w:tcW w:w="120" w:type="dxa"/>
            <w:tcBorders>
              <w:bottom w:val="single" w:sz="8" w:space="0" w:color="95B3D7"/>
            </w:tcBorders>
            <w:shd w:fill="E2EAF3" w:val="clear"/>
            <w:tcMar>
              <w:bottom w:w="28" w:type="dxa"/>
            </w:tcMar>
            <w:vAlign w:val="center"/>
          </w:tcPr>
          <w:p>
            <w:pPr>
              <w:pStyle w:val="TableContents"/>
              <w:bidi w:val="0"/>
              <w:spacing w:before="0" w:after="283"/>
              <w:jc w:val="left"/>
              <w:rPr/>
            </w:pPr>
            <w:r>
              <w:rPr/>
              <w:t>  </w:t>
            </w:r>
          </w:p>
        </w:tc>
        <w:tc>
          <w:tcPr>
            <w:tcW w:w="2720" w:type="dxa"/>
            <w:tcBorders>
              <w:bottom w:val="single" w:sz="8" w:space="0" w:color="95B3D7"/>
            </w:tcBorders>
            <w:shd w:fill="E2EAF3" w:val="clear"/>
            <w:tcMar>
              <w:bottom w:w="28" w:type="dxa"/>
            </w:tcMar>
            <w:vAlign w:val="center"/>
          </w:tcPr>
          <w:p>
            <w:pPr>
              <w:pStyle w:val="TableContents"/>
              <w:bidi w:val="0"/>
              <w:spacing w:before="0" w:after="0"/>
              <w:jc w:val="left"/>
              <w:rPr/>
            </w:pPr>
            <w:r>
              <w:rPr/>
              <w:t>•  </w:t>
            </w:r>
            <w:r>
              <w:rPr>
                <w:rFonts w:ascii="ARIAL" w:hAnsi="ARIAL"/>
                <w:sz w:val="18"/>
              </w:rPr>
              <w:t>RadNet, Inc.</w:t>
            </w:r>
          </w:p>
        </w:tc>
      </w:tr>
      <w:tr>
        <w:trPr/>
        <w:tc>
          <w:tcPr>
            <w:tcW w:w="3080" w:type="dxa"/>
            <w:tcBorders>
              <w:bottom w:val="single" w:sz="8" w:space="0" w:color="95B3D7"/>
              <w:right w:val="single" w:sz="8" w:space="0" w:color="95B3D7"/>
            </w:tcBorders>
            <w:tcMar>
              <w:bottom w:w="28" w:type="dxa"/>
              <w:right w:w="28" w:type="dxa"/>
            </w:tcMar>
            <w:vAlign w:val="center"/>
          </w:tcPr>
          <w:p>
            <w:pPr>
              <w:pStyle w:val="TableContents"/>
              <w:bidi w:val="0"/>
              <w:spacing w:before="0" w:after="0"/>
              <w:jc w:val="left"/>
              <w:rPr/>
            </w:pPr>
            <w:r>
              <w:rPr/>
              <w:t>•  </w:t>
            </w:r>
            <w:r>
              <w:rPr>
                <w:rFonts w:ascii="ARIAL" w:hAnsi="ARIAL"/>
                <w:sz w:val="18"/>
              </w:rPr>
              <w:t>National HealthCare Corporation</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2720" w:type="dxa"/>
            <w:tcBorders>
              <w:bottom w:val="single" w:sz="8" w:space="0" w:color="95B3D7"/>
            </w:tcBorders>
            <w:tcMar>
              <w:bottom w:w="28" w:type="dxa"/>
            </w:tcMar>
            <w:vAlign w:val="center"/>
          </w:tcPr>
          <w:p>
            <w:pPr>
              <w:pStyle w:val="TableContents"/>
              <w:bidi w:val="0"/>
              <w:spacing w:before="0" w:after="0"/>
              <w:jc w:val="left"/>
              <w:rPr/>
            </w:pPr>
            <w:r>
              <w:rPr/>
              <w:t>•  </w:t>
            </w:r>
            <w:r>
              <w:rPr>
                <w:rFonts w:ascii="ARIAL" w:hAnsi="ARIAL"/>
                <w:sz w:val="18"/>
              </w:rPr>
              <w:t>Veradigm Inc.</w:t>
            </w:r>
          </w:p>
        </w:tc>
      </w:tr>
    </w:tbl>
    <w:p>
      <w:pPr>
        <w:pStyle w:val="TextBody"/>
        <w:bidi w:val="0"/>
        <w:spacing w:before="240" w:after="0"/>
        <w:jc w:val="both"/>
        <w:rPr>
          <w:rFonts w:ascii="ARIAL" w:hAnsi="ARIAL"/>
          <w:sz w:val="20"/>
        </w:rPr>
      </w:pPr>
      <w:r>
        <w:rPr>
          <w:rFonts w:ascii="ARIAL" w:hAnsi="ARIAL"/>
          <w:sz w:val="20"/>
        </w:rPr>
        <w:t xml:space="preserve">It is important to note that this market data is not the sole determinant in setting pay levels for the NEOs. Actual pay levels can be above or below the targeted levels depending on factors such as experience, individual or company performance, tenure, employee potential, unique skills, criticality of the position to the Company and other factors. In general, the Compensation Committee desires to balance general internal and external equity and reserves the right to use discretion to deviate when necessary to recruit employees and/or retain the right talent. </w:t>
      </w:r>
    </w:p>
    <w:p>
      <w:pPr>
        <w:pStyle w:val="TextBody"/>
        <w:bidi w:val="0"/>
        <w:spacing w:before="240" w:after="0"/>
        <w:jc w:val="left"/>
        <w:rPr>
          <w:rFonts w:ascii="ARIAL" w:hAnsi="ARIAL"/>
          <w:b/>
          <w:color w:val="1F497D"/>
          <w:sz w:val="20"/>
        </w:rPr>
      </w:pPr>
      <w:bookmarkStart w:id="30" w:name="txa496243_28"/>
      <w:bookmarkEnd w:id="30"/>
      <w:r>
        <w:rPr>
          <w:rFonts w:ascii="ARIAL" w:hAnsi="ARIAL"/>
          <w:b/>
          <w:color w:val="1F497D"/>
          <w:sz w:val="20"/>
        </w:rPr>
        <w:t xml:space="preserve">2023 Executive Compensation Program in Detail </w:t>
      </w:r>
    </w:p>
    <w:p>
      <w:pPr>
        <w:pStyle w:val="TextBody"/>
        <w:bidi w:val="0"/>
        <w:spacing w:before="240" w:after="0"/>
        <w:jc w:val="left"/>
        <w:rPr>
          <w:rFonts w:ascii="ARIAL" w:hAnsi="ARIAL"/>
          <w:b/>
          <w:i/>
          <w:color w:val="4B6D97"/>
          <w:sz w:val="20"/>
        </w:rPr>
      </w:pPr>
      <w:r>
        <w:rPr>
          <w:rFonts w:ascii="ARIAL" w:hAnsi="ARIAL"/>
          <w:b/>
          <w:i/>
          <w:color w:val="4B6D97"/>
          <w:sz w:val="20"/>
        </w:rPr>
        <w:t xml:space="preserve">Base Salary </w:t>
      </w:r>
    </w:p>
    <w:p>
      <w:pPr>
        <w:pStyle w:val="TextBody"/>
        <w:bidi w:val="0"/>
        <w:spacing w:before="240" w:after="0"/>
        <w:jc w:val="both"/>
        <w:rPr>
          <w:rFonts w:ascii="ARIAL" w:hAnsi="ARIAL"/>
          <w:sz w:val="20"/>
        </w:rPr>
      </w:pPr>
      <w:r>
        <w:rPr>
          <w:rFonts w:ascii="ARIAL" w:hAnsi="ARIAL"/>
          <w:sz w:val="20"/>
        </w:rPr>
        <w:t xml:space="preserve">Base salary represents annual fixed compensation and is a standard element of compensation necessary to attract and retain executive leadership talent. In making base salary decisions, the Compensation Committee considers the CEO’s recommendations, as well as each NEO’s position and level of responsibility within the Company. The Committee considers factors such as competitive market data as well as individual performance, experience, tenure, internal equity and employee potential. For 2023, the Compensation Committee approved base salary increases for Messrs. Kao and Freeman, in order to align their compensation with the market for similar roles and responsibilities. Annual base salary rates for 2023 were as follows: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47 </w:t>
      </w:r>
      <w:r>
        <w:br w:type="page"/>
      </w:r>
    </w:p>
    <w:p>
      <w:pPr>
        <w:pStyle w:val="HorizontalLine"/>
        <w:bidi w:val="0"/>
        <w:jc w:val="left"/>
        <w:rPr/>
      </w:pPr>
      <w:r>
        <w:rPr/>
      </w:r>
    </w:p>
    <w:tbl>
      <w:tblPr>
        <w:tblW w:w="7135" w:type="dxa"/>
        <w:jc w:val="left"/>
        <w:tblInd w:w="0" w:type="dxa"/>
        <w:tblLayout w:type="fixed"/>
        <w:tblCellMar>
          <w:top w:w="0" w:type="dxa"/>
          <w:left w:w="0" w:type="dxa"/>
          <w:bottom w:w="0" w:type="dxa"/>
          <w:right w:w="0" w:type="dxa"/>
        </w:tblCellMar>
      </w:tblPr>
      <w:tblGrid>
        <w:gridCol w:w="2240"/>
        <w:gridCol w:w="120"/>
        <w:gridCol w:w="980"/>
        <w:gridCol w:w="120"/>
        <w:gridCol w:w="935"/>
        <w:gridCol w:w="120"/>
        <w:gridCol w:w="1220"/>
        <w:gridCol w:w="120"/>
        <w:gridCol w:w="1280"/>
      </w:tblGrid>
      <w:tr>
        <w:trPr/>
        <w:tc>
          <w:tcPr>
            <w:tcW w:w="22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r>
      <w:tr>
        <w:trPr/>
        <w:tc>
          <w:tcPr>
            <w:tcW w:w="2240" w:type="dxa"/>
            <w:tcBorders>
              <w:bottom w:val="single" w:sz="8" w:space="0" w:color="95B3D7"/>
            </w:tcBorders>
            <w:tcMar>
              <w:bottom w:w="28" w:type="dxa"/>
            </w:tcMar>
            <w:vAlign w:val="center"/>
          </w:tcPr>
          <w:p>
            <w:pPr>
              <w:pStyle w:val="TableContents"/>
              <w:bidi w:val="0"/>
              <w:spacing w:before="0" w:after="283"/>
              <w:jc w:val="center"/>
              <w:rPr>
                <w:b/>
              </w:rPr>
            </w:pPr>
            <w:r>
              <w:rPr>
                <w:b/>
              </w:rPr>
              <w:t>Name</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980" w:type="dxa"/>
            <w:tcBorders>
              <w:bottom w:val="single" w:sz="8" w:space="0" w:color="95B3D7"/>
            </w:tcBorders>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935" w:type="dxa"/>
            <w:tcBorders>
              <w:bottom w:val="single" w:sz="8" w:space="0" w:color="95B3D7"/>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2022</w:t>
            </w:r>
          </w:p>
          <w:p>
            <w:pPr>
              <w:pStyle w:val="TableContents"/>
              <w:bidi w:val="0"/>
              <w:spacing w:before="0" w:after="20"/>
              <w:jc w:val="center"/>
              <w:rPr>
                <w:rFonts w:ascii="ARIAL" w:hAnsi="ARIAL"/>
                <w:b/>
                <w:sz w:val="16"/>
              </w:rPr>
            </w:pPr>
            <w:r>
              <w:rPr>
                <w:rFonts w:ascii="ARIAL" w:hAnsi="ARIAL"/>
                <w:b/>
                <w:sz w:val="16"/>
              </w:rPr>
              <w:t>Base Salary</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220" w:type="dxa"/>
            <w:tcBorders>
              <w:bottom w:val="single" w:sz="8" w:space="0" w:color="95B3D7"/>
            </w:tcBorders>
            <w:tcMar>
              <w:bottom w:w="28" w:type="dxa"/>
            </w:tcMar>
            <w:vAlign w:val="center"/>
          </w:tcPr>
          <w:p>
            <w:pPr>
              <w:pStyle w:val="TableContents"/>
              <w:bidi w:val="0"/>
              <w:spacing w:before="0" w:after="283"/>
              <w:jc w:val="center"/>
              <w:rPr>
                <w:b/>
              </w:rPr>
            </w:pPr>
            <w:r>
              <w:rPr>
                <w:b/>
              </w:rPr>
              <w:t xml:space="preserve">2023 </w:t>
              <w:br/>
              <w:t>Base Salary</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280" w:type="dxa"/>
            <w:tcBorders>
              <w:bottom w:val="single" w:sz="8" w:space="0" w:color="95B3D7"/>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Market</w:t>
            </w:r>
          </w:p>
          <w:p>
            <w:pPr>
              <w:pStyle w:val="TableContents"/>
              <w:bidi w:val="0"/>
              <w:spacing w:before="0" w:after="20"/>
              <w:jc w:val="center"/>
              <w:rPr>
                <w:rFonts w:ascii="ARIAL" w:hAnsi="ARIAL"/>
                <w:b/>
                <w:sz w:val="16"/>
              </w:rPr>
            </w:pPr>
            <w:r>
              <w:rPr>
                <w:rFonts w:ascii="ARIAL" w:hAnsi="ARIAL"/>
                <w:b/>
                <w:sz w:val="16"/>
              </w:rPr>
              <w:t>Adjustment (%)</w:t>
            </w:r>
          </w:p>
        </w:tc>
      </w:tr>
      <w:tr>
        <w:trPr/>
        <w:tc>
          <w:tcPr>
            <w:tcW w:w="2240" w:type="dxa"/>
            <w:tcBorders>
              <w:bottom w:val="single" w:sz="8" w:space="0" w:color="95B3D7"/>
            </w:tcBorders>
            <w:shd w:fill="DBE5F1" w:val="clear"/>
            <w:tcMar>
              <w:bottom w:w="28" w:type="dxa"/>
            </w:tcMar>
            <w:vAlign w:val="center"/>
          </w:tcPr>
          <w:p>
            <w:pPr>
              <w:pStyle w:val="TableContents"/>
              <w:bidi w:val="0"/>
              <w:spacing w:before="0" w:after="0"/>
              <w:jc w:val="left"/>
              <w:rPr/>
            </w:pPr>
            <w:r>
              <w:rPr/>
              <w:t> </w:t>
            </w:r>
            <w:r>
              <w:rPr>
                <w:rFonts w:ascii="ARIAL" w:hAnsi="ARIAL"/>
                <w:sz w:val="18"/>
              </w:rPr>
              <w:t>John Kao</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980" w:type="dxa"/>
            <w:tcBorders>
              <w:bottom w:val="single" w:sz="8" w:space="0" w:color="95B3D7"/>
            </w:tcBorders>
            <w:shd w:fill="DBE5F1" w:val="clear"/>
            <w:tcMar>
              <w:bottom w:w="28" w:type="dxa"/>
            </w:tcMar>
            <w:vAlign w:val="center"/>
          </w:tcPr>
          <w:p>
            <w:pPr>
              <w:pStyle w:val="TableContents"/>
              <w:bidi w:val="0"/>
              <w:spacing w:before="0" w:after="0"/>
              <w:jc w:val="left"/>
              <w:rPr/>
            </w:pPr>
            <w:r>
              <w:rPr/>
              <w:t>    </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935" w:type="dxa"/>
            <w:tcBorders>
              <w:bottom w:val="single" w:sz="8" w:space="0" w:color="95B3D7"/>
            </w:tcBorders>
            <w:shd w:fill="DBE5F1" w:val="clear"/>
            <w:tcMar>
              <w:bottom w:w="28" w:type="dxa"/>
            </w:tcMar>
            <w:vAlign w:val="center"/>
          </w:tcPr>
          <w:p>
            <w:pPr>
              <w:pStyle w:val="TableContents"/>
              <w:bidi w:val="0"/>
              <w:spacing w:before="0" w:after="283"/>
              <w:jc w:val="center"/>
              <w:rPr/>
            </w:pPr>
            <w:r>
              <w:rPr/>
              <w:t>$750,000</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1220" w:type="dxa"/>
            <w:tcBorders>
              <w:bottom w:val="single" w:sz="8" w:space="0" w:color="95B3D7"/>
            </w:tcBorders>
            <w:shd w:fill="DBE5F1" w:val="clear"/>
            <w:tcMar>
              <w:bottom w:w="28" w:type="dxa"/>
            </w:tcMar>
            <w:vAlign w:val="center"/>
          </w:tcPr>
          <w:p>
            <w:pPr>
              <w:pStyle w:val="TableContents"/>
              <w:bidi w:val="0"/>
              <w:spacing w:before="0" w:after="283"/>
              <w:jc w:val="center"/>
              <w:rPr/>
            </w:pPr>
            <w:r>
              <w:rPr/>
              <w:t>$800,000</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1280" w:type="dxa"/>
            <w:tcBorders>
              <w:bottom w:val="single" w:sz="8" w:space="0" w:color="95B3D7"/>
            </w:tcBorders>
            <w:shd w:fill="DBE5F1" w:val="clear"/>
            <w:tcMar>
              <w:bottom w:w="28" w:type="dxa"/>
            </w:tcMar>
            <w:vAlign w:val="center"/>
          </w:tcPr>
          <w:p>
            <w:pPr>
              <w:pStyle w:val="TableContents"/>
              <w:bidi w:val="0"/>
              <w:spacing w:before="0" w:after="283"/>
              <w:jc w:val="center"/>
              <w:rPr/>
            </w:pPr>
            <w:r>
              <w:rPr/>
              <w:t>6.66</w:t>
            </w:r>
          </w:p>
        </w:tc>
      </w:tr>
      <w:tr>
        <w:trPr/>
        <w:tc>
          <w:tcPr>
            <w:tcW w:w="2240" w:type="dxa"/>
            <w:tcBorders>
              <w:bottom w:val="single" w:sz="8" w:space="0" w:color="95B3D7"/>
            </w:tcBorders>
            <w:tcMar>
              <w:bottom w:w="28" w:type="dxa"/>
            </w:tcMar>
            <w:vAlign w:val="center"/>
          </w:tcPr>
          <w:p>
            <w:pPr>
              <w:pStyle w:val="TableContents"/>
              <w:bidi w:val="0"/>
              <w:spacing w:before="0" w:after="0"/>
              <w:jc w:val="left"/>
              <w:rPr/>
            </w:pPr>
            <w:r>
              <w:rPr/>
              <w:t> </w:t>
            </w:r>
            <w:r>
              <w:rPr>
                <w:rFonts w:ascii="ARIAL" w:hAnsi="ARIAL"/>
                <w:sz w:val="18"/>
              </w:rPr>
              <w:t>Thomas Freeman</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980" w:type="dxa"/>
            <w:tcBorders>
              <w:bottom w:val="single" w:sz="8" w:space="0" w:color="95B3D7"/>
            </w:tcBorders>
            <w:tcMar>
              <w:bottom w:w="28" w:type="dxa"/>
            </w:tcMar>
            <w:vAlign w:val="center"/>
          </w:tcPr>
          <w:p>
            <w:pPr>
              <w:pStyle w:val="TableContents"/>
              <w:bidi w:val="0"/>
              <w:spacing w:before="0" w:after="283"/>
              <w:jc w:val="left"/>
              <w:rPr/>
            </w:pPr>
            <w:r>
              <w:rPr/>
              <w:t> </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935" w:type="dxa"/>
            <w:tcBorders>
              <w:bottom w:val="single" w:sz="8" w:space="0" w:color="95B3D7"/>
            </w:tcBorders>
            <w:tcMar>
              <w:bottom w:w="28" w:type="dxa"/>
            </w:tcMar>
            <w:vAlign w:val="center"/>
          </w:tcPr>
          <w:p>
            <w:pPr>
              <w:pStyle w:val="TableContents"/>
              <w:bidi w:val="0"/>
              <w:spacing w:before="0" w:after="283"/>
              <w:jc w:val="center"/>
              <w:rPr/>
            </w:pPr>
            <w:r>
              <w:rPr/>
              <w:t>$500,000</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1220" w:type="dxa"/>
            <w:tcBorders>
              <w:bottom w:val="single" w:sz="8" w:space="0" w:color="95B3D7"/>
            </w:tcBorders>
            <w:tcMar>
              <w:bottom w:w="28" w:type="dxa"/>
            </w:tcMar>
            <w:vAlign w:val="center"/>
          </w:tcPr>
          <w:p>
            <w:pPr>
              <w:pStyle w:val="TableContents"/>
              <w:bidi w:val="0"/>
              <w:spacing w:before="0" w:after="283"/>
              <w:jc w:val="center"/>
              <w:rPr/>
            </w:pPr>
            <w:r>
              <w:rPr/>
              <w:t>$560,000</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1280" w:type="dxa"/>
            <w:tcBorders>
              <w:bottom w:val="single" w:sz="8" w:space="0" w:color="95B3D7"/>
            </w:tcBorders>
            <w:tcMar>
              <w:bottom w:w="28" w:type="dxa"/>
            </w:tcMar>
            <w:vAlign w:val="center"/>
          </w:tcPr>
          <w:p>
            <w:pPr>
              <w:pStyle w:val="TableContents"/>
              <w:bidi w:val="0"/>
              <w:spacing w:before="0" w:after="283"/>
              <w:jc w:val="center"/>
              <w:rPr/>
            </w:pPr>
            <w:r>
              <w:rPr/>
              <w:t>12</w:t>
            </w:r>
          </w:p>
        </w:tc>
      </w:tr>
      <w:tr>
        <w:trPr/>
        <w:tc>
          <w:tcPr>
            <w:tcW w:w="2240" w:type="dxa"/>
            <w:tcBorders>
              <w:bottom w:val="single" w:sz="8" w:space="0" w:color="95B3D7"/>
            </w:tcBorders>
            <w:shd w:fill="DBE5F1" w:val="clear"/>
            <w:tcMar>
              <w:bottom w:w="28" w:type="dxa"/>
            </w:tcMar>
            <w:vAlign w:val="center"/>
          </w:tcPr>
          <w:p>
            <w:pPr>
              <w:pStyle w:val="TableContents"/>
              <w:bidi w:val="0"/>
              <w:spacing w:before="0" w:after="0"/>
              <w:jc w:val="left"/>
              <w:rPr/>
            </w:pPr>
            <w:r>
              <w:rPr/>
              <w:t> </w:t>
            </w:r>
            <w:r>
              <w:rPr>
                <w:rFonts w:ascii="ARIAL" w:hAnsi="ARIAL"/>
                <w:sz w:val="18"/>
              </w:rPr>
              <w:t>Dawn Maroney</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98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935" w:type="dxa"/>
            <w:tcBorders>
              <w:bottom w:val="single" w:sz="8" w:space="0" w:color="95B3D7"/>
            </w:tcBorders>
            <w:shd w:fill="DBE5F1" w:val="clear"/>
            <w:tcMar>
              <w:bottom w:w="28" w:type="dxa"/>
            </w:tcMar>
            <w:vAlign w:val="center"/>
          </w:tcPr>
          <w:p>
            <w:pPr>
              <w:pStyle w:val="TableContents"/>
              <w:bidi w:val="0"/>
              <w:spacing w:before="0" w:after="283"/>
              <w:jc w:val="center"/>
              <w:rPr/>
            </w:pPr>
            <w:r>
              <w:rPr/>
              <w:t>$560,000</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1220" w:type="dxa"/>
            <w:tcBorders>
              <w:bottom w:val="single" w:sz="8" w:space="0" w:color="95B3D7"/>
            </w:tcBorders>
            <w:shd w:fill="DBE5F1" w:val="clear"/>
            <w:tcMar>
              <w:bottom w:w="28" w:type="dxa"/>
            </w:tcMar>
            <w:vAlign w:val="center"/>
          </w:tcPr>
          <w:p>
            <w:pPr>
              <w:pStyle w:val="TableContents"/>
              <w:bidi w:val="0"/>
              <w:spacing w:before="0" w:after="283"/>
              <w:jc w:val="center"/>
              <w:rPr/>
            </w:pPr>
            <w:r>
              <w:rPr/>
              <w:t>$560,000</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1280" w:type="dxa"/>
            <w:tcBorders>
              <w:bottom w:val="single" w:sz="8" w:space="0" w:color="95B3D7"/>
            </w:tcBorders>
            <w:shd w:fill="DBE5F1" w:val="clear"/>
            <w:tcMar>
              <w:bottom w:w="28" w:type="dxa"/>
            </w:tcMar>
            <w:vAlign w:val="center"/>
          </w:tcPr>
          <w:p>
            <w:pPr>
              <w:pStyle w:val="TableContents"/>
              <w:bidi w:val="0"/>
              <w:spacing w:before="0" w:after="283"/>
              <w:jc w:val="center"/>
              <w:rPr/>
            </w:pPr>
            <w:r>
              <w:rPr/>
              <w:t>—</w:t>
            </w:r>
          </w:p>
        </w:tc>
      </w:tr>
      <w:tr>
        <w:trPr/>
        <w:tc>
          <w:tcPr>
            <w:tcW w:w="2240" w:type="dxa"/>
            <w:tcBorders>
              <w:bottom w:val="single" w:sz="8" w:space="0" w:color="95B3D7"/>
            </w:tcBorders>
            <w:tcMar>
              <w:bottom w:w="28" w:type="dxa"/>
            </w:tcMar>
            <w:vAlign w:val="center"/>
          </w:tcPr>
          <w:p>
            <w:pPr>
              <w:pStyle w:val="TableContents"/>
              <w:bidi w:val="0"/>
              <w:spacing w:before="0" w:after="0"/>
              <w:jc w:val="left"/>
              <w:rPr/>
            </w:pPr>
            <w:r>
              <w:rPr/>
              <w:t> </w:t>
            </w:r>
            <w:r>
              <w:rPr>
                <w:rFonts w:ascii="ARIAL" w:hAnsi="ARIAL"/>
                <w:sz w:val="18"/>
              </w:rPr>
              <w:t>Hakan Kardes(2)</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980" w:type="dxa"/>
            <w:tcBorders>
              <w:bottom w:val="single" w:sz="8" w:space="0" w:color="95B3D7"/>
            </w:tcBorders>
            <w:tcMar>
              <w:bottom w:w="28" w:type="dxa"/>
            </w:tcMar>
            <w:vAlign w:val="center"/>
          </w:tcPr>
          <w:p>
            <w:pPr>
              <w:pStyle w:val="TableContents"/>
              <w:bidi w:val="0"/>
              <w:spacing w:before="0" w:after="283"/>
              <w:jc w:val="left"/>
              <w:rPr/>
            </w:pPr>
            <w:r>
              <w:rPr/>
              <w:t> </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935" w:type="dxa"/>
            <w:tcBorders>
              <w:bottom w:val="single" w:sz="8" w:space="0" w:color="95B3D7"/>
            </w:tcBorders>
            <w:tcMar>
              <w:bottom w:w="28" w:type="dxa"/>
            </w:tcMar>
            <w:vAlign w:val="center"/>
          </w:tcPr>
          <w:p>
            <w:pPr>
              <w:pStyle w:val="TableContents"/>
              <w:bidi w:val="0"/>
              <w:spacing w:before="0" w:after="283"/>
              <w:jc w:val="center"/>
              <w:rPr/>
            </w:pPr>
            <w:r>
              <w:rPr/>
              <w:t>—</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1220" w:type="dxa"/>
            <w:tcBorders>
              <w:bottom w:val="single" w:sz="8" w:space="0" w:color="95B3D7"/>
            </w:tcBorders>
            <w:tcMar>
              <w:bottom w:w="28" w:type="dxa"/>
            </w:tcMar>
            <w:vAlign w:val="center"/>
          </w:tcPr>
          <w:p>
            <w:pPr>
              <w:pStyle w:val="TableContents"/>
              <w:bidi w:val="0"/>
              <w:spacing w:before="0" w:after="283"/>
              <w:jc w:val="center"/>
              <w:rPr/>
            </w:pPr>
            <w:r>
              <w:rPr/>
              <w:t>$425,000</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1280" w:type="dxa"/>
            <w:tcBorders>
              <w:bottom w:val="single" w:sz="8" w:space="0" w:color="95B3D7"/>
            </w:tcBorders>
            <w:tcMar>
              <w:bottom w:w="28" w:type="dxa"/>
            </w:tcMar>
            <w:vAlign w:val="center"/>
          </w:tcPr>
          <w:p>
            <w:pPr>
              <w:pStyle w:val="TableContents"/>
              <w:bidi w:val="0"/>
              <w:spacing w:before="0" w:after="283"/>
              <w:jc w:val="center"/>
              <w:rPr/>
            </w:pPr>
            <w:r>
              <w:rPr/>
              <w:t>—</w:t>
            </w:r>
          </w:p>
        </w:tc>
      </w:tr>
      <w:tr>
        <w:trPr/>
        <w:tc>
          <w:tcPr>
            <w:tcW w:w="2240" w:type="dxa"/>
            <w:tcBorders>
              <w:bottom w:val="single" w:sz="8" w:space="0" w:color="95B3D7"/>
            </w:tcBorders>
            <w:shd w:fill="DBE5F1" w:val="clear"/>
            <w:tcMar>
              <w:bottom w:w="28" w:type="dxa"/>
            </w:tcMar>
            <w:vAlign w:val="center"/>
          </w:tcPr>
          <w:p>
            <w:pPr>
              <w:pStyle w:val="TableContents"/>
              <w:bidi w:val="0"/>
              <w:spacing w:before="0" w:after="0"/>
              <w:jc w:val="left"/>
              <w:rPr/>
            </w:pPr>
            <w:r>
              <w:rPr/>
              <w:t> </w:t>
            </w:r>
            <w:r>
              <w:rPr>
                <w:rFonts w:ascii="ARIAL" w:hAnsi="ARIAL"/>
                <w:sz w:val="18"/>
              </w:rPr>
              <w:t>Hyong (Ken) Kim, M.D.(1)</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98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935" w:type="dxa"/>
            <w:tcBorders>
              <w:bottom w:val="single" w:sz="8" w:space="0" w:color="95B3D7"/>
            </w:tcBorders>
            <w:shd w:fill="DBE5F1" w:val="clear"/>
            <w:tcMar>
              <w:bottom w:w="28" w:type="dxa"/>
            </w:tcMar>
            <w:vAlign w:val="center"/>
          </w:tcPr>
          <w:p>
            <w:pPr>
              <w:pStyle w:val="TableContents"/>
              <w:bidi w:val="0"/>
              <w:spacing w:before="0" w:after="283"/>
              <w:jc w:val="center"/>
              <w:rPr/>
            </w:pPr>
            <w:r>
              <w:rPr/>
              <w:t>—</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1220" w:type="dxa"/>
            <w:tcBorders>
              <w:bottom w:val="single" w:sz="8" w:space="0" w:color="95B3D7"/>
            </w:tcBorders>
            <w:shd w:fill="DBE5F1" w:val="clear"/>
            <w:tcMar>
              <w:bottom w:w="28" w:type="dxa"/>
            </w:tcMar>
            <w:vAlign w:val="center"/>
          </w:tcPr>
          <w:p>
            <w:pPr>
              <w:pStyle w:val="TableContents"/>
              <w:bidi w:val="0"/>
              <w:spacing w:before="0" w:after="283"/>
              <w:jc w:val="center"/>
              <w:rPr/>
            </w:pPr>
            <w:r>
              <w:rPr/>
              <w:t>$560,000</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1280" w:type="dxa"/>
            <w:tcBorders>
              <w:bottom w:val="single" w:sz="8" w:space="0" w:color="95B3D7"/>
            </w:tcBorders>
            <w:shd w:fill="DBE5F1" w:val="clear"/>
            <w:tcMar>
              <w:bottom w:w="28" w:type="dxa"/>
            </w:tcMar>
            <w:vAlign w:val="center"/>
          </w:tcPr>
          <w:p>
            <w:pPr>
              <w:pStyle w:val="TableContents"/>
              <w:bidi w:val="0"/>
              <w:spacing w:before="0" w:after="283"/>
              <w:jc w:val="center"/>
              <w:rPr/>
            </w:pPr>
            <w:r>
              <w:rPr/>
              <w:t>—</w:t>
            </w:r>
          </w:p>
        </w:tc>
      </w:tr>
    </w:tbl>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75"/>
        <w:gridCol w:w="290"/>
        <w:gridCol w:w="31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3140" w:type="dxa"/>
            <w:tcBorders/>
            <w:vAlign w:val="center"/>
          </w:tcPr>
          <w:p>
            <w:pPr>
              <w:pStyle w:val="TableContents"/>
              <w:bidi w:val="0"/>
              <w:spacing w:before="0" w:after="0"/>
              <w:jc w:val="left"/>
              <w:rPr>
                <w:rFonts w:ascii="ARIAL" w:hAnsi="ARIAL"/>
                <w:sz w:val="16"/>
              </w:rPr>
            </w:pPr>
            <w:r>
              <w:rPr>
                <w:rFonts w:ascii="ARIAL" w:hAnsi="ARIAL"/>
                <w:sz w:val="16"/>
              </w:rPr>
              <w:t xml:space="preserve">Mr. Kardes was not an NEO prior to 2023. </w:t>
            </w:r>
          </w:p>
        </w:tc>
      </w:tr>
    </w:tbl>
    <w:tbl>
      <w:tblPr>
        <w:tblW w:w="5875" w:type="dxa"/>
        <w:jc w:val="left"/>
        <w:tblInd w:w="0" w:type="dxa"/>
        <w:tblLayout w:type="fixed"/>
        <w:tblCellMar>
          <w:top w:w="0" w:type="dxa"/>
          <w:left w:w="0" w:type="dxa"/>
          <w:bottom w:w="0" w:type="dxa"/>
          <w:right w:w="0" w:type="dxa"/>
        </w:tblCellMar>
      </w:tblPr>
      <w:tblGrid>
        <w:gridCol w:w="75"/>
        <w:gridCol w:w="290"/>
        <w:gridCol w:w="551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(2)</w:t>
            </w:r>
          </w:p>
        </w:tc>
        <w:tc>
          <w:tcPr>
            <w:tcW w:w="5510" w:type="dxa"/>
            <w:tcBorders/>
            <w:vAlign w:val="center"/>
          </w:tcPr>
          <w:p>
            <w:pPr>
              <w:pStyle w:val="TableContents"/>
              <w:bidi w:val="0"/>
              <w:spacing w:before="0" w:after="0"/>
              <w:jc w:val="left"/>
              <w:rPr>
                <w:rFonts w:ascii="ARIAL" w:hAnsi="ARIAL"/>
                <w:sz w:val="16"/>
              </w:rPr>
            </w:pPr>
            <w:r>
              <w:rPr>
                <w:rFonts w:ascii="ARIAL" w:hAnsi="ARIAL"/>
                <w:sz w:val="16"/>
              </w:rPr>
              <w:t xml:space="preserve">Mr. Kim was appointed Chief Medical Officer effective September 25, 2023. </w:t>
            </w:r>
          </w:p>
        </w:tc>
      </w:tr>
    </w:tbl>
    <w:p>
      <w:pPr>
        <w:pStyle w:val="TextBody"/>
        <w:bidi w:val="0"/>
        <w:spacing w:before="240" w:after="0"/>
        <w:jc w:val="left"/>
        <w:rPr>
          <w:rFonts w:ascii="ARIAL" w:hAnsi="ARIAL"/>
          <w:b/>
          <w:i/>
          <w:color w:val="4B6D97"/>
          <w:sz w:val="20"/>
        </w:rPr>
      </w:pPr>
      <w:r>
        <w:rPr>
          <w:rFonts w:ascii="ARIAL" w:hAnsi="ARIAL"/>
          <w:b/>
          <w:i/>
          <w:color w:val="4B6D97"/>
          <w:sz w:val="20"/>
        </w:rPr>
        <w:t xml:space="preserve">Annual Incentives </w:t>
      </w:r>
    </w:p>
    <w:p>
      <w:pPr>
        <w:pStyle w:val="TextBody"/>
        <w:bidi w:val="0"/>
        <w:spacing w:before="240" w:after="0"/>
        <w:jc w:val="both"/>
        <w:rPr>
          <w:rFonts w:ascii="ARIAL" w:hAnsi="ARIAL"/>
          <w:sz w:val="20"/>
        </w:rPr>
      </w:pPr>
      <w:r>
        <w:rPr>
          <w:rFonts w:ascii="ARIAL" w:hAnsi="ARIAL"/>
          <w:sz w:val="20"/>
        </w:rPr>
        <w:t xml:space="preserve">The 2023 Annual Incentive Plan provided our NEOs the opportunity to earn a performance-based annual cash bonus. Actual payouts depend on the achievement of pre-determined, strategic and/or financial corporate performance objectives (which represent 100% of the award for the CEO and 75% of the award for the other NEOs), as well as individual performance (which represent 25% of the award for the NEOs other than the CEO). Based on results, payouts can range from 0% to 200% of target award amounts. In addition, a modifier (-25% to +50%) is applied to the total bonus payout based on the Company’s CMS Star Ratings (see further description below). The modifier ensures there is a direct connection and significant focus on quality and the experience our members are receiving. Target annual bonus opportunities are expressed as a percentage of base salary and were established based on the NEO’s level of responsibility and their ability to impact overall results. The Committee also considers market data in setting target award amounts. </w:t>
      </w:r>
    </w:p>
    <w:p>
      <w:pPr>
        <w:pStyle w:val="TextBody"/>
        <w:bidi w:val="0"/>
        <w:spacing w:before="240" w:after="0"/>
        <w:jc w:val="both"/>
        <w:rPr>
          <w:rFonts w:ascii="ARIAL" w:hAnsi="ARIAL"/>
          <w:sz w:val="20"/>
        </w:rPr>
      </w:pPr>
      <w:r>
        <w:rPr>
          <w:rFonts w:ascii="ARIAL" w:hAnsi="ARIAL"/>
          <w:sz w:val="20"/>
        </w:rPr>
        <w:t>Payouts under the 2023 Annual Incentive Plan occur as follows: (i) 75% of each NEO’s total annual incentive payout based on corporate and individual performance was paid in March 2024; and (ii) the remaining 25% of each NEO’s total annual incentive payout is held back and is expected to be paid in the fourth quarter of 2024, subject to achievement of CMS Star Ratings-related performance measures. See “—</w:t>
      </w:r>
      <w:r>
        <w:rPr>
          <w:rFonts w:ascii="ARIAL" w:hAnsi="ARIAL"/>
          <w:i/>
          <w:sz w:val="20"/>
        </w:rPr>
        <w:t>2023 Annual Incentive Plan Payouts —Adjustment for CMS Star Ratings</w:t>
      </w:r>
      <w:r>
        <w:rPr>
          <w:rFonts w:ascii="ARIAL" w:hAnsi="ARIAL"/>
          <w:sz w:val="20"/>
        </w:rPr>
        <w:t xml:space="preserve">” below. </w:t>
      </w:r>
    </w:p>
    <w:p>
      <w:pPr>
        <w:pStyle w:val="TextBody"/>
        <w:bidi w:val="0"/>
        <w:spacing w:before="240" w:after="0"/>
        <w:jc w:val="left"/>
        <w:rPr>
          <w:rFonts w:ascii="ARIAL" w:hAnsi="ARIAL"/>
          <w:sz w:val="20"/>
        </w:rPr>
      </w:pPr>
      <w:r>
        <w:rPr>
          <w:rFonts w:ascii="ARIAL" w:hAnsi="ARIAL"/>
          <w:sz w:val="20"/>
        </w:rPr>
        <w:t xml:space="preserve">Target bonus opportunities for 2023 for each of the NEOs are summarized in the table below: </w:t>
      </w:r>
    </w:p>
    <w:p>
      <w:pPr>
        <w:pStyle w:val="TextBody"/>
        <w:bidi w:val="0"/>
        <w:spacing w:before="0" w:after="0"/>
        <w:jc w:val="left"/>
        <w:rPr/>
      </w:pPr>
      <w:r>
        <w:rPr/>
        <w:t> </w:t>
      </w:r>
    </w:p>
    <w:tbl>
      <w:tblPr>
        <w:tblW w:w="6320" w:type="dxa"/>
        <w:jc w:val="left"/>
        <w:tblInd w:w="0" w:type="dxa"/>
        <w:tblLayout w:type="fixed"/>
        <w:tblCellMar>
          <w:top w:w="0" w:type="dxa"/>
          <w:left w:w="0" w:type="dxa"/>
          <w:bottom w:w="0" w:type="dxa"/>
          <w:right w:w="0" w:type="dxa"/>
        </w:tblCellMar>
      </w:tblPr>
      <w:tblGrid>
        <w:gridCol w:w="2015"/>
        <w:gridCol w:w="120"/>
        <w:gridCol w:w="1220"/>
        <w:gridCol w:w="120"/>
        <w:gridCol w:w="1415"/>
        <w:gridCol w:w="120"/>
        <w:gridCol w:w="1310"/>
      </w:tblGrid>
      <w:tr>
        <w:trPr/>
        <w:tc>
          <w:tcPr>
            <w:tcW w:w="2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2015"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283"/>
              <w:jc w:val="center"/>
              <w:rPr>
                <w:b/>
              </w:rPr>
            </w:pPr>
            <w:r>
              <w:rPr>
                <w:b/>
              </w:rPr>
              <w:t>Name</w:t>
            </w:r>
          </w:p>
        </w:tc>
        <w:tc>
          <w:tcPr>
            <w:tcW w:w="120" w:type="dxa"/>
            <w:tcBorders>
              <w:top w:val="single" w:sz="8" w:space="0" w:color="95B3D7"/>
              <w:left w:val="single" w:sz="8" w:space="0" w:color="95B3D7"/>
              <w:bottom w:val="single" w:sz="8" w:space="0" w:color="95B3D7"/>
            </w:tcBorders>
            <w:shd w:fill="DBE5F1" w:val="clear"/>
            <w:tcMar>
              <w:top w:w="28" w:type="dxa"/>
              <w:left w:w="28" w:type="dxa"/>
              <w:bottom w:w="28" w:type="dxa"/>
            </w:tcMar>
            <w:vAlign w:val="center"/>
          </w:tcPr>
          <w:p>
            <w:pPr>
              <w:pStyle w:val="TableContents"/>
              <w:bidi w:val="0"/>
              <w:spacing w:before="0" w:after="283"/>
              <w:jc w:val="left"/>
              <w:rPr/>
            </w:pPr>
            <w:r>
              <w:rPr/>
              <w:t>  </w:t>
            </w:r>
          </w:p>
        </w:tc>
        <w:tc>
          <w:tcPr>
            <w:tcW w:w="1220"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283"/>
              <w:jc w:val="center"/>
              <w:rPr>
                <w:b/>
              </w:rPr>
            </w:pPr>
            <w:r>
              <w:rPr>
                <w:b/>
              </w:rPr>
              <w:t>2023 Base</w:t>
              <w:br/>
              <w:t>Salary Rate</w:t>
              <w:br/>
              <w:t>($)</w:t>
            </w:r>
          </w:p>
        </w:tc>
        <w:tc>
          <w:tcPr>
            <w:tcW w:w="120" w:type="dxa"/>
            <w:tcBorders>
              <w:top w:val="single" w:sz="8" w:space="0" w:color="95B3D7"/>
              <w:left w:val="single" w:sz="8" w:space="0" w:color="95B3D7"/>
              <w:bottom w:val="single" w:sz="8" w:space="0" w:color="95B3D7"/>
            </w:tcBorders>
            <w:shd w:fill="DBE5F1" w:val="clear"/>
            <w:tcMar>
              <w:top w:w="28" w:type="dxa"/>
              <w:left w:w="28" w:type="dxa"/>
              <w:bottom w:w="28" w:type="dxa"/>
            </w:tcMar>
            <w:vAlign w:val="center"/>
          </w:tcPr>
          <w:p>
            <w:pPr>
              <w:pStyle w:val="TableContents"/>
              <w:bidi w:val="0"/>
              <w:spacing w:before="0" w:after="283"/>
              <w:jc w:val="left"/>
              <w:rPr/>
            </w:pPr>
            <w:r>
              <w:rPr/>
              <w:t>  </w:t>
            </w:r>
          </w:p>
        </w:tc>
        <w:tc>
          <w:tcPr>
            <w:tcW w:w="1415"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283"/>
              <w:jc w:val="center"/>
              <w:rPr>
                <w:b/>
              </w:rPr>
            </w:pPr>
            <w:r>
              <w:rPr>
                <w:b/>
              </w:rPr>
              <w:t>Target Bonus</w:t>
              <w:br/>
              <w:t>Opportunity</w:t>
              <w:br/>
              <w:t>(%)</w:t>
            </w:r>
          </w:p>
        </w:tc>
        <w:tc>
          <w:tcPr>
            <w:tcW w:w="120" w:type="dxa"/>
            <w:tcBorders>
              <w:top w:val="single" w:sz="8" w:space="0" w:color="95B3D7"/>
              <w:left w:val="single" w:sz="8" w:space="0" w:color="95B3D7"/>
              <w:bottom w:val="single" w:sz="8" w:space="0" w:color="95B3D7"/>
            </w:tcBorders>
            <w:shd w:fill="DBE5F1" w:val="clear"/>
            <w:tcMar>
              <w:top w:w="28" w:type="dxa"/>
              <w:left w:w="28" w:type="dxa"/>
              <w:bottom w:w="28" w:type="dxa"/>
            </w:tcMar>
            <w:vAlign w:val="center"/>
          </w:tcPr>
          <w:p>
            <w:pPr>
              <w:pStyle w:val="TableContents"/>
              <w:bidi w:val="0"/>
              <w:spacing w:before="0" w:after="283"/>
              <w:jc w:val="left"/>
              <w:rPr/>
            </w:pPr>
            <w:r>
              <w:rPr/>
              <w:t>  </w:t>
            </w:r>
          </w:p>
        </w:tc>
        <w:tc>
          <w:tcPr>
            <w:tcW w:w="1310"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283"/>
              <w:jc w:val="center"/>
              <w:rPr>
                <w:b/>
              </w:rPr>
            </w:pPr>
            <w:r>
              <w:rPr>
                <w:b/>
              </w:rPr>
              <w:t>2023 Target</w:t>
              <w:br/>
              <w:t>Bonus</w:t>
              <w:br/>
              <w:t>Opportunity</w:t>
              <w:br/>
              <w:t>($)</w:t>
            </w:r>
          </w:p>
        </w:tc>
      </w:tr>
      <w:tr>
        <w:trPr/>
        <w:tc>
          <w:tcPr>
            <w:tcW w:w="2015" w:type="dxa"/>
            <w:tcBorders>
              <w:bottom w:val="single" w:sz="8" w:space="0" w:color="95B3D7"/>
            </w:tcBorders>
            <w:tcMar>
              <w:bottom w:w="28" w:type="dxa"/>
            </w:tcMar>
            <w:vAlign w:val="center"/>
          </w:tcPr>
          <w:p>
            <w:pPr>
              <w:pStyle w:val="TableContents"/>
              <w:bidi w:val="0"/>
              <w:spacing w:before="0" w:after="0"/>
              <w:jc w:val="left"/>
              <w:rPr/>
            </w:pPr>
            <w:r>
              <w:rPr/>
              <w:t> </w:t>
            </w:r>
            <w:r>
              <w:rPr>
                <w:rFonts w:ascii="ARIAL" w:hAnsi="ARIAL"/>
                <w:sz w:val="18"/>
              </w:rPr>
              <w:t>John Kao</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1220" w:type="dxa"/>
            <w:tcBorders>
              <w:bottom w:val="single" w:sz="8" w:space="0" w:color="95B3D7"/>
            </w:tcBorders>
            <w:tcMar>
              <w:bottom w:w="28" w:type="dxa"/>
            </w:tcMar>
            <w:vAlign w:val="center"/>
          </w:tcPr>
          <w:p>
            <w:pPr>
              <w:pStyle w:val="TableContents"/>
              <w:bidi w:val="0"/>
              <w:spacing w:before="0" w:after="283"/>
              <w:jc w:val="center"/>
              <w:rPr/>
            </w:pPr>
            <w:r>
              <w:rPr/>
              <w:t>800,000</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1415" w:type="dxa"/>
            <w:tcBorders>
              <w:bottom w:val="single" w:sz="8" w:space="0" w:color="95B3D7"/>
            </w:tcBorders>
            <w:tcMar>
              <w:bottom w:w="28" w:type="dxa"/>
            </w:tcMar>
            <w:vAlign w:val="center"/>
          </w:tcPr>
          <w:p>
            <w:pPr>
              <w:pStyle w:val="TableContents"/>
              <w:bidi w:val="0"/>
              <w:spacing w:before="0" w:after="283"/>
              <w:jc w:val="center"/>
              <w:rPr/>
            </w:pPr>
            <w:r>
              <w:rPr/>
              <w:t>100</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1310" w:type="dxa"/>
            <w:tcBorders>
              <w:bottom w:val="single" w:sz="8" w:space="0" w:color="95B3D7"/>
            </w:tcBorders>
            <w:tcMar>
              <w:bottom w:w="28" w:type="dxa"/>
            </w:tcMar>
            <w:vAlign w:val="center"/>
          </w:tcPr>
          <w:p>
            <w:pPr>
              <w:pStyle w:val="TableContents"/>
              <w:bidi w:val="0"/>
              <w:spacing w:before="0" w:after="283"/>
              <w:jc w:val="center"/>
              <w:rPr/>
            </w:pPr>
            <w:r>
              <w:rPr/>
              <w:t>786,539(1)</w:t>
            </w:r>
          </w:p>
        </w:tc>
      </w:tr>
      <w:tr>
        <w:trPr/>
        <w:tc>
          <w:tcPr>
            <w:tcW w:w="2015" w:type="dxa"/>
            <w:tcBorders>
              <w:bottom w:val="single" w:sz="8" w:space="0" w:color="95B3D7"/>
            </w:tcBorders>
            <w:shd w:fill="DBE5F1" w:val="clear"/>
            <w:tcMar>
              <w:bottom w:w="28" w:type="dxa"/>
            </w:tcMar>
            <w:vAlign w:val="center"/>
          </w:tcPr>
          <w:p>
            <w:pPr>
              <w:pStyle w:val="TableContents"/>
              <w:bidi w:val="0"/>
              <w:spacing w:before="0" w:after="0"/>
              <w:jc w:val="left"/>
              <w:rPr/>
            </w:pPr>
            <w:r>
              <w:rPr/>
              <w:t> </w:t>
            </w:r>
            <w:r>
              <w:rPr>
                <w:rFonts w:ascii="ARIAL" w:hAnsi="ARIAL"/>
                <w:sz w:val="18"/>
              </w:rPr>
              <w:t>Thomas Freeman</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1220" w:type="dxa"/>
            <w:tcBorders>
              <w:bottom w:val="single" w:sz="8" w:space="0" w:color="95B3D7"/>
            </w:tcBorders>
            <w:shd w:fill="DBE5F1" w:val="clear"/>
            <w:tcMar>
              <w:bottom w:w="28" w:type="dxa"/>
            </w:tcMar>
            <w:vAlign w:val="center"/>
          </w:tcPr>
          <w:p>
            <w:pPr>
              <w:pStyle w:val="TableContents"/>
              <w:bidi w:val="0"/>
              <w:spacing w:before="0" w:after="283"/>
              <w:jc w:val="center"/>
              <w:rPr/>
            </w:pPr>
            <w:r>
              <w:rPr/>
              <w:t>560,000</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1415" w:type="dxa"/>
            <w:tcBorders>
              <w:bottom w:val="single" w:sz="8" w:space="0" w:color="95B3D7"/>
            </w:tcBorders>
            <w:shd w:fill="DBE5F1" w:val="clear"/>
            <w:tcMar>
              <w:bottom w:w="28" w:type="dxa"/>
            </w:tcMar>
            <w:vAlign w:val="center"/>
          </w:tcPr>
          <w:p>
            <w:pPr>
              <w:pStyle w:val="TableContents"/>
              <w:bidi w:val="0"/>
              <w:spacing w:before="0" w:after="283"/>
              <w:jc w:val="center"/>
              <w:rPr/>
            </w:pPr>
            <w:r>
              <w:rPr/>
              <w:t>85</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1310" w:type="dxa"/>
            <w:tcBorders>
              <w:bottom w:val="single" w:sz="8" w:space="0" w:color="95B3D7"/>
            </w:tcBorders>
            <w:shd w:fill="DBE5F1" w:val="clear"/>
            <w:tcMar>
              <w:bottom w:w="28" w:type="dxa"/>
            </w:tcMar>
            <w:vAlign w:val="center"/>
          </w:tcPr>
          <w:p>
            <w:pPr>
              <w:pStyle w:val="TableContents"/>
              <w:bidi w:val="0"/>
              <w:spacing w:before="0" w:after="283"/>
              <w:jc w:val="center"/>
              <w:rPr/>
            </w:pPr>
            <w:r>
              <w:rPr/>
              <w:t>462,269(1)</w:t>
            </w:r>
          </w:p>
        </w:tc>
      </w:tr>
      <w:tr>
        <w:trPr/>
        <w:tc>
          <w:tcPr>
            <w:tcW w:w="2015" w:type="dxa"/>
            <w:tcBorders>
              <w:bottom w:val="single" w:sz="8" w:space="0" w:color="95B3D7"/>
            </w:tcBorders>
            <w:tcMar>
              <w:bottom w:w="28" w:type="dxa"/>
            </w:tcMar>
            <w:vAlign w:val="center"/>
          </w:tcPr>
          <w:p>
            <w:pPr>
              <w:pStyle w:val="TableContents"/>
              <w:bidi w:val="0"/>
              <w:spacing w:before="0" w:after="0"/>
              <w:jc w:val="left"/>
              <w:rPr/>
            </w:pPr>
            <w:r>
              <w:rPr/>
              <w:t> </w:t>
            </w:r>
            <w:r>
              <w:rPr>
                <w:rFonts w:ascii="ARIAL" w:hAnsi="ARIAL"/>
                <w:sz w:val="18"/>
              </w:rPr>
              <w:t>Dawn Maroney</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1220" w:type="dxa"/>
            <w:tcBorders>
              <w:bottom w:val="single" w:sz="8" w:space="0" w:color="95B3D7"/>
            </w:tcBorders>
            <w:tcMar>
              <w:bottom w:w="28" w:type="dxa"/>
            </w:tcMar>
            <w:vAlign w:val="center"/>
          </w:tcPr>
          <w:p>
            <w:pPr>
              <w:pStyle w:val="TableContents"/>
              <w:bidi w:val="0"/>
              <w:spacing w:before="0" w:after="283"/>
              <w:jc w:val="center"/>
              <w:rPr/>
            </w:pPr>
            <w:r>
              <w:rPr/>
              <w:t>560,000</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1415" w:type="dxa"/>
            <w:tcBorders>
              <w:bottom w:val="single" w:sz="8" w:space="0" w:color="95B3D7"/>
            </w:tcBorders>
            <w:tcMar>
              <w:bottom w:w="28" w:type="dxa"/>
            </w:tcMar>
            <w:vAlign w:val="center"/>
          </w:tcPr>
          <w:p>
            <w:pPr>
              <w:pStyle w:val="TableContents"/>
              <w:bidi w:val="0"/>
              <w:spacing w:before="0" w:after="283"/>
              <w:jc w:val="center"/>
              <w:rPr/>
            </w:pPr>
            <w:r>
              <w:rPr/>
              <w:t>85</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1310" w:type="dxa"/>
            <w:tcBorders>
              <w:bottom w:val="single" w:sz="8" w:space="0" w:color="95B3D7"/>
            </w:tcBorders>
            <w:tcMar>
              <w:bottom w:w="28" w:type="dxa"/>
            </w:tcMar>
            <w:vAlign w:val="center"/>
          </w:tcPr>
          <w:p>
            <w:pPr>
              <w:pStyle w:val="TableContents"/>
              <w:bidi w:val="0"/>
              <w:spacing w:before="0" w:after="283"/>
              <w:jc w:val="center"/>
              <w:rPr/>
            </w:pPr>
            <w:r>
              <w:rPr/>
              <w:t>476,000</w:t>
            </w:r>
          </w:p>
        </w:tc>
      </w:tr>
      <w:tr>
        <w:trPr/>
        <w:tc>
          <w:tcPr>
            <w:tcW w:w="2015" w:type="dxa"/>
            <w:tcBorders>
              <w:bottom w:val="single" w:sz="8" w:space="0" w:color="95B3D7"/>
            </w:tcBorders>
            <w:shd w:fill="DBE5F1" w:val="clear"/>
            <w:tcMar>
              <w:bottom w:w="28" w:type="dxa"/>
            </w:tcMar>
            <w:vAlign w:val="center"/>
          </w:tcPr>
          <w:p>
            <w:pPr>
              <w:pStyle w:val="TableContents"/>
              <w:bidi w:val="0"/>
              <w:spacing w:before="0" w:after="0"/>
              <w:jc w:val="left"/>
              <w:rPr/>
            </w:pPr>
            <w:r>
              <w:rPr/>
              <w:t> </w:t>
            </w:r>
            <w:r>
              <w:rPr>
                <w:rFonts w:ascii="ARIAL" w:hAnsi="ARIAL"/>
                <w:sz w:val="18"/>
              </w:rPr>
              <w:t>Hakan Kardes</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1220" w:type="dxa"/>
            <w:tcBorders>
              <w:bottom w:val="single" w:sz="8" w:space="0" w:color="95B3D7"/>
            </w:tcBorders>
            <w:shd w:fill="DBE5F1" w:val="clear"/>
            <w:tcMar>
              <w:bottom w:w="28" w:type="dxa"/>
            </w:tcMar>
            <w:vAlign w:val="center"/>
          </w:tcPr>
          <w:p>
            <w:pPr>
              <w:pStyle w:val="TableContents"/>
              <w:bidi w:val="0"/>
              <w:spacing w:before="0" w:after="283"/>
              <w:jc w:val="center"/>
              <w:rPr/>
            </w:pPr>
            <w:r>
              <w:rPr/>
              <w:t>425,000</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1415" w:type="dxa"/>
            <w:tcBorders>
              <w:bottom w:val="single" w:sz="8" w:space="0" w:color="95B3D7"/>
            </w:tcBorders>
            <w:shd w:fill="DBE5F1" w:val="clear"/>
            <w:tcMar>
              <w:bottom w:w="28" w:type="dxa"/>
            </w:tcMar>
            <w:vAlign w:val="center"/>
          </w:tcPr>
          <w:p>
            <w:pPr>
              <w:pStyle w:val="TableContents"/>
              <w:bidi w:val="0"/>
              <w:spacing w:before="0" w:after="283"/>
              <w:jc w:val="center"/>
              <w:rPr/>
            </w:pPr>
            <w:r>
              <w:rPr/>
              <w:t>85</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1310" w:type="dxa"/>
            <w:tcBorders>
              <w:bottom w:val="single" w:sz="8" w:space="0" w:color="95B3D7"/>
            </w:tcBorders>
            <w:shd w:fill="DBE5F1" w:val="clear"/>
            <w:tcMar>
              <w:bottom w:w="28" w:type="dxa"/>
            </w:tcMar>
            <w:vAlign w:val="center"/>
          </w:tcPr>
          <w:p>
            <w:pPr>
              <w:pStyle w:val="TableContents"/>
              <w:bidi w:val="0"/>
              <w:spacing w:before="0" w:after="283"/>
              <w:jc w:val="center"/>
              <w:rPr/>
            </w:pPr>
            <w:r>
              <w:rPr/>
              <w:t>361,250</w:t>
            </w:r>
          </w:p>
        </w:tc>
      </w:tr>
      <w:tr>
        <w:trPr/>
        <w:tc>
          <w:tcPr>
            <w:tcW w:w="2015" w:type="dxa"/>
            <w:tcBorders>
              <w:bottom w:val="single" w:sz="8" w:space="0" w:color="95B3D7"/>
            </w:tcBorders>
            <w:tcMar>
              <w:bottom w:w="28" w:type="dxa"/>
            </w:tcMar>
            <w:vAlign w:val="center"/>
          </w:tcPr>
          <w:p>
            <w:pPr>
              <w:pStyle w:val="TableContents"/>
              <w:bidi w:val="0"/>
              <w:spacing w:before="0" w:after="0"/>
              <w:jc w:val="left"/>
              <w:rPr/>
            </w:pPr>
            <w:r>
              <w:rPr/>
              <w:t> </w:t>
            </w:r>
            <w:r>
              <w:rPr>
                <w:rFonts w:ascii="ARIAL" w:hAnsi="ARIAL"/>
                <w:sz w:val="18"/>
              </w:rPr>
              <w:t>Hyong (Ken) Kim, M.D.</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1220" w:type="dxa"/>
            <w:tcBorders>
              <w:bottom w:val="single" w:sz="8" w:space="0" w:color="95B3D7"/>
            </w:tcBorders>
            <w:tcMar>
              <w:bottom w:w="28" w:type="dxa"/>
            </w:tcMar>
            <w:vAlign w:val="center"/>
          </w:tcPr>
          <w:p>
            <w:pPr>
              <w:pStyle w:val="TableContents"/>
              <w:bidi w:val="0"/>
              <w:spacing w:before="0" w:after="283"/>
              <w:jc w:val="center"/>
              <w:rPr/>
            </w:pPr>
            <w:r>
              <w:rPr/>
              <w:t>140,000</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1415" w:type="dxa"/>
            <w:tcBorders>
              <w:bottom w:val="single" w:sz="8" w:space="0" w:color="95B3D7"/>
            </w:tcBorders>
            <w:tcMar>
              <w:bottom w:w="28" w:type="dxa"/>
            </w:tcMar>
            <w:vAlign w:val="center"/>
          </w:tcPr>
          <w:p>
            <w:pPr>
              <w:pStyle w:val="TableContents"/>
              <w:bidi w:val="0"/>
              <w:spacing w:before="0" w:after="283"/>
              <w:jc w:val="center"/>
              <w:rPr/>
            </w:pPr>
            <w:r>
              <w:rPr/>
              <w:t>85</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1310" w:type="dxa"/>
            <w:tcBorders>
              <w:bottom w:val="single" w:sz="8" w:space="0" w:color="95B3D7"/>
            </w:tcBorders>
            <w:tcMar>
              <w:bottom w:w="28" w:type="dxa"/>
            </w:tcMar>
            <w:vAlign w:val="center"/>
          </w:tcPr>
          <w:p>
            <w:pPr>
              <w:pStyle w:val="TableContents"/>
              <w:bidi w:val="0"/>
              <w:spacing w:before="0" w:after="283"/>
              <w:jc w:val="center"/>
              <w:rPr/>
            </w:pPr>
            <w:r>
              <w:rPr/>
              <w:t>119,000</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5"/>
        <w:gridCol w:w="9875"/>
      </w:tblGrid>
      <w:tr>
        <w:trPr/>
        <w:tc>
          <w:tcPr>
            <w:tcW w:w="7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(1)</w:t>
            </w:r>
          </w:p>
        </w:tc>
        <w:tc>
          <w:tcPr>
            <w:tcW w:w="9875" w:type="dxa"/>
            <w:tcBorders/>
            <w:vAlign w:val="center"/>
          </w:tcPr>
          <w:p>
            <w:pPr>
              <w:pStyle w:val="TableContents"/>
              <w:bidi w:val="0"/>
              <w:spacing w:before="0" w:after="0"/>
              <w:jc w:val="both"/>
              <w:rPr>
                <w:rFonts w:ascii="ARIAL" w:hAnsi="ARIAL"/>
                <w:sz w:val="16"/>
              </w:rPr>
            </w:pPr>
            <w:r>
              <w:rPr>
                <w:rFonts w:ascii="ARIAL" w:hAnsi="ARIAL"/>
                <w:sz w:val="16"/>
              </w:rPr>
              <w:t xml:space="preserve">Target bonus opportunity is based on weighted average of each NEO’s base salary during the year. Base salary increased for Messrs. Kao and Freeman were effective in March 2023 and target bonus opportunities are adjusted accordingly.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4"/>
        <w:gridCol w:w="9856"/>
      </w:tblGrid>
      <w:tr>
        <w:trPr/>
        <w:tc>
          <w:tcPr>
            <w:tcW w:w="75"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(2)</w:t>
            </w:r>
          </w:p>
        </w:tc>
        <w:tc>
          <w:tcPr>
            <w:tcW w:w="9856" w:type="dxa"/>
            <w:tcBorders/>
            <w:vAlign w:val="center"/>
          </w:tcPr>
          <w:p>
            <w:pPr>
              <w:pStyle w:val="TableContents"/>
              <w:bidi w:val="0"/>
              <w:spacing w:before="0" w:after="0"/>
              <w:jc w:val="both"/>
              <w:rPr>
                <w:rFonts w:ascii="ARIAL" w:hAnsi="ARIAL"/>
                <w:sz w:val="16"/>
              </w:rPr>
            </w:pPr>
            <w:r>
              <w:rPr>
                <w:rFonts w:ascii="ARIAL" w:hAnsi="ARIAL"/>
                <w:sz w:val="16"/>
              </w:rPr>
              <w:t xml:space="preserve">Mr. Kim was appointed Chief Medical Officer effective September 25, 2023. Base salary rate and target bonus opportunity reflect the applicable portion of the 2023 year. </w:t>
            </w:r>
          </w:p>
        </w:tc>
      </w:tr>
    </w:tbl>
    <w:p>
      <w:pPr>
        <w:pStyle w:val="TextBody"/>
        <w:bidi w:val="0"/>
        <w:spacing w:before="240" w:after="0"/>
        <w:jc w:val="left"/>
        <w:rPr>
          <w:rFonts w:ascii="ARIAL" w:hAnsi="ARIAL"/>
          <w:i/>
          <w:color w:val="4B6D97"/>
          <w:sz w:val="20"/>
        </w:rPr>
      </w:pPr>
      <w:r>
        <w:rPr>
          <w:rFonts w:ascii="ARIAL" w:hAnsi="ARIAL"/>
          <w:i/>
          <w:color w:val="4B6D97"/>
          <w:sz w:val="20"/>
        </w:rPr>
        <w:t xml:space="preserve">2023 Corporate Performance Metrics, Weightings and Results </w:t>
      </w:r>
    </w:p>
    <w:p>
      <w:pPr>
        <w:pStyle w:val="TextBody"/>
        <w:bidi w:val="0"/>
        <w:spacing w:before="240" w:after="0"/>
        <w:jc w:val="both"/>
        <w:rPr>
          <w:rFonts w:ascii="ARIAL" w:hAnsi="ARIAL"/>
          <w:sz w:val="20"/>
        </w:rPr>
      </w:pPr>
      <w:r>
        <w:rPr>
          <w:rFonts w:ascii="ARIAL" w:hAnsi="ARIAL"/>
          <w:sz w:val="20"/>
        </w:rPr>
        <w:t xml:space="preserve">In 2023, we used health plan membership, adjusted gross profit and adjusted EBITDA as the corporate performance metrics in the Annual Incentive Plan. We chose these metrics for the following reasons in the Annual Incentive Plan: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Health plan membership growth shows that we are increasing our customer base and is a leading indicator of long-term revenue and profitability growth for Alignment Healthcare.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48 </w:t>
      </w:r>
      <w:r>
        <w:br w:type="page"/>
      </w:r>
    </w:p>
    <w:p>
      <w:pPr>
        <w:pStyle w:val="HorizontalLine"/>
        <w:bidi w:val="0"/>
        <w:jc w:val="left"/>
        <w:rPr/>
      </w:pPr>
      <w:r>
        <w:rPr/>
      </w:r>
    </w:p>
    <w:tbl>
      <w:tblPr>
        <w:tblW w:w="6835" w:type="dxa"/>
        <w:jc w:val="left"/>
        <w:tblInd w:w="0" w:type="dxa"/>
        <w:tblLayout w:type="fixed"/>
        <w:tblCellMar>
          <w:top w:w="0" w:type="dxa"/>
          <w:left w:w="0" w:type="dxa"/>
          <w:bottom w:w="0" w:type="dxa"/>
          <w:right w:w="0" w:type="dxa"/>
        </w:tblCellMar>
      </w:tblPr>
      <w:tblGrid>
        <w:gridCol w:w="75"/>
        <w:gridCol w:w="110"/>
        <w:gridCol w:w="60"/>
        <w:gridCol w:w="6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0"/>
              <w:jc w:val="both"/>
              <w:rPr>
                <w:rFonts w:ascii="ARIAL" w:hAnsi="ARIAL"/>
                <w:sz w:val="20"/>
              </w:rPr>
            </w:pPr>
            <w:r>
              <w:rPr>
                <w:rFonts w:ascii="ARIAL" w:hAnsi="ARIAL"/>
                <w:sz w:val="20"/>
              </w:rPr>
              <w:t xml:space="preserve">Adjusted gross profit keeps us focused on efficient delivery and execution.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Adjusted EBITDA provides a clear view of our total operational profitability—it focuses on growth, while continuing to provide strong accountability for returns. </w:t>
            </w:r>
          </w:p>
        </w:tc>
      </w:tr>
    </w:tbl>
    <w:p>
      <w:pPr>
        <w:pStyle w:val="TextBody"/>
        <w:bidi w:val="0"/>
        <w:spacing w:before="240" w:after="0"/>
        <w:jc w:val="both"/>
        <w:rPr>
          <w:rFonts w:ascii="ARIAL" w:hAnsi="ARIAL"/>
          <w:sz w:val="20"/>
        </w:rPr>
      </w:pPr>
      <w:r>
        <w:rPr>
          <w:rFonts w:ascii="ARIAL" w:hAnsi="ARIAL"/>
          <w:sz w:val="20"/>
        </w:rPr>
        <w:t xml:space="preserve">The table below sets forth the relative weighting of the metrics selected for our 2023 Annual Incentive Plan, the results achieved for each metric, as determined by the Compensation Committee, and the resulting aggregate percentage achieved with respect to our corporate objectives: </w:t>
      </w:r>
    </w:p>
    <w:p>
      <w:pPr>
        <w:pStyle w:val="TextBody"/>
        <w:bidi w:val="0"/>
        <w:spacing w:before="0" w:after="0"/>
        <w:jc w:val="left"/>
        <w:rPr/>
      </w:pPr>
      <w:r>
        <w:rPr/>
        <w:t> </w:t>
      </w:r>
    </w:p>
    <w:tbl>
      <w:tblPr>
        <w:tblW w:w="8675" w:type="dxa"/>
        <w:jc w:val="left"/>
        <w:tblInd w:w="0" w:type="dxa"/>
        <w:tblLayout w:type="fixed"/>
        <w:tblCellMar>
          <w:top w:w="0" w:type="dxa"/>
          <w:left w:w="0" w:type="dxa"/>
          <w:bottom w:w="0" w:type="dxa"/>
          <w:right w:w="0" w:type="dxa"/>
        </w:tblCellMar>
      </w:tblPr>
      <w:tblGrid>
        <w:gridCol w:w="1610"/>
        <w:gridCol w:w="120"/>
        <w:gridCol w:w="2840"/>
        <w:gridCol w:w="120"/>
        <w:gridCol w:w="1625"/>
        <w:gridCol w:w="120"/>
        <w:gridCol w:w="2240"/>
      </w:tblGrid>
      <w:tr>
        <w:trPr/>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r>
      <w:tr>
        <w:trPr/>
        <w:tc>
          <w:tcPr>
            <w:tcW w:w="1610" w:type="dxa"/>
            <w:vMerge w:val="restart"/>
            <w:tcBorders>
              <w:bottom w:val="single" w:sz="8" w:space="0" w:color="95B3D7"/>
            </w:tcBorders>
            <w:tcMar>
              <w:bottom w:w="28" w:type="dxa"/>
            </w:tcMar>
            <w:vAlign w:val="center"/>
          </w:tcPr>
          <w:p>
            <w:pPr>
              <w:pStyle w:val="TableContents"/>
              <w:bidi w:val="0"/>
              <w:spacing w:before="0" w:after="283"/>
              <w:jc w:val="left"/>
              <w:rPr/>
            </w:pPr>
            <w:r>
              <w:rPr/>
              <w:t>  </w:t>
            </w:r>
          </w:p>
        </w:tc>
        <w:tc>
          <w:tcPr>
            <w:tcW w:w="120" w:type="dxa"/>
            <w:tcBorders>
              <w:bottom w:val="single" w:sz="12" w:space="0" w:color="95B3D7"/>
            </w:tcBorders>
            <w:tcMar>
              <w:bottom w:w="28" w:type="dxa"/>
            </w:tcMar>
            <w:vAlign w:val="center"/>
          </w:tcPr>
          <w:p>
            <w:pPr>
              <w:pStyle w:val="TableContents"/>
              <w:bidi w:val="0"/>
              <w:spacing w:before="0" w:after="283"/>
              <w:jc w:val="left"/>
              <w:rPr/>
            </w:pPr>
            <w:r>
              <w:rPr/>
              <w:t>  </w:t>
            </w:r>
          </w:p>
        </w:tc>
        <w:tc>
          <w:tcPr>
            <w:tcW w:w="6945" w:type="dxa"/>
            <w:gridSpan w:val="5"/>
            <w:tcBorders>
              <w:bottom w:val="single" w:sz="12" w:space="0" w:color="95B3D7"/>
            </w:tcBorders>
            <w:tcMar>
              <w:bottom w:w="28" w:type="dxa"/>
            </w:tcMar>
            <w:vAlign w:val="center"/>
          </w:tcPr>
          <w:p>
            <w:pPr>
              <w:pStyle w:val="TableContents"/>
              <w:bidi w:val="0"/>
              <w:spacing w:before="0" w:after="283"/>
              <w:jc w:val="center"/>
              <w:rPr>
                <w:b/>
              </w:rPr>
            </w:pPr>
            <w:r>
              <w:rPr>
                <w:b/>
              </w:rPr>
              <w:t>2023 Performance Metrics and Levels</w:t>
            </w:r>
          </w:p>
        </w:tc>
      </w:tr>
      <w:tr>
        <w:trPr/>
        <w:tc>
          <w:tcPr>
            <w:tcW w:w="1610" w:type="dxa"/>
            <w:vMerge w:val="continue"/>
            <w:tcBorders>
              <w:bottom w:val="single" w:sz="8" w:space="0" w:color="95B3D7"/>
            </w:tcBorders>
            <w:tcMar>
              <w:bottom w:w="28" w:type="dxa"/>
            </w:tcMar>
            <w:vAlign w:val="center"/>
          </w:tcPr>
          <w:p>
            <w:pPr>
              <w:pStyle w:val="Normal"/>
              <w:bidi w:val="0"/>
              <w:jc w:val="left"/>
              <w:rPr/>
            </w:pPr>
            <w:r>
              <w:rPr/>
            </w:r>
          </w:p>
        </w:tc>
        <w:tc>
          <w:tcPr>
            <w:tcW w:w="120" w:type="dxa"/>
            <w:tcBorders>
              <w:top w:val="single" w:sz="8" w:space="0" w:color="1F497D"/>
              <w:left w:val="single" w:sz="8" w:space="0" w:color="95B3D7"/>
              <w:bottom w:val="single" w:sz="12" w:space="0" w:color="95B3D7"/>
            </w:tcBorders>
            <w:shd w:fill="DBE5F1" w:val="clear"/>
            <w:tcMar>
              <w:top w:w="28" w:type="dxa"/>
              <w:left w:w="28" w:type="dxa"/>
              <w:bottom w:w="28" w:type="dxa"/>
            </w:tcMar>
            <w:vAlign w:val="center"/>
          </w:tcPr>
          <w:p>
            <w:pPr>
              <w:pStyle w:val="TableContents"/>
              <w:bidi w:val="0"/>
              <w:spacing w:before="0" w:after="283"/>
              <w:jc w:val="left"/>
              <w:rPr/>
            </w:pPr>
            <w:r>
              <w:rPr/>
              <w:t>  </w:t>
            </w:r>
          </w:p>
        </w:tc>
        <w:tc>
          <w:tcPr>
            <w:tcW w:w="2840" w:type="dxa"/>
            <w:tcBorders>
              <w:top w:val="single" w:sz="8" w:space="0" w:color="1F497D"/>
              <w:bottom w:val="single" w:sz="12" w:space="0" w:color="95B3D7"/>
            </w:tcBorders>
            <w:shd w:fill="DBE5F1" w:val="clear"/>
            <w:tcMar>
              <w:top w:w="28" w:type="dxa"/>
              <w:bottom w:w="28" w:type="dxa"/>
            </w:tcMar>
            <w:vAlign w:val="center"/>
          </w:tcPr>
          <w:p>
            <w:pPr>
              <w:pStyle w:val="TableContents"/>
              <w:bidi w:val="0"/>
              <w:spacing w:before="0" w:after="283"/>
              <w:jc w:val="center"/>
              <w:rPr>
                <w:b/>
              </w:rPr>
            </w:pPr>
            <w:r>
              <w:rPr>
                <w:b/>
              </w:rPr>
              <w:t>Health Plan Membership as</w:t>
              <w:br/>
              <w:t>of January 1, 2024</w:t>
            </w:r>
          </w:p>
        </w:tc>
        <w:tc>
          <w:tcPr>
            <w:tcW w:w="120" w:type="dxa"/>
            <w:tcBorders>
              <w:top w:val="single" w:sz="8" w:space="0" w:color="1F497D"/>
              <w:left w:val="single" w:sz="8" w:space="0" w:color="95B3D7"/>
              <w:bottom w:val="single" w:sz="12" w:space="0" w:color="95B3D7"/>
            </w:tcBorders>
            <w:shd w:fill="DBE5F1" w:val="clear"/>
            <w:tcMar>
              <w:top w:w="28" w:type="dxa"/>
              <w:left w:w="28" w:type="dxa"/>
              <w:bottom w:w="28" w:type="dxa"/>
            </w:tcMar>
            <w:vAlign w:val="center"/>
          </w:tcPr>
          <w:p>
            <w:pPr>
              <w:pStyle w:val="TableContents"/>
              <w:bidi w:val="0"/>
              <w:spacing w:before="0" w:after="283"/>
              <w:jc w:val="left"/>
              <w:rPr/>
            </w:pPr>
            <w:r>
              <w:rPr/>
              <w:t>  </w:t>
            </w:r>
          </w:p>
        </w:tc>
        <w:tc>
          <w:tcPr>
            <w:tcW w:w="1625" w:type="dxa"/>
            <w:tcBorders>
              <w:top w:val="single" w:sz="8" w:space="0" w:color="1F497D"/>
              <w:bottom w:val="single" w:sz="12" w:space="0" w:color="95B3D7"/>
            </w:tcBorders>
            <w:shd w:fill="DBE5F1" w:val="clear"/>
            <w:tcMar>
              <w:top w:w="28" w:type="dxa"/>
              <w:bottom w:w="28" w:type="dxa"/>
            </w:tcMar>
            <w:vAlign w:val="center"/>
          </w:tcPr>
          <w:p>
            <w:pPr>
              <w:pStyle w:val="TableContents"/>
              <w:bidi w:val="0"/>
              <w:spacing w:before="0" w:after="0"/>
              <w:jc w:val="center"/>
              <w:rPr>
                <w:rFonts w:ascii="ARIAL" w:hAnsi="ARIAL"/>
                <w:b/>
                <w:sz w:val="18"/>
              </w:rPr>
            </w:pPr>
            <w:r>
              <w:rPr>
                <w:rFonts w:ascii="ARIAL" w:hAnsi="ARIAL"/>
                <w:b/>
                <w:sz w:val="18"/>
              </w:rPr>
              <w:t>Adjusted Gross</w:t>
            </w:r>
          </w:p>
          <w:p>
            <w:pPr>
              <w:pStyle w:val="TableContents"/>
              <w:bidi w:val="0"/>
              <w:spacing w:before="0" w:after="20"/>
              <w:jc w:val="center"/>
              <w:rPr>
                <w:rFonts w:ascii="ARIAL" w:hAnsi="ARIAL"/>
                <w:b/>
                <w:sz w:val="18"/>
              </w:rPr>
            </w:pPr>
            <w:r>
              <w:rPr>
                <w:rFonts w:ascii="ARIAL" w:hAnsi="ARIAL"/>
                <w:b/>
                <w:sz w:val="18"/>
              </w:rPr>
              <w:t>Profit(1)</w:t>
            </w:r>
          </w:p>
        </w:tc>
        <w:tc>
          <w:tcPr>
            <w:tcW w:w="120" w:type="dxa"/>
            <w:tcBorders>
              <w:top w:val="single" w:sz="8" w:space="0" w:color="1F497D"/>
              <w:left w:val="single" w:sz="8" w:space="0" w:color="95B3D7"/>
              <w:bottom w:val="single" w:sz="12" w:space="0" w:color="95B3D7"/>
            </w:tcBorders>
            <w:shd w:fill="DBE5F1" w:val="clear"/>
            <w:tcMar>
              <w:top w:w="28" w:type="dxa"/>
              <w:left w:w="28" w:type="dxa"/>
              <w:bottom w:w="28" w:type="dxa"/>
            </w:tcMar>
            <w:vAlign w:val="center"/>
          </w:tcPr>
          <w:p>
            <w:pPr>
              <w:pStyle w:val="TableContents"/>
              <w:bidi w:val="0"/>
              <w:spacing w:before="0" w:after="283"/>
              <w:jc w:val="left"/>
              <w:rPr/>
            </w:pPr>
            <w:r>
              <w:rPr/>
              <w:t>  </w:t>
            </w:r>
          </w:p>
        </w:tc>
        <w:tc>
          <w:tcPr>
            <w:tcW w:w="2240" w:type="dxa"/>
            <w:tcBorders>
              <w:top w:val="single" w:sz="8" w:space="0" w:color="1F497D"/>
              <w:bottom w:val="single" w:sz="12" w:space="0" w:color="95B3D7"/>
            </w:tcBorders>
            <w:shd w:fill="DBE5F1" w:val="clear"/>
            <w:tcMar>
              <w:top w:w="28" w:type="dxa"/>
              <w:bottom w:w="28" w:type="dxa"/>
            </w:tcMar>
            <w:vAlign w:val="center"/>
          </w:tcPr>
          <w:p>
            <w:pPr>
              <w:pStyle w:val="TableContents"/>
              <w:bidi w:val="0"/>
              <w:spacing w:before="0" w:after="283"/>
              <w:jc w:val="center"/>
              <w:rPr>
                <w:b/>
              </w:rPr>
            </w:pPr>
            <w:r>
              <w:rPr>
                <w:b/>
              </w:rPr>
              <w:t>Adjusted EBITDA(1)</w:t>
            </w:r>
          </w:p>
        </w:tc>
      </w:tr>
      <w:tr>
        <w:trPr/>
        <w:tc>
          <w:tcPr>
            <w:tcW w:w="1610" w:type="dxa"/>
            <w:vMerge w:val="continue"/>
            <w:tcBorders>
              <w:bottom w:val="single" w:sz="8" w:space="0" w:color="95B3D7"/>
            </w:tcBorders>
            <w:tcMar>
              <w:bottom w:w="28" w:type="dxa"/>
            </w:tcMar>
            <w:vAlign w:val="center"/>
          </w:tcPr>
          <w:p>
            <w:pPr>
              <w:pStyle w:val="Normal"/>
              <w:bidi w:val="0"/>
              <w:jc w:val="left"/>
              <w:rPr/>
            </w:pPr>
            <w:r>
              <w:rPr/>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2840" w:type="dxa"/>
            <w:tcBorders>
              <w:bottom w:val="single" w:sz="8" w:space="0" w:color="95B3D7"/>
            </w:tcBorders>
            <w:tcMar>
              <w:bottom w:w="28" w:type="dxa"/>
            </w:tcMar>
            <w:vAlign w:val="center"/>
          </w:tcPr>
          <w:p>
            <w:pPr>
              <w:pStyle w:val="TableContents"/>
              <w:bidi w:val="0"/>
              <w:spacing w:before="0" w:after="283"/>
              <w:jc w:val="center"/>
              <w:rPr>
                <w:i/>
              </w:rPr>
            </w:pPr>
            <w:r>
              <w:rPr>
                <w:i/>
              </w:rPr>
              <w:t>(50% Weighting)</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1625" w:type="dxa"/>
            <w:tcBorders>
              <w:bottom w:val="single" w:sz="8" w:space="0" w:color="95B3D7"/>
            </w:tcBorders>
            <w:tcMar>
              <w:bottom w:w="28" w:type="dxa"/>
            </w:tcMar>
            <w:vAlign w:val="center"/>
          </w:tcPr>
          <w:p>
            <w:pPr>
              <w:pStyle w:val="TableContents"/>
              <w:bidi w:val="0"/>
              <w:spacing w:before="0" w:after="283"/>
              <w:jc w:val="center"/>
              <w:rPr>
                <w:i/>
              </w:rPr>
            </w:pPr>
            <w:r>
              <w:rPr>
                <w:i/>
              </w:rPr>
              <w:t>(30% Weighting)</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2240" w:type="dxa"/>
            <w:tcBorders>
              <w:bottom w:val="single" w:sz="8" w:space="0" w:color="95B3D7"/>
            </w:tcBorders>
            <w:tcMar>
              <w:bottom w:w="28" w:type="dxa"/>
            </w:tcMar>
            <w:vAlign w:val="center"/>
          </w:tcPr>
          <w:p>
            <w:pPr>
              <w:pStyle w:val="TableContents"/>
              <w:bidi w:val="0"/>
              <w:spacing w:before="0" w:after="283"/>
              <w:jc w:val="center"/>
              <w:rPr>
                <w:i/>
              </w:rPr>
            </w:pPr>
            <w:r>
              <w:rPr>
                <w:i/>
              </w:rPr>
              <w:t>(20% Weighting)</w:t>
            </w:r>
          </w:p>
        </w:tc>
      </w:tr>
      <w:tr>
        <w:trPr/>
        <w:tc>
          <w:tcPr>
            <w:tcW w:w="1610" w:type="dxa"/>
            <w:tcBorders>
              <w:bottom w:val="single" w:sz="8" w:space="0" w:color="95B3D7"/>
            </w:tcBorders>
            <w:shd w:fill="DBE5F1" w:val="clear"/>
            <w:tcMar>
              <w:bottom w:w="28" w:type="dxa"/>
            </w:tcMar>
            <w:vAlign w:val="center"/>
          </w:tcPr>
          <w:p>
            <w:pPr>
              <w:pStyle w:val="TableContents"/>
              <w:bidi w:val="0"/>
              <w:spacing w:before="0" w:after="0"/>
              <w:jc w:val="left"/>
              <w:rPr>
                <w:rFonts w:ascii="ARIAL" w:hAnsi="ARIAL"/>
                <w:b/>
                <w:sz w:val="18"/>
              </w:rPr>
            </w:pPr>
            <w:r>
              <w:rPr>
                <w:rFonts w:ascii="ARIAL" w:hAnsi="ARIAL"/>
                <w:b/>
                <w:sz w:val="18"/>
              </w:rPr>
              <w:t>Threshold</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2840" w:type="dxa"/>
            <w:tcBorders>
              <w:bottom w:val="single" w:sz="8" w:space="0" w:color="95B3D7"/>
            </w:tcBorders>
            <w:shd w:fill="DBE5F1" w:val="clear"/>
            <w:tcMar>
              <w:bottom w:w="28" w:type="dxa"/>
            </w:tcMar>
            <w:vAlign w:val="center"/>
          </w:tcPr>
          <w:p>
            <w:pPr>
              <w:pStyle w:val="TableContents"/>
              <w:bidi w:val="0"/>
              <w:spacing w:before="0" w:after="283"/>
              <w:jc w:val="center"/>
              <w:rPr/>
            </w:pPr>
            <w:r>
              <w:rPr/>
              <w:t>124,545</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1625" w:type="dxa"/>
            <w:tcBorders>
              <w:bottom w:val="single" w:sz="8" w:space="0" w:color="95B3D7"/>
            </w:tcBorders>
            <w:shd w:fill="DBE5F1" w:val="clear"/>
            <w:tcMar>
              <w:bottom w:w="28" w:type="dxa"/>
            </w:tcMar>
            <w:vAlign w:val="center"/>
          </w:tcPr>
          <w:p>
            <w:pPr>
              <w:pStyle w:val="TableContents"/>
              <w:bidi w:val="0"/>
              <w:spacing w:before="0" w:after="283"/>
              <w:jc w:val="center"/>
              <w:rPr/>
            </w:pPr>
            <w:r>
              <w:rPr/>
              <w:t>$202M</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2240" w:type="dxa"/>
            <w:tcBorders>
              <w:bottom w:val="single" w:sz="8" w:space="0" w:color="95B3D7"/>
            </w:tcBorders>
            <w:shd w:fill="DBE5F1" w:val="clear"/>
            <w:tcMar>
              <w:bottom w:w="28" w:type="dxa"/>
            </w:tcMar>
            <w:vAlign w:val="center"/>
          </w:tcPr>
          <w:p>
            <w:pPr>
              <w:pStyle w:val="TableContents"/>
              <w:bidi w:val="0"/>
              <w:spacing w:before="0" w:after="283"/>
              <w:jc w:val="center"/>
              <w:rPr/>
            </w:pPr>
            <w:r>
              <w:rPr/>
              <w:t>($37.8M)</w:t>
            </w:r>
          </w:p>
        </w:tc>
      </w:tr>
      <w:tr>
        <w:trPr/>
        <w:tc>
          <w:tcPr>
            <w:tcW w:w="1610" w:type="dxa"/>
            <w:tcBorders>
              <w:bottom w:val="single" w:sz="8" w:space="0" w:color="95B3D7"/>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Target</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2840" w:type="dxa"/>
            <w:tcBorders>
              <w:bottom w:val="single" w:sz="8" w:space="0" w:color="95B3D7"/>
            </w:tcBorders>
            <w:tcMar>
              <w:bottom w:w="28" w:type="dxa"/>
            </w:tcMar>
            <w:vAlign w:val="center"/>
          </w:tcPr>
          <w:p>
            <w:pPr>
              <w:pStyle w:val="TableContents"/>
              <w:bidi w:val="0"/>
              <w:spacing w:before="0" w:after="283"/>
              <w:jc w:val="center"/>
              <w:rPr/>
            </w:pPr>
            <w:r>
              <w:rPr/>
              <w:t>129,960</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1625" w:type="dxa"/>
            <w:tcBorders>
              <w:bottom w:val="single" w:sz="8" w:space="0" w:color="95B3D7"/>
            </w:tcBorders>
            <w:tcMar>
              <w:bottom w:w="28" w:type="dxa"/>
            </w:tcMar>
            <w:vAlign w:val="center"/>
          </w:tcPr>
          <w:p>
            <w:pPr>
              <w:pStyle w:val="TableContents"/>
              <w:bidi w:val="0"/>
              <w:spacing w:before="0" w:after="283"/>
              <w:jc w:val="center"/>
              <w:rPr/>
            </w:pPr>
            <w:r>
              <w:rPr/>
              <w:t>$217M</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2240" w:type="dxa"/>
            <w:tcBorders>
              <w:bottom w:val="single" w:sz="8" w:space="0" w:color="95B3D7"/>
            </w:tcBorders>
            <w:tcMar>
              <w:bottom w:w="28" w:type="dxa"/>
            </w:tcMar>
            <w:vAlign w:val="center"/>
          </w:tcPr>
          <w:p>
            <w:pPr>
              <w:pStyle w:val="TableContents"/>
              <w:bidi w:val="0"/>
              <w:spacing w:before="0" w:after="283"/>
              <w:jc w:val="center"/>
              <w:rPr/>
            </w:pPr>
            <w:r>
              <w:rPr/>
              <w:t>($-22.8M)</w:t>
            </w:r>
          </w:p>
        </w:tc>
      </w:tr>
      <w:tr>
        <w:trPr/>
        <w:tc>
          <w:tcPr>
            <w:tcW w:w="1610" w:type="dxa"/>
            <w:tcBorders>
              <w:bottom w:val="single" w:sz="8" w:space="0" w:color="95B3D7"/>
            </w:tcBorders>
            <w:shd w:fill="DBE5F1" w:val="clear"/>
            <w:tcMar>
              <w:bottom w:w="28" w:type="dxa"/>
            </w:tcMar>
            <w:vAlign w:val="center"/>
          </w:tcPr>
          <w:p>
            <w:pPr>
              <w:pStyle w:val="TableContents"/>
              <w:bidi w:val="0"/>
              <w:spacing w:before="0" w:after="0"/>
              <w:jc w:val="left"/>
              <w:rPr>
                <w:rFonts w:ascii="ARIAL" w:hAnsi="ARIAL"/>
                <w:b/>
                <w:sz w:val="18"/>
              </w:rPr>
            </w:pPr>
            <w:r>
              <w:rPr>
                <w:rFonts w:ascii="ARIAL" w:hAnsi="ARIAL"/>
                <w:b/>
                <w:sz w:val="18"/>
              </w:rPr>
              <w:t>Maximum</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2840" w:type="dxa"/>
            <w:tcBorders>
              <w:bottom w:val="single" w:sz="8" w:space="0" w:color="95B3D7"/>
            </w:tcBorders>
            <w:shd w:fill="DBE5F1" w:val="clear"/>
            <w:tcMar>
              <w:bottom w:w="28" w:type="dxa"/>
            </w:tcMar>
            <w:vAlign w:val="center"/>
          </w:tcPr>
          <w:p>
            <w:pPr>
              <w:pStyle w:val="TableContents"/>
              <w:bidi w:val="0"/>
              <w:spacing w:before="0" w:after="283"/>
              <w:jc w:val="center"/>
              <w:rPr/>
            </w:pPr>
            <w:r>
              <w:rPr/>
              <w:t>140,790</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1625" w:type="dxa"/>
            <w:tcBorders>
              <w:bottom w:val="single" w:sz="8" w:space="0" w:color="95B3D7"/>
            </w:tcBorders>
            <w:shd w:fill="DBE5F1" w:val="clear"/>
            <w:tcMar>
              <w:bottom w:w="28" w:type="dxa"/>
            </w:tcMar>
            <w:vAlign w:val="center"/>
          </w:tcPr>
          <w:p>
            <w:pPr>
              <w:pStyle w:val="TableContents"/>
              <w:bidi w:val="0"/>
              <w:spacing w:before="0" w:after="283"/>
              <w:jc w:val="center"/>
              <w:rPr/>
            </w:pPr>
            <w:r>
              <w:rPr/>
              <w:t>$232M</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2240" w:type="dxa"/>
            <w:tcBorders>
              <w:bottom w:val="single" w:sz="8" w:space="0" w:color="95B3D7"/>
            </w:tcBorders>
            <w:shd w:fill="DBE5F1" w:val="clear"/>
            <w:tcMar>
              <w:bottom w:w="28" w:type="dxa"/>
            </w:tcMar>
            <w:vAlign w:val="center"/>
          </w:tcPr>
          <w:p>
            <w:pPr>
              <w:pStyle w:val="TableContents"/>
              <w:bidi w:val="0"/>
              <w:spacing w:before="0" w:after="283"/>
              <w:jc w:val="center"/>
              <w:rPr/>
            </w:pPr>
            <w:r>
              <w:rPr/>
              <w:t>($0M)</w:t>
            </w:r>
          </w:p>
        </w:tc>
      </w:tr>
      <w:tr>
        <w:trPr/>
        <w:tc>
          <w:tcPr>
            <w:tcW w:w="1610" w:type="dxa"/>
            <w:tcBorders>
              <w:bottom w:val="single" w:sz="8" w:space="0" w:color="95B3D7"/>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Actual Results(2)</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2840" w:type="dxa"/>
            <w:tcBorders>
              <w:bottom w:val="single" w:sz="8" w:space="0" w:color="95B3D7"/>
            </w:tcBorders>
            <w:tcMar>
              <w:bottom w:w="28" w:type="dxa"/>
            </w:tcMar>
            <w:vAlign w:val="center"/>
          </w:tcPr>
          <w:p>
            <w:pPr>
              <w:pStyle w:val="TableContents"/>
              <w:bidi w:val="0"/>
              <w:spacing w:before="0" w:after="283"/>
              <w:jc w:val="center"/>
              <w:rPr/>
            </w:pPr>
            <w:r>
              <w:rPr/>
              <w:t>200% of Target</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1625" w:type="dxa"/>
            <w:tcBorders>
              <w:bottom w:val="single" w:sz="8" w:space="0" w:color="95B3D7"/>
            </w:tcBorders>
            <w:tcMar>
              <w:bottom w:w="28" w:type="dxa"/>
            </w:tcMar>
            <w:vAlign w:val="center"/>
          </w:tcPr>
          <w:p>
            <w:pPr>
              <w:pStyle w:val="TableContents"/>
              <w:bidi w:val="0"/>
              <w:spacing w:before="0" w:after="283"/>
              <w:jc w:val="center"/>
              <w:rPr/>
            </w:pPr>
            <w:r>
              <w:rPr/>
              <w:t>74% of Target</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2240" w:type="dxa"/>
            <w:tcBorders>
              <w:bottom w:val="single" w:sz="8" w:space="0" w:color="95B3D7"/>
            </w:tcBorders>
            <w:tcMar>
              <w:bottom w:w="28" w:type="dxa"/>
            </w:tcMar>
            <w:vAlign w:val="center"/>
          </w:tcPr>
          <w:p>
            <w:pPr>
              <w:pStyle w:val="TableContents"/>
              <w:bidi w:val="0"/>
              <w:spacing w:before="0" w:after="283"/>
              <w:jc w:val="center"/>
              <w:rPr/>
            </w:pPr>
            <w:r>
              <w:rPr/>
              <w:t>61% of Target</w:t>
            </w:r>
          </w:p>
        </w:tc>
      </w:tr>
      <w:tr>
        <w:trPr/>
        <w:tc>
          <w:tcPr>
            <w:tcW w:w="1610" w:type="dxa"/>
            <w:tcBorders>
              <w:bottom w:val="single" w:sz="8" w:space="0" w:color="95B3D7"/>
            </w:tcBorders>
            <w:shd w:fill="DBE5F1" w:val="clear"/>
            <w:tcMar>
              <w:bottom w:w="28" w:type="dxa"/>
            </w:tcMar>
            <w:vAlign w:val="center"/>
          </w:tcPr>
          <w:p>
            <w:pPr>
              <w:pStyle w:val="TableContents"/>
              <w:bidi w:val="0"/>
              <w:spacing w:before="0" w:after="0"/>
              <w:jc w:val="left"/>
              <w:rPr>
                <w:rFonts w:ascii="ARIAL" w:hAnsi="ARIAL"/>
                <w:b/>
                <w:sz w:val="18"/>
              </w:rPr>
            </w:pPr>
            <w:r>
              <w:rPr>
                <w:rFonts w:ascii="ARIAL" w:hAnsi="ARIAL"/>
                <w:b/>
                <w:sz w:val="18"/>
              </w:rPr>
              <w:t>Funded Amount(3)</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6945" w:type="dxa"/>
            <w:gridSpan w:val="5"/>
            <w:tcBorders>
              <w:bottom w:val="single" w:sz="8" w:space="0" w:color="95B3D7"/>
            </w:tcBorders>
            <w:shd w:fill="DBE5F1" w:val="clear"/>
            <w:tcMar>
              <w:bottom w:w="28" w:type="dxa"/>
            </w:tcMar>
            <w:vAlign w:val="center"/>
          </w:tcPr>
          <w:p>
            <w:pPr>
              <w:pStyle w:val="TableContents"/>
              <w:bidi w:val="0"/>
              <w:spacing w:before="0" w:after="283"/>
              <w:jc w:val="center"/>
              <w:rPr>
                <w:b/>
              </w:rPr>
            </w:pPr>
            <w:r>
              <w:rPr>
                <w:b/>
              </w:rPr>
              <w:t>134.4% of Target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(1)</w:t>
            </w:r>
          </w:p>
        </w:tc>
        <w:tc>
          <w:tcPr>
            <w:tcW w:w="9891" w:type="dxa"/>
            <w:tcBorders/>
            <w:vAlign w:val="center"/>
          </w:tcPr>
          <w:p>
            <w:pPr>
              <w:pStyle w:val="TableContents"/>
              <w:bidi w:val="0"/>
              <w:spacing w:before="0" w:after="0"/>
              <w:jc w:val="both"/>
              <w:rPr>
                <w:rFonts w:ascii="ARIAL" w:hAnsi="ARIAL"/>
                <w:sz w:val="16"/>
              </w:rPr>
            </w:pPr>
            <w:r>
              <w:rPr>
                <w:rFonts w:ascii="ARIAL" w:hAnsi="ARIAL"/>
                <w:sz w:val="16"/>
              </w:rPr>
              <w:t xml:space="preserve">Adjusted gross profit and adjusted EBITDA are non-GAAP measures. For a reconciliation to the most directly comparable GAAP measures, please see the Appendix to this proxy statement. For these measures, performance is measured from “Target” to “Maximum” on a linear basis excluding incremental additional accruals for Annual Incentive Plan payouts for performance above “Target.”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8"/>
        <w:gridCol w:w="9862"/>
      </w:tblGrid>
      <w:tr>
        <w:trPr/>
        <w:tc>
          <w:tcPr>
            <w:tcW w:w="75"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(2)</w:t>
            </w:r>
          </w:p>
        </w:tc>
        <w:tc>
          <w:tcPr>
            <w:tcW w:w="9862" w:type="dxa"/>
            <w:tcBorders/>
            <w:vAlign w:val="center"/>
          </w:tcPr>
          <w:p>
            <w:pPr>
              <w:pStyle w:val="TableContents"/>
              <w:bidi w:val="0"/>
              <w:spacing w:before="0" w:after="0"/>
              <w:jc w:val="both"/>
              <w:rPr>
                <w:rFonts w:ascii="ARIAL" w:hAnsi="ARIAL"/>
                <w:sz w:val="16"/>
              </w:rPr>
            </w:pPr>
            <w:r>
              <w:rPr>
                <w:rFonts w:ascii="ARIAL" w:hAnsi="ARIAL"/>
                <w:sz w:val="16"/>
              </w:rPr>
              <w:t xml:space="preserve">The actual percent of target achieved is calculated based on straight-line interpolation between incremental goal levels established between threshold and target and target and maximum.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7"/>
        <w:gridCol w:w="9883"/>
      </w:tblGrid>
      <w:tr>
        <w:trPr/>
        <w:tc>
          <w:tcPr>
            <w:tcW w:w="75"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(3)</w:t>
            </w:r>
          </w:p>
        </w:tc>
        <w:tc>
          <w:tcPr>
            <w:tcW w:w="9883" w:type="dxa"/>
            <w:tcBorders/>
            <w:vAlign w:val="center"/>
          </w:tcPr>
          <w:p>
            <w:pPr>
              <w:pStyle w:val="TableContents"/>
              <w:bidi w:val="0"/>
              <w:spacing w:before="0" w:after="0"/>
              <w:jc w:val="both"/>
              <w:rPr>
                <w:rFonts w:ascii="ARIAL" w:hAnsi="ARIAL"/>
                <w:sz w:val="16"/>
              </w:rPr>
            </w:pPr>
            <w:r>
              <w:rPr>
                <w:rFonts w:ascii="ARIAL" w:hAnsi="ARIAL"/>
                <w:sz w:val="16"/>
              </w:rPr>
              <w:t xml:space="preserve">Represents percentage of corporate objectives achieved. Actual payouts to NEOs were adjusted to reflect level of achievement of individual objectives, which ranged from 100% to 200% (which the exception of our CEO, whose payout is entirely based on achievement of corporate objectives). </w:t>
            </w:r>
          </w:p>
        </w:tc>
      </w:tr>
    </w:tbl>
    <w:p>
      <w:pPr>
        <w:pStyle w:val="TextBody"/>
        <w:bidi w:val="0"/>
        <w:spacing w:before="240" w:after="0"/>
        <w:jc w:val="left"/>
        <w:rPr>
          <w:rFonts w:ascii="ARIAL" w:hAnsi="ARIAL"/>
          <w:i/>
          <w:color w:val="4B6D97"/>
          <w:sz w:val="20"/>
        </w:rPr>
      </w:pPr>
      <w:r>
        <w:rPr>
          <w:rFonts w:ascii="ARIAL" w:hAnsi="ARIAL"/>
          <w:i/>
          <w:color w:val="4B6D97"/>
          <w:sz w:val="20"/>
        </w:rPr>
        <w:t xml:space="preserve">2023 Annual Incentive Plan Payouts </w:t>
      </w:r>
    </w:p>
    <w:p>
      <w:pPr>
        <w:pStyle w:val="TextBody"/>
        <w:bidi w:val="0"/>
        <w:spacing w:before="240" w:after="0"/>
        <w:jc w:val="both"/>
        <w:rPr>
          <w:rFonts w:ascii="ARIAL" w:hAnsi="ARIAL"/>
          <w:sz w:val="20"/>
        </w:rPr>
      </w:pPr>
      <w:r>
        <w:rPr>
          <w:rFonts w:ascii="ARIAL" w:hAnsi="ARIAL"/>
          <w:sz w:val="20"/>
        </w:rPr>
        <w:t xml:space="preserve">Based on the above performance results, the funding of the Annual Incentive Plan was set at 134.4% of each NEO’s applicable target based on the achievement of corporate objectives and subsequently adjusted based on each NEO’s individual performance (excluding the CEO whose bonus entirely based on achievement of corporate objectives). Target bonus opportunities for the 2023 year and payout amounts reflect the weighted average of the target bonus opportunity percentages applicable to each NEO for each applicable period throughout the year. The table below sets forth the actual awards earned by the NEOs in 2023 (and paid in 2024):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49 </w:t>
      </w:r>
      <w:r>
        <w:br w:type="page"/>
      </w:r>
    </w:p>
    <w:p>
      <w:pPr>
        <w:pStyle w:val="HorizontalLine"/>
        <w:bidi w:val="0"/>
        <w:jc w:val="left"/>
        <w:rPr/>
      </w:pPr>
      <w:r>
        <w:rPr/>
      </w:r>
    </w:p>
    <w:tbl>
      <w:tblPr>
        <w:tblW w:w="8045" w:type="dxa"/>
        <w:jc w:val="left"/>
        <w:tblInd w:w="0" w:type="dxa"/>
        <w:tblLayout w:type="fixed"/>
        <w:tblCellMar>
          <w:top w:w="0" w:type="dxa"/>
          <w:left w:w="0" w:type="dxa"/>
          <w:bottom w:w="0" w:type="dxa"/>
          <w:right w:w="0" w:type="dxa"/>
        </w:tblCellMar>
      </w:tblPr>
      <w:tblGrid>
        <w:gridCol w:w="1490"/>
        <w:gridCol w:w="120"/>
        <w:gridCol w:w="545"/>
        <w:gridCol w:w="120"/>
        <w:gridCol w:w="995"/>
        <w:gridCol w:w="120"/>
        <w:gridCol w:w="1340"/>
        <w:gridCol w:w="120"/>
        <w:gridCol w:w="1340"/>
        <w:gridCol w:w="120"/>
        <w:gridCol w:w="980"/>
        <w:gridCol w:w="120"/>
        <w:gridCol w:w="635"/>
      </w:tblGrid>
      <w:tr>
        <w:trPr/>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1490" w:type="dxa"/>
            <w:tcBorders>
              <w:bottom w:val="single" w:sz="8" w:space="0" w:color="95B3D7"/>
            </w:tcBorders>
            <w:tcMar>
              <w:bottom w:w="28" w:type="dxa"/>
            </w:tcMar>
            <w:vAlign w:val="center"/>
          </w:tcPr>
          <w:p>
            <w:pPr>
              <w:pStyle w:val="TableContents"/>
              <w:bidi w:val="0"/>
              <w:spacing w:before="0" w:after="283"/>
              <w:jc w:val="center"/>
              <w:rPr>
                <w:b/>
              </w:rPr>
            </w:pPr>
            <w:r>
              <w:rPr>
                <w:b/>
              </w:rPr>
              <w:t>Name</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545" w:type="dxa"/>
            <w:tcBorders>
              <w:bottom w:val="single" w:sz="8" w:space="0" w:color="95B3D7"/>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2023</w:t>
            </w:r>
          </w:p>
          <w:p>
            <w:pPr>
              <w:pStyle w:val="TableContents"/>
              <w:bidi w:val="0"/>
              <w:spacing w:before="0" w:after="0"/>
              <w:jc w:val="center"/>
              <w:rPr>
                <w:rFonts w:ascii="ARIAL" w:hAnsi="ARIAL"/>
                <w:b/>
                <w:sz w:val="16"/>
              </w:rPr>
            </w:pPr>
            <w:r>
              <w:rPr>
                <w:rFonts w:ascii="ARIAL" w:hAnsi="ARIAL"/>
                <w:b/>
                <w:sz w:val="16"/>
              </w:rPr>
              <w:t>Bonus</w:t>
            </w:r>
          </w:p>
          <w:p>
            <w:pPr>
              <w:pStyle w:val="TableContents"/>
              <w:bidi w:val="0"/>
              <w:spacing w:before="0" w:after="0"/>
              <w:jc w:val="center"/>
              <w:rPr>
                <w:rFonts w:ascii="ARIAL" w:hAnsi="ARIAL"/>
                <w:b/>
                <w:sz w:val="16"/>
              </w:rPr>
            </w:pPr>
            <w:r>
              <w:rPr>
                <w:rFonts w:ascii="ARIAL" w:hAnsi="ARIAL"/>
                <w:b/>
                <w:sz w:val="16"/>
              </w:rPr>
              <w:t>Target</w:t>
            </w:r>
          </w:p>
          <w:p>
            <w:pPr>
              <w:pStyle w:val="TableContents"/>
              <w:bidi w:val="0"/>
              <w:spacing w:before="0" w:after="20"/>
              <w:jc w:val="center"/>
              <w:rPr>
                <w:rFonts w:ascii="ARIAL" w:hAnsi="ARIAL"/>
                <w:b/>
                <w:sz w:val="16"/>
              </w:rPr>
            </w:pPr>
            <w:r>
              <w:rPr>
                <w:rFonts w:ascii="ARIAL" w:hAnsi="ARIAL"/>
                <w:b/>
                <w:sz w:val="16"/>
              </w:rPr>
              <w:t>(%)</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995" w:type="dxa"/>
            <w:tcBorders>
              <w:bottom w:val="single" w:sz="8" w:space="0" w:color="95B3D7"/>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2023 Target</w:t>
            </w:r>
          </w:p>
          <w:p>
            <w:pPr>
              <w:pStyle w:val="TableContents"/>
              <w:bidi w:val="0"/>
              <w:spacing w:before="0" w:after="0"/>
              <w:jc w:val="center"/>
              <w:rPr>
                <w:rFonts w:ascii="ARIAL" w:hAnsi="ARIAL"/>
                <w:b/>
                <w:sz w:val="16"/>
              </w:rPr>
            </w:pPr>
            <w:r>
              <w:rPr>
                <w:rFonts w:ascii="ARIAL" w:hAnsi="ARIAL"/>
                <w:b/>
                <w:sz w:val="16"/>
              </w:rPr>
              <w:t>Bonus</w:t>
              <w:br/>
              <w:t>Opportunity</w:t>
            </w:r>
          </w:p>
          <w:p>
            <w:pPr>
              <w:pStyle w:val="TableContents"/>
              <w:bidi w:val="0"/>
              <w:spacing w:before="0" w:after="20"/>
              <w:jc w:val="center"/>
              <w:rPr>
                <w:rFonts w:ascii="ARIAL" w:hAnsi="ARIAL"/>
                <w:b/>
                <w:sz w:val="16"/>
              </w:rPr>
            </w:pPr>
            <w:r>
              <w:rPr>
                <w:rFonts w:ascii="ARIAL" w:hAnsi="ARIAL"/>
                <w:b/>
                <w:sz w:val="16"/>
              </w:rPr>
              <w:t>($)</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340" w:type="dxa"/>
            <w:tcBorders>
              <w:bottom w:val="single" w:sz="8" w:space="0" w:color="95B3D7"/>
            </w:tcBorders>
            <w:tcMar>
              <w:bottom w:w="28" w:type="dxa"/>
            </w:tcMar>
            <w:vAlign w:val="center"/>
          </w:tcPr>
          <w:p>
            <w:pPr>
              <w:pStyle w:val="TableContents"/>
              <w:bidi w:val="0"/>
              <w:spacing w:before="0" w:after="283"/>
              <w:jc w:val="center"/>
              <w:rPr>
                <w:b/>
              </w:rPr>
            </w:pPr>
            <w:r>
              <w:rPr>
                <w:b/>
              </w:rPr>
              <w:t>Corporate</w:t>
              <w:br/>
              <w:t>Performance</w:t>
              <w:br/>
              <w:t xml:space="preserve">Results </w:t>
              <w:br/>
              <w:t>(%)</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340" w:type="dxa"/>
            <w:tcBorders>
              <w:bottom w:val="single" w:sz="8" w:space="0" w:color="95B3D7"/>
            </w:tcBorders>
            <w:tcMar>
              <w:bottom w:w="28" w:type="dxa"/>
            </w:tcMar>
            <w:vAlign w:val="center"/>
          </w:tcPr>
          <w:p>
            <w:pPr>
              <w:pStyle w:val="TableContents"/>
              <w:bidi w:val="0"/>
              <w:spacing w:before="0" w:after="283"/>
              <w:jc w:val="center"/>
              <w:rPr>
                <w:b/>
              </w:rPr>
            </w:pPr>
            <w:r>
              <w:rPr>
                <w:b/>
              </w:rPr>
              <w:t>Individual</w:t>
              <w:br/>
              <w:t>Performance</w:t>
              <w:br/>
              <w:t>Results</w:t>
              <w:br/>
              <w:t>(%)</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980" w:type="dxa"/>
            <w:tcBorders>
              <w:bottom w:val="single" w:sz="8" w:space="0" w:color="95B3D7"/>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Actual</w:t>
            </w:r>
          </w:p>
          <w:p>
            <w:pPr>
              <w:pStyle w:val="TableContents"/>
              <w:bidi w:val="0"/>
              <w:spacing w:before="0" w:after="20"/>
              <w:jc w:val="center"/>
              <w:rPr>
                <w:rFonts w:ascii="ARIAL" w:hAnsi="ARIAL"/>
                <w:b/>
                <w:sz w:val="16"/>
              </w:rPr>
            </w:pPr>
            <w:r>
              <w:rPr>
                <w:rFonts w:ascii="ARIAL" w:hAnsi="ARIAL"/>
                <w:b/>
                <w:sz w:val="16"/>
              </w:rPr>
              <w:t>Payout</w:t>
              <w:br/>
              <w:t>Amount(1)</w:t>
              <w:br/>
              <w:t>($)</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635" w:type="dxa"/>
            <w:tcBorders>
              <w:bottom w:val="single" w:sz="8" w:space="0" w:color="95B3D7"/>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Actual</w:t>
            </w:r>
          </w:p>
          <w:p>
            <w:pPr>
              <w:pStyle w:val="TableContents"/>
              <w:bidi w:val="0"/>
              <w:spacing w:before="0" w:after="0"/>
              <w:jc w:val="center"/>
              <w:rPr>
                <w:rFonts w:ascii="ARIAL" w:hAnsi="ARIAL"/>
                <w:b/>
                <w:sz w:val="16"/>
              </w:rPr>
            </w:pPr>
            <w:r>
              <w:rPr>
                <w:rFonts w:ascii="ARIAL" w:hAnsi="ARIAL"/>
                <w:b/>
                <w:sz w:val="16"/>
              </w:rPr>
              <w:t>Payout</w:t>
            </w:r>
          </w:p>
          <w:p>
            <w:pPr>
              <w:pStyle w:val="TableContents"/>
              <w:bidi w:val="0"/>
              <w:spacing w:before="0" w:after="0"/>
              <w:jc w:val="center"/>
              <w:rPr>
                <w:rFonts w:ascii="ARIAL" w:hAnsi="ARIAL"/>
                <w:b/>
                <w:sz w:val="16"/>
              </w:rPr>
            </w:pPr>
            <w:r>
              <w:rPr>
                <w:rFonts w:ascii="ARIAL" w:hAnsi="ARIAL"/>
                <w:b/>
                <w:sz w:val="16"/>
              </w:rPr>
              <w:t>as</w:t>
            </w:r>
          </w:p>
          <w:p>
            <w:pPr>
              <w:pStyle w:val="TableContents"/>
              <w:bidi w:val="0"/>
              <w:spacing w:before="0" w:after="0"/>
              <w:jc w:val="center"/>
              <w:rPr>
                <w:rFonts w:ascii="ARIAL" w:hAnsi="ARIAL"/>
                <w:b/>
                <w:sz w:val="16"/>
              </w:rPr>
            </w:pPr>
            <w:r>
              <w:rPr>
                <w:rFonts w:ascii="ARIAL" w:hAnsi="ARIAL"/>
                <w:b/>
                <w:sz w:val="16"/>
              </w:rPr>
              <w:t>Percent</w:t>
            </w:r>
          </w:p>
          <w:p>
            <w:pPr>
              <w:pStyle w:val="TableContents"/>
              <w:bidi w:val="0"/>
              <w:spacing w:before="0" w:after="0"/>
              <w:jc w:val="center"/>
              <w:rPr>
                <w:rFonts w:ascii="ARIAL" w:hAnsi="ARIAL"/>
                <w:b/>
                <w:sz w:val="16"/>
              </w:rPr>
            </w:pPr>
            <w:r>
              <w:rPr>
                <w:rFonts w:ascii="ARIAL" w:hAnsi="ARIAL"/>
                <w:b/>
                <w:sz w:val="16"/>
              </w:rPr>
              <w:t>of</w:t>
            </w:r>
          </w:p>
          <w:p>
            <w:pPr>
              <w:pStyle w:val="TableContents"/>
              <w:bidi w:val="0"/>
              <w:spacing w:before="0" w:after="20"/>
              <w:jc w:val="center"/>
              <w:rPr>
                <w:rFonts w:ascii="ARIAL" w:hAnsi="ARIAL"/>
                <w:b/>
                <w:sz w:val="16"/>
              </w:rPr>
            </w:pPr>
            <w:r>
              <w:rPr>
                <w:rFonts w:ascii="ARIAL" w:hAnsi="ARIAL"/>
                <w:b/>
                <w:sz w:val="16"/>
              </w:rPr>
              <w:t xml:space="preserve">Target </w:t>
              <w:br/>
              <w:t>(%)</w:t>
            </w:r>
          </w:p>
        </w:tc>
      </w:tr>
      <w:tr>
        <w:trPr/>
        <w:tc>
          <w:tcPr>
            <w:tcW w:w="149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r>
              <w:rPr/>
              <w:t>John Kao</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545" w:type="dxa"/>
            <w:tcBorders>
              <w:bottom w:val="single" w:sz="8" w:space="0" w:color="95B3D7"/>
            </w:tcBorders>
            <w:shd w:fill="DBE5F1" w:val="clear"/>
            <w:tcMar>
              <w:bottom w:w="28" w:type="dxa"/>
            </w:tcMar>
            <w:vAlign w:val="center"/>
          </w:tcPr>
          <w:p>
            <w:pPr>
              <w:pStyle w:val="TableContents"/>
              <w:bidi w:val="0"/>
              <w:spacing w:before="0" w:after="283"/>
              <w:jc w:val="center"/>
              <w:rPr/>
            </w:pPr>
            <w:r>
              <w:rPr/>
              <w:t>100</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995" w:type="dxa"/>
            <w:tcBorders>
              <w:bottom w:val="single" w:sz="8" w:space="0" w:color="95B3D7"/>
            </w:tcBorders>
            <w:shd w:fill="DBE5F1" w:val="clear"/>
            <w:tcMar>
              <w:bottom w:w="28" w:type="dxa"/>
            </w:tcMar>
            <w:vAlign w:val="center"/>
          </w:tcPr>
          <w:p>
            <w:pPr>
              <w:pStyle w:val="TableContents"/>
              <w:bidi w:val="0"/>
              <w:spacing w:before="0" w:after="283"/>
              <w:jc w:val="center"/>
              <w:rPr/>
            </w:pPr>
            <w:r>
              <w:rPr/>
              <w:t>786,539</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1340" w:type="dxa"/>
            <w:tcBorders>
              <w:bottom w:val="single" w:sz="8" w:space="0" w:color="95B3D7"/>
            </w:tcBorders>
            <w:shd w:fill="DBE5F1" w:val="clear"/>
            <w:tcMar>
              <w:bottom w:w="28" w:type="dxa"/>
            </w:tcMar>
            <w:vAlign w:val="center"/>
          </w:tcPr>
          <w:p>
            <w:pPr>
              <w:pStyle w:val="TableContents"/>
              <w:bidi w:val="0"/>
              <w:spacing w:before="0" w:after="283"/>
              <w:jc w:val="center"/>
              <w:rPr/>
            </w:pPr>
            <w:r>
              <w:rPr/>
              <w:t>134.4</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1340" w:type="dxa"/>
            <w:tcBorders>
              <w:bottom w:val="single" w:sz="8" w:space="0" w:color="95B3D7"/>
            </w:tcBorders>
            <w:shd w:fill="DBE5F1" w:val="clear"/>
            <w:tcMar>
              <w:bottom w:w="28" w:type="dxa"/>
            </w:tcMar>
            <w:vAlign w:val="center"/>
          </w:tcPr>
          <w:p>
            <w:pPr>
              <w:pStyle w:val="TableContents"/>
              <w:bidi w:val="0"/>
              <w:spacing w:before="0" w:after="283"/>
              <w:jc w:val="center"/>
              <w:rPr/>
            </w:pPr>
            <w:r>
              <w:rPr/>
              <w:t>n/a</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980" w:type="dxa"/>
            <w:tcBorders>
              <w:bottom w:val="single" w:sz="8" w:space="0" w:color="95B3D7"/>
            </w:tcBorders>
            <w:shd w:fill="DBE5F1" w:val="clear"/>
            <w:tcMar>
              <w:bottom w:w="28" w:type="dxa"/>
            </w:tcMar>
            <w:vAlign w:val="center"/>
          </w:tcPr>
          <w:p>
            <w:pPr>
              <w:pStyle w:val="TableContents"/>
              <w:bidi w:val="0"/>
              <w:spacing w:before="0" w:after="283"/>
              <w:jc w:val="center"/>
              <w:rPr/>
            </w:pPr>
            <w:r>
              <w:rPr/>
              <w:t>1,057,108</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635" w:type="dxa"/>
            <w:tcBorders>
              <w:bottom w:val="single" w:sz="8" w:space="0" w:color="95B3D7"/>
            </w:tcBorders>
            <w:shd w:fill="DBE5F1" w:val="clear"/>
            <w:tcMar>
              <w:bottom w:w="28" w:type="dxa"/>
            </w:tcMar>
            <w:vAlign w:val="center"/>
          </w:tcPr>
          <w:p>
            <w:pPr>
              <w:pStyle w:val="TableContents"/>
              <w:bidi w:val="0"/>
              <w:spacing w:before="0" w:after="283"/>
              <w:jc w:val="center"/>
              <w:rPr/>
            </w:pPr>
            <w:r>
              <w:rPr/>
              <w:t>134.4</w:t>
            </w:r>
          </w:p>
        </w:tc>
      </w:tr>
      <w:tr>
        <w:trPr/>
        <w:tc>
          <w:tcPr>
            <w:tcW w:w="1490" w:type="dxa"/>
            <w:tcBorders>
              <w:bottom w:val="single" w:sz="8" w:space="0" w:color="95B3D7"/>
            </w:tcBorders>
            <w:tcMar>
              <w:bottom w:w="28" w:type="dxa"/>
            </w:tcMar>
            <w:vAlign w:val="center"/>
          </w:tcPr>
          <w:p>
            <w:pPr>
              <w:pStyle w:val="TableContents"/>
              <w:bidi w:val="0"/>
              <w:spacing w:before="0" w:after="0"/>
              <w:jc w:val="left"/>
              <w:rPr/>
            </w:pPr>
            <w:r>
              <w:rPr/>
              <w:t> </w:t>
            </w:r>
            <w:r>
              <w:rPr>
                <w:rFonts w:ascii="ARIAL" w:hAnsi="ARIAL"/>
                <w:sz w:val="20"/>
              </w:rPr>
              <w:t>Thomas</w:t>
            </w:r>
          </w:p>
          <w:p>
            <w:pPr>
              <w:pStyle w:val="TableContents"/>
              <w:bidi w:val="0"/>
              <w:spacing w:before="0" w:after="20"/>
              <w:jc w:val="left"/>
              <w:rPr/>
            </w:pPr>
            <w:r>
              <w:rPr/>
              <w:t> </w:t>
            </w:r>
            <w:r>
              <w:rPr>
                <w:rFonts w:ascii="ARIAL" w:hAnsi="ARIAL"/>
                <w:sz w:val="20"/>
              </w:rPr>
              <w:t>Freeman(1)</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545" w:type="dxa"/>
            <w:tcBorders>
              <w:bottom w:val="single" w:sz="8" w:space="0" w:color="95B3D7"/>
            </w:tcBorders>
            <w:tcMar>
              <w:bottom w:w="28" w:type="dxa"/>
            </w:tcMar>
            <w:vAlign w:val="center"/>
          </w:tcPr>
          <w:p>
            <w:pPr>
              <w:pStyle w:val="TableContents"/>
              <w:bidi w:val="0"/>
              <w:spacing w:before="0" w:after="283"/>
              <w:jc w:val="center"/>
              <w:rPr/>
            </w:pPr>
            <w:r>
              <w:rPr/>
              <w:t>85</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995" w:type="dxa"/>
            <w:tcBorders>
              <w:bottom w:val="single" w:sz="8" w:space="0" w:color="95B3D7"/>
            </w:tcBorders>
            <w:tcMar>
              <w:bottom w:w="28" w:type="dxa"/>
            </w:tcMar>
            <w:vAlign w:val="center"/>
          </w:tcPr>
          <w:p>
            <w:pPr>
              <w:pStyle w:val="TableContents"/>
              <w:bidi w:val="0"/>
              <w:spacing w:before="0" w:after="283"/>
              <w:jc w:val="center"/>
              <w:rPr/>
            </w:pPr>
            <w:r>
              <w:rPr/>
              <w:t>462,269</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1340" w:type="dxa"/>
            <w:tcBorders>
              <w:bottom w:val="single" w:sz="8" w:space="0" w:color="95B3D7"/>
            </w:tcBorders>
            <w:tcMar>
              <w:bottom w:w="28" w:type="dxa"/>
            </w:tcMar>
            <w:vAlign w:val="center"/>
          </w:tcPr>
          <w:p>
            <w:pPr>
              <w:pStyle w:val="TableContents"/>
              <w:bidi w:val="0"/>
              <w:spacing w:before="0" w:after="283"/>
              <w:jc w:val="center"/>
              <w:rPr/>
            </w:pPr>
            <w:r>
              <w:rPr/>
              <w:t>134.4</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1340" w:type="dxa"/>
            <w:tcBorders>
              <w:bottom w:val="single" w:sz="8" w:space="0" w:color="95B3D7"/>
            </w:tcBorders>
            <w:tcMar>
              <w:bottom w:w="28" w:type="dxa"/>
            </w:tcMar>
            <w:vAlign w:val="center"/>
          </w:tcPr>
          <w:p>
            <w:pPr>
              <w:pStyle w:val="TableContents"/>
              <w:bidi w:val="0"/>
              <w:spacing w:before="0" w:after="283"/>
              <w:jc w:val="center"/>
              <w:rPr/>
            </w:pPr>
            <w:r>
              <w:rPr/>
              <w:t>200%</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980" w:type="dxa"/>
            <w:tcBorders>
              <w:bottom w:val="single" w:sz="8" w:space="0" w:color="95B3D7"/>
            </w:tcBorders>
            <w:tcMar>
              <w:bottom w:w="28" w:type="dxa"/>
            </w:tcMar>
            <w:vAlign w:val="center"/>
          </w:tcPr>
          <w:p>
            <w:pPr>
              <w:pStyle w:val="TableContents"/>
              <w:bidi w:val="0"/>
              <w:spacing w:before="0" w:after="283"/>
              <w:jc w:val="center"/>
              <w:rPr/>
            </w:pPr>
            <w:r>
              <w:rPr/>
              <w:t>697,102</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635" w:type="dxa"/>
            <w:tcBorders>
              <w:bottom w:val="single" w:sz="8" w:space="0" w:color="95B3D7"/>
            </w:tcBorders>
            <w:tcMar>
              <w:bottom w:w="28" w:type="dxa"/>
            </w:tcMar>
            <w:vAlign w:val="center"/>
          </w:tcPr>
          <w:p>
            <w:pPr>
              <w:pStyle w:val="TableContents"/>
              <w:bidi w:val="0"/>
              <w:spacing w:before="0" w:after="283"/>
              <w:jc w:val="center"/>
              <w:rPr/>
            </w:pPr>
            <w:r>
              <w:rPr/>
              <w:t>150.8</w:t>
            </w:r>
          </w:p>
        </w:tc>
      </w:tr>
      <w:tr>
        <w:trPr/>
        <w:tc>
          <w:tcPr>
            <w:tcW w:w="1490" w:type="dxa"/>
            <w:tcBorders>
              <w:bottom w:val="single" w:sz="8" w:space="0" w:color="95B3D7"/>
            </w:tcBorders>
            <w:shd w:fill="DBE5F1" w:val="clear"/>
            <w:tcMar>
              <w:bottom w:w="28" w:type="dxa"/>
            </w:tcMar>
            <w:vAlign w:val="center"/>
          </w:tcPr>
          <w:p>
            <w:pPr>
              <w:pStyle w:val="TableContents"/>
              <w:bidi w:val="0"/>
              <w:spacing w:before="0" w:after="0"/>
              <w:jc w:val="left"/>
              <w:rPr/>
            </w:pPr>
            <w:r>
              <w:rPr/>
              <w:t> </w:t>
            </w:r>
            <w:r>
              <w:rPr>
                <w:rFonts w:ascii="ARIAL" w:hAnsi="ARIAL"/>
                <w:sz w:val="20"/>
              </w:rPr>
              <w:t>Dawn</w:t>
            </w:r>
          </w:p>
          <w:p>
            <w:pPr>
              <w:pStyle w:val="TableContents"/>
              <w:bidi w:val="0"/>
              <w:spacing w:before="0" w:after="20"/>
              <w:jc w:val="left"/>
              <w:rPr/>
            </w:pPr>
            <w:r>
              <w:rPr/>
              <w:t> </w:t>
            </w:r>
            <w:r>
              <w:rPr>
                <w:rFonts w:ascii="ARIAL" w:hAnsi="ARIAL"/>
                <w:sz w:val="20"/>
              </w:rPr>
              <w:t>Maroney(1)</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545" w:type="dxa"/>
            <w:tcBorders>
              <w:bottom w:val="single" w:sz="8" w:space="0" w:color="95B3D7"/>
            </w:tcBorders>
            <w:shd w:fill="DBE5F1" w:val="clear"/>
            <w:tcMar>
              <w:bottom w:w="28" w:type="dxa"/>
            </w:tcMar>
            <w:vAlign w:val="center"/>
          </w:tcPr>
          <w:p>
            <w:pPr>
              <w:pStyle w:val="TableContents"/>
              <w:bidi w:val="0"/>
              <w:spacing w:before="0" w:after="283"/>
              <w:jc w:val="center"/>
              <w:rPr/>
            </w:pPr>
            <w:r>
              <w:rPr/>
              <w:t>85</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995" w:type="dxa"/>
            <w:tcBorders>
              <w:bottom w:val="single" w:sz="8" w:space="0" w:color="95B3D7"/>
            </w:tcBorders>
            <w:shd w:fill="DBE5F1" w:val="clear"/>
            <w:tcMar>
              <w:bottom w:w="28" w:type="dxa"/>
            </w:tcMar>
            <w:vAlign w:val="center"/>
          </w:tcPr>
          <w:p>
            <w:pPr>
              <w:pStyle w:val="TableContents"/>
              <w:bidi w:val="0"/>
              <w:spacing w:before="0" w:after="283"/>
              <w:jc w:val="center"/>
              <w:rPr/>
            </w:pPr>
            <w:r>
              <w:rPr/>
              <w:t>$476,000</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1340" w:type="dxa"/>
            <w:tcBorders>
              <w:bottom w:val="single" w:sz="8" w:space="0" w:color="95B3D7"/>
            </w:tcBorders>
            <w:shd w:fill="DBE5F1" w:val="clear"/>
            <w:tcMar>
              <w:bottom w:w="28" w:type="dxa"/>
            </w:tcMar>
            <w:vAlign w:val="center"/>
          </w:tcPr>
          <w:p>
            <w:pPr>
              <w:pStyle w:val="TableContents"/>
              <w:bidi w:val="0"/>
              <w:spacing w:before="0" w:after="283"/>
              <w:jc w:val="center"/>
              <w:rPr/>
            </w:pPr>
            <w:r>
              <w:rPr/>
              <w:t>134.4</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1340" w:type="dxa"/>
            <w:tcBorders>
              <w:bottom w:val="single" w:sz="8" w:space="0" w:color="95B3D7"/>
            </w:tcBorders>
            <w:shd w:fill="DBE5F1" w:val="clear"/>
            <w:tcMar>
              <w:bottom w:w="28" w:type="dxa"/>
            </w:tcMar>
            <w:vAlign w:val="center"/>
          </w:tcPr>
          <w:p>
            <w:pPr>
              <w:pStyle w:val="TableContents"/>
              <w:bidi w:val="0"/>
              <w:spacing w:before="0" w:after="283"/>
              <w:jc w:val="center"/>
              <w:rPr/>
            </w:pPr>
            <w:r>
              <w:rPr/>
              <w:t>200%</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980" w:type="dxa"/>
            <w:tcBorders>
              <w:bottom w:val="single" w:sz="8" w:space="0" w:color="95B3D7"/>
            </w:tcBorders>
            <w:shd w:fill="DBE5F1" w:val="clear"/>
            <w:tcMar>
              <w:bottom w:w="28" w:type="dxa"/>
            </w:tcMar>
            <w:vAlign w:val="center"/>
          </w:tcPr>
          <w:p>
            <w:pPr>
              <w:pStyle w:val="TableContents"/>
              <w:bidi w:val="0"/>
              <w:spacing w:before="0" w:after="283"/>
              <w:jc w:val="center"/>
              <w:rPr/>
            </w:pPr>
            <w:r>
              <w:rPr/>
              <w:t>717,809</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635" w:type="dxa"/>
            <w:tcBorders>
              <w:bottom w:val="single" w:sz="8" w:space="0" w:color="95B3D7"/>
            </w:tcBorders>
            <w:shd w:fill="DBE5F1" w:val="clear"/>
            <w:tcMar>
              <w:bottom w:w="28" w:type="dxa"/>
            </w:tcMar>
            <w:vAlign w:val="center"/>
          </w:tcPr>
          <w:p>
            <w:pPr>
              <w:pStyle w:val="TableContents"/>
              <w:bidi w:val="0"/>
              <w:spacing w:before="0" w:after="283"/>
              <w:jc w:val="center"/>
              <w:rPr/>
            </w:pPr>
            <w:r>
              <w:rPr/>
              <w:t>150.8</w:t>
            </w:r>
          </w:p>
        </w:tc>
      </w:tr>
      <w:tr>
        <w:trPr/>
        <w:tc>
          <w:tcPr>
            <w:tcW w:w="1490" w:type="dxa"/>
            <w:tcBorders>
              <w:bottom w:val="single" w:sz="8" w:space="0" w:color="95B3D7"/>
            </w:tcBorders>
            <w:tcMar>
              <w:bottom w:w="28" w:type="dxa"/>
            </w:tcMar>
            <w:vAlign w:val="center"/>
          </w:tcPr>
          <w:p>
            <w:pPr>
              <w:pStyle w:val="TableContents"/>
              <w:bidi w:val="0"/>
              <w:spacing w:before="0" w:after="0"/>
              <w:jc w:val="left"/>
              <w:rPr/>
            </w:pPr>
            <w:r>
              <w:rPr/>
              <w:t> </w:t>
            </w:r>
            <w:r>
              <w:rPr>
                <w:rFonts w:ascii="ARIAL" w:hAnsi="ARIAL"/>
                <w:sz w:val="20"/>
              </w:rPr>
              <w:t>Hakan</w:t>
            </w:r>
          </w:p>
          <w:p>
            <w:pPr>
              <w:pStyle w:val="TableContents"/>
              <w:bidi w:val="0"/>
              <w:spacing w:before="0" w:after="20"/>
              <w:jc w:val="left"/>
              <w:rPr/>
            </w:pPr>
            <w:r>
              <w:rPr/>
              <w:t> </w:t>
            </w:r>
            <w:r>
              <w:rPr>
                <w:rFonts w:ascii="ARIAL" w:hAnsi="ARIAL"/>
                <w:sz w:val="20"/>
              </w:rPr>
              <w:t>Kardes(1)</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545" w:type="dxa"/>
            <w:tcBorders>
              <w:bottom w:val="single" w:sz="8" w:space="0" w:color="95B3D7"/>
            </w:tcBorders>
            <w:tcMar>
              <w:bottom w:w="28" w:type="dxa"/>
            </w:tcMar>
            <w:vAlign w:val="center"/>
          </w:tcPr>
          <w:p>
            <w:pPr>
              <w:pStyle w:val="TableContents"/>
              <w:bidi w:val="0"/>
              <w:spacing w:before="0" w:after="283"/>
              <w:jc w:val="center"/>
              <w:rPr/>
            </w:pPr>
            <w:r>
              <w:rPr/>
              <w:t>85</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995" w:type="dxa"/>
            <w:tcBorders>
              <w:bottom w:val="single" w:sz="8" w:space="0" w:color="95B3D7"/>
            </w:tcBorders>
            <w:tcMar>
              <w:bottom w:w="28" w:type="dxa"/>
            </w:tcMar>
            <w:vAlign w:val="center"/>
          </w:tcPr>
          <w:p>
            <w:pPr>
              <w:pStyle w:val="TableContents"/>
              <w:bidi w:val="0"/>
              <w:spacing w:before="0" w:after="283"/>
              <w:jc w:val="center"/>
              <w:rPr/>
            </w:pPr>
            <w:r>
              <w:rPr/>
              <w:t>$361,250</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1340" w:type="dxa"/>
            <w:tcBorders>
              <w:bottom w:val="single" w:sz="8" w:space="0" w:color="95B3D7"/>
            </w:tcBorders>
            <w:tcMar>
              <w:bottom w:w="28" w:type="dxa"/>
            </w:tcMar>
            <w:vAlign w:val="center"/>
          </w:tcPr>
          <w:p>
            <w:pPr>
              <w:pStyle w:val="TableContents"/>
              <w:bidi w:val="0"/>
              <w:spacing w:before="0" w:after="283"/>
              <w:jc w:val="center"/>
              <w:rPr/>
            </w:pPr>
            <w:r>
              <w:rPr/>
              <w:t>134.4</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1340" w:type="dxa"/>
            <w:tcBorders>
              <w:bottom w:val="single" w:sz="8" w:space="0" w:color="95B3D7"/>
            </w:tcBorders>
            <w:tcMar>
              <w:bottom w:w="28" w:type="dxa"/>
            </w:tcMar>
            <w:vAlign w:val="center"/>
          </w:tcPr>
          <w:p>
            <w:pPr>
              <w:pStyle w:val="TableContents"/>
              <w:bidi w:val="0"/>
              <w:spacing w:before="0" w:after="283"/>
              <w:jc w:val="center"/>
              <w:rPr/>
            </w:pPr>
            <w:r>
              <w:rPr/>
              <w:t>150%</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980" w:type="dxa"/>
            <w:tcBorders>
              <w:bottom w:val="single" w:sz="8" w:space="0" w:color="95B3D7"/>
            </w:tcBorders>
            <w:tcMar>
              <w:bottom w:w="28" w:type="dxa"/>
            </w:tcMar>
            <w:vAlign w:val="center"/>
          </w:tcPr>
          <w:p>
            <w:pPr>
              <w:pStyle w:val="TableContents"/>
              <w:bidi w:val="0"/>
              <w:spacing w:before="0" w:after="283"/>
              <w:jc w:val="center"/>
              <w:rPr/>
            </w:pPr>
            <w:r>
              <w:rPr/>
              <w:t>434,913</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635" w:type="dxa"/>
            <w:tcBorders>
              <w:bottom w:val="single" w:sz="8" w:space="0" w:color="95B3D7"/>
            </w:tcBorders>
            <w:tcMar>
              <w:bottom w:w="28" w:type="dxa"/>
            </w:tcMar>
            <w:vAlign w:val="center"/>
          </w:tcPr>
          <w:p>
            <w:pPr>
              <w:pStyle w:val="TableContents"/>
              <w:bidi w:val="0"/>
              <w:spacing w:before="0" w:after="283"/>
              <w:jc w:val="center"/>
              <w:rPr/>
            </w:pPr>
            <w:r>
              <w:rPr/>
              <w:t>120.4</w:t>
            </w:r>
          </w:p>
        </w:tc>
      </w:tr>
      <w:tr>
        <w:trPr/>
        <w:tc>
          <w:tcPr>
            <w:tcW w:w="1490" w:type="dxa"/>
            <w:tcBorders>
              <w:bottom w:val="single" w:sz="8" w:space="0" w:color="95B3D7"/>
            </w:tcBorders>
            <w:shd w:fill="DBE5F1" w:val="clear"/>
            <w:tcMar>
              <w:bottom w:w="28" w:type="dxa"/>
            </w:tcMar>
            <w:vAlign w:val="center"/>
          </w:tcPr>
          <w:p>
            <w:pPr>
              <w:pStyle w:val="TableContents"/>
              <w:bidi w:val="0"/>
              <w:spacing w:before="0" w:after="0"/>
              <w:jc w:val="left"/>
              <w:rPr/>
            </w:pPr>
            <w:r>
              <w:rPr/>
              <w:t> </w:t>
            </w:r>
            <w:r>
              <w:rPr>
                <w:rFonts w:ascii="ARIAL" w:hAnsi="ARIAL"/>
                <w:sz w:val="20"/>
              </w:rPr>
              <w:t>Hyong (Ken)</w:t>
            </w:r>
          </w:p>
          <w:p>
            <w:pPr>
              <w:pStyle w:val="TableContents"/>
              <w:bidi w:val="0"/>
              <w:spacing w:before="0" w:after="20"/>
              <w:jc w:val="left"/>
              <w:rPr/>
            </w:pPr>
            <w:r>
              <w:rPr/>
              <w:t> </w:t>
            </w:r>
            <w:r>
              <w:rPr>
                <w:rFonts w:ascii="ARIAL" w:hAnsi="ARIAL"/>
                <w:sz w:val="20"/>
              </w:rPr>
              <w:t>Kim, M.D.(1)(2)</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545" w:type="dxa"/>
            <w:tcBorders>
              <w:bottom w:val="single" w:sz="8" w:space="0" w:color="95B3D7"/>
            </w:tcBorders>
            <w:shd w:fill="DBE5F1" w:val="clear"/>
            <w:tcMar>
              <w:bottom w:w="28" w:type="dxa"/>
            </w:tcMar>
            <w:vAlign w:val="center"/>
          </w:tcPr>
          <w:p>
            <w:pPr>
              <w:pStyle w:val="TableContents"/>
              <w:bidi w:val="0"/>
              <w:spacing w:before="0" w:after="283"/>
              <w:jc w:val="center"/>
              <w:rPr/>
            </w:pPr>
            <w:r>
              <w:rPr/>
              <w:t>85</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995" w:type="dxa"/>
            <w:tcBorders>
              <w:bottom w:val="single" w:sz="8" w:space="0" w:color="95B3D7"/>
            </w:tcBorders>
            <w:shd w:fill="DBE5F1" w:val="clear"/>
            <w:tcMar>
              <w:bottom w:w="28" w:type="dxa"/>
            </w:tcMar>
            <w:vAlign w:val="center"/>
          </w:tcPr>
          <w:p>
            <w:pPr>
              <w:pStyle w:val="TableContents"/>
              <w:bidi w:val="0"/>
              <w:spacing w:before="0" w:after="283"/>
              <w:jc w:val="center"/>
              <w:rPr/>
            </w:pPr>
            <w:r>
              <w:rPr/>
              <w:t>119,000</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1340" w:type="dxa"/>
            <w:tcBorders>
              <w:bottom w:val="single" w:sz="8" w:space="0" w:color="95B3D7"/>
            </w:tcBorders>
            <w:shd w:fill="DBE5F1" w:val="clear"/>
            <w:tcMar>
              <w:bottom w:w="28" w:type="dxa"/>
            </w:tcMar>
            <w:vAlign w:val="center"/>
          </w:tcPr>
          <w:p>
            <w:pPr>
              <w:pStyle w:val="TableContents"/>
              <w:bidi w:val="0"/>
              <w:spacing w:before="0" w:after="283"/>
              <w:jc w:val="center"/>
              <w:rPr/>
            </w:pPr>
            <w:r>
              <w:rPr/>
              <w:t>134.4</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1340" w:type="dxa"/>
            <w:tcBorders>
              <w:bottom w:val="single" w:sz="8" w:space="0" w:color="95B3D7"/>
            </w:tcBorders>
            <w:shd w:fill="DBE5F1" w:val="clear"/>
            <w:tcMar>
              <w:bottom w:w="28" w:type="dxa"/>
            </w:tcMar>
            <w:vAlign w:val="center"/>
          </w:tcPr>
          <w:p>
            <w:pPr>
              <w:pStyle w:val="TableContents"/>
              <w:bidi w:val="0"/>
              <w:spacing w:before="0" w:after="283"/>
              <w:jc w:val="center"/>
              <w:rPr/>
            </w:pPr>
            <w:r>
              <w:rPr/>
              <w:t>100%</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980" w:type="dxa"/>
            <w:tcBorders>
              <w:bottom w:val="single" w:sz="8" w:space="0" w:color="95B3D7"/>
            </w:tcBorders>
            <w:shd w:fill="DBE5F1" w:val="clear"/>
            <w:tcMar>
              <w:bottom w:w="28" w:type="dxa"/>
            </w:tcMar>
            <w:vAlign w:val="center"/>
          </w:tcPr>
          <w:p>
            <w:pPr>
              <w:pStyle w:val="TableContents"/>
              <w:bidi w:val="0"/>
              <w:spacing w:before="0" w:after="283"/>
              <w:jc w:val="center"/>
              <w:rPr/>
            </w:pPr>
            <w:r>
              <w:rPr/>
              <w:t>149,702</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635" w:type="dxa"/>
            <w:tcBorders>
              <w:bottom w:val="single" w:sz="8" w:space="0" w:color="95B3D7"/>
            </w:tcBorders>
            <w:shd w:fill="DBE5F1" w:val="clear"/>
            <w:tcMar>
              <w:bottom w:w="28" w:type="dxa"/>
            </w:tcMar>
            <w:vAlign w:val="center"/>
          </w:tcPr>
          <w:p>
            <w:pPr>
              <w:pStyle w:val="TableContents"/>
              <w:bidi w:val="0"/>
              <w:spacing w:before="0" w:after="283"/>
              <w:jc w:val="center"/>
              <w:rPr/>
            </w:pPr>
            <w:r>
              <w:rPr/>
              <w:t>125.8</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(1)</w:t>
            </w:r>
          </w:p>
        </w:tc>
        <w:tc>
          <w:tcPr>
            <w:tcW w:w="9900" w:type="dxa"/>
            <w:tcBorders/>
            <w:vAlign w:val="center"/>
          </w:tcPr>
          <w:p>
            <w:pPr>
              <w:pStyle w:val="TableContents"/>
              <w:bidi w:val="0"/>
              <w:spacing w:before="0" w:after="0"/>
              <w:jc w:val="both"/>
              <w:rPr>
                <w:rFonts w:ascii="ARIAL" w:hAnsi="ARIAL"/>
                <w:sz w:val="16"/>
              </w:rPr>
            </w:pPr>
            <w:r>
              <w:rPr>
                <w:rFonts w:ascii="ARIAL" w:hAnsi="ARIAL"/>
                <w:sz w:val="16"/>
              </w:rPr>
              <w:t>Represents potential payout based on achievement of corporate objectives established at 134.4% and individual objectives as shown in the table. Actual payout in March 2024 was 75% of these amounts, with the remaining 25% held back and potentially payable in the fourth quarter of 2024, subject to the modifier based on the Company’s CMS Star Ratings. See “—</w:t>
            </w:r>
            <w:r>
              <w:rPr>
                <w:rFonts w:ascii="ARIAL" w:hAnsi="ARIAL"/>
                <w:i/>
                <w:sz w:val="16"/>
              </w:rPr>
              <w:t>2023 Annual Incentive Plan Payouts—Adjustment for CMS Star Ratings</w:t>
            </w:r>
            <w:r>
              <w:rPr>
                <w:rFonts w:ascii="ARIAL" w:hAnsi="ARIAL"/>
                <w:sz w:val="16"/>
              </w:rPr>
              <w:t>” below. Does not include additional discretionary bonus amounts awarded for 2023. See “</w:t>
            </w:r>
            <w:r>
              <w:rPr>
                <w:rFonts w:ascii="ARIAL" w:hAnsi="ARIAL"/>
                <w:i/>
                <w:sz w:val="16"/>
              </w:rPr>
              <w:t>Executive and Director Compensation—Summary Compensation Table</w:t>
            </w:r>
            <w:r>
              <w:rPr>
                <w:rFonts w:ascii="ARIAL" w:hAnsi="ARIAL"/>
                <w:sz w:val="16"/>
              </w:rPr>
              <w:t xml:space="preserve">.” </w:t>
            </w:r>
          </w:p>
        </w:tc>
      </w:tr>
    </w:tbl>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75"/>
        <w:gridCol w:w="290"/>
        <w:gridCol w:w="692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(2)</w:t>
            </w:r>
          </w:p>
        </w:tc>
        <w:tc>
          <w:tcPr>
            <w:tcW w:w="6920" w:type="dxa"/>
            <w:tcBorders/>
            <w:vAlign w:val="center"/>
          </w:tcPr>
          <w:p>
            <w:pPr>
              <w:pStyle w:val="TableContents"/>
              <w:bidi w:val="0"/>
              <w:spacing w:before="0" w:after="0"/>
              <w:jc w:val="both"/>
              <w:rPr>
                <w:rFonts w:ascii="ARIAL" w:hAnsi="ARIAL"/>
                <w:sz w:val="16"/>
              </w:rPr>
            </w:pPr>
            <w:r>
              <w:rPr>
                <w:rFonts w:ascii="ARIAL" w:hAnsi="ARIAL"/>
                <w:sz w:val="16"/>
              </w:rPr>
              <w:t xml:space="preserve">Mr. Kim’s payout is pro-rated to reflect his hire date with the Company on September 25, 2023. </w:t>
            </w:r>
          </w:p>
        </w:tc>
      </w:tr>
    </w:tbl>
    <w:p>
      <w:pPr>
        <w:pStyle w:val="TextBody"/>
        <w:bidi w:val="0"/>
        <w:spacing w:before="240" w:after="0"/>
        <w:jc w:val="both"/>
        <w:rPr>
          <w:rFonts w:ascii="ARIAL" w:hAnsi="ARIAL"/>
          <w:sz w:val="20"/>
        </w:rPr>
      </w:pPr>
      <w:r>
        <w:rPr>
          <w:rFonts w:ascii="ARIAL" w:hAnsi="ARIAL"/>
          <w:i/>
          <w:sz w:val="20"/>
        </w:rPr>
        <w:t>Adjustment for CMS Star Ratings.</w:t>
      </w:r>
      <w:r>
        <w:rPr>
          <w:rFonts w:ascii="ARIAL" w:hAnsi="ARIAL"/>
          <w:sz w:val="20"/>
        </w:rPr>
        <w:t xml:space="preserve"> As described above, 25% of each NEOs total 2023 Annual Incentive Plan payout based on corporate and individual performance will not be paid until the fourth quarter of 2024. The amount of the holdback that is paid to each NEO is subject to an adjustment based on the CMS Star Rating achieved by the Company’s Medicare Advantage plans. Each rated health plan has an “Overall” quality rating of 1 to 5 stars (5 is highest), which accounts for member experience, medical care, and health plan administration. </w:t>
      </w:r>
    </w:p>
    <w:p>
      <w:pPr>
        <w:pStyle w:val="TextBody"/>
        <w:bidi w:val="0"/>
        <w:spacing w:before="360" w:after="0"/>
        <w:jc w:val="left"/>
        <w:rPr>
          <w:rFonts w:ascii="ARIAL" w:hAnsi="ARIAL"/>
          <w:sz w:val="20"/>
        </w:rPr>
      </w:pPr>
      <w:r>
        <w:rPr>
          <w:rFonts w:ascii="ARIAL" w:hAnsi="ARIAL"/>
          <w:sz w:val="20"/>
        </w:rPr>
        <w:t xml:space="preserve">A plan’s overall rating is based on three general categories: </w:t>
      </w:r>
    </w:p>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75"/>
        <w:gridCol w:w="110"/>
        <w:gridCol w:w="60"/>
        <w:gridCol w:w="6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0"/>
              <w:jc w:val="left"/>
              <w:rPr>
                <w:rFonts w:ascii="ARIAL" w:hAnsi="ARIAL"/>
                <w:sz w:val="20"/>
              </w:rPr>
            </w:pPr>
            <w:r>
              <w:rPr>
                <w:rFonts w:ascii="ARIAL" w:hAnsi="ARIAL"/>
                <w:i/>
                <w:sz w:val="20"/>
              </w:rPr>
              <w:t>Member experience</w:t>
            </w:r>
            <w:r>
              <w:rPr>
                <w:rFonts w:ascii="ARIAL" w:hAnsi="ARIAL"/>
                <w:sz w:val="20"/>
              </w:rPr>
              <w:t xml:space="preserve">: Based on surveys of member satisfaction including: </w:t>
            </w:r>
          </w:p>
        </w:tc>
      </w:tr>
    </w:tbl>
    <w:p>
      <w:pPr>
        <w:pStyle w:val="TextBody"/>
        <w:bidi w:val="0"/>
        <w:spacing w:before="120" w:after="0"/>
        <w:jc w:val="left"/>
        <w:rPr>
          <w:rFonts w:ascii="ARIAL" w:hAnsi="ARIAL"/>
          <w:sz w:val="20"/>
        </w:rPr>
      </w:pPr>
      <w:r>
        <w:rPr>
          <w:rFonts w:ascii="ARIAL" w:hAnsi="ARIAL"/>
          <w:sz w:val="20"/>
        </w:rPr>
        <w:t xml:space="preserve">o  Their health care and doctors </w:t>
      </w:r>
    </w:p>
    <w:p>
      <w:pPr>
        <w:pStyle w:val="TextBody"/>
        <w:bidi w:val="0"/>
        <w:spacing w:before="120" w:after="0"/>
        <w:jc w:val="left"/>
        <w:rPr>
          <w:rFonts w:ascii="ARIAL" w:hAnsi="ARIAL"/>
          <w:sz w:val="20"/>
        </w:rPr>
      </w:pPr>
      <w:r>
        <w:rPr>
          <w:rFonts w:ascii="ARIAL" w:hAnsi="ARIAL"/>
          <w:sz w:val="20"/>
        </w:rPr>
        <w:t xml:space="preserve">o  Ease of getting appointments and services </w:t>
      </w:r>
    </w:p>
    <w:p>
      <w:pPr>
        <w:pStyle w:val="TextBody"/>
        <w:bidi w:val="0"/>
        <w:spacing w:before="0" w:after="0"/>
        <w:jc w:val="left"/>
        <w:rPr/>
      </w:pPr>
      <w:r>
        <w:rPr/>
        <w:t> </w:t>
      </w:r>
    </w:p>
    <w:tbl>
      <w:tblPr>
        <w:tblW w:w="9160" w:type="dxa"/>
        <w:jc w:val="left"/>
        <w:tblInd w:w="0" w:type="dxa"/>
        <w:tblLayout w:type="fixed"/>
        <w:tblCellMar>
          <w:top w:w="0" w:type="dxa"/>
          <w:left w:w="0" w:type="dxa"/>
          <w:bottom w:w="0" w:type="dxa"/>
          <w:right w:w="0" w:type="dxa"/>
        </w:tblCellMar>
      </w:tblPr>
      <w:tblGrid>
        <w:gridCol w:w="75"/>
        <w:gridCol w:w="110"/>
        <w:gridCol w:w="60"/>
        <w:gridCol w:w="8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rFonts w:ascii="ARIAL" w:hAnsi="ARIAL"/>
                <w:sz w:val="20"/>
              </w:rPr>
            </w:pPr>
            <w:r>
              <w:rPr>
                <w:rFonts w:ascii="ARIAL" w:hAnsi="ARIAL"/>
                <w:i/>
                <w:sz w:val="20"/>
              </w:rPr>
              <w:t>Medical care</w:t>
            </w:r>
            <w:r>
              <w:rPr>
                <w:rFonts w:ascii="ARIAL" w:hAnsi="ARIAL"/>
                <w:sz w:val="20"/>
              </w:rPr>
              <w:t xml:space="preserve">: Based on how well the plan’s network providers manage member health care, including: </w:t>
            </w:r>
          </w:p>
        </w:tc>
      </w:tr>
    </w:tbl>
    <w:p>
      <w:pPr>
        <w:pStyle w:val="TextBody"/>
        <w:bidi w:val="0"/>
        <w:spacing w:before="120" w:after="0"/>
        <w:jc w:val="left"/>
        <w:rPr>
          <w:rFonts w:ascii="ARIAL" w:hAnsi="ARIAL"/>
          <w:sz w:val="20"/>
        </w:rPr>
      </w:pPr>
      <w:r>
        <w:rPr>
          <w:rFonts w:ascii="ARIAL" w:hAnsi="ARIAL"/>
          <w:sz w:val="20"/>
        </w:rPr>
        <w:t xml:space="preserve">o  Providing regular screenings, vaccines, and other basic health services </w:t>
      </w:r>
    </w:p>
    <w:p>
      <w:pPr>
        <w:pStyle w:val="TextBody"/>
        <w:bidi w:val="0"/>
        <w:spacing w:before="120" w:after="0"/>
        <w:jc w:val="left"/>
        <w:rPr>
          <w:rFonts w:ascii="ARIAL" w:hAnsi="ARIAL"/>
          <w:sz w:val="20"/>
        </w:rPr>
      </w:pPr>
      <w:r>
        <w:rPr>
          <w:rFonts w:ascii="ARIAL" w:hAnsi="ARIAL"/>
          <w:sz w:val="20"/>
        </w:rPr>
        <w:t xml:space="preserve">o  Monitoring some conditions </w:t>
      </w:r>
    </w:p>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75"/>
        <w:gridCol w:w="110"/>
        <w:gridCol w:w="60"/>
        <w:gridCol w:w="5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0"/>
              <w:jc w:val="left"/>
              <w:rPr>
                <w:rFonts w:ascii="ARIAL" w:hAnsi="ARIAL"/>
                <w:sz w:val="20"/>
              </w:rPr>
            </w:pPr>
            <w:r>
              <w:rPr>
                <w:rFonts w:ascii="ARIAL" w:hAnsi="ARIAL"/>
                <w:i/>
                <w:sz w:val="20"/>
              </w:rPr>
              <w:t>Plan administration</w:t>
            </w:r>
            <w:r>
              <w:rPr>
                <w:rFonts w:ascii="ARIAL" w:hAnsi="ARIAL"/>
                <w:sz w:val="20"/>
              </w:rPr>
              <w:t xml:space="preserve">: Based on how well the plan is run, including: </w:t>
            </w:r>
          </w:p>
        </w:tc>
      </w:tr>
    </w:tbl>
    <w:p>
      <w:pPr>
        <w:pStyle w:val="TextBody"/>
        <w:bidi w:val="0"/>
        <w:spacing w:before="120" w:after="0"/>
        <w:jc w:val="left"/>
        <w:rPr>
          <w:rFonts w:ascii="ARIAL" w:hAnsi="ARIAL"/>
          <w:sz w:val="20"/>
        </w:rPr>
      </w:pPr>
      <w:r>
        <w:rPr>
          <w:rFonts w:ascii="ARIAL" w:hAnsi="ARIAL"/>
          <w:sz w:val="20"/>
        </w:rPr>
        <w:t xml:space="preserve">o  Customer service </w:t>
      </w:r>
    </w:p>
    <w:p>
      <w:pPr>
        <w:pStyle w:val="TextBody"/>
        <w:bidi w:val="0"/>
        <w:spacing w:before="120" w:after="0"/>
        <w:jc w:val="left"/>
        <w:rPr>
          <w:rFonts w:ascii="ARIAL" w:hAnsi="ARIAL"/>
          <w:sz w:val="20"/>
        </w:rPr>
      </w:pPr>
      <w:r>
        <w:rPr>
          <w:rFonts w:ascii="ARIAL" w:hAnsi="ARIAL"/>
          <w:sz w:val="20"/>
        </w:rPr>
        <w:t xml:space="preserve">o  Access to needed information </w:t>
      </w:r>
    </w:p>
    <w:p>
      <w:pPr>
        <w:pStyle w:val="TextBody"/>
        <w:bidi w:val="0"/>
        <w:spacing w:before="120" w:after="0"/>
        <w:jc w:val="left"/>
        <w:rPr>
          <w:rFonts w:ascii="ARIAL" w:hAnsi="ARIAL"/>
          <w:sz w:val="20"/>
        </w:rPr>
      </w:pPr>
      <w:r>
        <w:rPr>
          <w:rFonts w:ascii="ARIAL" w:hAnsi="ARIAL"/>
          <w:sz w:val="20"/>
        </w:rPr>
        <w:t xml:space="preserve">o  Network providers ordering appropriate tests and treatment </w:t>
      </w:r>
    </w:p>
    <w:p>
      <w:pPr>
        <w:pStyle w:val="TextBody"/>
        <w:bidi w:val="0"/>
        <w:spacing w:before="120" w:after="0"/>
        <w:jc w:val="left"/>
        <w:rPr>
          <w:rFonts w:ascii="ARIAL" w:hAnsi="ARIAL"/>
          <w:sz w:val="20"/>
        </w:rPr>
      </w:pPr>
      <w:r>
        <w:rPr>
          <w:rFonts w:ascii="ARIAL" w:hAnsi="ARIAL"/>
          <w:sz w:val="20"/>
        </w:rPr>
        <w:t xml:space="preserve">All health plan ratings are calculated the same way, using the same information sources.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50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When the prior fiscal year’s results are available in the fourth quarter of 2024, the NEO’s final payouts will be adjusted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ARIAL" w:hAnsi="ARIAL"/>
                <w:sz w:val="20"/>
              </w:rPr>
            </w:pPr>
            <w:r>
              <w:rPr>
                <w:rFonts w:ascii="ARIAL" w:hAnsi="ARIAL"/>
                <w:sz w:val="20"/>
              </w:rPr>
              <w:t xml:space="preserve">3.5 stars or lower will result in a 25% decrease in each NEO’s aggregate bonus (i.e., no payment of the 25% holdback will occur); </w:t>
            </w:r>
          </w:p>
        </w:tc>
      </w:tr>
    </w:tbl>
    <w:p>
      <w:pPr>
        <w:pStyle w:val="TextBody"/>
        <w:bidi w:val="0"/>
        <w:spacing w:before="0" w:after="0"/>
        <w:jc w:val="left"/>
        <w:rPr/>
      </w:pPr>
      <w:r>
        <w:rPr/>
        <w:t> </w:t>
      </w:r>
    </w:p>
    <w:tbl>
      <w:tblPr>
        <w:tblW w:w="6490" w:type="dxa"/>
        <w:jc w:val="left"/>
        <w:tblInd w:w="0" w:type="dxa"/>
        <w:tblLayout w:type="fixed"/>
        <w:tblCellMar>
          <w:top w:w="0" w:type="dxa"/>
          <w:left w:w="0" w:type="dxa"/>
          <w:bottom w:w="0" w:type="dxa"/>
          <w:right w:w="0" w:type="dxa"/>
        </w:tblCellMar>
      </w:tblPr>
      <w:tblGrid>
        <w:gridCol w:w="75"/>
        <w:gridCol w:w="170"/>
        <w:gridCol w:w="60"/>
        <w:gridCol w:w="61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85" w:type="dxa"/>
            <w:tcBorders/>
            <w:vAlign w:val="center"/>
          </w:tcPr>
          <w:p>
            <w:pPr>
              <w:pStyle w:val="TableContents"/>
              <w:bidi w:val="0"/>
              <w:spacing w:before="0" w:after="0"/>
              <w:jc w:val="both"/>
              <w:rPr>
                <w:rFonts w:ascii="ARIAL" w:hAnsi="ARIAL"/>
                <w:sz w:val="20"/>
              </w:rPr>
            </w:pPr>
            <w:r>
              <w:rPr>
                <w:rFonts w:ascii="ARIAL" w:hAnsi="ARIAL"/>
                <w:sz w:val="20"/>
              </w:rPr>
              <w:t xml:space="preserve">4.0 stars will result in a 5% decrease in each NEO’s aggregate bonus; </w:t>
            </w:r>
          </w:p>
        </w:tc>
      </w:tr>
    </w:tbl>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75"/>
        <w:gridCol w:w="170"/>
        <w:gridCol w:w="60"/>
        <w:gridCol w:w="66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05" w:type="dxa"/>
            <w:tcBorders/>
            <w:vAlign w:val="center"/>
          </w:tcPr>
          <w:p>
            <w:pPr>
              <w:pStyle w:val="TableContents"/>
              <w:bidi w:val="0"/>
              <w:spacing w:before="0" w:after="0"/>
              <w:jc w:val="both"/>
              <w:rPr>
                <w:rFonts w:ascii="ARIAL" w:hAnsi="ARIAL"/>
                <w:sz w:val="20"/>
              </w:rPr>
            </w:pPr>
            <w:r>
              <w:rPr>
                <w:rFonts w:ascii="ARIAL" w:hAnsi="ARIAL"/>
                <w:sz w:val="20"/>
              </w:rPr>
              <w:t xml:space="preserve">4.5 stars will result in a 40% increase in each NEO’s aggregate bonus; and </w:t>
            </w:r>
          </w:p>
        </w:tc>
      </w:tr>
    </w:tbl>
    <w:p>
      <w:pPr>
        <w:pStyle w:val="TextBody"/>
        <w:bidi w:val="0"/>
        <w:spacing w:before="0" w:after="0"/>
        <w:jc w:val="left"/>
        <w:rPr/>
      </w:pPr>
      <w:r>
        <w:rPr/>
        <w:t> </w:t>
      </w:r>
    </w:p>
    <w:tbl>
      <w:tblPr>
        <w:tblW w:w="6535" w:type="dxa"/>
        <w:jc w:val="left"/>
        <w:tblInd w:w="0" w:type="dxa"/>
        <w:tblLayout w:type="fixed"/>
        <w:tblCellMar>
          <w:top w:w="0" w:type="dxa"/>
          <w:left w:w="0" w:type="dxa"/>
          <w:bottom w:w="0" w:type="dxa"/>
          <w:right w:w="0" w:type="dxa"/>
        </w:tblCellMar>
      </w:tblPr>
      <w:tblGrid>
        <w:gridCol w:w="75"/>
        <w:gridCol w:w="170"/>
        <w:gridCol w:w="60"/>
        <w:gridCol w:w="62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jc w:val="both"/>
              <w:rPr>
                <w:rFonts w:ascii="ARIAL" w:hAnsi="ARIAL"/>
                <w:sz w:val="20"/>
              </w:rPr>
            </w:pPr>
            <w:r>
              <w:rPr>
                <w:rFonts w:ascii="ARIAL" w:hAnsi="ARIAL"/>
                <w:sz w:val="20"/>
              </w:rPr>
              <w:t xml:space="preserve">5.0 stars will result in a 50% increase in each NEO’s aggregate bonus. </w:t>
            </w:r>
          </w:p>
        </w:tc>
      </w:tr>
    </w:tbl>
    <w:p>
      <w:pPr>
        <w:pStyle w:val="TextBody"/>
        <w:bidi w:val="0"/>
        <w:spacing w:before="240" w:after="0"/>
        <w:jc w:val="both"/>
        <w:rPr>
          <w:rFonts w:ascii="ARIAL" w:hAnsi="ARIAL"/>
          <w:sz w:val="20"/>
        </w:rPr>
      </w:pPr>
      <w:r>
        <w:rPr>
          <w:rFonts w:ascii="ARIAL" w:hAnsi="ARIAL"/>
          <w:sz w:val="20"/>
        </w:rPr>
        <w:t xml:space="preserve">In addition to the annual incentive payouts indicated above and as a result of the significant overperformance on the Health Plan Membership metric (actual result of 155,500 members vs. maximum goal of 140,790 members), the Compensation Committee determined that an additional discretionary bonus to executives (other than the CEO) was warranted. Discretionary bonus amounts are as follows and are further explained in the Summary Compensation Table. </w:t>
      </w:r>
    </w:p>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1940"/>
        <w:gridCol w:w="120"/>
        <w:gridCol w:w="3905"/>
      </w:tblGrid>
      <w:tr>
        <w:trPr/>
        <w:tc>
          <w:tcPr>
            <w:tcW w:w="1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05" w:type="dxa"/>
            <w:tcBorders/>
            <w:vAlign w:val="center"/>
          </w:tcPr>
          <w:p>
            <w:pPr>
              <w:pStyle w:val="TableContents"/>
              <w:bidi w:val="0"/>
              <w:spacing w:before="0" w:after="283"/>
              <w:jc w:val="left"/>
              <w:rPr>
                <w:sz w:val="4"/>
                <w:szCs w:val="4"/>
              </w:rPr>
            </w:pPr>
            <w:r>
              <w:rPr>
                <w:sz w:val="4"/>
                <w:szCs w:val="4"/>
              </w:rPr>
            </w:r>
          </w:p>
        </w:tc>
      </w:tr>
      <w:tr>
        <w:trPr/>
        <w:tc>
          <w:tcPr>
            <w:tcW w:w="1940" w:type="dxa"/>
            <w:tcBorders>
              <w:bottom w:val="single" w:sz="8" w:space="0" w:color="95B3D7"/>
              <w:right w:val="single" w:sz="6" w:space="0" w:color="95B3D7"/>
            </w:tcBorders>
            <w:tcMar>
              <w:bottom w:w="60" w:type="dxa"/>
              <w:right w:w="28" w:type="dxa"/>
            </w:tcMar>
            <w:vAlign w:val="center"/>
          </w:tcPr>
          <w:p>
            <w:pPr>
              <w:pStyle w:val="TableContents"/>
              <w:bidi w:val="0"/>
              <w:spacing w:before="0" w:after="283"/>
              <w:jc w:val="left"/>
              <w:rPr>
                <w:b/>
              </w:rPr>
            </w:pPr>
            <w:r>
              <w:rPr>
                <w:b/>
              </w:rPr>
              <w:t>Officer</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3905" w:type="dxa"/>
            <w:tcBorders>
              <w:bottom w:val="single" w:sz="8" w:space="0" w:color="95B3D7"/>
            </w:tcBorders>
            <w:tcMar>
              <w:bottom w:w="60" w:type="dxa"/>
            </w:tcMar>
            <w:vAlign w:val="center"/>
          </w:tcPr>
          <w:p>
            <w:pPr>
              <w:pStyle w:val="TableContents"/>
              <w:bidi w:val="0"/>
              <w:spacing w:before="0" w:after="283"/>
              <w:jc w:val="left"/>
              <w:rPr>
                <w:b/>
              </w:rPr>
            </w:pPr>
            <w:r>
              <w:rPr>
                <w:b/>
              </w:rPr>
              <w:t>Discretionary Bonus</w:t>
            </w:r>
          </w:p>
        </w:tc>
      </w:tr>
      <w:tr>
        <w:trPr/>
        <w:tc>
          <w:tcPr>
            <w:tcW w:w="1940" w:type="dxa"/>
            <w:tcBorders>
              <w:bottom w:val="single" w:sz="8" w:space="0" w:color="95B3D7"/>
              <w:right w:val="single" w:sz="6" w:space="0" w:color="95B3D7"/>
            </w:tcBorders>
            <w:shd w:fill="DBE5F1" w:val="clear"/>
            <w:tcMar>
              <w:bottom w:w="80" w:type="dxa"/>
              <w:right w:w="28" w:type="dxa"/>
            </w:tcMar>
            <w:vAlign w:val="center"/>
          </w:tcPr>
          <w:p>
            <w:pPr>
              <w:pStyle w:val="TableContents"/>
              <w:bidi w:val="0"/>
              <w:spacing w:before="0" w:after="0"/>
              <w:jc w:val="left"/>
              <w:rPr>
                <w:rFonts w:ascii="ARIAL" w:hAnsi="ARIAL"/>
                <w:sz w:val="18"/>
              </w:rPr>
            </w:pPr>
            <w:r>
              <w:rPr>
                <w:rFonts w:ascii="ARIAL" w:hAnsi="ARIAL"/>
                <w:sz w:val="18"/>
              </w:rPr>
              <w:t>Thomas Freeman</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3905" w:type="dxa"/>
            <w:tcBorders>
              <w:bottom w:val="single" w:sz="8" w:space="0" w:color="95B3D7"/>
            </w:tcBorders>
            <w:shd w:fill="DBE5F1" w:val="clear"/>
            <w:tcMar>
              <w:bottom w:w="80" w:type="dxa"/>
            </w:tcMar>
            <w:vAlign w:val="center"/>
          </w:tcPr>
          <w:p>
            <w:pPr>
              <w:pStyle w:val="TableContents"/>
              <w:bidi w:val="0"/>
              <w:spacing w:before="0" w:after="283"/>
              <w:jc w:val="left"/>
              <w:rPr/>
            </w:pPr>
            <w:r>
              <w:rPr/>
              <w:t>$105,000 (total payout = 174% of target)</w:t>
            </w:r>
          </w:p>
        </w:tc>
      </w:tr>
      <w:tr>
        <w:trPr/>
        <w:tc>
          <w:tcPr>
            <w:tcW w:w="1940" w:type="dxa"/>
            <w:tcBorders>
              <w:bottom w:val="single" w:sz="8" w:space="0" w:color="95B3D7"/>
              <w:right w:val="single" w:sz="6" w:space="0" w:color="95B3D7"/>
            </w:tcBorders>
            <w:tcMar>
              <w:bottom w:w="80" w:type="dxa"/>
              <w:right w:w="28" w:type="dxa"/>
            </w:tcMar>
            <w:vAlign w:val="center"/>
          </w:tcPr>
          <w:p>
            <w:pPr>
              <w:pStyle w:val="TableContents"/>
              <w:bidi w:val="0"/>
              <w:spacing w:before="0" w:after="0"/>
              <w:jc w:val="left"/>
              <w:rPr>
                <w:rFonts w:ascii="ARIAL" w:hAnsi="ARIAL"/>
                <w:sz w:val="18"/>
              </w:rPr>
            </w:pPr>
            <w:r>
              <w:rPr>
                <w:rFonts w:ascii="ARIAL" w:hAnsi="ARIAL"/>
                <w:sz w:val="18"/>
              </w:rPr>
              <w:t>Dawn Maroney</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3905" w:type="dxa"/>
            <w:tcBorders>
              <w:bottom w:val="single" w:sz="8" w:space="0" w:color="95B3D7"/>
            </w:tcBorders>
            <w:tcMar>
              <w:bottom w:w="80" w:type="dxa"/>
            </w:tcMar>
            <w:vAlign w:val="center"/>
          </w:tcPr>
          <w:p>
            <w:pPr>
              <w:pStyle w:val="TableContents"/>
              <w:bidi w:val="0"/>
              <w:spacing w:before="0" w:after="283"/>
              <w:jc w:val="left"/>
              <w:rPr/>
            </w:pPr>
            <w:r>
              <w:rPr/>
              <w:t>$205,000 (total payout = 194% of target)</w:t>
            </w:r>
          </w:p>
        </w:tc>
      </w:tr>
      <w:tr>
        <w:trPr/>
        <w:tc>
          <w:tcPr>
            <w:tcW w:w="1940" w:type="dxa"/>
            <w:tcBorders>
              <w:bottom w:val="single" w:sz="8" w:space="0" w:color="95B3D7"/>
              <w:right w:val="single" w:sz="6" w:space="0" w:color="95B3D7"/>
            </w:tcBorders>
            <w:shd w:fill="DBE5F1" w:val="clear"/>
            <w:tcMar>
              <w:bottom w:w="80" w:type="dxa"/>
              <w:right w:w="28" w:type="dxa"/>
            </w:tcMar>
            <w:vAlign w:val="center"/>
          </w:tcPr>
          <w:p>
            <w:pPr>
              <w:pStyle w:val="TableContents"/>
              <w:bidi w:val="0"/>
              <w:spacing w:before="0" w:after="0"/>
              <w:jc w:val="left"/>
              <w:rPr>
                <w:rFonts w:ascii="ARIAL" w:hAnsi="ARIAL"/>
                <w:sz w:val="18"/>
              </w:rPr>
            </w:pPr>
            <w:r>
              <w:rPr>
                <w:rFonts w:ascii="ARIAL" w:hAnsi="ARIAL"/>
                <w:sz w:val="18"/>
              </w:rPr>
              <w:t>Hakan Kardes</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3905" w:type="dxa"/>
            <w:tcBorders>
              <w:bottom w:val="single" w:sz="8" w:space="0" w:color="95B3D7"/>
            </w:tcBorders>
            <w:shd w:fill="DBE5F1" w:val="clear"/>
            <w:tcMar>
              <w:bottom w:w="80" w:type="dxa"/>
            </w:tcMar>
            <w:vAlign w:val="center"/>
          </w:tcPr>
          <w:p>
            <w:pPr>
              <w:pStyle w:val="TableContents"/>
              <w:bidi w:val="0"/>
              <w:spacing w:before="0" w:after="283"/>
              <w:jc w:val="left"/>
              <w:rPr/>
            </w:pPr>
            <w:r>
              <w:rPr/>
              <w:t>$90,000 (total payout = 167% of target)</w:t>
            </w:r>
          </w:p>
        </w:tc>
      </w:tr>
      <w:tr>
        <w:trPr/>
        <w:tc>
          <w:tcPr>
            <w:tcW w:w="1940" w:type="dxa"/>
            <w:tcBorders>
              <w:bottom w:val="single" w:sz="8" w:space="0" w:color="95B3D7"/>
              <w:right w:val="single" w:sz="6" w:space="0" w:color="95B3D7"/>
            </w:tcBorders>
            <w:tcMar>
              <w:bottom w:w="80" w:type="dxa"/>
              <w:right w:w="28" w:type="dxa"/>
            </w:tcMar>
            <w:vAlign w:val="center"/>
          </w:tcPr>
          <w:p>
            <w:pPr>
              <w:pStyle w:val="TableContents"/>
              <w:bidi w:val="0"/>
              <w:spacing w:before="0" w:after="0"/>
              <w:jc w:val="left"/>
              <w:rPr>
                <w:rFonts w:ascii="ARIAL" w:hAnsi="ARIAL"/>
                <w:sz w:val="18"/>
              </w:rPr>
            </w:pPr>
            <w:r>
              <w:rPr>
                <w:rFonts w:ascii="ARIAL" w:hAnsi="ARIAL"/>
                <w:sz w:val="18"/>
              </w:rPr>
              <w:t>Hyong (Ken) Kim, M.D.:</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3905" w:type="dxa"/>
            <w:tcBorders>
              <w:bottom w:val="single" w:sz="8" w:space="0" w:color="95B3D7"/>
            </w:tcBorders>
            <w:tcMar>
              <w:bottom w:w="80" w:type="dxa"/>
            </w:tcMar>
            <w:vAlign w:val="center"/>
          </w:tcPr>
          <w:p>
            <w:pPr>
              <w:pStyle w:val="TableContents"/>
              <w:bidi w:val="0"/>
              <w:spacing w:before="0" w:after="283"/>
              <w:jc w:val="left"/>
              <w:rPr/>
            </w:pPr>
            <w:r>
              <w:rPr/>
              <w:t>$20,000 (total payout = 143% of target)</w:t>
            </w:r>
          </w:p>
        </w:tc>
      </w:tr>
    </w:tbl>
    <w:p>
      <w:pPr>
        <w:pStyle w:val="TextBody"/>
        <w:bidi w:val="0"/>
        <w:spacing w:before="240" w:after="0"/>
        <w:jc w:val="both"/>
        <w:rPr>
          <w:rFonts w:ascii="ARIAL" w:hAnsi="ARIAL"/>
          <w:sz w:val="20"/>
        </w:rPr>
      </w:pPr>
      <w:r>
        <w:rPr>
          <w:rFonts w:ascii="ARIAL" w:hAnsi="ARIAL"/>
          <w:sz w:val="20"/>
        </w:rPr>
        <w:t xml:space="preserve">As indicated by the percentages of target above, total bonus payout for 2023 performance did not exceed the plan cap of 200% of target for any individual. </w:t>
      </w:r>
    </w:p>
    <w:p>
      <w:pPr>
        <w:pStyle w:val="TextBody"/>
        <w:bidi w:val="0"/>
        <w:spacing w:before="240" w:after="0"/>
        <w:jc w:val="left"/>
        <w:rPr>
          <w:rFonts w:ascii="ARIAL" w:hAnsi="ARIAL"/>
          <w:b/>
          <w:i/>
          <w:color w:val="1F497D"/>
          <w:sz w:val="20"/>
        </w:rPr>
      </w:pPr>
      <w:r>
        <w:rPr>
          <w:rFonts w:ascii="ARIAL" w:hAnsi="ARIAL"/>
          <w:b/>
          <w:i/>
          <w:color w:val="1F497D"/>
          <w:sz w:val="20"/>
        </w:rPr>
        <w:t xml:space="preserve">Long-Term Equity Incentives </w:t>
      </w:r>
    </w:p>
    <w:p>
      <w:pPr>
        <w:pStyle w:val="TextBody"/>
        <w:bidi w:val="0"/>
        <w:spacing w:before="240" w:after="0"/>
        <w:jc w:val="both"/>
        <w:rPr>
          <w:rFonts w:ascii="ARIAL" w:hAnsi="ARIAL"/>
          <w:sz w:val="20"/>
        </w:rPr>
      </w:pPr>
      <w:r>
        <w:rPr>
          <w:rFonts w:ascii="ARIAL" w:hAnsi="ARIAL"/>
          <w:sz w:val="20"/>
        </w:rPr>
        <w:t xml:space="preserve">The Company’s long-term equity incentive program is designed to provide a portion of our executives’ compensation opportunity in equity-based instruments. We believe that long-term equity compensation is key to assuring our executives’ interests are aligned with those of our stockholders. </w:t>
      </w:r>
    </w:p>
    <w:p>
      <w:pPr>
        <w:pStyle w:val="TextBody"/>
        <w:bidi w:val="0"/>
        <w:spacing w:before="240" w:after="0"/>
        <w:jc w:val="left"/>
        <w:rPr>
          <w:rFonts w:ascii="ARIAL" w:hAnsi="ARIAL"/>
          <w:i/>
          <w:color w:val="1F497D"/>
          <w:sz w:val="20"/>
        </w:rPr>
      </w:pPr>
      <w:r>
        <w:rPr>
          <w:rFonts w:ascii="ARIAL" w:hAnsi="ARIAL"/>
          <w:i/>
          <w:color w:val="1F497D"/>
          <w:sz w:val="20"/>
        </w:rPr>
        <w:t xml:space="preserve">2023 Equity Awards </w:t>
      </w:r>
    </w:p>
    <w:p>
      <w:pPr>
        <w:pStyle w:val="TextBody"/>
        <w:bidi w:val="0"/>
        <w:spacing w:before="240" w:after="0"/>
        <w:jc w:val="both"/>
        <w:rPr>
          <w:rFonts w:ascii="ARIAL" w:hAnsi="ARIAL"/>
          <w:sz w:val="20"/>
        </w:rPr>
      </w:pPr>
      <w:r>
        <w:rPr>
          <w:rFonts w:ascii="ARIAL" w:hAnsi="ARIAL"/>
          <w:sz w:val="20"/>
        </w:rPr>
        <w:t xml:space="preserve">In September 2023, the Compensation Committee and Board approved the award of the September 2023 PSUs to the NEOs under the Company’s 2021 Equity Incentive Plan (the “Plan”). In determining the nature and amount of long-term equity grants during 2023, the Compensation Committee considered our team’s continued strong performance amidst the challenging macroeconomic environment since our IPO in 2021 and its direct impact on our industry. In light of the diminution of the intended target value of the equity awards granted at our IPO in 2021 and in 2022, and the Company’s retention objectives given competition for talent in the health care space, together with the preference of our stockholders to see a stronger focus on performance-based equity compensation, the Compensation Committee approved long-term incentive grants for 2023 using 100% PSUs. </w:t>
      </w:r>
    </w:p>
    <w:p>
      <w:pPr>
        <w:pStyle w:val="TextBody"/>
        <w:bidi w:val="0"/>
        <w:spacing w:before="240" w:after="0"/>
        <w:jc w:val="both"/>
        <w:rPr>
          <w:rFonts w:ascii="ARIAL" w:hAnsi="ARIAL"/>
          <w:sz w:val="20"/>
        </w:rPr>
      </w:pPr>
      <w:r>
        <w:rPr>
          <w:rFonts w:ascii="ARIAL" w:hAnsi="ARIAL"/>
          <w:sz w:val="20"/>
        </w:rPr>
        <w:t xml:space="preserve">With respect to the September 2023 PSUs, the NEOs are eligible to vest in a number of PSUs ranging from 0% to 150% of the target number of PSUs granted, based on the aggregate achievement by the Company of certain performance metrics during the performance period from January 1, 2024 to December 31, 2024 (the “Measurement Period”), with threshold, target and maximum goals for each performance metric set by the Compensation Committee. The Compensation Committee chose to measure performance for this grant using a one-year performance period, although the Compensation Committee intends to adopt PSUs contingent upon longer performance measurement cycles as the Company’s long-term incentive strategy evolves with respect to future grants. To the extent earned, shares will vest fifty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51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percent (50%) upon certification of results by the Committee (expected on or about February 28, 2025) and fifty percent (50%) on December 31, 2025, subject to the applicable grantee’s continued employment on such date. </w:t>
      </w:r>
    </w:p>
    <w:p>
      <w:pPr>
        <w:pStyle w:val="TextBody"/>
        <w:bidi w:val="0"/>
        <w:spacing w:before="240" w:after="0"/>
        <w:jc w:val="left"/>
        <w:rPr>
          <w:rFonts w:ascii="ARIAL" w:hAnsi="ARIAL"/>
          <w:sz w:val="20"/>
        </w:rPr>
      </w:pPr>
      <w:r>
        <w:rPr>
          <w:rFonts w:ascii="ARIAL" w:hAnsi="ARIAL"/>
          <w:sz w:val="20"/>
        </w:rPr>
        <w:t xml:space="preserve">The table below shows the target long-term incentive awards granted for fiscal year 2023 for each of the NEOs: </w:t>
      </w:r>
    </w:p>
    <w:p>
      <w:pPr>
        <w:pStyle w:val="TextBody"/>
        <w:bidi w:val="0"/>
        <w:spacing w:before="0" w:after="0"/>
        <w:jc w:val="left"/>
        <w:rPr/>
      </w:pPr>
      <w:r>
        <w:rPr/>
        <w:t> </w:t>
      </w:r>
    </w:p>
    <w:tbl>
      <w:tblPr>
        <w:tblW w:w="7545" w:type="dxa"/>
        <w:jc w:val="left"/>
        <w:tblInd w:w="0" w:type="dxa"/>
        <w:tblLayout w:type="fixed"/>
        <w:tblCellMar>
          <w:top w:w="0" w:type="dxa"/>
          <w:left w:w="0" w:type="dxa"/>
          <w:bottom w:w="0" w:type="dxa"/>
          <w:right w:w="0" w:type="dxa"/>
        </w:tblCellMar>
      </w:tblPr>
      <w:tblGrid>
        <w:gridCol w:w="2810"/>
        <w:gridCol w:w="120"/>
        <w:gridCol w:w="1910"/>
        <w:gridCol w:w="120"/>
        <w:gridCol w:w="2585"/>
      </w:tblGrid>
      <w:tr>
        <w:trPr/>
        <w:tc>
          <w:tcPr>
            <w:tcW w:w="2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r>
      <w:tr>
        <w:trPr/>
        <w:tc>
          <w:tcPr>
            <w:tcW w:w="2810" w:type="dxa"/>
            <w:tcBorders>
              <w:bottom w:val="single" w:sz="12" w:space="0" w:color="95B3D7"/>
            </w:tcBorders>
            <w:tcMar>
              <w:bottom w:w="28" w:type="dxa"/>
            </w:tcMar>
            <w:vAlign w:val="center"/>
          </w:tcPr>
          <w:p>
            <w:pPr>
              <w:pStyle w:val="TableContents"/>
              <w:bidi w:val="0"/>
              <w:spacing w:before="0" w:after="283"/>
              <w:jc w:val="left"/>
              <w:rPr/>
            </w:pPr>
            <w:r>
              <w:rPr/>
              <w:t> </w:t>
            </w:r>
            <w:r>
              <w:rPr>
                <w:b/>
              </w:rPr>
              <w:t>Name</w:t>
            </w:r>
          </w:p>
        </w:tc>
        <w:tc>
          <w:tcPr>
            <w:tcW w:w="120" w:type="dxa"/>
            <w:tcBorders>
              <w:bottom w:val="single" w:sz="12" w:space="0" w:color="95B3D7"/>
            </w:tcBorders>
            <w:tcMar>
              <w:bottom w:w="28" w:type="dxa"/>
            </w:tcMar>
            <w:vAlign w:val="center"/>
          </w:tcPr>
          <w:p>
            <w:pPr>
              <w:pStyle w:val="TableContents"/>
              <w:bidi w:val="0"/>
              <w:spacing w:before="0" w:after="283"/>
              <w:jc w:val="left"/>
              <w:rPr/>
            </w:pPr>
            <w:r>
              <w:rPr/>
              <w:t>  </w:t>
            </w:r>
          </w:p>
        </w:tc>
        <w:tc>
          <w:tcPr>
            <w:tcW w:w="1910" w:type="dxa"/>
            <w:tcBorders>
              <w:bottom w:val="single" w:sz="12" w:space="0" w:color="95B3D7"/>
            </w:tcBorders>
            <w:tcMar>
              <w:bottom w:w="28" w:type="dxa"/>
            </w:tcMar>
            <w:vAlign w:val="center"/>
          </w:tcPr>
          <w:p>
            <w:pPr>
              <w:pStyle w:val="TableContents"/>
              <w:bidi w:val="0"/>
              <w:spacing w:before="0" w:after="283"/>
              <w:jc w:val="center"/>
              <w:rPr>
                <w:b/>
              </w:rPr>
            </w:pPr>
            <w:r>
              <w:rPr>
                <w:b/>
              </w:rPr>
              <w:t>PSUs at Target (#)</w:t>
            </w:r>
          </w:p>
        </w:tc>
        <w:tc>
          <w:tcPr>
            <w:tcW w:w="120" w:type="dxa"/>
            <w:tcBorders>
              <w:bottom w:val="single" w:sz="12" w:space="0" w:color="95B3D7"/>
            </w:tcBorders>
            <w:tcMar>
              <w:bottom w:w="28" w:type="dxa"/>
            </w:tcMar>
            <w:vAlign w:val="center"/>
          </w:tcPr>
          <w:p>
            <w:pPr>
              <w:pStyle w:val="TableContents"/>
              <w:bidi w:val="0"/>
              <w:spacing w:before="0" w:after="283"/>
              <w:jc w:val="left"/>
              <w:rPr/>
            </w:pPr>
            <w:r>
              <w:rPr/>
              <w:t>  </w:t>
            </w:r>
          </w:p>
        </w:tc>
        <w:tc>
          <w:tcPr>
            <w:tcW w:w="2585" w:type="dxa"/>
            <w:tcBorders>
              <w:bottom w:val="single" w:sz="12" w:space="0" w:color="95B3D7"/>
            </w:tcBorders>
            <w:tcMar>
              <w:bottom w:w="28" w:type="dxa"/>
            </w:tcMar>
            <w:vAlign w:val="center"/>
          </w:tcPr>
          <w:p>
            <w:pPr>
              <w:pStyle w:val="TableContents"/>
              <w:bidi w:val="0"/>
              <w:spacing w:before="0" w:after="283"/>
              <w:jc w:val="center"/>
              <w:rPr>
                <w:b/>
              </w:rPr>
            </w:pPr>
            <w:r>
              <w:rPr>
                <w:b/>
              </w:rPr>
              <w:t>PSUs at Target ($ Value)</w:t>
            </w:r>
          </w:p>
        </w:tc>
      </w:tr>
      <w:tr>
        <w:trPr/>
        <w:tc>
          <w:tcPr>
            <w:tcW w:w="281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r>
              <w:rPr/>
              <w:t>John Kao</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1910" w:type="dxa"/>
            <w:tcBorders>
              <w:bottom w:val="single" w:sz="8" w:space="0" w:color="95B3D7"/>
            </w:tcBorders>
            <w:shd w:fill="DBE5F1" w:val="clear"/>
            <w:tcMar>
              <w:bottom w:w="28" w:type="dxa"/>
            </w:tcMar>
            <w:vAlign w:val="center"/>
          </w:tcPr>
          <w:p>
            <w:pPr>
              <w:pStyle w:val="TableContents"/>
              <w:bidi w:val="0"/>
              <w:spacing w:before="0" w:after="283"/>
              <w:jc w:val="center"/>
              <w:rPr/>
            </w:pPr>
            <w:r>
              <w:rPr/>
              <w:t>2,177,333</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2585" w:type="dxa"/>
            <w:tcBorders>
              <w:bottom w:val="single" w:sz="8" w:space="0" w:color="95B3D7"/>
            </w:tcBorders>
            <w:shd w:fill="DBE5F1" w:val="clear"/>
            <w:tcMar>
              <w:bottom w:w="28" w:type="dxa"/>
            </w:tcMar>
            <w:vAlign w:val="center"/>
          </w:tcPr>
          <w:p>
            <w:pPr>
              <w:pStyle w:val="TableContents"/>
              <w:bidi w:val="0"/>
              <w:spacing w:before="0" w:after="283"/>
              <w:jc w:val="center"/>
              <w:rPr/>
            </w:pPr>
            <w:r>
              <w:rPr/>
              <w:t>12,497,891</w:t>
            </w:r>
          </w:p>
        </w:tc>
      </w:tr>
      <w:tr>
        <w:trPr/>
        <w:tc>
          <w:tcPr>
            <w:tcW w:w="2810" w:type="dxa"/>
            <w:tcBorders>
              <w:bottom w:val="single" w:sz="8" w:space="0" w:color="95B3D7"/>
            </w:tcBorders>
            <w:tcMar>
              <w:bottom w:w="28" w:type="dxa"/>
            </w:tcMar>
            <w:vAlign w:val="center"/>
          </w:tcPr>
          <w:p>
            <w:pPr>
              <w:pStyle w:val="TableContents"/>
              <w:bidi w:val="0"/>
              <w:spacing w:before="0" w:after="283"/>
              <w:jc w:val="left"/>
              <w:rPr/>
            </w:pPr>
            <w:r>
              <w:rPr/>
              <w:t> </w:t>
            </w:r>
            <w:r>
              <w:rPr/>
              <w:t>Thomas Freeman</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1910" w:type="dxa"/>
            <w:tcBorders>
              <w:bottom w:val="single" w:sz="8" w:space="0" w:color="95B3D7"/>
            </w:tcBorders>
            <w:tcMar>
              <w:bottom w:w="28" w:type="dxa"/>
            </w:tcMar>
            <w:vAlign w:val="center"/>
          </w:tcPr>
          <w:p>
            <w:pPr>
              <w:pStyle w:val="TableContents"/>
              <w:bidi w:val="0"/>
              <w:spacing w:before="0" w:after="283"/>
              <w:jc w:val="center"/>
              <w:rPr/>
            </w:pPr>
            <w:r>
              <w:rPr/>
              <w:t>873,667</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2585" w:type="dxa"/>
            <w:tcBorders>
              <w:bottom w:val="single" w:sz="8" w:space="0" w:color="95B3D7"/>
            </w:tcBorders>
            <w:tcMar>
              <w:bottom w:w="28" w:type="dxa"/>
            </w:tcMar>
            <w:vAlign w:val="center"/>
          </w:tcPr>
          <w:p>
            <w:pPr>
              <w:pStyle w:val="TableContents"/>
              <w:bidi w:val="0"/>
              <w:spacing w:before="0" w:after="283"/>
              <w:jc w:val="center"/>
              <w:rPr/>
            </w:pPr>
            <w:r>
              <w:rPr/>
              <w:t>5,014,849</w:t>
            </w:r>
          </w:p>
        </w:tc>
      </w:tr>
      <w:tr>
        <w:trPr/>
        <w:tc>
          <w:tcPr>
            <w:tcW w:w="281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r>
              <w:rPr/>
              <w:t>Dawn Maroney</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1910" w:type="dxa"/>
            <w:tcBorders>
              <w:bottom w:val="single" w:sz="8" w:space="0" w:color="95B3D7"/>
            </w:tcBorders>
            <w:shd w:fill="DBE5F1" w:val="clear"/>
            <w:tcMar>
              <w:bottom w:w="28" w:type="dxa"/>
            </w:tcMar>
            <w:vAlign w:val="center"/>
          </w:tcPr>
          <w:p>
            <w:pPr>
              <w:pStyle w:val="TableContents"/>
              <w:bidi w:val="0"/>
              <w:spacing w:before="0" w:after="283"/>
              <w:jc w:val="center"/>
              <w:rPr/>
            </w:pPr>
            <w:r>
              <w:rPr/>
              <w:t>873,667</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2585" w:type="dxa"/>
            <w:tcBorders>
              <w:bottom w:val="single" w:sz="8" w:space="0" w:color="95B3D7"/>
            </w:tcBorders>
            <w:shd w:fill="DBE5F1" w:val="clear"/>
            <w:tcMar>
              <w:bottom w:w="28" w:type="dxa"/>
            </w:tcMar>
            <w:vAlign w:val="center"/>
          </w:tcPr>
          <w:p>
            <w:pPr>
              <w:pStyle w:val="TableContents"/>
              <w:bidi w:val="0"/>
              <w:spacing w:before="0" w:after="283"/>
              <w:jc w:val="center"/>
              <w:rPr/>
            </w:pPr>
            <w:r>
              <w:rPr/>
              <w:t>5,014,849</w:t>
            </w:r>
          </w:p>
        </w:tc>
      </w:tr>
      <w:tr>
        <w:trPr/>
        <w:tc>
          <w:tcPr>
            <w:tcW w:w="2810" w:type="dxa"/>
            <w:tcBorders>
              <w:bottom w:val="single" w:sz="8" w:space="0" w:color="95B3D7"/>
            </w:tcBorders>
            <w:tcMar>
              <w:bottom w:w="28" w:type="dxa"/>
            </w:tcMar>
            <w:vAlign w:val="center"/>
          </w:tcPr>
          <w:p>
            <w:pPr>
              <w:pStyle w:val="TableContents"/>
              <w:bidi w:val="0"/>
              <w:spacing w:before="0" w:after="283"/>
              <w:jc w:val="left"/>
              <w:rPr/>
            </w:pPr>
            <w:r>
              <w:rPr/>
              <w:t> </w:t>
            </w:r>
            <w:r>
              <w:rPr/>
              <w:t>Hakan Kardes</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1910" w:type="dxa"/>
            <w:tcBorders>
              <w:bottom w:val="single" w:sz="8" w:space="0" w:color="95B3D7"/>
            </w:tcBorders>
            <w:tcMar>
              <w:bottom w:w="28" w:type="dxa"/>
            </w:tcMar>
            <w:vAlign w:val="center"/>
          </w:tcPr>
          <w:p>
            <w:pPr>
              <w:pStyle w:val="TableContents"/>
              <w:bidi w:val="0"/>
              <w:spacing w:before="0" w:after="283"/>
              <w:jc w:val="center"/>
              <w:rPr/>
            </w:pPr>
            <w:r>
              <w:rPr/>
              <w:t>406,000</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2585" w:type="dxa"/>
            <w:tcBorders>
              <w:bottom w:val="single" w:sz="8" w:space="0" w:color="95B3D7"/>
            </w:tcBorders>
            <w:tcMar>
              <w:bottom w:w="28" w:type="dxa"/>
            </w:tcMar>
            <w:vAlign w:val="center"/>
          </w:tcPr>
          <w:p>
            <w:pPr>
              <w:pStyle w:val="TableContents"/>
              <w:bidi w:val="0"/>
              <w:spacing w:before="0" w:after="283"/>
              <w:jc w:val="center"/>
              <w:rPr/>
            </w:pPr>
            <w:r>
              <w:rPr/>
              <w:t>2,330,440</w:t>
            </w:r>
          </w:p>
        </w:tc>
      </w:tr>
      <w:tr>
        <w:trPr/>
        <w:tc>
          <w:tcPr>
            <w:tcW w:w="281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r>
              <w:rPr/>
              <w:t>Hyong (Ken) Kim, M.D.(1)</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1910" w:type="dxa"/>
            <w:tcBorders>
              <w:bottom w:val="single" w:sz="8" w:space="0" w:color="95B3D7"/>
            </w:tcBorders>
            <w:shd w:fill="DBE5F1" w:val="clear"/>
            <w:tcMar>
              <w:bottom w:w="28" w:type="dxa"/>
            </w:tcMar>
            <w:vAlign w:val="center"/>
          </w:tcPr>
          <w:p>
            <w:pPr>
              <w:pStyle w:val="TableContents"/>
              <w:bidi w:val="0"/>
              <w:spacing w:before="0" w:after="283"/>
              <w:jc w:val="center"/>
              <w:rPr/>
            </w:pPr>
            <w:r>
              <w:rPr/>
              <w:t>50,000</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2585" w:type="dxa"/>
            <w:tcBorders>
              <w:bottom w:val="single" w:sz="8" w:space="0" w:color="95B3D7"/>
            </w:tcBorders>
            <w:shd w:fill="DBE5F1" w:val="clear"/>
            <w:tcMar>
              <w:bottom w:w="28" w:type="dxa"/>
            </w:tcMar>
            <w:vAlign w:val="center"/>
          </w:tcPr>
          <w:p>
            <w:pPr>
              <w:pStyle w:val="TableContents"/>
              <w:bidi w:val="0"/>
              <w:spacing w:before="0" w:after="283"/>
              <w:jc w:val="center"/>
              <w:rPr/>
            </w:pPr>
            <w:r>
              <w:rPr/>
              <w:t>287,000</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(1)</w:t>
            </w:r>
          </w:p>
        </w:tc>
        <w:tc>
          <w:tcPr>
            <w:tcW w:w="9890" w:type="dxa"/>
            <w:tcBorders/>
            <w:vAlign w:val="center"/>
          </w:tcPr>
          <w:p>
            <w:pPr>
              <w:pStyle w:val="TableContents"/>
              <w:bidi w:val="0"/>
              <w:spacing w:before="0" w:after="0"/>
              <w:jc w:val="both"/>
              <w:rPr>
                <w:rFonts w:ascii="ARIAL" w:hAnsi="ARIAL"/>
                <w:sz w:val="16"/>
              </w:rPr>
            </w:pPr>
            <w:r>
              <w:rPr>
                <w:rFonts w:ascii="ARIAL" w:hAnsi="ARIAL"/>
                <w:sz w:val="16"/>
              </w:rPr>
              <w:t xml:space="preserve">Pursuant to the terms of his Employment Agreement, on September 25, 2023, Mr. Kim received a one-time, new hire RSU award with a grant date fair value equal to $2.5 million. Such RSUs will vest in equal installments of twenty-five percent (25%) on each the first four anniversaries of the grant date, subject to the Mr. Kim’s employment on the applicable vesting date. </w:t>
            </w:r>
          </w:p>
        </w:tc>
      </w:tr>
    </w:tbl>
    <w:p>
      <w:pPr>
        <w:pStyle w:val="TextBody"/>
        <w:bidi w:val="0"/>
        <w:spacing w:before="240" w:after="0"/>
        <w:jc w:val="left"/>
        <w:rPr>
          <w:rFonts w:ascii="ARIAL" w:hAnsi="ARIAL"/>
          <w:sz w:val="20"/>
        </w:rPr>
      </w:pPr>
      <w:r>
        <w:rPr>
          <w:rFonts w:ascii="ARIAL" w:hAnsi="ARIAL"/>
          <w:sz w:val="20"/>
        </w:rPr>
        <w:t xml:space="preserve">The achievement of PSUs relative to the approved target awards is based on the following performance metrics and relative weighting: </w:t>
      </w:r>
    </w:p>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5000"/>
        <w:gridCol w:w="120"/>
        <w:gridCol w:w="1085"/>
      </w:tblGrid>
      <w:tr>
        <w:trPr/>
        <w:tc>
          <w:tcPr>
            <w:tcW w:w="5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5000" w:type="dxa"/>
            <w:tcBorders>
              <w:bottom w:val="single" w:sz="12" w:space="0" w:color="95B3D7"/>
            </w:tcBorders>
            <w:tcMar>
              <w:bottom w:w="28" w:type="dxa"/>
            </w:tcMar>
            <w:vAlign w:val="center"/>
          </w:tcPr>
          <w:p>
            <w:pPr>
              <w:pStyle w:val="TableContents"/>
              <w:bidi w:val="0"/>
              <w:spacing w:before="0" w:after="283"/>
              <w:jc w:val="left"/>
              <w:rPr/>
            </w:pPr>
            <w:r>
              <w:rPr/>
              <w:t> </w:t>
            </w:r>
            <w:r>
              <w:rPr>
                <w:b/>
              </w:rPr>
              <w:t>Performance Metric</w:t>
            </w:r>
          </w:p>
        </w:tc>
        <w:tc>
          <w:tcPr>
            <w:tcW w:w="120" w:type="dxa"/>
            <w:tcBorders>
              <w:bottom w:val="single" w:sz="12" w:space="0" w:color="95B3D7"/>
            </w:tcBorders>
            <w:tcMar>
              <w:bottom w:w="28" w:type="dxa"/>
            </w:tcMar>
            <w:vAlign w:val="center"/>
          </w:tcPr>
          <w:p>
            <w:pPr>
              <w:pStyle w:val="TableContents"/>
              <w:bidi w:val="0"/>
              <w:spacing w:before="0" w:after="283"/>
              <w:jc w:val="left"/>
              <w:rPr/>
            </w:pPr>
            <w:r>
              <w:rPr/>
              <w:t>  </w:t>
            </w:r>
          </w:p>
        </w:tc>
        <w:tc>
          <w:tcPr>
            <w:tcW w:w="1085" w:type="dxa"/>
            <w:tcBorders>
              <w:bottom w:val="single" w:sz="12" w:space="0" w:color="95B3D7"/>
            </w:tcBorders>
            <w:tcMar>
              <w:bottom w:w="28" w:type="dxa"/>
            </w:tcMar>
            <w:vAlign w:val="center"/>
          </w:tcPr>
          <w:p>
            <w:pPr>
              <w:pStyle w:val="TableContents"/>
              <w:bidi w:val="0"/>
              <w:spacing w:before="0" w:after="283"/>
              <w:jc w:val="center"/>
              <w:rPr>
                <w:b/>
              </w:rPr>
            </w:pPr>
            <w:r>
              <w:rPr>
                <w:b/>
              </w:rPr>
              <w:t>Weighting</w:t>
            </w:r>
          </w:p>
        </w:tc>
      </w:tr>
      <w:tr>
        <w:trPr/>
        <w:tc>
          <w:tcPr>
            <w:tcW w:w="500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r>
              <w:rPr/>
              <w:t>Health Plan Revenue Growth Percentage</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1085" w:type="dxa"/>
            <w:tcBorders>
              <w:bottom w:val="single" w:sz="8" w:space="0" w:color="95B3D7"/>
            </w:tcBorders>
            <w:shd w:fill="DBE5F1" w:val="clear"/>
            <w:tcMar>
              <w:bottom w:w="28" w:type="dxa"/>
            </w:tcMar>
            <w:vAlign w:val="center"/>
          </w:tcPr>
          <w:p>
            <w:pPr>
              <w:pStyle w:val="TableContents"/>
              <w:bidi w:val="0"/>
              <w:spacing w:before="0" w:after="283"/>
              <w:jc w:val="center"/>
              <w:rPr/>
            </w:pPr>
            <w:r>
              <w:rPr/>
              <w:t>60%</w:t>
            </w:r>
          </w:p>
        </w:tc>
      </w:tr>
      <w:tr>
        <w:trPr/>
        <w:tc>
          <w:tcPr>
            <w:tcW w:w="5000" w:type="dxa"/>
            <w:tcBorders>
              <w:bottom w:val="single" w:sz="8" w:space="0" w:color="95B3D7"/>
            </w:tcBorders>
            <w:tcMar>
              <w:bottom w:w="28" w:type="dxa"/>
            </w:tcMar>
            <w:vAlign w:val="center"/>
          </w:tcPr>
          <w:p>
            <w:pPr>
              <w:pStyle w:val="TableContents"/>
              <w:bidi w:val="0"/>
              <w:spacing w:before="0" w:after="283"/>
              <w:jc w:val="left"/>
              <w:rPr/>
            </w:pPr>
            <w:r>
              <w:rPr/>
              <w:t> </w:t>
            </w:r>
            <w:r>
              <w:rPr/>
              <w:t>At-Risk Returning Member Medical Benefits Ratio</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1085" w:type="dxa"/>
            <w:tcBorders>
              <w:bottom w:val="single" w:sz="8" w:space="0" w:color="95B3D7"/>
            </w:tcBorders>
            <w:tcMar>
              <w:bottom w:w="28" w:type="dxa"/>
            </w:tcMar>
            <w:vAlign w:val="center"/>
          </w:tcPr>
          <w:p>
            <w:pPr>
              <w:pStyle w:val="TableContents"/>
              <w:bidi w:val="0"/>
              <w:spacing w:before="0" w:after="283"/>
              <w:jc w:val="center"/>
              <w:rPr/>
            </w:pPr>
            <w:r>
              <w:rPr/>
              <w:t>20%</w:t>
            </w:r>
          </w:p>
        </w:tc>
      </w:tr>
      <w:tr>
        <w:trPr/>
        <w:tc>
          <w:tcPr>
            <w:tcW w:w="500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r>
              <w:rPr/>
              <w:t>Adjusted EBITDA, less Capital Expenditures</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1085" w:type="dxa"/>
            <w:tcBorders>
              <w:bottom w:val="single" w:sz="8" w:space="0" w:color="95B3D7"/>
            </w:tcBorders>
            <w:shd w:fill="DBE5F1" w:val="clear"/>
            <w:tcMar>
              <w:bottom w:w="28" w:type="dxa"/>
            </w:tcMar>
            <w:vAlign w:val="center"/>
          </w:tcPr>
          <w:p>
            <w:pPr>
              <w:pStyle w:val="TableContents"/>
              <w:bidi w:val="0"/>
              <w:spacing w:before="0" w:after="283"/>
              <w:jc w:val="center"/>
              <w:rPr/>
            </w:pPr>
            <w:r>
              <w:rPr/>
              <w:t>20%</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(1)</w:t>
            </w:r>
          </w:p>
        </w:tc>
        <w:tc>
          <w:tcPr>
            <w:tcW w:w="9902" w:type="dxa"/>
            <w:tcBorders/>
            <w:vAlign w:val="center"/>
          </w:tcPr>
          <w:p>
            <w:pPr>
              <w:pStyle w:val="TableContents"/>
              <w:bidi w:val="0"/>
              <w:spacing w:before="0" w:after="0"/>
              <w:jc w:val="left"/>
              <w:rPr/>
            </w:pPr>
            <w:r>
              <w:rPr/>
              <w:t>“</w:t>
            </w:r>
            <w:r>
              <w:rPr>
                <w:rFonts w:ascii="ARIAL" w:hAnsi="ARIAL"/>
                <w:sz w:val="16"/>
              </w:rPr>
              <w:t xml:space="preserve">Health Plan Revenue Growth Percentage” means the percentage increase in the consolidated premium revenue of the Company’s regulated health plan entities between the fiscal year ended December 31, 2023 and the fiscal year ended December 31, 2024, subject to any adjustments deemed appropriate by the Committee. For the avoidance of doubt, premium revenue does not include (i) capitation revenue or (ii) investment income from securities accounts held by health plan entities. “Capitation revenue” means capitated fees for medical care services provided by the Company under arrangements with third-party payors and from CMS related to the ACO REACH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(2)</w:t>
            </w:r>
          </w:p>
        </w:tc>
        <w:tc>
          <w:tcPr>
            <w:tcW w:w="9904" w:type="dxa"/>
            <w:tcBorders/>
            <w:vAlign w:val="center"/>
          </w:tcPr>
          <w:p>
            <w:pPr>
              <w:pStyle w:val="TableContents"/>
              <w:bidi w:val="0"/>
              <w:spacing w:before="0" w:after="0"/>
              <w:jc w:val="left"/>
              <w:rPr/>
            </w:pPr>
            <w:r>
              <w:rPr/>
              <w:t>“</w:t>
            </w:r>
            <w:r>
              <w:rPr>
                <w:rFonts w:ascii="ARIAL" w:hAnsi="ARIAL"/>
                <w:sz w:val="16"/>
              </w:rPr>
              <w:t xml:space="preserve">At-Risk Returning Member Medical Benefit Ratio” means the Medical Benefit Ratio during the Measurement Period for Returning Members, excluding the Medical Benefit Ratio associated with Returning Members under global capitation arrangements. “Medical Benefit Ratio” means total medical expenses for the Measurement Period, excluding depreciation and equity-based compensation, divided by total revenues for the Measurement Period, in each case measured on an incurred basis for dates of service during the Measurement Period, subject to any adjustments deemed appropriate by the Committee. “Returning Member” means a member that was enrolled in any of the Company’s regulated health plans during the 2023 plan year. This metric excludes Medical Benefit Ratio related to the ACO REACH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(3)</w:t>
            </w:r>
          </w:p>
        </w:tc>
        <w:tc>
          <w:tcPr>
            <w:tcW w:w="9902" w:type="dxa"/>
            <w:tcBorders/>
            <w:vAlign w:val="center"/>
          </w:tcPr>
          <w:p>
            <w:pPr>
              <w:pStyle w:val="TableContents"/>
              <w:bidi w:val="0"/>
              <w:spacing w:before="0" w:after="0"/>
              <w:jc w:val="left"/>
              <w:rPr/>
            </w:pPr>
            <w:r>
              <w:rPr/>
              <w:t>“</w:t>
            </w:r>
            <w:r>
              <w:rPr>
                <w:rFonts w:ascii="ARIAL" w:hAnsi="ARIAL"/>
                <w:sz w:val="16"/>
              </w:rPr>
              <w:t xml:space="preserve">Adjusted EBITDA” means net loss before interest expense, income taxes, depreciation and amortization expense, reorganization and transaction-related expenses, gains or losses from subleases and equity-based compensation expense for the Measurement Period, subject to any adjustments deemed appropriate by the Committee. “Capital Expenditures” means long-lived tangible assets used to create and distribute the entity’s services, as reflected in the Company’s financial statements, incurred during the Measurement Period, including without limitation (a) leasehold improvements, (b) computer equipment, (c) furniture and fixtures and (d) capitalized software. </w:t>
            </w:r>
          </w:p>
        </w:tc>
      </w:tr>
    </w:tbl>
    <w:p>
      <w:pPr>
        <w:pStyle w:val="TextBody"/>
        <w:bidi w:val="0"/>
        <w:spacing w:before="240" w:after="0"/>
        <w:jc w:val="both"/>
        <w:rPr>
          <w:rFonts w:ascii="ARIAL" w:hAnsi="ARIAL"/>
          <w:sz w:val="20"/>
        </w:rPr>
      </w:pPr>
      <w:r>
        <w:rPr>
          <w:rFonts w:ascii="ARIAL" w:hAnsi="ARIAL"/>
          <w:sz w:val="20"/>
        </w:rPr>
        <w:t xml:space="preserve">Following the completion of the Measurement Period, the Compensation Committee will certify the Company’s achievement of each of the performance metrics, as a percentage of the target established for each metric (the date of such certification, the “Certification Date”). If any financial metric is attained at a level above the threshold goal but below the target goal, or above the target goal but below the maximum goal, percentage achievement for such metric will be determined on a straight-line basis between the applicable goals. The Committee will then determine, based on the relative weighting of the performance metrics and the percentage achievement of each metric, the aggregated percentage achievement of the performance metrics. The number of PSUs that each NEO earns is determined by multiplying his or her target award by the aggregated percentage achievement of the performance metrics. Fifty percent (50%) of such total number of earned PSUs will become fully vested on or about March 1, 2025, subject to each NEO’s continued service to the Company through such date, and the remaining fifty percent (50%) of such earned PSUs will become vested as of December 31, 2025, subject to each NEO’s continued service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52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the Company through such date. Any PSUs that do not become earned and vested on such dates will be cancelled and forfeited for no consideration. </w:t>
      </w:r>
    </w:p>
    <w:p>
      <w:pPr>
        <w:pStyle w:val="TextBody"/>
        <w:bidi w:val="0"/>
        <w:spacing w:before="240" w:after="0"/>
        <w:jc w:val="left"/>
        <w:rPr>
          <w:rFonts w:ascii="ARIAL" w:hAnsi="ARIAL"/>
          <w:b/>
          <w:color w:val="1F497D"/>
          <w:sz w:val="20"/>
        </w:rPr>
      </w:pPr>
      <w:bookmarkStart w:id="31" w:name="txa496243_29"/>
      <w:bookmarkEnd w:id="31"/>
      <w:r>
        <w:rPr>
          <w:rFonts w:ascii="ARIAL" w:hAnsi="ARIAL"/>
          <w:b/>
          <w:color w:val="1F497D"/>
          <w:sz w:val="20"/>
        </w:rPr>
        <w:t xml:space="preserve">Other Compensation Matters </w:t>
      </w:r>
    </w:p>
    <w:p>
      <w:pPr>
        <w:pStyle w:val="TextBody"/>
        <w:bidi w:val="0"/>
        <w:spacing w:before="240" w:after="0"/>
        <w:jc w:val="left"/>
        <w:rPr>
          <w:rFonts w:ascii="ARIAL" w:hAnsi="ARIAL"/>
          <w:b/>
          <w:i/>
          <w:color w:val="4B6D97"/>
          <w:sz w:val="20"/>
        </w:rPr>
      </w:pPr>
      <w:r>
        <w:rPr>
          <w:rFonts w:ascii="ARIAL" w:hAnsi="ARIAL"/>
          <w:b/>
          <w:i/>
          <w:color w:val="4B6D97"/>
          <w:sz w:val="20"/>
        </w:rPr>
        <w:t xml:space="preserve">Alignment Healthcare, Inc. Clawback Policy </w:t>
      </w:r>
    </w:p>
    <w:p>
      <w:pPr>
        <w:pStyle w:val="TextBody"/>
        <w:bidi w:val="0"/>
        <w:spacing w:before="240" w:after="0"/>
        <w:jc w:val="both"/>
        <w:rPr>
          <w:rFonts w:ascii="ARIAL" w:hAnsi="ARIAL"/>
          <w:sz w:val="20"/>
        </w:rPr>
      </w:pPr>
      <w:r>
        <w:rPr>
          <w:rFonts w:ascii="ARIAL" w:hAnsi="ARIAL"/>
          <w:sz w:val="20"/>
        </w:rPr>
        <w:t xml:space="preserve">In October 2023, the Board of Directors adopted the Alignment Healthcare, Inc. Clawback Policy, which is designed to comply with Section 10D-1 of the Exchange Act and the applicable listing standards of the Nasdaq Stock Market. The Clawback Policy requires the Company to recoup any erroneously awarded incentive-based compensation received by certain executives, including each NEO, in the event the Company is required to prepare an accounting restatement due to material noncompliance with any financial reporting requirement under the federal securities laws. The Clawback Policy generally applies to all incentive-based compensation received by a covered executive during the three completed fiscal years immediately preceding the date that the Company is required to prepare a restatement after the policy’s effective date. The Clawback Policy is filed as an exhibit to the Company’s annual report on Form 10-K. </w:t>
      </w:r>
    </w:p>
    <w:p>
      <w:pPr>
        <w:pStyle w:val="TextBody"/>
        <w:bidi w:val="0"/>
        <w:spacing w:before="240" w:after="0"/>
        <w:jc w:val="left"/>
        <w:rPr>
          <w:rFonts w:ascii="ARIAL" w:hAnsi="ARIAL"/>
          <w:b/>
          <w:i/>
          <w:color w:val="4B6D97"/>
          <w:sz w:val="20"/>
        </w:rPr>
      </w:pPr>
      <w:r>
        <w:rPr>
          <w:rFonts w:ascii="ARIAL" w:hAnsi="ARIAL"/>
          <w:b/>
          <w:i/>
          <w:color w:val="4B6D97"/>
          <w:sz w:val="20"/>
        </w:rPr>
        <w:t xml:space="preserve">Employment Agreements </w:t>
      </w:r>
    </w:p>
    <w:p>
      <w:pPr>
        <w:pStyle w:val="TextBody"/>
        <w:bidi w:val="0"/>
        <w:spacing w:before="240" w:after="0"/>
        <w:jc w:val="both"/>
        <w:rPr>
          <w:rFonts w:ascii="ARIAL" w:hAnsi="ARIAL"/>
          <w:sz w:val="20"/>
        </w:rPr>
      </w:pPr>
      <w:r>
        <w:rPr>
          <w:rFonts w:ascii="ARIAL" w:hAnsi="ARIAL"/>
          <w:sz w:val="20"/>
        </w:rPr>
        <w:t>The terms of the employment agreements applicable to each NEO are described under “</w:t>
      </w:r>
      <w:r>
        <w:rPr>
          <w:rFonts w:ascii="ARIAL" w:hAnsi="ARIAL"/>
          <w:i/>
          <w:sz w:val="20"/>
        </w:rPr>
        <w:t>Executive and Director Compensation—Employment Agreements</w:t>
      </w:r>
      <w:r>
        <w:rPr>
          <w:rFonts w:ascii="ARIAL" w:hAnsi="ARIAL"/>
          <w:sz w:val="20"/>
        </w:rPr>
        <w:t>” below. In addition to the terms described therein, the employment agreements provide for certain severance payments and benefits following a termination of employment under certain circumstances. For details on the severance payment and benefits under each NEO’s respective employment agreement and the 2021 Plan, see “</w:t>
      </w:r>
      <w:r>
        <w:rPr>
          <w:rFonts w:ascii="ARIAL" w:hAnsi="ARIAL"/>
          <w:i/>
          <w:sz w:val="20"/>
        </w:rPr>
        <w:t>Executive and Director Compensation—Potential Payments Upon Termination or Change in Control</w:t>
      </w:r>
      <w:r>
        <w:rPr>
          <w:rFonts w:ascii="ARIAL" w:hAnsi="ARIAL"/>
          <w:sz w:val="20"/>
        </w:rPr>
        <w:t xml:space="preserve">.” </w:t>
      </w:r>
    </w:p>
    <w:p>
      <w:pPr>
        <w:pStyle w:val="TextBody"/>
        <w:bidi w:val="0"/>
        <w:spacing w:before="240" w:after="0"/>
        <w:jc w:val="left"/>
        <w:rPr>
          <w:rFonts w:ascii="ARIAL" w:hAnsi="ARIAL"/>
          <w:b/>
          <w:i/>
          <w:color w:val="4B6D97"/>
          <w:sz w:val="20"/>
        </w:rPr>
      </w:pPr>
      <w:r>
        <w:rPr>
          <w:rFonts w:ascii="ARIAL" w:hAnsi="ARIAL"/>
          <w:b/>
          <w:i/>
          <w:color w:val="4B6D97"/>
          <w:sz w:val="20"/>
        </w:rPr>
        <w:t xml:space="preserve">Retirement Benefits </w:t>
      </w:r>
    </w:p>
    <w:p>
      <w:pPr>
        <w:pStyle w:val="TextBody"/>
        <w:bidi w:val="0"/>
        <w:spacing w:before="240" w:after="0"/>
        <w:jc w:val="both"/>
        <w:rPr>
          <w:rFonts w:ascii="ARIAL" w:hAnsi="ARIAL"/>
          <w:sz w:val="20"/>
        </w:rPr>
      </w:pPr>
      <w:r>
        <w:rPr>
          <w:rFonts w:ascii="ARIAL" w:hAnsi="ARIAL"/>
          <w:sz w:val="20"/>
        </w:rPr>
        <w:t xml:space="preserve">We maintain a tax-qualified retirement plan that provides all regular employees with an opportunity to save for retirement on a tax-efficient basis. Under our 401(k) plan, participants may elect to defer a portion of their compensation on a pre-tax or after-tax basis and have it contributed to the plan subject to applicable annual limits under the Code. The Company makes a matching contribution on 100% of employee deferrals up to 4% of the eligible employee’s compensation eligible for deferral. Contributions are allocated to each participant’s individual account and are then invested in selected investment alternatives according to the participants’ directions. Employee elective deferrals and matching contributions are 100% vested at all times. As a U.S. tax-qualified retirement plan, contributions to the 401(k) plan and earnings on those contributions are not taxable to the employees until distributed from the 401(k) plan and employer matching contributions are deductible by us when made. We do not maintain any defined benefit pension plans or any nonqualified deferred compensation plans. </w:t>
      </w:r>
    </w:p>
    <w:p>
      <w:pPr>
        <w:pStyle w:val="TextBody"/>
        <w:bidi w:val="0"/>
        <w:spacing w:before="240" w:after="0"/>
        <w:jc w:val="left"/>
        <w:rPr>
          <w:rFonts w:ascii="ARIAL" w:hAnsi="ARIAL"/>
          <w:b/>
          <w:i/>
          <w:color w:val="4B6D97"/>
          <w:sz w:val="20"/>
        </w:rPr>
      </w:pPr>
      <w:r>
        <w:rPr>
          <w:rFonts w:ascii="ARIAL" w:hAnsi="ARIAL"/>
          <w:b/>
          <w:i/>
          <w:color w:val="4B6D97"/>
          <w:sz w:val="20"/>
        </w:rPr>
        <w:t xml:space="preserve">Executive Benefits and Perquisites </w:t>
      </w:r>
    </w:p>
    <w:p>
      <w:pPr>
        <w:pStyle w:val="TextBody"/>
        <w:bidi w:val="0"/>
        <w:spacing w:before="240" w:after="0"/>
        <w:jc w:val="both"/>
        <w:rPr>
          <w:rFonts w:ascii="ARIAL" w:hAnsi="ARIAL"/>
          <w:sz w:val="20"/>
        </w:rPr>
      </w:pPr>
      <w:r>
        <w:rPr>
          <w:rFonts w:ascii="ARIAL" w:hAnsi="ARIAL"/>
          <w:sz w:val="20"/>
        </w:rPr>
        <w:t xml:space="preserve">The Company’s executive officers, including the NEOs, are eligible to participate in the benefit plans that are available to substantially all of the Company’s employees, including our 401(k) plan described above, medical, dental and life insurance plans and long-term disability plans. None of the NEOs participate in a defined benefit pension plan. </w:t>
      </w:r>
    </w:p>
    <w:p>
      <w:pPr>
        <w:pStyle w:val="TextBody"/>
        <w:bidi w:val="0"/>
        <w:spacing w:before="240" w:after="0"/>
        <w:jc w:val="both"/>
        <w:rPr>
          <w:rFonts w:ascii="ARIAL" w:hAnsi="ARIAL"/>
          <w:sz w:val="20"/>
        </w:rPr>
      </w:pPr>
      <w:r>
        <w:rPr>
          <w:rFonts w:ascii="ARIAL" w:hAnsi="ARIAL"/>
          <w:sz w:val="20"/>
        </w:rPr>
        <w:t xml:space="preserve">We provide limited perquisites to our NEOs, including an internet stipend and reimbursement of business expenses. </w:t>
      </w:r>
    </w:p>
    <w:p>
      <w:pPr>
        <w:pStyle w:val="TextBody"/>
        <w:bidi w:val="0"/>
        <w:spacing w:before="240" w:after="0"/>
        <w:jc w:val="left"/>
        <w:rPr>
          <w:rFonts w:ascii="ARIAL" w:hAnsi="ARIAL"/>
          <w:b/>
          <w:i/>
          <w:color w:val="4B6D97"/>
          <w:sz w:val="20"/>
        </w:rPr>
      </w:pPr>
      <w:r>
        <w:rPr>
          <w:rFonts w:ascii="ARIAL" w:hAnsi="ARIAL"/>
          <w:b/>
          <w:i/>
          <w:color w:val="4B6D97"/>
          <w:sz w:val="20"/>
        </w:rPr>
        <w:t xml:space="preserve">Impact of Tax and Accounting </w:t>
      </w:r>
    </w:p>
    <w:p>
      <w:pPr>
        <w:pStyle w:val="TextBody"/>
        <w:bidi w:val="0"/>
        <w:spacing w:before="240" w:after="0"/>
        <w:jc w:val="both"/>
        <w:rPr>
          <w:rFonts w:ascii="ARIAL" w:hAnsi="ARIAL"/>
          <w:sz w:val="20"/>
        </w:rPr>
      </w:pPr>
      <w:r>
        <w:rPr>
          <w:rFonts w:ascii="ARIAL" w:hAnsi="ARIAL"/>
          <w:sz w:val="20"/>
        </w:rPr>
        <w:t xml:space="preserve">We regularly consider the various tax and accounting implications of our compensation plans. When determining the amount of long-term incentives and equity grants to executives and employees, the compensation costs associated with the grants are reviewed, as required by FASB ASC Topic 718.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53 </w:t>
      </w:r>
      <w:r>
        <w:br w:type="page"/>
      </w:r>
    </w:p>
    <w:p>
      <w:pPr>
        <w:pStyle w:val="HorizontalLine"/>
        <w:bidi w:val="0"/>
        <w:jc w:val="left"/>
        <w:rPr/>
      </w:pPr>
      <w:r>
        <w:rPr/>
      </w:r>
    </w:p>
    <w:p>
      <w:pPr>
        <w:pStyle w:val="TextBody"/>
        <w:bidi w:val="0"/>
        <w:spacing w:before="0" w:after="0"/>
        <w:jc w:val="both"/>
        <w:rPr>
          <w:rFonts w:ascii="ARIAL" w:hAnsi="ARIAL"/>
          <w:sz w:val="20"/>
        </w:rPr>
      </w:pPr>
      <w:r>
        <w:rPr>
          <w:rFonts w:ascii="ARIAL" w:hAnsi="ARIAL"/>
          <w:sz w:val="20"/>
        </w:rPr>
        <w:t xml:space="preserve">While considering tax deductibility as only one of several considerations in determining compensation, the Committee believes that the tax deduction limitation should not compromise its ability to structure compensation programs that provide benefits to the Company that outweigh the potential benefit of a tax deduction and, therefore, may approve compensation that is not deductible for tax purposes. </w:t>
      </w:r>
    </w:p>
    <w:p>
      <w:pPr>
        <w:pStyle w:val="TextBody"/>
        <w:bidi w:val="0"/>
        <w:spacing w:before="240" w:after="0"/>
        <w:jc w:val="left"/>
        <w:rPr>
          <w:rFonts w:ascii="ARIAL" w:hAnsi="ARIAL"/>
          <w:b/>
          <w:color w:val="1F497D"/>
          <w:sz w:val="20"/>
        </w:rPr>
      </w:pPr>
      <w:bookmarkStart w:id="32" w:name="txa496243_30"/>
      <w:bookmarkEnd w:id="32"/>
      <w:r>
        <w:rPr>
          <w:rFonts w:ascii="ARIAL" w:hAnsi="ARIAL"/>
          <w:b/>
          <w:color w:val="1F497D"/>
          <w:sz w:val="20"/>
        </w:rPr>
        <w:t xml:space="preserve">Compensation Committee Report </w:t>
      </w:r>
    </w:p>
    <w:p>
      <w:pPr>
        <w:pStyle w:val="TextBody"/>
        <w:bidi w:val="0"/>
        <w:spacing w:before="240" w:after="0"/>
        <w:jc w:val="both"/>
        <w:rPr>
          <w:rFonts w:ascii="ARIAL" w:hAnsi="ARIAL"/>
          <w:sz w:val="20"/>
        </w:rPr>
      </w:pPr>
      <w:r>
        <w:rPr>
          <w:rFonts w:ascii="ARIAL" w:hAnsi="ARIAL"/>
          <w:sz w:val="20"/>
        </w:rPr>
        <w:t xml:space="preserve">The Compensation Committee has reviewed and discussed the “Compensation Discussion and Analysis” contained in this proxy statement with management. Based on its review and discussions, the Compensation Committee recommended to the Board that the “Compensation Discussion and Analysis” be included in this proxy statement and incorporated by reference into the Company’s Annual Report on Form 10-K for the year ended December 31, 2023. </w:t>
      </w:r>
    </w:p>
    <w:p>
      <w:pPr>
        <w:pStyle w:val="TextBody"/>
        <w:bidi w:val="0"/>
        <w:spacing w:before="0" w:after="0"/>
        <w:jc w:val="left"/>
        <w:rPr/>
      </w:pPr>
      <w:r>
        <w:rPr/>
        <w:t> </w:t>
      </w:r>
    </w:p>
    <w:tbl>
      <w:tblPr>
        <w:tblW w:w="3005" w:type="dxa"/>
        <w:jc w:val="left"/>
        <w:tblInd w:w="0" w:type="dxa"/>
        <w:tblLayout w:type="fixed"/>
        <w:tblCellMar>
          <w:top w:w="0" w:type="dxa"/>
          <w:left w:w="0" w:type="dxa"/>
          <w:bottom w:w="0" w:type="dxa"/>
          <w:right w:w="0" w:type="dxa"/>
        </w:tblCellMar>
      </w:tblPr>
      <w:tblGrid>
        <w:gridCol w:w="3005"/>
      </w:tblGrid>
      <w:tr>
        <w:trPr/>
        <w:tc>
          <w:tcPr>
            <w:tcW w:w="3005"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pPr>
            <w:r>
              <w:rPr/>
              <w:t>The Compensation Committee:</w:t>
            </w:r>
          </w:p>
        </w:tc>
      </w:tr>
      <w:tr>
        <w:trPr/>
        <w:tc>
          <w:tcPr>
            <w:tcW w:w="3005"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pPr>
            <w:r>
              <w:rPr/>
              <w:t>Robbert Vorhoff, Chairman</w:t>
            </w:r>
          </w:p>
        </w:tc>
      </w:tr>
      <w:tr>
        <w:trPr/>
        <w:tc>
          <w:tcPr>
            <w:tcW w:w="3005" w:type="dxa"/>
            <w:tcBorders/>
            <w:vAlign w:val="center"/>
          </w:tcPr>
          <w:p>
            <w:pPr>
              <w:pStyle w:val="TableContents"/>
              <w:bidi w:val="0"/>
              <w:spacing w:before="0" w:after="283"/>
              <w:jc w:val="left"/>
              <w:rPr/>
            </w:pPr>
            <w:r>
              <w:rPr/>
              <w:t>Thomas Carella</w:t>
            </w:r>
          </w:p>
        </w:tc>
      </w:tr>
      <w:tr>
        <w:trPr/>
        <w:tc>
          <w:tcPr>
            <w:tcW w:w="3005" w:type="dxa"/>
            <w:tcBorders/>
            <w:vAlign w:val="center"/>
          </w:tcPr>
          <w:p>
            <w:pPr>
              <w:pStyle w:val="TableContents"/>
              <w:bidi w:val="0"/>
              <w:spacing w:before="0" w:after="283"/>
              <w:jc w:val="left"/>
              <w:rPr/>
            </w:pPr>
            <w:r>
              <w:rPr/>
              <w:t>Jacqueline Kosecoff</w:t>
            </w:r>
          </w:p>
        </w:tc>
      </w:tr>
    </w:tbl>
    <w:p>
      <w:pPr>
        <w:pStyle w:val="TextBody"/>
        <w:bidi w:val="0"/>
        <w:spacing w:before="240" w:after="0"/>
        <w:jc w:val="both"/>
        <w:rPr>
          <w:rFonts w:ascii="ARIAL" w:hAnsi="ARIAL"/>
          <w:i/>
          <w:sz w:val="20"/>
        </w:rPr>
      </w:pPr>
      <w:r>
        <w:rPr>
          <w:rFonts w:ascii="ARIAL" w:hAnsi="ARIAL"/>
          <w:i/>
          <w:sz w:val="20"/>
        </w:rPr>
        <w:t xml:space="preserve">This report shall not be deemed soliciting material or to be filed with the SEC, or incorporated by reference in any document so filed, whether made before or after the date hereof, except to the extent we specifically request that it be treated as soliciting material or it is specifically incorporated by reference therein.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54 </w:t>
      </w:r>
      <w:r>
        <w:br w:type="page"/>
      </w:r>
    </w:p>
    <w:p>
      <w:pPr>
        <w:pStyle w:val="HorizontalLine"/>
        <w:bidi w:val="0"/>
        <w:jc w:val="left"/>
        <w:rPr/>
      </w:pPr>
      <w:r>
        <w:rPr/>
      </w:r>
    </w:p>
    <w:p>
      <w:pPr>
        <w:pStyle w:val="TextBody"/>
        <w:bidi w:val="0"/>
        <w:spacing w:before="0" w:after="0"/>
        <w:jc w:val="center"/>
        <w:rPr>
          <w:rFonts w:ascii="ARIAL" w:hAnsi="ARIAL"/>
          <w:b/>
          <w:sz w:val="20"/>
        </w:rPr>
      </w:pPr>
      <w:bookmarkStart w:id="33" w:name="txa496243_31"/>
      <w:bookmarkEnd w:id="33"/>
      <w:r>
        <w:rPr>
          <w:rFonts w:ascii="ARIAL" w:hAnsi="ARIAL"/>
          <w:b/>
          <w:sz w:val="20"/>
        </w:rPr>
        <w:t xml:space="preserve">EXECUTIVE AND DIRECTOR COMPENSATION </w:t>
      </w:r>
    </w:p>
    <w:p>
      <w:pPr>
        <w:pStyle w:val="TextBody"/>
        <w:bidi w:val="0"/>
        <w:spacing w:before="240" w:after="0"/>
        <w:jc w:val="left"/>
        <w:rPr>
          <w:rFonts w:ascii="ARIAL" w:hAnsi="ARIAL"/>
          <w:i/>
          <w:sz w:val="20"/>
        </w:rPr>
      </w:pPr>
      <w:r>
        <w:rPr>
          <w:rFonts w:ascii="ARIAL" w:hAnsi="ARIAL"/>
          <w:i/>
          <w:sz w:val="20"/>
        </w:rPr>
        <w:t xml:space="preserve">Unless we state otherwise or the context otherwise requires, in this “Executive and Director Compensation” section the terms “Alignment,” “we,” “us,” “our” and the “Company” refer to Alignment Healthcare Holdings, LLC for the period up to our IPO, and for all periods following our IPO in March 2021, to Alignment Healthcare, Inc. “Alignment Partners” refers to Alignment Healthcare Partners, LP, a Delaware limited partnership, which, prior to the reorganization undertaken in connection with the IPO, was the sole member of Alignment Healthcare Holdings, LLC. </w:t>
      </w:r>
    </w:p>
    <w:p>
      <w:pPr>
        <w:pStyle w:val="TextBody"/>
        <w:bidi w:val="0"/>
        <w:spacing w:before="240" w:after="0"/>
        <w:jc w:val="left"/>
        <w:rPr>
          <w:rFonts w:ascii="ARIAL" w:hAnsi="ARIAL"/>
          <w:sz w:val="20"/>
        </w:rPr>
      </w:pPr>
      <w:r>
        <w:rPr>
          <w:rFonts w:ascii="ARIAL" w:hAnsi="ARIAL"/>
          <w:sz w:val="20"/>
        </w:rPr>
        <w:t xml:space="preserve">This section discusses the material components of the executive compensation program for our Chief Executive Officer, Chief Financial Officer and our three other most highly compensated officers as of December 31, 2023, who we refer to as our “Named Executive Officers” or “NEOs.” This discussion may contain forward-looking statements that are based on our current plans, considerations, expectations and determinations regarding future compensation programs. Actual compensation programs that we adopt in the future may differ materially from the currently planned programs summarized in this discussion. </w:t>
      </w:r>
    </w:p>
    <w:p>
      <w:pPr>
        <w:pStyle w:val="TextBody"/>
        <w:bidi w:val="0"/>
        <w:spacing w:before="360" w:after="0"/>
        <w:jc w:val="left"/>
        <w:rPr>
          <w:rFonts w:ascii="ARIAL" w:hAnsi="ARIAL"/>
          <w:b/>
          <w:color w:val="1F497D"/>
          <w:sz w:val="20"/>
        </w:rPr>
      </w:pPr>
      <w:r>
        <w:rPr>
          <w:rFonts w:ascii="ARIAL" w:hAnsi="ARIAL"/>
          <w:b/>
          <w:color w:val="1F497D"/>
          <w:sz w:val="20"/>
        </w:rPr>
        <w:t xml:space="preserve">Summary Compensation Table </w:t>
      </w:r>
    </w:p>
    <w:p>
      <w:pPr>
        <w:pStyle w:val="TextBody"/>
        <w:bidi w:val="0"/>
        <w:spacing w:before="240" w:after="0"/>
        <w:jc w:val="left"/>
        <w:rPr>
          <w:rFonts w:ascii="ARIAL" w:hAnsi="ARIAL"/>
          <w:sz w:val="20"/>
        </w:rPr>
      </w:pPr>
      <w:r>
        <w:rPr>
          <w:rFonts w:ascii="ARIAL" w:hAnsi="ARIAL"/>
          <w:sz w:val="20"/>
        </w:rPr>
        <w:t xml:space="preserve">The following table presents summary information regarding the total compensation awarded to, earned by, and paid to our Named Executive Officers for the fiscal years ending December 31, 2023, December 31, 2022, and December 31, 2021, as applicable.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76"/>
        <w:gridCol w:w="120"/>
        <w:gridCol w:w="1205"/>
        <w:gridCol w:w="120"/>
        <w:gridCol w:w="951"/>
        <w:gridCol w:w="120"/>
        <w:gridCol w:w="927"/>
        <w:gridCol w:w="120"/>
        <w:gridCol w:w="1100"/>
        <w:gridCol w:w="120"/>
        <w:gridCol w:w="1100"/>
        <w:gridCol w:w="120"/>
        <w:gridCol w:w="980"/>
        <w:gridCol w:w="120"/>
        <w:gridCol w:w="890"/>
        <w:gridCol w:w="120"/>
        <w:gridCol w:w="1116"/>
      </w:tblGrid>
      <w:tr>
        <w:trPr/>
        <w:tc>
          <w:tcPr>
            <w:tcW w:w="9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976" w:type="dxa"/>
            <w:tcBorders>
              <w:bottom w:val="single" w:sz="8" w:space="0" w:color="95B3D7"/>
            </w:tcBorders>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205" w:type="dxa"/>
            <w:tcBorders>
              <w:bottom w:val="single" w:sz="8" w:space="0" w:color="95B3D7"/>
            </w:tcBorders>
            <w:tcMar>
              <w:bottom w:w="28" w:type="dxa"/>
            </w:tcMar>
            <w:vAlign w:val="center"/>
          </w:tcPr>
          <w:p>
            <w:pPr>
              <w:pStyle w:val="TableContents"/>
              <w:bidi w:val="0"/>
              <w:spacing w:before="0" w:after="283"/>
              <w:jc w:val="center"/>
              <w:rPr/>
            </w:pPr>
            <w:r>
              <w:rPr/>
              <w:t>   </w:t>
            </w:r>
            <w:r>
              <w:rPr/>
              <w:t>Year</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951" w:type="dxa"/>
            <w:tcBorders>
              <w:bottom w:val="single" w:sz="8" w:space="0" w:color="95B3D7"/>
            </w:tcBorders>
            <w:tcMar>
              <w:bottom w:w="28" w:type="dxa"/>
            </w:tcMar>
            <w:vAlign w:val="center"/>
          </w:tcPr>
          <w:p>
            <w:pPr>
              <w:pStyle w:val="TableContents"/>
              <w:bidi w:val="0"/>
              <w:spacing w:before="0" w:after="0"/>
              <w:jc w:val="center"/>
              <w:rPr/>
            </w:pPr>
            <w:r>
              <w:rPr/>
              <w:t>  </w:t>
            </w:r>
            <w:r>
              <w:rPr>
                <w:rFonts w:ascii="ARIAL" w:hAnsi="ARIAL"/>
                <w:sz w:val="14"/>
              </w:rPr>
              <w:t>Salary  </w:t>
            </w:r>
          </w:p>
          <w:p>
            <w:pPr>
              <w:pStyle w:val="TableContents"/>
              <w:bidi w:val="0"/>
              <w:spacing w:before="0" w:after="20"/>
              <w:jc w:val="center"/>
              <w:rPr/>
            </w:pPr>
            <w:r>
              <w:rPr/>
              <w:t>  </w:t>
            </w:r>
            <w:r>
              <w:rPr>
                <w:rFonts w:ascii="ARIAL" w:hAnsi="ARIAL"/>
                <w:sz w:val="14"/>
              </w:rPr>
              <w:t>($)  </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927" w:type="dxa"/>
            <w:tcBorders>
              <w:bottom w:val="single" w:sz="8" w:space="0" w:color="95B3D7"/>
            </w:tcBorders>
            <w:tcMar>
              <w:bottom w:w="28" w:type="dxa"/>
            </w:tcMar>
            <w:vAlign w:val="center"/>
          </w:tcPr>
          <w:p>
            <w:pPr>
              <w:pStyle w:val="TableContents"/>
              <w:bidi w:val="0"/>
              <w:spacing w:before="0" w:after="0"/>
              <w:jc w:val="center"/>
              <w:rPr>
                <w:rFonts w:ascii="ARIAL" w:hAnsi="ARIAL"/>
                <w:sz w:val="14"/>
              </w:rPr>
            </w:pPr>
            <w:r>
              <w:rPr>
                <w:rFonts w:ascii="ARIAL" w:hAnsi="ARIAL"/>
                <w:sz w:val="14"/>
              </w:rPr>
              <w:t>Bonus</w:t>
            </w:r>
          </w:p>
          <w:p>
            <w:pPr>
              <w:pStyle w:val="TableContents"/>
              <w:bidi w:val="0"/>
              <w:spacing w:before="0" w:after="20"/>
              <w:jc w:val="center"/>
              <w:rPr>
                <w:rFonts w:ascii="ARIAL" w:hAnsi="ARIAL"/>
                <w:sz w:val="14"/>
              </w:rPr>
            </w:pPr>
            <w:r>
              <w:rPr>
                <w:rFonts w:ascii="ARIAL" w:hAnsi="ARIAL"/>
                <w:sz w:val="14"/>
              </w:rPr>
              <w:t>($)(1)</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100" w:type="dxa"/>
            <w:tcBorders>
              <w:bottom w:val="single" w:sz="8" w:space="0" w:color="95B3D7"/>
            </w:tcBorders>
            <w:tcMar>
              <w:bottom w:w="28" w:type="dxa"/>
            </w:tcMar>
            <w:vAlign w:val="center"/>
          </w:tcPr>
          <w:p>
            <w:pPr>
              <w:pStyle w:val="TableContents"/>
              <w:bidi w:val="0"/>
              <w:spacing w:before="0" w:after="0"/>
              <w:jc w:val="center"/>
              <w:rPr>
                <w:rFonts w:ascii="ARIAL" w:hAnsi="ARIAL"/>
                <w:sz w:val="14"/>
              </w:rPr>
            </w:pPr>
            <w:r>
              <w:rPr>
                <w:rFonts w:ascii="ARIAL" w:hAnsi="ARIAL"/>
                <w:sz w:val="14"/>
              </w:rPr>
              <w:t>Stock</w:t>
            </w:r>
          </w:p>
          <w:p>
            <w:pPr>
              <w:pStyle w:val="TableContents"/>
              <w:bidi w:val="0"/>
              <w:spacing w:before="0" w:after="0"/>
              <w:jc w:val="center"/>
              <w:rPr>
                <w:rFonts w:ascii="ARIAL" w:hAnsi="ARIAL"/>
                <w:sz w:val="14"/>
              </w:rPr>
            </w:pPr>
            <w:r>
              <w:rPr>
                <w:rFonts w:ascii="ARIAL" w:hAnsi="ARIAL"/>
                <w:sz w:val="14"/>
              </w:rPr>
              <w:t>Awards(2)</w:t>
            </w:r>
          </w:p>
          <w:p>
            <w:pPr>
              <w:pStyle w:val="TableContents"/>
              <w:bidi w:val="0"/>
              <w:spacing w:before="0" w:after="20"/>
              <w:jc w:val="center"/>
              <w:rPr>
                <w:rFonts w:ascii="ARIAL" w:hAnsi="ARIAL"/>
                <w:sz w:val="14"/>
              </w:rPr>
            </w:pPr>
            <w:r>
              <w:rPr>
                <w:rFonts w:ascii="ARIAL" w:hAnsi="ARIAL"/>
                <w:sz w:val="14"/>
              </w:rPr>
              <w:t>($)</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100" w:type="dxa"/>
            <w:tcBorders>
              <w:bottom w:val="single" w:sz="8" w:space="0" w:color="95B3D7"/>
            </w:tcBorders>
            <w:tcMar>
              <w:bottom w:w="28" w:type="dxa"/>
            </w:tcMar>
            <w:vAlign w:val="center"/>
          </w:tcPr>
          <w:p>
            <w:pPr>
              <w:pStyle w:val="TableContents"/>
              <w:bidi w:val="0"/>
              <w:spacing w:before="0" w:after="0"/>
              <w:jc w:val="center"/>
              <w:rPr>
                <w:rFonts w:ascii="ARIAL" w:hAnsi="ARIAL"/>
                <w:sz w:val="14"/>
              </w:rPr>
            </w:pPr>
            <w:r>
              <w:rPr>
                <w:rFonts w:ascii="ARIAL" w:hAnsi="ARIAL"/>
                <w:sz w:val="14"/>
              </w:rPr>
              <w:t>Option</w:t>
            </w:r>
          </w:p>
          <w:p>
            <w:pPr>
              <w:pStyle w:val="TableContents"/>
              <w:bidi w:val="0"/>
              <w:spacing w:before="0" w:after="0"/>
              <w:jc w:val="center"/>
              <w:rPr>
                <w:rFonts w:ascii="ARIAL" w:hAnsi="ARIAL"/>
                <w:sz w:val="14"/>
              </w:rPr>
            </w:pPr>
            <w:r>
              <w:rPr>
                <w:rFonts w:ascii="ARIAL" w:hAnsi="ARIAL"/>
                <w:sz w:val="14"/>
              </w:rPr>
              <w:t>Awards(3)</w:t>
            </w:r>
          </w:p>
          <w:p>
            <w:pPr>
              <w:pStyle w:val="TableContents"/>
              <w:bidi w:val="0"/>
              <w:spacing w:before="0" w:after="20"/>
              <w:jc w:val="center"/>
              <w:rPr>
                <w:rFonts w:ascii="ARIAL" w:hAnsi="ARIAL"/>
                <w:sz w:val="14"/>
              </w:rPr>
            </w:pPr>
            <w:r>
              <w:rPr>
                <w:rFonts w:ascii="ARIAL" w:hAnsi="ARIAL"/>
                <w:sz w:val="14"/>
              </w:rPr>
              <w:t>($)</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980" w:type="dxa"/>
            <w:tcBorders>
              <w:bottom w:val="single" w:sz="8" w:space="0" w:color="95B3D7"/>
            </w:tcBorders>
            <w:tcMar>
              <w:bottom w:w="28" w:type="dxa"/>
            </w:tcMar>
            <w:vAlign w:val="center"/>
          </w:tcPr>
          <w:p>
            <w:pPr>
              <w:pStyle w:val="TableContents"/>
              <w:bidi w:val="0"/>
              <w:spacing w:before="0" w:after="0"/>
              <w:jc w:val="center"/>
              <w:rPr>
                <w:rFonts w:ascii="ARIAL" w:hAnsi="ARIAL"/>
                <w:sz w:val="14"/>
              </w:rPr>
            </w:pPr>
            <w:r>
              <w:rPr>
                <w:rFonts w:ascii="ARIAL" w:hAnsi="ARIAL"/>
                <w:sz w:val="14"/>
              </w:rPr>
              <w:t>Non-Equity</w:t>
            </w:r>
          </w:p>
          <w:p>
            <w:pPr>
              <w:pStyle w:val="TableContents"/>
              <w:bidi w:val="0"/>
              <w:spacing w:before="0" w:after="0"/>
              <w:jc w:val="center"/>
              <w:rPr>
                <w:rFonts w:ascii="ARIAL" w:hAnsi="ARIAL"/>
                <w:sz w:val="14"/>
              </w:rPr>
            </w:pPr>
            <w:r>
              <w:rPr>
                <w:rFonts w:ascii="ARIAL" w:hAnsi="ARIAL"/>
                <w:sz w:val="14"/>
              </w:rPr>
              <w:t>Incentive Plan</w:t>
            </w:r>
          </w:p>
          <w:p>
            <w:pPr>
              <w:pStyle w:val="TableContents"/>
              <w:bidi w:val="0"/>
              <w:spacing w:before="0" w:after="0"/>
              <w:jc w:val="center"/>
              <w:rPr>
                <w:rFonts w:ascii="ARIAL" w:hAnsi="ARIAL"/>
                <w:sz w:val="14"/>
              </w:rPr>
            </w:pPr>
            <w:r>
              <w:rPr>
                <w:rFonts w:ascii="ARIAL" w:hAnsi="ARIAL"/>
                <w:sz w:val="14"/>
              </w:rPr>
              <w:t>Compensation</w:t>
              <w:br/>
              <w:t>(4)</w:t>
            </w:r>
          </w:p>
          <w:p>
            <w:pPr>
              <w:pStyle w:val="TableContents"/>
              <w:bidi w:val="0"/>
              <w:spacing w:before="0" w:after="20"/>
              <w:jc w:val="center"/>
              <w:rPr>
                <w:rFonts w:ascii="ARIAL" w:hAnsi="ARIAL"/>
                <w:sz w:val="14"/>
              </w:rPr>
            </w:pPr>
            <w:r>
              <w:rPr>
                <w:rFonts w:ascii="ARIAL" w:hAnsi="ARIAL"/>
                <w:sz w:val="14"/>
              </w:rPr>
              <w:t>($)</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890" w:type="dxa"/>
            <w:tcBorders>
              <w:bottom w:val="single" w:sz="8" w:space="0" w:color="95B3D7"/>
            </w:tcBorders>
            <w:tcMar>
              <w:bottom w:w="28" w:type="dxa"/>
            </w:tcMar>
            <w:vAlign w:val="center"/>
          </w:tcPr>
          <w:p>
            <w:pPr>
              <w:pStyle w:val="TableContents"/>
              <w:bidi w:val="0"/>
              <w:spacing w:before="0" w:after="0"/>
              <w:jc w:val="center"/>
              <w:rPr>
                <w:rFonts w:ascii="ARIAL" w:hAnsi="ARIAL"/>
                <w:sz w:val="14"/>
              </w:rPr>
            </w:pPr>
            <w:r>
              <w:rPr>
                <w:rFonts w:ascii="ARIAL" w:hAnsi="ARIAL"/>
                <w:sz w:val="14"/>
              </w:rPr>
              <w:t>All Other</w:t>
            </w:r>
          </w:p>
          <w:p>
            <w:pPr>
              <w:pStyle w:val="TableContents"/>
              <w:bidi w:val="0"/>
              <w:spacing w:before="0" w:after="0"/>
              <w:jc w:val="center"/>
              <w:rPr>
                <w:rFonts w:ascii="ARIAL" w:hAnsi="ARIAL"/>
                <w:sz w:val="14"/>
              </w:rPr>
            </w:pPr>
            <w:r>
              <w:rPr>
                <w:rFonts w:ascii="ARIAL" w:hAnsi="ARIAL"/>
                <w:sz w:val="14"/>
              </w:rPr>
              <w:t>Compensation</w:t>
              <w:br/>
              <w:t>(5)</w:t>
            </w:r>
          </w:p>
          <w:p>
            <w:pPr>
              <w:pStyle w:val="TableContents"/>
              <w:bidi w:val="0"/>
              <w:spacing w:before="0" w:after="20"/>
              <w:jc w:val="center"/>
              <w:rPr>
                <w:rFonts w:ascii="ARIAL" w:hAnsi="ARIAL"/>
                <w:sz w:val="14"/>
              </w:rPr>
            </w:pPr>
            <w:r>
              <w:rPr>
                <w:rFonts w:ascii="ARIAL" w:hAnsi="ARIAL"/>
                <w:sz w:val="14"/>
              </w:rPr>
              <w:t>($)</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116" w:type="dxa"/>
            <w:tcBorders>
              <w:bottom w:val="single" w:sz="8" w:space="0" w:color="95B3D7"/>
            </w:tcBorders>
            <w:tcMar>
              <w:bottom w:w="28" w:type="dxa"/>
            </w:tcMar>
            <w:vAlign w:val="center"/>
          </w:tcPr>
          <w:p>
            <w:pPr>
              <w:pStyle w:val="TableContents"/>
              <w:bidi w:val="0"/>
              <w:spacing w:before="0" w:after="0"/>
              <w:jc w:val="center"/>
              <w:rPr>
                <w:rFonts w:ascii="ARIAL" w:hAnsi="ARIAL"/>
                <w:sz w:val="14"/>
              </w:rPr>
            </w:pPr>
            <w:r>
              <w:rPr>
                <w:rFonts w:ascii="ARIAL" w:hAnsi="ARIAL"/>
                <w:sz w:val="14"/>
              </w:rPr>
              <w:t>Total</w:t>
            </w:r>
          </w:p>
          <w:p>
            <w:pPr>
              <w:pStyle w:val="TableContents"/>
              <w:bidi w:val="0"/>
              <w:spacing w:before="0" w:after="20"/>
              <w:jc w:val="center"/>
              <w:rPr>
                <w:rFonts w:ascii="ARIAL" w:hAnsi="ARIAL"/>
                <w:sz w:val="14"/>
              </w:rPr>
            </w:pPr>
            <w:r>
              <w:rPr>
                <w:rFonts w:ascii="ARIAL" w:hAnsi="ARIAL"/>
                <w:sz w:val="14"/>
              </w:rPr>
              <w:t>($)</w:t>
            </w:r>
          </w:p>
        </w:tc>
      </w:tr>
      <w:tr>
        <w:trPr/>
        <w:tc>
          <w:tcPr>
            <w:tcW w:w="976" w:type="dxa"/>
            <w:tcBorders/>
            <w:shd w:fill="DBE5F1" w:val="clear"/>
            <w:vAlign w:val="center"/>
          </w:tcPr>
          <w:p>
            <w:pPr>
              <w:pStyle w:val="TableContents"/>
              <w:bidi w:val="0"/>
              <w:spacing w:before="0" w:after="283"/>
              <w:jc w:val="left"/>
              <w:rPr>
                <w:sz w:val="4"/>
                <w:szCs w:val="4"/>
              </w:rPr>
            </w:pPr>
            <w:r>
              <w:rPr>
                <w:sz w:val="4"/>
                <w:szCs w:val="4"/>
              </w:rPr>
            </w:r>
          </w:p>
        </w:tc>
        <w:tc>
          <w:tcPr>
            <w:tcW w:w="1325" w:type="dxa"/>
            <w:gridSpan w:val="2"/>
            <w:tcBorders/>
            <w:shd w:fill="DBE5F1" w:val="clear"/>
            <w:vAlign w:val="center"/>
          </w:tcPr>
          <w:p>
            <w:pPr>
              <w:pStyle w:val="TableContents"/>
              <w:bidi w:val="0"/>
              <w:spacing w:before="0" w:after="283"/>
              <w:jc w:val="left"/>
              <w:rPr>
                <w:sz w:val="4"/>
                <w:szCs w:val="4"/>
              </w:rPr>
            </w:pPr>
            <w:r>
              <w:rPr>
                <w:sz w:val="4"/>
                <w:szCs w:val="4"/>
              </w:rPr>
            </w:r>
          </w:p>
        </w:tc>
        <w:tc>
          <w:tcPr>
            <w:tcW w:w="1071" w:type="dxa"/>
            <w:gridSpan w:val="2"/>
            <w:tcBorders/>
            <w:shd w:fill="DBE5F1" w:val="clear"/>
            <w:vAlign w:val="center"/>
          </w:tcPr>
          <w:p>
            <w:pPr>
              <w:pStyle w:val="TableContents"/>
              <w:bidi w:val="0"/>
              <w:spacing w:before="0" w:after="283"/>
              <w:jc w:val="left"/>
              <w:rPr>
                <w:sz w:val="4"/>
                <w:szCs w:val="4"/>
              </w:rPr>
            </w:pPr>
            <w:r>
              <w:rPr>
                <w:sz w:val="4"/>
                <w:szCs w:val="4"/>
              </w:rPr>
            </w:r>
          </w:p>
        </w:tc>
        <w:tc>
          <w:tcPr>
            <w:tcW w:w="1047" w:type="dxa"/>
            <w:gridSpan w:val="2"/>
            <w:tcBorders/>
            <w:shd w:fill="DBE5F1" w:val="clear"/>
            <w:vAlign w:val="center"/>
          </w:tcPr>
          <w:p>
            <w:pPr>
              <w:pStyle w:val="TableContents"/>
              <w:bidi w:val="0"/>
              <w:spacing w:before="0" w:after="283"/>
              <w:jc w:val="left"/>
              <w:rPr>
                <w:sz w:val="4"/>
                <w:szCs w:val="4"/>
              </w:rPr>
            </w:pPr>
            <w:r>
              <w:rPr>
                <w:sz w:val="4"/>
                <w:szCs w:val="4"/>
              </w:rPr>
            </w:r>
          </w:p>
        </w:tc>
        <w:tc>
          <w:tcPr>
            <w:tcW w:w="1220" w:type="dxa"/>
            <w:gridSpan w:val="2"/>
            <w:tcBorders/>
            <w:shd w:fill="DBE5F1" w:val="clear"/>
            <w:vAlign w:val="center"/>
          </w:tcPr>
          <w:p>
            <w:pPr>
              <w:pStyle w:val="TableContents"/>
              <w:bidi w:val="0"/>
              <w:spacing w:before="0" w:after="283"/>
              <w:jc w:val="left"/>
              <w:rPr>
                <w:sz w:val="4"/>
                <w:szCs w:val="4"/>
              </w:rPr>
            </w:pPr>
            <w:r>
              <w:rPr>
                <w:sz w:val="4"/>
                <w:szCs w:val="4"/>
              </w:rPr>
            </w:r>
          </w:p>
        </w:tc>
        <w:tc>
          <w:tcPr>
            <w:tcW w:w="1220" w:type="dxa"/>
            <w:gridSpan w:val="2"/>
            <w:tcBorders/>
            <w:shd w:fill="DBE5F1" w:val="clear"/>
            <w:vAlign w:val="center"/>
          </w:tcPr>
          <w:p>
            <w:pPr>
              <w:pStyle w:val="TableContents"/>
              <w:bidi w:val="0"/>
              <w:spacing w:before="0" w:after="283"/>
              <w:jc w:val="left"/>
              <w:rPr>
                <w:sz w:val="4"/>
                <w:szCs w:val="4"/>
              </w:rPr>
            </w:pPr>
            <w:r>
              <w:rPr>
                <w:sz w:val="4"/>
                <w:szCs w:val="4"/>
              </w:rPr>
            </w:r>
          </w:p>
        </w:tc>
        <w:tc>
          <w:tcPr>
            <w:tcW w:w="1100" w:type="dxa"/>
            <w:gridSpan w:val="2"/>
            <w:tcBorders/>
            <w:shd w:fill="DBE5F1" w:val="clear"/>
            <w:vAlign w:val="center"/>
          </w:tcPr>
          <w:p>
            <w:pPr>
              <w:pStyle w:val="TableContents"/>
              <w:bidi w:val="0"/>
              <w:spacing w:before="0" w:after="283"/>
              <w:jc w:val="left"/>
              <w:rPr>
                <w:sz w:val="4"/>
                <w:szCs w:val="4"/>
              </w:rPr>
            </w:pPr>
            <w:r>
              <w:rPr>
                <w:sz w:val="4"/>
                <w:szCs w:val="4"/>
              </w:rPr>
            </w:r>
          </w:p>
        </w:tc>
        <w:tc>
          <w:tcPr>
            <w:tcW w:w="1010" w:type="dxa"/>
            <w:gridSpan w:val="2"/>
            <w:tcBorders/>
            <w:shd w:fill="DBE5F1" w:val="clear"/>
            <w:vAlign w:val="center"/>
          </w:tcPr>
          <w:p>
            <w:pPr>
              <w:pStyle w:val="TableContents"/>
              <w:bidi w:val="0"/>
              <w:spacing w:before="0" w:after="283"/>
              <w:jc w:val="left"/>
              <w:rPr>
                <w:sz w:val="4"/>
                <w:szCs w:val="4"/>
              </w:rPr>
            </w:pPr>
            <w:r>
              <w:rPr>
                <w:sz w:val="4"/>
                <w:szCs w:val="4"/>
              </w:rPr>
            </w:r>
          </w:p>
        </w:tc>
        <w:tc>
          <w:tcPr>
            <w:tcW w:w="1236" w:type="dxa"/>
            <w:gridSpan w:val="2"/>
            <w:tcBorders/>
            <w:shd w:fill="DBE5F1" w:val="clear"/>
            <w:vAlign w:val="center"/>
          </w:tcPr>
          <w:p>
            <w:pPr>
              <w:pStyle w:val="TableContents"/>
              <w:bidi w:val="0"/>
              <w:spacing w:before="0" w:after="283"/>
              <w:jc w:val="left"/>
              <w:rPr>
                <w:sz w:val="4"/>
                <w:szCs w:val="4"/>
              </w:rPr>
            </w:pPr>
            <w:r>
              <w:rPr>
                <w:sz w:val="4"/>
                <w:szCs w:val="4"/>
              </w:rPr>
            </w:r>
          </w:p>
        </w:tc>
      </w:tr>
      <w:tr>
        <w:trPr/>
        <w:tc>
          <w:tcPr>
            <w:tcW w:w="976" w:type="dxa"/>
            <w:vMerge w:val="restart"/>
            <w:tcBorders>
              <w:bottom w:val="single" w:sz="8" w:space="0" w:color="95B3D7"/>
            </w:tcBorders>
            <w:shd w:fill="DBE5F1" w:val="clear"/>
            <w:tcMar>
              <w:bottom w:w="28" w:type="dxa"/>
            </w:tcMar>
            <w:vAlign w:val="center"/>
          </w:tcPr>
          <w:p>
            <w:pPr>
              <w:pStyle w:val="TableContents"/>
              <w:bidi w:val="0"/>
              <w:spacing w:before="0" w:after="0"/>
              <w:jc w:val="left"/>
              <w:rPr/>
            </w:pPr>
            <w:r>
              <w:rPr/>
              <w:t> </w:t>
            </w:r>
            <w:r>
              <w:rPr>
                <w:rFonts w:ascii="ARIAL" w:hAnsi="ARIAL"/>
                <w:b/>
                <w:sz w:val="14"/>
              </w:rPr>
              <w:t>John Kao</w:t>
            </w:r>
            <w:r>
              <w:rPr>
                <w:rFonts w:ascii="ARIAL" w:hAnsi="ARIAL"/>
                <w:sz w:val="14"/>
              </w:rPr>
              <w:t xml:space="preserve"> </w:t>
            </w:r>
          </w:p>
          <w:p>
            <w:pPr>
              <w:pStyle w:val="TableContents"/>
              <w:bidi w:val="0"/>
              <w:spacing w:before="0" w:after="0"/>
              <w:jc w:val="left"/>
              <w:rPr/>
            </w:pPr>
            <w:r>
              <w:rPr/>
              <w:t>  </w:t>
            </w:r>
            <w:r>
              <w:rPr>
                <w:rFonts w:ascii="ARIAL" w:hAnsi="ARIAL"/>
                <w:sz w:val="14"/>
              </w:rPr>
              <w:t>Chief</w:t>
            </w:r>
          </w:p>
          <w:p>
            <w:pPr>
              <w:pStyle w:val="TableContents"/>
              <w:bidi w:val="0"/>
              <w:spacing w:before="0" w:after="0"/>
              <w:jc w:val="left"/>
              <w:rPr/>
            </w:pPr>
            <w:r>
              <w:rPr/>
              <w:t>  </w:t>
            </w:r>
            <w:r>
              <w:rPr>
                <w:rFonts w:ascii="ARIAL" w:hAnsi="ARIAL"/>
                <w:sz w:val="14"/>
              </w:rPr>
              <w:t>Executive</w:t>
            </w:r>
          </w:p>
          <w:p>
            <w:pPr>
              <w:pStyle w:val="TableContents"/>
              <w:bidi w:val="0"/>
              <w:spacing w:before="0" w:after="20"/>
              <w:jc w:val="left"/>
              <w:rPr/>
            </w:pPr>
            <w:r>
              <w:rPr/>
              <w:t>  </w:t>
            </w:r>
            <w:r>
              <w:rPr>
                <w:rFonts w:ascii="ARIAL" w:hAnsi="ARIAL"/>
                <w:sz w:val="14"/>
              </w:rPr>
              <w:t xml:space="preserve">Officer </w:t>
            </w:r>
          </w:p>
        </w:tc>
        <w:tc>
          <w:tcPr>
            <w:tcW w:w="120" w:type="dxa"/>
            <w:tcBorders/>
            <w:shd w:fill="DBE5F1" w:val="clear"/>
            <w:vAlign w:val="center"/>
          </w:tcPr>
          <w:p>
            <w:pPr>
              <w:pStyle w:val="TableContents"/>
              <w:bidi w:val="0"/>
              <w:spacing w:before="0" w:after="283"/>
              <w:jc w:val="left"/>
              <w:rPr/>
            </w:pPr>
            <w:r>
              <w:rPr/>
              <w:t>  </w:t>
            </w:r>
          </w:p>
        </w:tc>
        <w:tc>
          <w:tcPr>
            <w:tcW w:w="1205" w:type="dxa"/>
            <w:tcBorders/>
            <w:shd w:fill="DBE5F1" w:val="clear"/>
            <w:vAlign w:val="center"/>
          </w:tcPr>
          <w:p>
            <w:pPr>
              <w:pStyle w:val="TableContents"/>
              <w:bidi w:val="0"/>
              <w:spacing w:before="0" w:after="283"/>
              <w:jc w:val="right"/>
              <w:rPr/>
            </w:pPr>
            <w:r>
              <w:rPr/>
              <w:t>2023</w:t>
            </w:r>
          </w:p>
        </w:tc>
        <w:tc>
          <w:tcPr>
            <w:tcW w:w="120" w:type="dxa"/>
            <w:tcBorders/>
            <w:shd w:fill="DBE5F1" w:val="clear"/>
            <w:vAlign w:val="center"/>
          </w:tcPr>
          <w:p>
            <w:pPr>
              <w:pStyle w:val="TableContents"/>
              <w:bidi w:val="0"/>
              <w:spacing w:before="0" w:after="283"/>
              <w:jc w:val="left"/>
              <w:rPr/>
            </w:pPr>
            <w:r>
              <w:rPr/>
              <w:t>  </w:t>
            </w:r>
          </w:p>
        </w:tc>
        <w:tc>
          <w:tcPr>
            <w:tcW w:w="951" w:type="dxa"/>
            <w:tcBorders/>
            <w:shd w:fill="DBE5F1" w:val="clear"/>
            <w:vAlign w:val="center"/>
          </w:tcPr>
          <w:p>
            <w:pPr>
              <w:pStyle w:val="TableContents"/>
              <w:bidi w:val="0"/>
              <w:spacing w:before="0" w:after="283"/>
              <w:jc w:val="center"/>
              <w:rPr/>
            </w:pPr>
            <w:r>
              <w:rPr/>
              <w:t>786,539</w:t>
            </w:r>
          </w:p>
        </w:tc>
        <w:tc>
          <w:tcPr>
            <w:tcW w:w="120" w:type="dxa"/>
            <w:tcBorders/>
            <w:shd w:fill="DBE5F1" w:val="clear"/>
            <w:vAlign w:val="center"/>
          </w:tcPr>
          <w:p>
            <w:pPr>
              <w:pStyle w:val="TableContents"/>
              <w:bidi w:val="0"/>
              <w:spacing w:before="0" w:after="283"/>
              <w:jc w:val="left"/>
              <w:rPr/>
            </w:pPr>
            <w:r>
              <w:rPr/>
              <w:t>  </w:t>
            </w:r>
          </w:p>
        </w:tc>
        <w:tc>
          <w:tcPr>
            <w:tcW w:w="927" w:type="dxa"/>
            <w:tcBorders/>
            <w:shd w:fill="DBE5F1" w:val="clear"/>
            <w:vAlign w:val="center"/>
          </w:tcPr>
          <w:p>
            <w:pPr>
              <w:pStyle w:val="TableContents"/>
              <w:bidi w:val="0"/>
              <w:spacing w:before="0" w:after="283"/>
              <w:jc w:val="right"/>
              <w:rPr/>
            </w:pPr>
            <w:r>
              <w:rPr/>
              <w:t>—</w:t>
            </w:r>
          </w:p>
        </w:tc>
        <w:tc>
          <w:tcPr>
            <w:tcW w:w="12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12,497,891</w:t>
            </w:r>
          </w:p>
        </w:tc>
        <w:tc>
          <w:tcPr>
            <w:tcW w:w="12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w:t>
            </w:r>
          </w:p>
        </w:tc>
        <w:tc>
          <w:tcPr>
            <w:tcW w:w="120" w:type="dxa"/>
            <w:tcBorders/>
            <w:shd w:fill="DBE5F1" w:val="clear"/>
            <w:vAlign w:val="center"/>
          </w:tcPr>
          <w:p>
            <w:pPr>
              <w:pStyle w:val="TableContents"/>
              <w:bidi w:val="0"/>
              <w:spacing w:before="0" w:after="283"/>
              <w:jc w:val="left"/>
              <w:rPr/>
            </w:pPr>
            <w:r>
              <w:rPr/>
              <w:t>  </w:t>
            </w:r>
          </w:p>
        </w:tc>
        <w:tc>
          <w:tcPr>
            <w:tcW w:w="980" w:type="dxa"/>
            <w:tcBorders/>
            <w:shd w:fill="DBE5F1" w:val="clear"/>
            <w:vAlign w:val="center"/>
          </w:tcPr>
          <w:p>
            <w:pPr>
              <w:pStyle w:val="TableContents"/>
              <w:bidi w:val="0"/>
              <w:spacing w:before="0" w:after="283"/>
              <w:jc w:val="right"/>
              <w:rPr/>
            </w:pPr>
            <w:r>
              <w:rPr/>
              <w:t>1,006,837</w:t>
            </w:r>
          </w:p>
        </w:tc>
        <w:tc>
          <w:tcPr>
            <w:tcW w:w="120" w:type="dxa"/>
            <w:tcBorders/>
            <w:shd w:fill="DBE5F1" w:val="clear"/>
            <w:vAlign w:val="center"/>
          </w:tcPr>
          <w:p>
            <w:pPr>
              <w:pStyle w:val="TableContents"/>
              <w:bidi w:val="0"/>
              <w:spacing w:before="0" w:after="283"/>
              <w:jc w:val="left"/>
              <w:rPr/>
            </w:pPr>
            <w:r>
              <w:rPr/>
              <w:t>  </w:t>
            </w:r>
          </w:p>
        </w:tc>
        <w:tc>
          <w:tcPr>
            <w:tcW w:w="890" w:type="dxa"/>
            <w:tcBorders/>
            <w:shd w:fill="DBE5F1" w:val="clear"/>
            <w:vAlign w:val="center"/>
          </w:tcPr>
          <w:p>
            <w:pPr>
              <w:pStyle w:val="TableContents"/>
              <w:bidi w:val="0"/>
              <w:spacing w:before="0" w:after="283"/>
              <w:jc w:val="right"/>
              <w:rPr/>
            </w:pPr>
            <w:r>
              <w:rPr/>
              <w:t>5,209</w:t>
            </w:r>
          </w:p>
        </w:tc>
        <w:tc>
          <w:tcPr>
            <w:tcW w:w="120" w:type="dxa"/>
            <w:tcBorders/>
            <w:shd w:fill="DBE5F1" w:val="clear"/>
            <w:vAlign w:val="center"/>
          </w:tcPr>
          <w:p>
            <w:pPr>
              <w:pStyle w:val="TableContents"/>
              <w:bidi w:val="0"/>
              <w:spacing w:before="0" w:after="283"/>
              <w:jc w:val="left"/>
              <w:rPr/>
            </w:pPr>
            <w:r>
              <w:rPr/>
              <w:t>  </w:t>
            </w:r>
          </w:p>
        </w:tc>
        <w:tc>
          <w:tcPr>
            <w:tcW w:w="1116" w:type="dxa"/>
            <w:tcBorders/>
            <w:shd w:fill="DBE5F1" w:val="clear"/>
            <w:vAlign w:val="center"/>
          </w:tcPr>
          <w:p>
            <w:pPr>
              <w:pStyle w:val="TableContents"/>
              <w:bidi w:val="0"/>
              <w:spacing w:before="0" w:after="283"/>
              <w:jc w:val="right"/>
              <w:rPr/>
            </w:pPr>
            <w:r>
              <w:rPr/>
              <w:t>14,296,476</w:t>
            </w:r>
          </w:p>
        </w:tc>
      </w:tr>
      <w:tr>
        <w:trPr/>
        <w:tc>
          <w:tcPr>
            <w:tcW w:w="976" w:type="dxa"/>
            <w:vMerge w:val="continue"/>
            <w:tcBorders>
              <w:bottom w:val="single" w:sz="8" w:space="0" w:color="95B3D7"/>
            </w:tcBorders>
            <w:shd w:fill="DBE5F1" w:val="clear"/>
            <w:tcMar>
              <w:bottom w:w="28" w:type="dxa"/>
            </w:tcMar>
            <w:vAlign w:val="center"/>
          </w:tcPr>
          <w:p>
            <w:pPr>
              <w:pStyle w:val="Normal"/>
              <w:bidi w:val="0"/>
              <w:jc w:val="left"/>
              <w:rPr/>
            </w:pPr>
            <w:r>
              <w:rPr/>
            </w:r>
          </w:p>
        </w:tc>
        <w:tc>
          <w:tcPr>
            <w:tcW w:w="120" w:type="dxa"/>
            <w:tcBorders/>
            <w:shd w:fill="DBE5F1" w:val="clear"/>
            <w:vAlign w:val="center"/>
          </w:tcPr>
          <w:p>
            <w:pPr>
              <w:pStyle w:val="TableContents"/>
              <w:bidi w:val="0"/>
              <w:spacing w:before="0" w:after="283"/>
              <w:jc w:val="left"/>
              <w:rPr/>
            </w:pPr>
            <w:r>
              <w:rPr/>
              <w:t>  </w:t>
            </w:r>
          </w:p>
        </w:tc>
        <w:tc>
          <w:tcPr>
            <w:tcW w:w="1205" w:type="dxa"/>
            <w:tcBorders/>
            <w:shd w:fill="DBE5F1" w:val="clear"/>
            <w:vAlign w:val="center"/>
          </w:tcPr>
          <w:p>
            <w:pPr>
              <w:pStyle w:val="TableContents"/>
              <w:bidi w:val="0"/>
              <w:spacing w:before="0" w:after="283"/>
              <w:jc w:val="right"/>
              <w:rPr/>
            </w:pPr>
            <w:r>
              <w:rPr/>
              <w:t>2022</w:t>
            </w:r>
          </w:p>
        </w:tc>
        <w:tc>
          <w:tcPr>
            <w:tcW w:w="120" w:type="dxa"/>
            <w:tcBorders/>
            <w:shd w:fill="DBE5F1" w:val="clear"/>
            <w:vAlign w:val="center"/>
          </w:tcPr>
          <w:p>
            <w:pPr>
              <w:pStyle w:val="TableContents"/>
              <w:bidi w:val="0"/>
              <w:spacing w:before="0" w:after="283"/>
              <w:jc w:val="left"/>
              <w:rPr/>
            </w:pPr>
            <w:r>
              <w:rPr/>
              <w:t>  </w:t>
            </w:r>
          </w:p>
        </w:tc>
        <w:tc>
          <w:tcPr>
            <w:tcW w:w="951" w:type="dxa"/>
            <w:tcBorders/>
            <w:shd w:fill="DBE5F1" w:val="clear"/>
            <w:vAlign w:val="center"/>
          </w:tcPr>
          <w:p>
            <w:pPr>
              <w:pStyle w:val="TableContents"/>
              <w:bidi w:val="0"/>
              <w:spacing w:before="0" w:after="283"/>
              <w:jc w:val="center"/>
              <w:rPr/>
            </w:pPr>
            <w:r>
              <w:rPr/>
              <w:t>729,827</w:t>
            </w:r>
          </w:p>
        </w:tc>
        <w:tc>
          <w:tcPr>
            <w:tcW w:w="120" w:type="dxa"/>
            <w:tcBorders/>
            <w:shd w:fill="DBE5F1" w:val="clear"/>
            <w:vAlign w:val="center"/>
          </w:tcPr>
          <w:p>
            <w:pPr>
              <w:pStyle w:val="TableContents"/>
              <w:bidi w:val="0"/>
              <w:spacing w:before="0" w:after="283"/>
              <w:jc w:val="left"/>
              <w:rPr/>
            </w:pPr>
            <w:r>
              <w:rPr/>
              <w:t>  </w:t>
            </w:r>
          </w:p>
        </w:tc>
        <w:tc>
          <w:tcPr>
            <w:tcW w:w="927" w:type="dxa"/>
            <w:tcBorders/>
            <w:shd w:fill="DBE5F1" w:val="clear"/>
            <w:vAlign w:val="center"/>
          </w:tcPr>
          <w:p>
            <w:pPr>
              <w:pStyle w:val="TableContents"/>
              <w:bidi w:val="0"/>
              <w:spacing w:before="0" w:after="283"/>
              <w:jc w:val="right"/>
              <w:rPr/>
            </w:pPr>
            <w:r>
              <w:rPr/>
              <w:t>—</w:t>
            </w:r>
          </w:p>
        </w:tc>
        <w:tc>
          <w:tcPr>
            <w:tcW w:w="12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30,937,508</w:t>
            </w:r>
          </w:p>
        </w:tc>
        <w:tc>
          <w:tcPr>
            <w:tcW w:w="12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1,500,002</w:t>
            </w:r>
          </w:p>
        </w:tc>
        <w:tc>
          <w:tcPr>
            <w:tcW w:w="120" w:type="dxa"/>
            <w:tcBorders/>
            <w:shd w:fill="DBE5F1" w:val="clear"/>
            <w:vAlign w:val="center"/>
          </w:tcPr>
          <w:p>
            <w:pPr>
              <w:pStyle w:val="TableContents"/>
              <w:bidi w:val="0"/>
              <w:spacing w:before="0" w:after="283"/>
              <w:jc w:val="left"/>
              <w:rPr/>
            </w:pPr>
            <w:r>
              <w:rPr/>
              <w:t>  </w:t>
            </w:r>
          </w:p>
        </w:tc>
        <w:tc>
          <w:tcPr>
            <w:tcW w:w="980" w:type="dxa"/>
            <w:tcBorders/>
            <w:shd w:fill="DBE5F1" w:val="clear"/>
            <w:vAlign w:val="center"/>
          </w:tcPr>
          <w:p>
            <w:pPr>
              <w:pStyle w:val="TableContents"/>
              <w:bidi w:val="0"/>
              <w:spacing w:before="0" w:after="283"/>
              <w:jc w:val="right"/>
              <w:rPr/>
            </w:pPr>
            <w:r>
              <w:rPr/>
              <w:t>902,835</w:t>
            </w:r>
          </w:p>
        </w:tc>
        <w:tc>
          <w:tcPr>
            <w:tcW w:w="120" w:type="dxa"/>
            <w:tcBorders/>
            <w:shd w:fill="DBE5F1" w:val="clear"/>
            <w:vAlign w:val="center"/>
          </w:tcPr>
          <w:p>
            <w:pPr>
              <w:pStyle w:val="TableContents"/>
              <w:bidi w:val="0"/>
              <w:spacing w:before="0" w:after="283"/>
              <w:jc w:val="left"/>
              <w:rPr/>
            </w:pPr>
            <w:r>
              <w:rPr/>
              <w:t>  </w:t>
            </w:r>
          </w:p>
        </w:tc>
        <w:tc>
          <w:tcPr>
            <w:tcW w:w="890" w:type="dxa"/>
            <w:tcBorders/>
            <w:shd w:fill="DBE5F1" w:val="clear"/>
            <w:vAlign w:val="center"/>
          </w:tcPr>
          <w:p>
            <w:pPr>
              <w:pStyle w:val="TableContents"/>
              <w:bidi w:val="0"/>
              <w:spacing w:before="0" w:after="283"/>
              <w:jc w:val="right"/>
              <w:rPr/>
            </w:pPr>
            <w:r>
              <w:rPr/>
              <w:t>420</w:t>
            </w:r>
          </w:p>
        </w:tc>
        <w:tc>
          <w:tcPr>
            <w:tcW w:w="120" w:type="dxa"/>
            <w:tcBorders/>
            <w:shd w:fill="DBE5F1" w:val="clear"/>
            <w:vAlign w:val="center"/>
          </w:tcPr>
          <w:p>
            <w:pPr>
              <w:pStyle w:val="TableContents"/>
              <w:bidi w:val="0"/>
              <w:spacing w:before="0" w:after="283"/>
              <w:jc w:val="left"/>
              <w:rPr/>
            </w:pPr>
            <w:r>
              <w:rPr/>
              <w:t>  </w:t>
            </w:r>
          </w:p>
        </w:tc>
        <w:tc>
          <w:tcPr>
            <w:tcW w:w="1116" w:type="dxa"/>
            <w:tcBorders/>
            <w:shd w:fill="DBE5F1" w:val="clear"/>
            <w:vAlign w:val="center"/>
          </w:tcPr>
          <w:p>
            <w:pPr>
              <w:pStyle w:val="TableContents"/>
              <w:bidi w:val="0"/>
              <w:spacing w:before="0" w:after="283"/>
              <w:jc w:val="right"/>
              <w:rPr/>
            </w:pPr>
            <w:r>
              <w:rPr/>
              <w:t>34,070,592</w:t>
            </w:r>
          </w:p>
        </w:tc>
      </w:tr>
      <w:tr>
        <w:trPr/>
        <w:tc>
          <w:tcPr>
            <w:tcW w:w="976" w:type="dxa"/>
            <w:vMerge w:val="continue"/>
            <w:tcBorders>
              <w:bottom w:val="single" w:sz="8" w:space="0" w:color="95B3D7"/>
            </w:tcBorders>
            <w:shd w:fill="DBE5F1" w:val="clear"/>
            <w:tcMar>
              <w:bottom w:w="28" w:type="dxa"/>
            </w:tcMar>
            <w:vAlign w:val="center"/>
          </w:tcPr>
          <w:p>
            <w:pPr>
              <w:pStyle w:val="Normal"/>
              <w:bidi w:val="0"/>
              <w:jc w:val="left"/>
              <w:rPr/>
            </w:pPr>
            <w:r>
              <w:rPr/>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205" w:type="dxa"/>
            <w:tcBorders>
              <w:bottom w:val="single" w:sz="8" w:space="0" w:color="95B3D7"/>
            </w:tcBorders>
            <w:shd w:fill="DBE5F1" w:val="clear"/>
            <w:tcMar>
              <w:bottom w:w="28" w:type="dxa"/>
            </w:tcMar>
            <w:vAlign w:val="center"/>
          </w:tcPr>
          <w:p>
            <w:pPr>
              <w:pStyle w:val="TableContents"/>
              <w:bidi w:val="0"/>
              <w:spacing w:before="0" w:after="283"/>
              <w:jc w:val="right"/>
              <w:rPr/>
            </w:pPr>
            <w:r>
              <w:rPr/>
              <w:t>2021</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951" w:type="dxa"/>
            <w:tcBorders>
              <w:bottom w:val="single" w:sz="8" w:space="0" w:color="95B3D7"/>
            </w:tcBorders>
            <w:shd w:fill="DBE5F1" w:val="clear"/>
            <w:tcMar>
              <w:bottom w:w="28" w:type="dxa"/>
            </w:tcMar>
            <w:vAlign w:val="center"/>
          </w:tcPr>
          <w:p>
            <w:pPr>
              <w:pStyle w:val="TableContents"/>
              <w:bidi w:val="0"/>
              <w:spacing w:before="0" w:after="283"/>
              <w:jc w:val="center"/>
              <w:rPr/>
            </w:pPr>
            <w:r>
              <w:rPr/>
              <w:t>675,000</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927" w:type="dxa"/>
            <w:tcBorders>
              <w:bottom w:val="single" w:sz="8" w:space="0" w:color="95B3D7"/>
            </w:tcBorders>
            <w:shd w:fill="DBE5F1" w:val="clear"/>
            <w:tcMar>
              <w:bottom w:w="28" w:type="dxa"/>
            </w:tcMar>
            <w:vAlign w:val="center"/>
          </w:tcPr>
          <w:p>
            <w:pPr>
              <w:pStyle w:val="TableContents"/>
              <w:bidi w:val="0"/>
              <w:spacing w:before="0" w:after="283"/>
              <w:jc w:val="right"/>
              <w:rPr/>
            </w:pPr>
            <w:r>
              <w:rPr/>
              <w:t>200,000(5)</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100" w:type="dxa"/>
            <w:tcBorders>
              <w:bottom w:val="single" w:sz="8" w:space="0" w:color="95B3D7"/>
            </w:tcBorders>
            <w:shd w:fill="DBE5F1" w:val="clear"/>
            <w:tcMar>
              <w:bottom w:w="28" w:type="dxa"/>
            </w:tcMar>
            <w:vAlign w:val="center"/>
          </w:tcPr>
          <w:p>
            <w:pPr>
              <w:pStyle w:val="TableContents"/>
              <w:bidi w:val="0"/>
              <w:spacing w:before="0" w:after="283"/>
              <w:jc w:val="right"/>
              <w:rPr/>
            </w:pPr>
            <w:r>
              <w:rPr/>
              <w:t>14,835,906</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100" w:type="dxa"/>
            <w:tcBorders>
              <w:bottom w:val="single" w:sz="8" w:space="0" w:color="95B3D7"/>
            </w:tcBorders>
            <w:shd w:fill="DBE5F1" w:val="clear"/>
            <w:tcMar>
              <w:bottom w:w="28" w:type="dxa"/>
            </w:tcMar>
            <w:vAlign w:val="center"/>
          </w:tcPr>
          <w:p>
            <w:pPr>
              <w:pStyle w:val="TableContents"/>
              <w:bidi w:val="0"/>
              <w:spacing w:before="0" w:after="283"/>
              <w:jc w:val="right"/>
              <w:rPr/>
            </w:pPr>
            <w:r>
              <w:rPr/>
              <w:t>29,570,843</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980" w:type="dxa"/>
            <w:tcBorders>
              <w:bottom w:val="single" w:sz="8" w:space="0" w:color="95B3D7"/>
            </w:tcBorders>
            <w:shd w:fill="DBE5F1" w:val="clear"/>
            <w:tcMar>
              <w:bottom w:w="28" w:type="dxa"/>
            </w:tcMar>
            <w:vAlign w:val="center"/>
          </w:tcPr>
          <w:p>
            <w:pPr>
              <w:pStyle w:val="TableContents"/>
              <w:bidi w:val="0"/>
              <w:spacing w:before="0" w:after="283"/>
              <w:jc w:val="right"/>
              <w:rPr/>
            </w:pPr>
            <w:r>
              <w:rPr/>
              <w:t>716,681</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890" w:type="dxa"/>
            <w:tcBorders>
              <w:bottom w:val="single" w:sz="8" w:space="0" w:color="95B3D7"/>
            </w:tcBorders>
            <w:shd w:fill="DBE5F1" w:val="clear"/>
            <w:tcMar>
              <w:bottom w:w="28" w:type="dxa"/>
            </w:tcMar>
            <w:vAlign w:val="center"/>
          </w:tcPr>
          <w:p>
            <w:pPr>
              <w:pStyle w:val="TableContents"/>
              <w:bidi w:val="0"/>
              <w:spacing w:before="0" w:after="283"/>
              <w:jc w:val="right"/>
              <w:rPr/>
            </w:pPr>
            <w:r>
              <w:rPr/>
              <w:t>420</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116" w:type="dxa"/>
            <w:tcBorders>
              <w:bottom w:val="single" w:sz="8" w:space="0" w:color="95B3D7"/>
            </w:tcBorders>
            <w:shd w:fill="DBE5F1" w:val="clear"/>
            <w:tcMar>
              <w:bottom w:w="28" w:type="dxa"/>
            </w:tcMar>
            <w:vAlign w:val="center"/>
          </w:tcPr>
          <w:p>
            <w:pPr>
              <w:pStyle w:val="TableContents"/>
              <w:bidi w:val="0"/>
              <w:spacing w:before="0" w:after="283"/>
              <w:jc w:val="right"/>
              <w:rPr/>
            </w:pPr>
            <w:r>
              <w:rPr/>
              <w:t>45,998,851</w:t>
            </w:r>
          </w:p>
        </w:tc>
      </w:tr>
      <w:tr>
        <w:trPr/>
        <w:tc>
          <w:tcPr>
            <w:tcW w:w="976" w:type="dxa"/>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1071" w:type="dxa"/>
            <w:gridSpan w:val="2"/>
            <w:tcBorders/>
            <w:vAlign w:val="center"/>
          </w:tcPr>
          <w:p>
            <w:pPr>
              <w:pStyle w:val="TableContents"/>
              <w:bidi w:val="0"/>
              <w:spacing w:before="0" w:after="283"/>
              <w:jc w:val="left"/>
              <w:rPr>
                <w:sz w:val="4"/>
                <w:szCs w:val="4"/>
              </w:rPr>
            </w:pPr>
            <w:r>
              <w:rPr>
                <w:sz w:val="4"/>
                <w:szCs w:val="4"/>
              </w:rPr>
            </w:r>
          </w:p>
        </w:tc>
        <w:tc>
          <w:tcPr>
            <w:tcW w:w="1047"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100" w:type="dxa"/>
            <w:gridSpan w:val="2"/>
            <w:tcBorders/>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r>
      <w:tr>
        <w:trPr/>
        <w:tc>
          <w:tcPr>
            <w:tcW w:w="976" w:type="dxa"/>
            <w:vMerge w:val="restart"/>
            <w:tcBorders>
              <w:bottom w:val="single" w:sz="8" w:space="0" w:color="95B3D7"/>
            </w:tcBorders>
            <w:tcMar>
              <w:bottom w:w="28" w:type="dxa"/>
            </w:tcMar>
            <w:vAlign w:val="center"/>
          </w:tcPr>
          <w:p>
            <w:pPr>
              <w:pStyle w:val="TableContents"/>
              <w:bidi w:val="0"/>
              <w:spacing w:before="0" w:after="0"/>
              <w:jc w:val="left"/>
              <w:rPr/>
            </w:pPr>
            <w:r>
              <w:rPr/>
              <w:t> </w:t>
            </w:r>
            <w:r>
              <w:rPr>
                <w:rFonts w:ascii="ARIAL" w:hAnsi="ARIAL"/>
                <w:b/>
                <w:sz w:val="14"/>
              </w:rPr>
              <w:t>Thomas Freeman</w:t>
            </w:r>
            <w:r>
              <w:rPr>
                <w:rFonts w:ascii="ARIAL" w:hAnsi="ARIAL"/>
                <w:sz w:val="14"/>
              </w:rPr>
              <w:t xml:space="preserve"> </w:t>
            </w:r>
          </w:p>
          <w:p>
            <w:pPr>
              <w:pStyle w:val="TableContents"/>
              <w:bidi w:val="0"/>
              <w:spacing w:before="0" w:after="0"/>
              <w:jc w:val="left"/>
              <w:rPr/>
            </w:pPr>
            <w:r>
              <w:rPr/>
              <w:t>  </w:t>
            </w:r>
            <w:r>
              <w:rPr>
                <w:rFonts w:ascii="ARIAL" w:hAnsi="ARIAL"/>
                <w:sz w:val="14"/>
              </w:rPr>
              <w:t>Chief Financial</w:t>
            </w:r>
          </w:p>
          <w:p>
            <w:pPr>
              <w:pStyle w:val="TableContents"/>
              <w:bidi w:val="0"/>
              <w:spacing w:before="0" w:after="20"/>
              <w:jc w:val="left"/>
              <w:rPr/>
            </w:pPr>
            <w:r>
              <w:rPr/>
              <w:t>  </w:t>
            </w:r>
            <w:r>
              <w:rPr>
                <w:rFonts w:ascii="ARIAL" w:hAnsi="ARIAL"/>
                <w:sz w:val="14"/>
              </w:rPr>
              <w:t xml:space="preserve">Officer </w:t>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2023</w:t>
            </w:r>
          </w:p>
        </w:tc>
        <w:tc>
          <w:tcPr>
            <w:tcW w:w="120"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center"/>
              <w:rPr/>
            </w:pPr>
            <w:r>
              <w:rPr/>
              <w:t>543,846</w:t>
            </w:r>
          </w:p>
        </w:tc>
        <w:tc>
          <w:tcPr>
            <w:tcW w:w="120"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105,000</w:t>
            </w:r>
          </w:p>
        </w:tc>
        <w:tc>
          <w:tcPr>
            <w:tcW w:w="12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5,014,849</w:t>
            </w:r>
          </w:p>
        </w:tc>
        <w:tc>
          <w:tcPr>
            <w:tcW w:w="12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624,730</w:t>
            </w:r>
          </w:p>
        </w:tc>
        <w:tc>
          <w:tcPr>
            <w:tcW w:w="12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13,620</w:t>
            </w:r>
          </w:p>
        </w:tc>
        <w:tc>
          <w:tcPr>
            <w:tcW w:w="12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6,302,045</w:t>
            </w:r>
          </w:p>
        </w:tc>
      </w:tr>
      <w:tr>
        <w:trPr/>
        <w:tc>
          <w:tcPr>
            <w:tcW w:w="976" w:type="dxa"/>
            <w:vMerge w:val="continue"/>
            <w:tcBorders>
              <w:bottom w:val="single" w:sz="8" w:space="0" w:color="95B3D7"/>
            </w:tcBorders>
            <w:tcMar>
              <w:bottom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2022</w:t>
            </w:r>
          </w:p>
        </w:tc>
        <w:tc>
          <w:tcPr>
            <w:tcW w:w="120" w:type="dxa"/>
            <w:tcBorders/>
            <w:vAlign w:val="center"/>
          </w:tcPr>
          <w:p>
            <w:pPr>
              <w:pStyle w:val="TableContents"/>
              <w:bidi w:val="0"/>
              <w:spacing w:before="0" w:after="283"/>
              <w:jc w:val="left"/>
              <w:rPr/>
            </w:pPr>
            <w:r>
              <w:rPr/>
              <w:t>  </w:t>
            </w:r>
          </w:p>
        </w:tc>
        <w:tc>
          <w:tcPr>
            <w:tcW w:w="951" w:type="dxa"/>
            <w:tcBorders/>
            <w:vAlign w:val="center"/>
          </w:tcPr>
          <w:p>
            <w:pPr>
              <w:pStyle w:val="TableContents"/>
              <w:bidi w:val="0"/>
              <w:spacing w:before="0" w:after="283"/>
              <w:jc w:val="center"/>
              <w:rPr/>
            </w:pPr>
            <w:r>
              <w:rPr/>
              <w:t>486,539</w:t>
            </w:r>
          </w:p>
        </w:tc>
        <w:tc>
          <w:tcPr>
            <w:tcW w:w="120"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6,385,854</w:t>
            </w:r>
          </w:p>
        </w:tc>
        <w:tc>
          <w:tcPr>
            <w:tcW w:w="12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412,500</w:t>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448,501</w:t>
            </w:r>
          </w:p>
        </w:tc>
        <w:tc>
          <w:tcPr>
            <w:tcW w:w="12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13,703</w:t>
            </w:r>
          </w:p>
        </w:tc>
        <w:tc>
          <w:tcPr>
            <w:tcW w:w="120" w:type="dxa"/>
            <w:tcBorders/>
            <w:vAlign w:val="center"/>
          </w:tcPr>
          <w:p>
            <w:pPr>
              <w:pStyle w:val="TableContents"/>
              <w:bidi w:val="0"/>
              <w:spacing w:before="0" w:after="283"/>
              <w:jc w:val="left"/>
              <w:rPr/>
            </w:pPr>
            <w:r>
              <w:rPr/>
              <w:t>  </w:t>
            </w:r>
          </w:p>
        </w:tc>
        <w:tc>
          <w:tcPr>
            <w:tcW w:w="1116" w:type="dxa"/>
            <w:tcBorders/>
            <w:vAlign w:val="center"/>
          </w:tcPr>
          <w:p>
            <w:pPr>
              <w:pStyle w:val="TableContents"/>
              <w:bidi w:val="0"/>
              <w:spacing w:before="0" w:after="283"/>
              <w:jc w:val="right"/>
              <w:rPr/>
            </w:pPr>
            <w:r>
              <w:rPr/>
              <w:t>7,747,097</w:t>
            </w:r>
          </w:p>
        </w:tc>
      </w:tr>
      <w:tr>
        <w:trPr/>
        <w:tc>
          <w:tcPr>
            <w:tcW w:w="976" w:type="dxa"/>
            <w:vMerge w:val="continue"/>
            <w:tcBorders>
              <w:bottom w:val="single" w:sz="8" w:space="0" w:color="95B3D7"/>
            </w:tcBorders>
            <w:tcMar>
              <w:bottom w:w="28" w:type="dxa"/>
            </w:tcMar>
            <w:vAlign w:val="center"/>
          </w:tcPr>
          <w:p>
            <w:pPr>
              <w:pStyle w:val="Normal"/>
              <w:bidi w:val="0"/>
              <w:jc w:val="left"/>
              <w:rPr/>
            </w:pPr>
            <w:r>
              <w:rPr/>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205" w:type="dxa"/>
            <w:tcBorders>
              <w:bottom w:val="single" w:sz="8" w:space="0" w:color="95B3D7"/>
            </w:tcBorders>
            <w:tcMar>
              <w:bottom w:w="28" w:type="dxa"/>
            </w:tcMar>
            <w:vAlign w:val="center"/>
          </w:tcPr>
          <w:p>
            <w:pPr>
              <w:pStyle w:val="TableContents"/>
              <w:bidi w:val="0"/>
              <w:spacing w:before="0" w:after="283"/>
              <w:jc w:val="right"/>
              <w:rPr/>
            </w:pPr>
            <w:r>
              <w:rPr/>
              <w:t>2021</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951" w:type="dxa"/>
            <w:tcBorders>
              <w:bottom w:val="single" w:sz="8" w:space="0" w:color="95B3D7"/>
            </w:tcBorders>
            <w:tcMar>
              <w:bottom w:w="28" w:type="dxa"/>
            </w:tcMar>
            <w:vAlign w:val="center"/>
          </w:tcPr>
          <w:p>
            <w:pPr>
              <w:pStyle w:val="TableContents"/>
              <w:bidi w:val="0"/>
              <w:spacing w:before="0" w:after="283"/>
              <w:jc w:val="center"/>
              <w:rPr/>
            </w:pPr>
            <w:r>
              <w:rPr/>
              <w:t>436,539</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927" w:type="dxa"/>
            <w:tcBorders>
              <w:bottom w:val="single" w:sz="8" w:space="0" w:color="95B3D7"/>
            </w:tcBorders>
            <w:tcMar>
              <w:bottom w:w="28" w:type="dxa"/>
            </w:tcMar>
            <w:vAlign w:val="center"/>
          </w:tcPr>
          <w:p>
            <w:pPr>
              <w:pStyle w:val="TableContents"/>
              <w:bidi w:val="0"/>
              <w:spacing w:before="0" w:after="283"/>
              <w:jc w:val="right"/>
              <w:rPr/>
            </w:pPr>
            <w:r>
              <w:rPr/>
              <w:t>100,000</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100" w:type="dxa"/>
            <w:tcBorders>
              <w:bottom w:val="single" w:sz="8" w:space="0" w:color="95B3D7"/>
            </w:tcBorders>
            <w:tcMar>
              <w:bottom w:w="28" w:type="dxa"/>
            </w:tcMar>
            <w:vAlign w:val="center"/>
          </w:tcPr>
          <w:p>
            <w:pPr>
              <w:pStyle w:val="TableContents"/>
              <w:bidi w:val="0"/>
              <w:spacing w:before="0" w:after="283"/>
              <w:jc w:val="right"/>
              <w:rPr/>
            </w:pPr>
            <w:r>
              <w:rPr/>
              <w:t>4,275,972</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100" w:type="dxa"/>
            <w:tcBorders>
              <w:bottom w:val="single" w:sz="8" w:space="0" w:color="95B3D7"/>
            </w:tcBorders>
            <w:tcMar>
              <w:bottom w:w="28" w:type="dxa"/>
            </w:tcMar>
            <w:vAlign w:val="center"/>
          </w:tcPr>
          <w:p>
            <w:pPr>
              <w:pStyle w:val="TableContents"/>
              <w:bidi w:val="0"/>
              <w:spacing w:before="0" w:after="283"/>
              <w:jc w:val="right"/>
              <w:rPr/>
            </w:pPr>
            <w:r>
              <w:rPr/>
              <w:t>5,758,536</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980" w:type="dxa"/>
            <w:tcBorders>
              <w:bottom w:val="single" w:sz="8" w:space="0" w:color="95B3D7"/>
            </w:tcBorders>
            <w:tcMar>
              <w:bottom w:w="28" w:type="dxa"/>
            </w:tcMar>
            <w:vAlign w:val="center"/>
          </w:tcPr>
          <w:p>
            <w:pPr>
              <w:pStyle w:val="TableContents"/>
              <w:bidi w:val="0"/>
              <w:spacing w:before="0" w:after="283"/>
              <w:jc w:val="right"/>
              <w:rPr/>
            </w:pPr>
            <w:r>
              <w:rPr/>
              <w:t>306,414</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890" w:type="dxa"/>
            <w:tcBorders>
              <w:bottom w:val="single" w:sz="8" w:space="0" w:color="95B3D7"/>
            </w:tcBorders>
            <w:tcMar>
              <w:bottom w:w="28" w:type="dxa"/>
            </w:tcMar>
            <w:vAlign w:val="center"/>
          </w:tcPr>
          <w:p>
            <w:pPr>
              <w:pStyle w:val="TableContents"/>
              <w:bidi w:val="0"/>
              <w:spacing w:before="0" w:after="283"/>
              <w:jc w:val="right"/>
              <w:rPr/>
            </w:pPr>
            <w:r>
              <w:rPr/>
              <w:t>15,267</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116" w:type="dxa"/>
            <w:tcBorders>
              <w:bottom w:val="single" w:sz="8" w:space="0" w:color="95B3D7"/>
            </w:tcBorders>
            <w:tcMar>
              <w:bottom w:w="28" w:type="dxa"/>
            </w:tcMar>
            <w:vAlign w:val="center"/>
          </w:tcPr>
          <w:p>
            <w:pPr>
              <w:pStyle w:val="TableContents"/>
              <w:bidi w:val="0"/>
              <w:spacing w:before="0" w:after="283"/>
              <w:jc w:val="right"/>
              <w:rPr/>
            </w:pPr>
            <w:r>
              <w:rPr/>
              <w:t>10,892,727</w:t>
            </w:r>
          </w:p>
        </w:tc>
      </w:tr>
      <w:tr>
        <w:trPr/>
        <w:tc>
          <w:tcPr>
            <w:tcW w:w="976" w:type="dxa"/>
            <w:tcBorders/>
            <w:shd w:fill="DBE5F1" w:val="clear"/>
            <w:vAlign w:val="center"/>
          </w:tcPr>
          <w:p>
            <w:pPr>
              <w:pStyle w:val="TableContents"/>
              <w:bidi w:val="0"/>
              <w:spacing w:before="0" w:after="283"/>
              <w:jc w:val="left"/>
              <w:rPr>
                <w:sz w:val="4"/>
                <w:szCs w:val="4"/>
              </w:rPr>
            </w:pPr>
            <w:r>
              <w:rPr>
                <w:sz w:val="4"/>
                <w:szCs w:val="4"/>
              </w:rPr>
            </w:r>
          </w:p>
        </w:tc>
        <w:tc>
          <w:tcPr>
            <w:tcW w:w="1325" w:type="dxa"/>
            <w:gridSpan w:val="2"/>
            <w:tcBorders/>
            <w:shd w:fill="DBE5F1" w:val="clear"/>
            <w:vAlign w:val="center"/>
          </w:tcPr>
          <w:p>
            <w:pPr>
              <w:pStyle w:val="TableContents"/>
              <w:bidi w:val="0"/>
              <w:spacing w:before="0" w:after="283"/>
              <w:jc w:val="left"/>
              <w:rPr>
                <w:sz w:val="4"/>
                <w:szCs w:val="4"/>
              </w:rPr>
            </w:pPr>
            <w:r>
              <w:rPr>
                <w:sz w:val="4"/>
                <w:szCs w:val="4"/>
              </w:rPr>
            </w:r>
          </w:p>
        </w:tc>
        <w:tc>
          <w:tcPr>
            <w:tcW w:w="1071" w:type="dxa"/>
            <w:gridSpan w:val="2"/>
            <w:tcBorders/>
            <w:shd w:fill="DBE5F1" w:val="clear"/>
            <w:vAlign w:val="center"/>
          </w:tcPr>
          <w:p>
            <w:pPr>
              <w:pStyle w:val="TableContents"/>
              <w:bidi w:val="0"/>
              <w:spacing w:before="0" w:after="283"/>
              <w:jc w:val="left"/>
              <w:rPr>
                <w:sz w:val="4"/>
                <w:szCs w:val="4"/>
              </w:rPr>
            </w:pPr>
            <w:r>
              <w:rPr>
                <w:sz w:val="4"/>
                <w:szCs w:val="4"/>
              </w:rPr>
            </w:r>
          </w:p>
        </w:tc>
        <w:tc>
          <w:tcPr>
            <w:tcW w:w="1047" w:type="dxa"/>
            <w:gridSpan w:val="2"/>
            <w:tcBorders/>
            <w:shd w:fill="DBE5F1" w:val="clear"/>
            <w:vAlign w:val="center"/>
          </w:tcPr>
          <w:p>
            <w:pPr>
              <w:pStyle w:val="TableContents"/>
              <w:bidi w:val="0"/>
              <w:spacing w:before="0" w:after="283"/>
              <w:jc w:val="left"/>
              <w:rPr>
                <w:sz w:val="4"/>
                <w:szCs w:val="4"/>
              </w:rPr>
            </w:pPr>
            <w:r>
              <w:rPr>
                <w:sz w:val="4"/>
                <w:szCs w:val="4"/>
              </w:rPr>
            </w:r>
          </w:p>
        </w:tc>
        <w:tc>
          <w:tcPr>
            <w:tcW w:w="1220" w:type="dxa"/>
            <w:gridSpan w:val="2"/>
            <w:tcBorders/>
            <w:shd w:fill="DBE5F1" w:val="clear"/>
            <w:vAlign w:val="center"/>
          </w:tcPr>
          <w:p>
            <w:pPr>
              <w:pStyle w:val="TableContents"/>
              <w:bidi w:val="0"/>
              <w:spacing w:before="0" w:after="283"/>
              <w:jc w:val="left"/>
              <w:rPr>
                <w:sz w:val="4"/>
                <w:szCs w:val="4"/>
              </w:rPr>
            </w:pPr>
            <w:r>
              <w:rPr>
                <w:sz w:val="4"/>
                <w:szCs w:val="4"/>
              </w:rPr>
            </w:r>
          </w:p>
        </w:tc>
        <w:tc>
          <w:tcPr>
            <w:tcW w:w="1220" w:type="dxa"/>
            <w:gridSpan w:val="2"/>
            <w:tcBorders/>
            <w:shd w:fill="DBE5F1" w:val="clear"/>
            <w:vAlign w:val="center"/>
          </w:tcPr>
          <w:p>
            <w:pPr>
              <w:pStyle w:val="TableContents"/>
              <w:bidi w:val="0"/>
              <w:spacing w:before="0" w:after="283"/>
              <w:jc w:val="left"/>
              <w:rPr>
                <w:sz w:val="4"/>
                <w:szCs w:val="4"/>
              </w:rPr>
            </w:pPr>
            <w:r>
              <w:rPr>
                <w:sz w:val="4"/>
                <w:szCs w:val="4"/>
              </w:rPr>
            </w:r>
          </w:p>
        </w:tc>
        <w:tc>
          <w:tcPr>
            <w:tcW w:w="1100" w:type="dxa"/>
            <w:gridSpan w:val="2"/>
            <w:tcBorders/>
            <w:shd w:fill="DBE5F1" w:val="clear"/>
            <w:vAlign w:val="center"/>
          </w:tcPr>
          <w:p>
            <w:pPr>
              <w:pStyle w:val="TableContents"/>
              <w:bidi w:val="0"/>
              <w:spacing w:before="0" w:after="283"/>
              <w:jc w:val="left"/>
              <w:rPr>
                <w:sz w:val="4"/>
                <w:szCs w:val="4"/>
              </w:rPr>
            </w:pPr>
            <w:r>
              <w:rPr>
                <w:sz w:val="4"/>
                <w:szCs w:val="4"/>
              </w:rPr>
            </w:r>
          </w:p>
        </w:tc>
        <w:tc>
          <w:tcPr>
            <w:tcW w:w="1010" w:type="dxa"/>
            <w:gridSpan w:val="2"/>
            <w:tcBorders/>
            <w:shd w:fill="DBE5F1" w:val="clear"/>
            <w:vAlign w:val="center"/>
          </w:tcPr>
          <w:p>
            <w:pPr>
              <w:pStyle w:val="TableContents"/>
              <w:bidi w:val="0"/>
              <w:spacing w:before="0" w:after="283"/>
              <w:jc w:val="left"/>
              <w:rPr>
                <w:sz w:val="4"/>
                <w:szCs w:val="4"/>
              </w:rPr>
            </w:pPr>
            <w:r>
              <w:rPr>
                <w:sz w:val="4"/>
                <w:szCs w:val="4"/>
              </w:rPr>
            </w:r>
          </w:p>
        </w:tc>
        <w:tc>
          <w:tcPr>
            <w:tcW w:w="1236" w:type="dxa"/>
            <w:gridSpan w:val="2"/>
            <w:tcBorders/>
            <w:shd w:fill="DBE5F1" w:val="clear"/>
            <w:vAlign w:val="center"/>
          </w:tcPr>
          <w:p>
            <w:pPr>
              <w:pStyle w:val="TableContents"/>
              <w:bidi w:val="0"/>
              <w:spacing w:before="0" w:after="283"/>
              <w:jc w:val="left"/>
              <w:rPr>
                <w:sz w:val="4"/>
                <w:szCs w:val="4"/>
              </w:rPr>
            </w:pPr>
            <w:r>
              <w:rPr>
                <w:sz w:val="4"/>
                <w:szCs w:val="4"/>
              </w:rPr>
            </w:r>
          </w:p>
        </w:tc>
      </w:tr>
      <w:tr>
        <w:trPr/>
        <w:tc>
          <w:tcPr>
            <w:tcW w:w="976" w:type="dxa"/>
            <w:vMerge w:val="restart"/>
            <w:tcBorders>
              <w:bottom w:val="single" w:sz="8" w:space="0" w:color="95B3D7"/>
            </w:tcBorders>
            <w:shd w:fill="DBE5F1" w:val="clear"/>
            <w:tcMar>
              <w:bottom w:w="28" w:type="dxa"/>
            </w:tcMar>
            <w:vAlign w:val="center"/>
          </w:tcPr>
          <w:p>
            <w:pPr>
              <w:pStyle w:val="TableContents"/>
              <w:bidi w:val="0"/>
              <w:spacing w:before="0" w:after="0"/>
              <w:jc w:val="left"/>
              <w:rPr/>
            </w:pPr>
            <w:r>
              <w:rPr/>
              <w:t> </w:t>
            </w:r>
            <w:r>
              <w:rPr>
                <w:rFonts w:ascii="ARIAL" w:hAnsi="ARIAL"/>
                <w:b/>
                <w:sz w:val="14"/>
              </w:rPr>
              <w:t>Dawn Maroney</w:t>
            </w:r>
          </w:p>
          <w:p>
            <w:pPr>
              <w:pStyle w:val="TableContents"/>
              <w:bidi w:val="0"/>
              <w:spacing w:before="0" w:after="0"/>
              <w:jc w:val="left"/>
              <w:rPr/>
            </w:pPr>
            <w:r>
              <w:rPr/>
              <w:t>  </w:t>
            </w:r>
            <w:r>
              <w:rPr>
                <w:rFonts w:ascii="ARIAL" w:hAnsi="ARIAL"/>
                <w:sz w:val="14"/>
              </w:rPr>
              <w:t>President,</w:t>
            </w:r>
          </w:p>
          <w:p>
            <w:pPr>
              <w:pStyle w:val="TableContents"/>
              <w:bidi w:val="0"/>
              <w:spacing w:before="0" w:after="20"/>
              <w:jc w:val="left"/>
              <w:rPr/>
            </w:pPr>
            <w:r>
              <w:rPr/>
              <w:t>  </w:t>
            </w:r>
            <w:r>
              <w:rPr>
                <w:rFonts w:ascii="ARIAL" w:hAnsi="ARIAL"/>
                <w:sz w:val="14"/>
              </w:rPr>
              <w:t>Markets</w:t>
            </w:r>
          </w:p>
        </w:tc>
        <w:tc>
          <w:tcPr>
            <w:tcW w:w="120" w:type="dxa"/>
            <w:tcBorders/>
            <w:shd w:fill="DBE5F1" w:val="clear"/>
            <w:vAlign w:val="center"/>
          </w:tcPr>
          <w:p>
            <w:pPr>
              <w:pStyle w:val="TableContents"/>
              <w:bidi w:val="0"/>
              <w:spacing w:before="0" w:after="283"/>
              <w:jc w:val="left"/>
              <w:rPr/>
            </w:pPr>
            <w:r>
              <w:rPr/>
              <w:t>  </w:t>
            </w:r>
          </w:p>
        </w:tc>
        <w:tc>
          <w:tcPr>
            <w:tcW w:w="1205" w:type="dxa"/>
            <w:tcBorders/>
            <w:shd w:fill="DBE5F1" w:val="clear"/>
            <w:vAlign w:val="center"/>
          </w:tcPr>
          <w:p>
            <w:pPr>
              <w:pStyle w:val="TableContents"/>
              <w:bidi w:val="0"/>
              <w:spacing w:before="0" w:after="283"/>
              <w:jc w:val="right"/>
              <w:rPr/>
            </w:pPr>
            <w:r>
              <w:rPr/>
              <w:t>2023</w:t>
            </w:r>
          </w:p>
        </w:tc>
        <w:tc>
          <w:tcPr>
            <w:tcW w:w="120" w:type="dxa"/>
            <w:tcBorders/>
            <w:shd w:fill="DBE5F1" w:val="clear"/>
            <w:vAlign w:val="center"/>
          </w:tcPr>
          <w:p>
            <w:pPr>
              <w:pStyle w:val="TableContents"/>
              <w:bidi w:val="0"/>
              <w:spacing w:before="0" w:after="283"/>
              <w:jc w:val="left"/>
              <w:rPr/>
            </w:pPr>
            <w:r>
              <w:rPr/>
              <w:t>  </w:t>
            </w:r>
          </w:p>
        </w:tc>
        <w:tc>
          <w:tcPr>
            <w:tcW w:w="951" w:type="dxa"/>
            <w:tcBorders/>
            <w:shd w:fill="DBE5F1" w:val="clear"/>
            <w:vAlign w:val="center"/>
          </w:tcPr>
          <w:p>
            <w:pPr>
              <w:pStyle w:val="TableContents"/>
              <w:bidi w:val="0"/>
              <w:spacing w:before="0" w:after="283"/>
              <w:jc w:val="center"/>
              <w:rPr/>
            </w:pPr>
            <w:r>
              <w:rPr/>
              <w:t>560,000</w:t>
            </w:r>
          </w:p>
        </w:tc>
        <w:tc>
          <w:tcPr>
            <w:tcW w:w="120" w:type="dxa"/>
            <w:tcBorders/>
            <w:shd w:fill="DBE5F1" w:val="clear"/>
            <w:vAlign w:val="center"/>
          </w:tcPr>
          <w:p>
            <w:pPr>
              <w:pStyle w:val="TableContents"/>
              <w:bidi w:val="0"/>
              <w:spacing w:before="0" w:after="283"/>
              <w:jc w:val="left"/>
              <w:rPr/>
            </w:pPr>
            <w:r>
              <w:rPr/>
              <w:t>  </w:t>
            </w:r>
          </w:p>
        </w:tc>
        <w:tc>
          <w:tcPr>
            <w:tcW w:w="927" w:type="dxa"/>
            <w:tcBorders/>
            <w:shd w:fill="DBE5F1" w:val="clear"/>
            <w:vAlign w:val="center"/>
          </w:tcPr>
          <w:p>
            <w:pPr>
              <w:pStyle w:val="TableContents"/>
              <w:bidi w:val="0"/>
              <w:spacing w:before="0" w:after="283"/>
              <w:jc w:val="right"/>
              <w:rPr/>
            </w:pPr>
            <w:r>
              <w:rPr/>
              <w:t>205,000</w:t>
            </w:r>
          </w:p>
        </w:tc>
        <w:tc>
          <w:tcPr>
            <w:tcW w:w="12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5,014,849</w:t>
            </w:r>
          </w:p>
        </w:tc>
        <w:tc>
          <w:tcPr>
            <w:tcW w:w="12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w:t>
            </w:r>
          </w:p>
        </w:tc>
        <w:tc>
          <w:tcPr>
            <w:tcW w:w="120" w:type="dxa"/>
            <w:tcBorders/>
            <w:shd w:fill="DBE5F1" w:val="clear"/>
            <w:vAlign w:val="center"/>
          </w:tcPr>
          <w:p>
            <w:pPr>
              <w:pStyle w:val="TableContents"/>
              <w:bidi w:val="0"/>
              <w:spacing w:before="0" w:after="283"/>
              <w:jc w:val="left"/>
              <w:rPr/>
            </w:pPr>
            <w:r>
              <w:rPr/>
              <w:t>  </w:t>
            </w:r>
          </w:p>
        </w:tc>
        <w:tc>
          <w:tcPr>
            <w:tcW w:w="980" w:type="dxa"/>
            <w:tcBorders/>
            <w:shd w:fill="DBE5F1" w:val="clear"/>
            <w:vAlign w:val="center"/>
          </w:tcPr>
          <w:p>
            <w:pPr>
              <w:pStyle w:val="TableContents"/>
              <w:bidi w:val="0"/>
              <w:spacing w:before="0" w:after="283"/>
              <w:jc w:val="right"/>
              <w:rPr/>
            </w:pPr>
            <w:r>
              <w:rPr/>
              <w:t>665,635</w:t>
            </w:r>
          </w:p>
        </w:tc>
        <w:tc>
          <w:tcPr>
            <w:tcW w:w="120" w:type="dxa"/>
            <w:tcBorders/>
            <w:shd w:fill="DBE5F1" w:val="clear"/>
            <w:vAlign w:val="center"/>
          </w:tcPr>
          <w:p>
            <w:pPr>
              <w:pStyle w:val="TableContents"/>
              <w:bidi w:val="0"/>
              <w:spacing w:before="0" w:after="283"/>
              <w:jc w:val="left"/>
              <w:rPr/>
            </w:pPr>
            <w:r>
              <w:rPr/>
              <w:t>  </w:t>
            </w:r>
          </w:p>
        </w:tc>
        <w:tc>
          <w:tcPr>
            <w:tcW w:w="890" w:type="dxa"/>
            <w:tcBorders/>
            <w:shd w:fill="DBE5F1" w:val="clear"/>
            <w:vAlign w:val="center"/>
          </w:tcPr>
          <w:p>
            <w:pPr>
              <w:pStyle w:val="TableContents"/>
              <w:bidi w:val="0"/>
              <w:spacing w:before="0" w:after="283"/>
              <w:jc w:val="right"/>
              <w:rPr/>
            </w:pPr>
            <w:r>
              <w:rPr/>
              <w:t>13,515</w:t>
            </w:r>
          </w:p>
        </w:tc>
        <w:tc>
          <w:tcPr>
            <w:tcW w:w="120" w:type="dxa"/>
            <w:tcBorders/>
            <w:shd w:fill="DBE5F1" w:val="clear"/>
            <w:vAlign w:val="center"/>
          </w:tcPr>
          <w:p>
            <w:pPr>
              <w:pStyle w:val="TableContents"/>
              <w:bidi w:val="0"/>
              <w:spacing w:before="0" w:after="283"/>
              <w:jc w:val="left"/>
              <w:rPr/>
            </w:pPr>
            <w:r>
              <w:rPr/>
              <w:t>  </w:t>
            </w:r>
          </w:p>
        </w:tc>
        <w:tc>
          <w:tcPr>
            <w:tcW w:w="1116" w:type="dxa"/>
            <w:tcBorders/>
            <w:shd w:fill="DBE5F1" w:val="clear"/>
            <w:vAlign w:val="center"/>
          </w:tcPr>
          <w:p>
            <w:pPr>
              <w:pStyle w:val="TableContents"/>
              <w:bidi w:val="0"/>
              <w:spacing w:before="0" w:after="283"/>
              <w:jc w:val="right"/>
              <w:rPr/>
            </w:pPr>
            <w:r>
              <w:rPr/>
              <w:t>6,458,999</w:t>
            </w:r>
          </w:p>
        </w:tc>
      </w:tr>
      <w:tr>
        <w:trPr/>
        <w:tc>
          <w:tcPr>
            <w:tcW w:w="976" w:type="dxa"/>
            <w:vMerge w:val="continue"/>
            <w:tcBorders>
              <w:bottom w:val="single" w:sz="8" w:space="0" w:color="95B3D7"/>
            </w:tcBorders>
            <w:shd w:fill="DBE5F1" w:val="clear"/>
            <w:tcMar>
              <w:bottom w:w="28" w:type="dxa"/>
            </w:tcMar>
            <w:vAlign w:val="center"/>
          </w:tcPr>
          <w:p>
            <w:pPr>
              <w:pStyle w:val="Normal"/>
              <w:bidi w:val="0"/>
              <w:jc w:val="left"/>
              <w:rPr/>
            </w:pPr>
            <w:r>
              <w:rPr/>
            </w:r>
          </w:p>
        </w:tc>
        <w:tc>
          <w:tcPr>
            <w:tcW w:w="120" w:type="dxa"/>
            <w:tcBorders/>
            <w:shd w:fill="DBE5F1" w:val="clear"/>
            <w:vAlign w:val="center"/>
          </w:tcPr>
          <w:p>
            <w:pPr>
              <w:pStyle w:val="TableContents"/>
              <w:bidi w:val="0"/>
              <w:spacing w:before="0" w:after="283"/>
              <w:jc w:val="left"/>
              <w:rPr/>
            </w:pPr>
            <w:r>
              <w:rPr/>
              <w:t>  </w:t>
            </w:r>
          </w:p>
        </w:tc>
        <w:tc>
          <w:tcPr>
            <w:tcW w:w="1205" w:type="dxa"/>
            <w:tcBorders/>
            <w:shd w:fill="DBE5F1" w:val="clear"/>
            <w:vAlign w:val="center"/>
          </w:tcPr>
          <w:p>
            <w:pPr>
              <w:pStyle w:val="TableContents"/>
              <w:bidi w:val="0"/>
              <w:spacing w:before="0" w:after="283"/>
              <w:jc w:val="right"/>
              <w:rPr/>
            </w:pPr>
            <w:r>
              <w:rPr/>
              <w:t>2022</w:t>
            </w:r>
          </w:p>
        </w:tc>
        <w:tc>
          <w:tcPr>
            <w:tcW w:w="120" w:type="dxa"/>
            <w:tcBorders/>
            <w:shd w:fill="DBE5F1" w:val="clear"/>
            <w:vAlign w:val="center"/>
          </w:tcPr>
          <w:p>
            <w:pPr>
              <w:pStyle w:val="TableContents"/>
              <w:bidi w:val="0"/>
              <w:spacing w:before="0" w:after="283"/>
              <w:jc w:val="left"/>
              <w:rPr/>
            </w:pPr>
            <w:r>
              <w:rPr/>
              <w:t>  </w:t>
            </w:r>
          </w:p>
        </w:tc>
        <w:tc>
          <w:tcPr>
            <w:tcW w:w="951" w:type="dxa"/>
            <w:tcBorders/>
            <w:shd w:fill="DBE5F1" w:val="clear"/>
            <w:vAlign w:val="center"/>
          </w:tcPr>
          <w:p>
            <w:pPr>
              <w:pStyle w:val="TableContents"/>
              <w:bidi w:val="0"/>
              <w:spacing w:before="0" w:after="283"/>
              <w:jc w:val="center"/>
              <w:rPr/>
            </w:pPr>
            <w:r>
              <w:rPr/>
              <w:t>557,308</w:t>
            </w:r>
          </w:p>
        </w:tc>
        <w:tc>
          <w:tcPr>
            <w:tcW w:w="120" w:type="dxa"/>
            <w:tcBorders/>
            <w:shd w:fill="DBE5F1" w:val="clear"/>
            <w:vAlign w:val="center"/>
          </w:tcPr>
          <w:p>
            <w:pPr>
              <w:pStyle w:val="TableContents"/>
              <w:bidi w:val="0"/>
              <w:spacing w:before="0" w:after="283"/>
              <w:jc w:val="left"/>
              <w:rPr/>
            </w:pPr>
            <w:r>
              <w:rPr/>
              <w:t>  </w:t>
            </w:r>
          </w:p>
        </w:tc>
        <w:tc>
          <w:tcPr>
            <w:tcW w:w="927" w:type="dxa"/>
            <w:tcBorders/>
            <w:shd w:fill="DBE5F1" w:val="clear"/>
            <w:vAlign w:val="center"/>
          </w:tcPr>
          <w:p>
            <w:pPr>
              <w:pStyle w:val="TableContents"/>
              <w:bidi w:val="0"/>
              <w:spacing w:before="0" w:after="283"/>
              <w:jc w:val="right"/>
              <w:rPr/>
            </w:pPr>
            <w:r>
              <w:rPr/>
              <w:t>—</w:t>
            </w:r>
          </w:p>
        </w:tc>
        <w:tc>
          <w:tcPr>
            <w:tcW w:w="12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8,832,243</w:t>
            </w:r>
          </w:p>
        </w:tc>
        <w:tc>
          <w:tcPr>
            <w:tcW w:w="12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624,999</w:t>
            </w:r>
          </w:p>
        </w:tc>
        <w:tc>
          <w:tcPr>
            <w:tcW w:w="120" w:type="dxa"/>
            <w:tcBorders/>
            <w:shd w:fill="DBE5F1" w:val="clear"/>
            <w:vAlign w:val="center"/>
          </w:tcPr>
          <w:p>
            <w:pPr>
              <w:pStyle w:val="TableContents"/>
              <w:bidi w:val="0"/>
              <w:spacing w:before="0" w:after="283"/>
              <w:jc w:val="left"/>
              <w:rPr/>
            </w:pPr>
            <w:r>
              <w:rPr/>
              <w:t>  </w:t>
            </w:r>
          </w:p>
        </w:tc>
        <w:tc>
          <w:tcPr>
            <w:tcW w:w="980" w:type="dxa"/>
            <w:tcBorders/>
            <w:shd w:fill="DBE5F1" w:val="clear"/>
            <w:vAlign w:val="center"/>
          </w:tcPr>
          <w:p>
            <w:pPr>
              <w:pStyle w:val="TableContents"/>
              <w:bidi w:val="0"/>
              <w:spacing w:before="0" w:after="283"/>
              <w:jc w:val="right"/>
              <w:rPr/>
            </w:pPr>
            <w:r>
              <w:rPr/>
              <w:t>553,589</w:t>
            </w:r>
          </w:p>
        </w:tc>
        <w:tc>
          <w:tcPr>
            <w:tcW w:w="120" w:type="dxa"/>
            <w:tcBorders/>
            <w:shd w:fill="DBE5F1" w:val="clear"/>
            <w:vAlign w:val="center"/>
          </w:tcPr>
          <w:p>
            <w:pPr>
              <w:pStyle w:val="TableContents"/>
              <w:bidi w:val="0"/>
              <w:spacing w:before="0" w:after="283"/>
              <w:jc w:val="left"/>
              <w:rPr/>
            </w:pPr>
            <w:r>
              <w:rPr/>
              <w:t>  </w:t>
            </w:r>
          </w:p>
        </w:tc>
        <w:tc>
          <w:tcPr>
            <w:tcW w:w="890" w:type="dxa"/>
            <w:tcBorders/>
            <w:shd w:fill="DBE5F1" w:val="clear"/>
            <w:vAlign w:val="center"/>
          </w:tcPr>
          <w:p>
            <w:pPr>
              <w:pStyle w:val="TableContents"/>
              <w:bidi w:val="0"/>
              <w:spacing w:before="0" w:after="283"/>
              <w:jc w:val="right"/>
              <w:rPr/>
            </w:pPr>
            <w:r>
              <w:rPr/>
              <w:t>12,620</w:t>
            </w:r>
          </w:p>
        </w:tc>
        <w:tc>
          <w:tcPr>
            <w:tcW w:w="120" w:type="dxa"/>
            <w:tcBorders/>
            <w:shd w:fill="DBE5F1" w:val="clear"/>
            <w:vAlign w:val="center"/>
          </w:tcPr>
          <w:p>
            <w:pPr>
              <w:pStyle w:val="TableContents"/>
              <w:bidi w:val="0"/>
              <w:spacing w:before="0" w:after="283"/>
              <w:jc w:val="left"/>
              <w:rPr/>
            </w:pPr>
            <w:r>
              <w:rPr/>
              <w:t>  </w:t>
            </w:r>
          </w:p>
        </w:tc>
        <w:tc>
          <w:tcPr>
            <w:tcW w:w="1116" w:type="dxa"/>
            <w:tcBorders/>
            <w:shd w:fill="DBE5F1" w:val="clear"/>
            <w:vAlign w:val="center"/>
          </w:tcPr>
          <w:p>
            <w:pPr>
              <w:pStyle w:val="TableContents"/>
              <w:bidi w:val="0"/>
              <w:spacing w:before="0" w:after="283"/>
              <w:jc w:val="right"/>
              <w:rPr/>
            </w:pPr>
            <w:r>
              <w:rPr/>
              <w:t>10,580,760</w:t>
            </w:r>
          </w:p>
        </w:tc>
      </w:tr>
      <w:tr>
        <w:trPr/>
        <w:tc>
          <w:tcPr>
            <w:tcW w:w="976" w:type="dxa"/>
            <w:vMerge w:val="continue"/>
            <w:tcBorders>
              <w:bottom w:val="single" w:sz="8" w:space="0" w:color="95B3D7"/>
            </w:tcBorders>
            <w:shd w:fill="DBE5F1" w:val="clear"/>
            <w:tcMar>
              <w:bottom w:w="28" w:type="dxa"/>
            </w:tcMar>
            <w:vAlign w:val="center"/>
          </w:tcPr>
          <w:p>
            <w:pPr>
              <w:pStyle w:val="Normal"/>
              <w:bidi w:val="0"/>
              <w:jc w:val="left"/>
              <w:rPr/>
            </w:pPr>
            <w:r>
              <w:rPr/>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205" w:type="dxa"/>
            <w:tcBorders>
              <w:bottom w:val="single" w:sz="8" w:space="0" w:color="95B3D7"/>
            </w:tcBorders>
            <w:shd w:fill="DBE5F1" w:val="clear"/>
            <w:tcMar>
              <w:bottom w:w="28" w:type="dxa"/>
            </w:tcMar>
            <w:vAlign w:val="center"/>
          </w:tcPr>
          <w:p>
            <w:pPr>
              <w:pStyle w:val="TableContents"/>
              <w:bidi w:val="0"/>
              <w:spacing w:before="0" w:after="283"/>
              <w:jc w:val="right"/>
              <w:rPr/>
            </w:pPr>
            <w:r>
              <w:rPr/>
              <w:t>2021</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951" w:type="dxa"/>
            <w:tcBorders>
              <w:bottom w:val="single" w:sz="8" w:space="0" w:color="95B3D7"/>
            </w:tcBorders>
            <w:shd w:fill="DBE5F1" w:val="clear"/>
            <w:tcMar>
              <w:bottom w:w="28" w:type="dxa"/>
            </w:tcMar>
            <w:vAlign w:val="center"/>
          </w:tcPr>
          <w:p>
            <w:pPr>
              <w:pStyle w:val="TableContents"/>
              <w:bidi w:val="0"/>
              <w:spacing w:before="0" w:after="283"/>
              <w:jc w:val="center"/>
              <w:rPr/>
            </w:pPr>
            <w:r>
              <w:rPr/>
              <w:t>536,731</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927" w:type="dxa"/>
            <w:tcBorders>
              <w:bottom w:val="single" w:sz="8" w:space="0" w:color="95B3D7"/>
            </w:tcBorders>
            <w:shd w:fill="DBE5F1" w:val="clear"/>
            <w:tcMar>
              <w:bottom w:w="28" w:type="dxa"/>
            </w:tcMar>
            <w:vAlign w:val="center"/>
          </w:tcPr>
          <w:p>
            <w:pPr>
              <w:pStyle w:val="TableContents"/>
              <w:bidi w:val="0"/>
              <w:spacing w:before="0" w:after="283"/>
              <w:jc w:val="right"/>
              <w:rPr/>
            </w:pPr>
            <w:r>
              <w:rPr/>
              <w:t>20,000</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100" w:type="dxa"/>
            <w:tcBorders>
              <w:bottom w:val="single" w:sz="8" w:space="0" w:color="95B3D7"/>
            </w:tcBorders>
            <w:shd w:fill="DBE5F1" w:val="clear"/>
            <w:tcMar>
              <w:bottom w:w="28" w:type="dxa"/>
            </w:tcMar>
            <w:vAlign w:val="center"/>
          </w:tcPr>
          <w:p>
            <w:pPr>
              <w:pStyle w:val="TableContents"/>
              <w:bidi w:val="0"/>
              <w:spacing w:before="0" w:after="283"/>
              <w:jc w:val="right"/>
              <w:rPr/>
            </w:pPr>
            <w:r>
              <w:rPr/>
              <w:t>5,146,254</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100" w:type="dxa"/>
            <w:tcBorders>
              <w:bottom w:val="single" w:sz="8" w:space="0" w:color="95B3D7"/>
            </w:tcBorders>
            <w:shd w:fill="DBE5F1" w:val="clear"/>
            <w:tcMar>
              <w:bottom w:w="28" w:type="dxa"/>
            </w:tcMar>
            <w:vAlign w:val="center"/>
          </w:tcPr>
          <w:p>
            <w:pPr>
              <w:pStyle w:val="TableContents"/>
              <w:bidi w:val="0"/>
              <w:spacing w:before="0" w:after="283"/>
              <w:jc w:val="right"/>
              <w:rPr/>
            </w:pPr>
            <w:r>
              <w:rPr/>
              <w:t>7,781,800</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980" w:type="dxa"/>
            <w:tcBorders>
              <w:bottom w:val="single" w:sz="8" w:space="0" w:color="95B3D7"/>
            </w:tcBorders>
            <w:shd w:fill="DBE5F1" w:val="clear"/>
            <w:tcMar>
              <w:bottom w:w="28" w:type="dxa"/>
            </w:tcMar>
            <w:vAlign w:val="center"/>
          </w:tcPr>
          <w:p>
            <w:pPr>
              <w:pStyle w:val="TableContents"/>
              <w:bidi w:val="0"/>
              <w:spacing w:before="0" w:after="283"/>
              <w:jc w:val="right"/>
              <w:rPr/>
            </w:pPr>
            <w:r>
              <w:rPr/>
              <w:t>468,128</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890" w:type="dxa"/>
            <w:tcBorders>
              <w:bottom w:val="single" w:sz="8" w:space="0" w:color="95B3D7"/>
            </w:tcBorders>
            <w:shd w:fill="DBE5F1" w:val="clear"/>
            <w:tcMar>
              <w:bottom w:w="28" w:type="dxa"/>
            </w:tcMar>
            <w:vAlign w:val="center"/>
          </w:tcPr>
          <w:p>
            <w:pPr>
              <w:pStyle w:val="TableContents"/>
              <w:bidi w:val="0"/>
              <w:spacing w:before="0" w:after="283"/>
              <w:jc w:val="right"/>
              <w:rPr/>
            </w:pPr>
            <w:r>
              <w:rPr/>
              <w:t>12,020</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116" w:type="dxa"/>
            <w:tcBorders>
              <w:bottom w:val="single" w:sz="8" w:space="0" w:color="95B3D7"/>
            </w:tcBorders>
            <w:shd w:fill="DBE5F1" w:val="clear"/>
            <w:tcMar>
              <w:bottom w:w="28" w:type="dxa"/>
            </w:tcMar>
            <w:vAlign w:val="center"/>
          </w:tcPr>
          <w:p>
            <w:pPr>
              <w:pStyle w:val="TableContents"/>
              <w:bidi w:val="0"/>
              <w:spacing w:before="0" w:after="283"/>
              <w:jc w:val="right"/>
              <w:rPr/>
            </w:pPr>
            <w:r>
              <w:rPr/>
              <w:t>13,964,932</w:t>
            </w:r>
          </w:p>
        </w:tc>
      </w:tr>
      <w:tr>
        <w:trPr/>
        <w:tc>
          <w:tcPr>
            <w:tcW w:w="976" w:type="dxa"/>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1071" w:type="dxa"/>
            <w:gridSpan w:val="2"/>
            <w:tcBorders/>
            <w:vAlign w:val="center"/>
          </w:tcPr>
          <w:p>
            <w:pPr>
              <w:pStyle w:val="TableContents"/>
              <w:bidi w:val="0"/>
              <w:spacing w:before="0" w:after="283"/>
              <w:jc w:val="left"/>
              <w:rPr>
                <w:sz w:val="4"/>
                <w:szCs w:val="4"/>
              </w:rPr>
            </w:pPr>
            <w:r>
              <w:rPr>
                <w:sz w:val="4"/>
                <w:szCs w:val="4"/>
              </w:rPr>
            </w:r>
          </w:p>
        </w:tc>
        <w:tc>
          <w:tcPr>
            <w:tcW w:w="1047"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220" w:type="dxa"/>
            <w:gridSpan w:val="2"/>
            <w:tcBorders/>
            <w:vAlign w:val="center"/>
          </w:tcPr>
          <w:p>
            <w:pPr>
              <w:pStyle w:val="TableContents"/>
              <w:bidi w:val="0"/>
              <w:spacing w:before="0" w:after="283"/>
              <w:jc w:val="left"/>
              <w:rPr>
                <w:sz w:val="4"/>
                <w:szCs w:val="4"/>
              </w:rPr>
            </w:pPr>
            <w:r>
              <w:rPr>
                <w:sz w:val="4"/>
                <w:szCs w:val="4"/>
              </w:rPr>
            </w:r>
          </w:p>
        </w:tc>
        <w:tc>
          <w:tcPr>
            <w:tcW w:w="1100" w:type="dxa"/>
            <w:gridSpan w:val="2"/>
            <w:tcBorders/>
            <w:vAlign w:val="center"/>
          </w:tcPr>
          <w:p>
            <w:pPr>
              <w:pStyle w:val="TableContents"/>
              <w:bidi w:val="0"/>
              <w:spacing w:before="0" w:after="283"/>
              <w:jc w:val="left"/>
              <w:rPr>
                <w:sz w:val="4"/>
                <w:szCs w:val="4"/>
              </w:rPr>
            </w:pPr>
            <w:r>
              <w:rPr>
                <w:sz w:val="4"/>
                <w:szCs w:val="4"/>
              </w:rPr>
            </w:r>
          </w:p>
        </w:tc>
        <w:tc>
          <w:tcPr>
            <w:tcW w:w="1010" w:type="dxa"/>
            <w:gridSpan w:val="2"/>
            <w:tcBorders/>
            <w:vAlign w:val="center"/>
          </w:tcPr>
          <w:p>
            <w:pPr>
              <w:pStyle w:val="TableContents"/>
              <w:bidi w:val="0"/>
              <w:spacing w:before="0" w:after="283"/>
              <w:jc w:val="left"/>
              <w:rPr>
                <w:sz w:val="4"/>
                <w:szCs w:val="4"/>
              </w:rPr>
            </w:pPr>
            <w:r>
              <w:rPr>
                <w:sz w:val="4"/>
                <w:szCs w:val="4"/>
              </w:rPr>
            </w:r>
          </w:p>
        </w:tc>
        <w:tc>
          <w:tcPr>
            <w:tcW w:w="1236" w:type="dxa"/>
            <w:gridSpan w:val="2"/>
            <w:tcBorders/>
            <w:vAlign w:val="center"/>
          </w:tcPr>
          <w:p>
            <w:pPr>
              <w:pStyle w:val="TableContents"/>
              <w:bidi w:val="0"/>
              <w:spacing w:before="0" w:after="283"/>
              <w:jc w:val="left"/>
              <w:rPr>
                <w:sz w:val="4"/>
                <w:szCs w:val="4"/>
              </w:rPr>
            </w:pPr>
            <w:r>
              <w:rPr>
                <w:sz w:val="4"/>
                <w:szCs w:val="4"/>
              </w:rPr>
            </w:r>
          </w:p>
        </w:tc>
      </w:tr>
      <w:tr>
        <w:trPr/>
        <w:tc>
          <w:tcPr>
            <w:tcW w:w="976" w:type="dxa"/>
            <w:tcBorders>
              <w:bottom w:val="single" w:sz="8" w:space="0" w:color="95B3D7"/>
            </w:tcBorders>
            <w:tcMar>
              <w:bottom w:w="28" w:type="dxa"/>
            </w:tcMar>
            <w:vAlign w:val="center"/>
          </w:tcPr>
          <w:p>
            <w:pPr>
              <w:pStyle w:val="TableContents"/>
              <w:bidi w:val="0"/>
              <w:spacing w:before="0" w:after="0"/>
              <w:jc w:val="left"/>
              <w:rPr/>
            </w:pPr>
            <w:r>
              <w:rPr/>
              <w:t> </w:t>
            </w:r>
            <w:r>
              <w:rPr>
                <w:rFonts w:ascii="ARIAL" w:hAnsi="ARIAL"/>
                <w:b/>
                <w:sz w:val="14"/>
              </w:rPr>
              <w:t xml:space="preserve">Hakan Kardes </w:t>
            </w:r>
          </w:p>
          <w:p>
            <w:pPr>
              <w:pStyle w:val="TableContents"/>
              <w:bidi w:val="0"/>
              <w:spacing w:before="0" w:after="0"/>
              <w:jc w:val="left"/>
              <w:rPr/>
            </w:pPr>
            <w:r>
              <w:rPr/>
              <w:t>  </w:t>
            </w:r>
            <w:r>
              <w:rPr>
                <w:rFonts w:ascii="ARIAL" w:hAnsi="ARIAL"/>
                <w:sz w:val="14"/>
              </w:rPr>
              <w:t>Chief</w:t>
            </w:r>
          </w:p>
          <w:p>
            <w:pPr>
              <w:pStyle w:val="TableContents"/>
              <w:bidi w:val="0"/>
              <w:spacing w:before="0" w:after="0"/>
              <w:jc w:val="left"/>
              <w:rPr/>
            </w:pPr>
            <w:r>
              <w:rPr/>
              <w:t>  </w:t>
            </w:r>
            <w:r>
              <w:rPr>
                <w:rFonts w:ascii="ARIAL" w:hAnsi="ARIAL"/>
                <w:sz w:val="14"/>
              </w:rPr>
              <w:t>Experience</w:t>
            </w:r>
          </w:p>
          <w:p>
            <w:pPr>
              <w:pStyle w:val="TableContents"/>
              <w:bidi w:val="0"/>
              <w:spacing w:before="0" w:after="20"/>
              <w:jc w:val="left"/>
              <w:rPr/>
            </w:pPr>
            <w:r>
              <w:rPr/>
              <w:t>  </w:t>
            </w:r>
            <w:r>
              <w:rPr>
                <w:rFonts w:ascii="ARIAL" w:hAnsi="ARIAL"/>
                <w:sz w:val="14"/>
              </w:rPr>
              <w:t>Officer(7)</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205" w:type="dxa"/>
            <w:tcBorders>
              <w:bottom w:val="single" w:sz="8" w:space="0" w:color="95B3D7"/>
            </w:tcBorders>
            <w:tcMar>
              <w:bottom w:w="28" w:type="dxa"/>
            </w:tcMar>
            <w:vAlign w:val="center"/>
          </w:tcPr>
          <w:p>
            <w:pPr>
              <w:pStyle w:val="TableContents"/>
              <w:bidi w:val="0"/>
              <w:spacing w:before="0" w:after="283"/>
              <w:jc w:val="right"/>
              <w:rPr/>
            </w:pPr>
            <w:r>
              <w:rPr/>
              <w:t>2023</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951" w:type="dxa"/>
            <w:tcBorders>
              <w:bottom w:val="single" w:sz="8" w:space="0" w:color="95B3D7"/>
            </w:tcBorders>
            <w:tcMar>
              <w:bottom w:w="28" w:type="dxa"/>
            </w:tcMar>
            <w:vAlign w:val="center"/>
          </w:tcPr>
          <w:p>
            <w:pPr>
              <w:pStyle w:val="TableContents"/>
              <w:bidi w:val="0"/>
              <w:spacing w:before="0" w:after="283"/>
              <w:jc w:val="center"/>
              <w:rPr/>
            </w:pPr>
            <w:r>
              <w:rPr/>
              <w:t>411,539</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927" w:type="dxa"/>
            <w:tcBorders>
              <w:bottom w:val="single" w:sz="8" w:space="0" w:color="95B3D7"/>
            </w:tcBorders>
            <w:tcMar>
              <w:bottom w:w="28" w:type="dxa"/>
            </w:tcMar>
            <w:vAlign w:val="center"/>
          </w:tcPr>
          <w:p>
            <w:pPr>
              <w:pStyle w:val="TableContents"/>
              <w:bidi w:val="0"/>
              <w:spacing w:before="0" w:after="283"/>
              <w:jc w:val="right"/>
              <w:rPr/>
            </w:pPr>
            <w:r>
              <w:rPr/>
              <w:t>90,000</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100" w:type="dxa"/>
            <w:tcBorders>
              <w:bottom w:val="single" w:sz="8" w:space="0" w:color="95B3D7"/>
            </w:tcBorders>
            <w:tcMar>
              <w:bottom w:w="28" w:type="dxa"/>
            </w:tcMar>
            <w:vAlign w:val="center"/>
          </w:tcPr>
          <w:p>
            <w:pPr>
              <w:pStyle w:val="TableContents"/>
              <w:bidi w:val="0"/>
              <w:spacing w:before="0" w:after="283"/>
              <w:jc w:val="right"/>
              <w:rPr/>
            </w:pPr>
            <w:r>
              <w:rPr/>
              <w:t>2,330,440</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100" w:type="dxa"/>
            <w:tcBorders>
              <w:bottom w:val="single" w:sz="8" w:space="0" w:color="95B3D7"/>
            </w:tcBorders>
            <w:tcMar>
              <w:bottom w:w="28" w:type="dxa"/>
            </w:tcMar>
            <w:vAlign w:val="center"/>
          </w:tcPr>
          <w:p>
            <w:pPr>
              <w:pStyle w:val="TableContents"/>
              <w:bidi w:val="0"/>
              <w:spacing w:before="0" w:after="283"/>
              <w:jc w:val="right"/>
              <w:rPr/>
            </w:pPr>
            <w:r>
              <w:rPr/>
              <w:t>—</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980" w:type="dxa"/>
            <w:tcBorders>
              <w:bottom w:val="single" w:sz="8" w:space="0" w:color="95B3D7"/>
            </w:tcBorders>
            <w:tcMar>
              <w:bottom w:w="28" w:type="dxa"/>
            </w:tcMar>
            <w:vAlign w:val="center"/>
          </w:tcPr>
          <w:p>
            <w:pPr>
              <w:pStyle w:val="TableContents"/>
              <w:bidi w:val="0"/>
              <w:spacing w:before="0" w:after="283"/>
              <w:jc w:val="right"/>
              <w:rPr/>
            </w:pPr>
            <w:r>
              <w:rPr/>
              <w:t>375,875</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890" w:type="dxa"/>
            <w:tcBorders>
              <w:bottom w:val="single" w:sz="8" w:space="0" w:color="95B3D7"/>
            </w:tcBorders>
            <w:tcMar>
              <w:bottom w:w="28" w:type="dxa"/>
            </w:tcMar>
            <w:vAlign w:val="center"/>
          </w:tcPr>
          <w:p>
            <w:pPr>
              <w:pStyle w:val="TableContents"/>
              <w:bidi w:val="0"/>
              <w:spacing w:before="0" w:after="283"/>
              <w:jc w:val="right"/>
              <w:rPr/>
            </w:pPr>
            <w:r>
              <w:rPr/>
              <w:t>13,620</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116" w:type="dxa"/>
            <w:tcBorders>
              <w:bottom w:val="single" w:sz="8" w:space="0" w:color="95B3D7"/>
            </w:tcBorders>
            <w:tcMar>
              <w:bottom w:w="28" w:type="dxa"/>
            </w:tcMar>
            <w:vAlign w:val="center"/>
          </w:tcPr>
          <w:p>
            <w:pPr>
              <w:pStyle w:val="TableContents"/>
              <w:bidi w:val="0"/>
              <w:spacing w:before="0" w:after="283"/>
              <w:jc w:val="right"/>
              <w:rPr/>
            </w:pPr>
            <w:r>
              <w:rPr/>
              <w:t>3,221,474</w:t>
            </w:r>
          </w:p>
        </w:tc>
      </w:tr>
      <w:tr>
        <w:trPr/>
        <w:tc>
          <w:tcPr>
            <w:tcW w:w="976" w:type="dxa"/>
            <w:tcBorders>
              <w:bottom w:val="single" w:sz="8" w:space="0" w:color="95B3D7"/>
            </w:tcBorders>
            <w:shd w:fill="DBE5F1" w:val="clear"/>
            <w:tcMar>
              <w:bottom w:w="28" w:type="dxa"/>
            </w:tcMar>
            <w:vAlign w:val="center"/>
          </w:tcPr>
          <w:p>
            <w:pPr>
              <w:pStyle w:val="TableContents"/>
              <w:bidi w:val="0"/>
              <w:spacing w:before="0" w:after="0"/>
              <w:jc w:val="left"/>
              <w:rPr/>
            </w:pPr>
            <w:r>
              <w:rPr/>
              <w:t> </w:t>
            </w:r>
            <w:r>
              <w:rPr>
                <w:rFonts w:ascii="ARIAL" w:hAnsi="ARIAL"/>
                <w:b/>
                <w:sz w:val="14"/>
              </w:rPr>
              <w:t>Hyong (Ken)</w:t>
            </w:r>
          </w:p>
          <w:p>
            <w:pPr>
              <w:pStyle w:val="TableContents"/>
              <w:bidi w:val="0"/>
              <w:spacing w:before="0" w:after="0"/>
              <w:jc w:val="left"/>
              <w:rPr/>
            </w:pPr>
            <w:r>
              <w:rPr/>
              <w:t>  </w:t>
            </w:r>
            <w:r>
              <w:rPr>
                <w:rFonts w:ascii="ARIAL" w:hAnsi="ARIAL"/>
                <w:b/>
                <w:sz w:val="14"/>
              </w:rPr>
              <w:t>Kim, M.D.</w:t>
            </w:r>
          </w:p>
          <w:p>
            <w:pPr>
              <w:pStyle w:val="TableContents"/>
              <w:bidi w:val="0"/>
              <w:spacing w:before="0" w:after="0"/>
              <w:jc w:val="left"/>
              <w:rPr/>
            </w:pPr>
            <w:r>
              <w:rPr/>
              <w:t>  </w:t>
            </w:r>
            <w:r>
              <w:rPr>
                <w:rFonts w:ascii="ARIAL" w:hAnsi="ARIAL"/>
                <w:sz w:val="14"/>
              </w:rPr>
              <w:t>Chief Medical</w:t>
            </w:r>
          </w:p>
          <w:p>
            <w:pPr>
              <w:pStyle w:val="TableContents"/>
              <w:bidi w:val="0"/>
              <w:spacing w:before="0" w:after="20"/>
              <w:jc w:val="left"/>
              <w:rPr/>
            </w:pPr>
            <w:r>
              <w:rPr/>
              <w:t>  </w:t>
            </w:r>
            <w:r>
              <w:rPr>
                <w:rFonts w:ascii="ARIAL" w:hAnsi="ARIAL"/>
                <w:sz w:val="14"/>
              </w:rPr>
              <w:t>Officer(7)</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205" w:type="dxa"/>
            <w:tcBorders>
              <w:bottom w:val="single" w:sz="8" w:space="0" w:color="95B3D7"/>
            </w:tcBorders>
            <w:shd w:fill="DBE5F1" w:val="clear"/>
            <w:tcMar>
              <w:bottom w:w="28" w:type="dxa"/>
            </w:tcMar>
            <w:vAlign w:val="center"/>
          </w:tcPr>
          <w:p>
            <w:pPr>
              <w:pStyle w:val="TableContents"/>
              <w:bidi w:val="0"/>
              <w:spacing w:before="0" w:after="283"/>
              <w:jc w:val="right"/>
              <w:rPr/>
            </w:pPr>
            <w:r>
              <w:rPr/>
              <w:t>2023</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951" w:type="dxa"/>
            <w:tcBorders>
              <w:bottom w:val="single" w:sz="8" w:space="0" w:color="95B3D7"/>
            </w:tcBorders>
            <w:shd w:fill="DBE5F1" w:val="clear"/>
            <w:tcMar>
              <w:bottom w:w="28" w:type="dxa"/>
            </w:tcMar>
            <w:vAlign w:val="center"/>
          </w:tcPr>
          <w:p>
            <w:pPr>
              <w:pStyle w:val="TableContents"/>
              <w:bidi w:val="0"/>
              <w:spacing w:before="0" w:after="283"/>
              <w:jc w:val="center"/>
              <w:rPr/>
            </w:pPr>
            <w:r>
              <w:rPr/>
              <w:t>140,000(7)</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927" w:type="dxa"/>
            <w:tcBorders>
              <w:bottom w:val="single" w:sz="8" w:space="0" w:color="95B3D7"/>
            </w:tcBorders>
            <w:shd w:fill="DBE5F1" w:val="clear"/>
            <w:tcMar>
              <w:bottom w:w="28" w:type="dxa"/>
            </w:tcMar>
            <w:vAlign w:val="center"/>
          </w:tcPr>
          <w:p>
            <w:pPr>
              <w:pStyle w:val="TableContents"/>
              <w:bidi w:val="0"/>
              <w:spacing w:before="0" w:after="283"/>
              <w:jc w:val="right"/>
              <w:rPr/>
            </w:pPr>
            <w:r>
              <w:rPr/>
              <w:t>20,000</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100" w:type="dxa"/>
            <w:tcBorders>
              <w:bottom w:val="single" w:sz="8" w:space="0" w:color="95B3D7"/>
            </w:tcBorders>
            <w:shd w:fill="DBE5F1" w:val="clear"/>
            <w:tcMar>
              <w:bottom w:w="28" w:type="dxa"/>
            </w:tcMar>
            <w:vAlign w:val="center"/>
          </w:tcPr>
          <w:p>
            <w:pPr>
              <w:pStyle w:val="TableContents"/>
              <w:bidi w:val="0"/>
              <w:spacing w:before="0" w:after="283"/>
              <w:jc w:val="right"/>
              <w:rPr/>
            </w:pPr>
            <w:r>
              <w:rPr/>
              <w:t>2,787,000</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100"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980" w:type="dxa"/>
            <w:tcBorders>
              <w:bottom w:val="single" w:sz="8" w:space="0" w:color="95B3D7"/>
            </w:tcBorders>
            <w:shd w:fill="DBE5F1" w:val="clear"/>
            <w:tcMar>
              <w:bottom w:w="28" w:type="dxa"/>
            </w:tcMar>
            <w:vAlign w:val="center"/>
          </w:tcPr>
          <w:p>
            <w:pPr>
              <w:pStyle w:val="TableContents"/>
              <w:bidi w:val="0"/>
              <w:spacing w:before="0" w:after="283"/>
              <w:jc w:val="right"/>
              <w:rPr/>
            </w:pPr>
            <w:r>
              <w:rPr/>
              <w:t>112,277</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890"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116" w:type="dxa"/>
            <w:tcBorders>
              <w:bottom w:val="single" w:sz="8" w:space="0" w:color="95B3D7"/>
            </w:tcBorders>
            <w:shd w:fill="DBE5F1" w:val="clear"/>
            <w:tcMar>
              <w:bottom w:w="28" w:type="dxa"/>
            </w:tcMar>
            <w:vAlign w:val="center"/>
          </w:tcPr>
          <w:p>
            <w:pPr>
              <w:pStyle w:val="TableContents"/>
              <w:bidi w:val="0"/>
              <w:spacing w:before="0" w:after="283"/>
              <w:jc w:val="right"/>
              <w:rPr/>
            </w:pPr>
            <w:r>
              <w:rPr/>
              <w:t>3,059,277</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(1)</w:t>
            </w:r>
          </w:p>
        </w:tc>
        <w:tc>
          <w:tcPr>
            <w:tcW w:w="9891" w:type="dxa"/>
            <w:tcBorders/>
            <w:vAlign w:val="center"/>
          </w:tcPr>
          <w:p>
            <w:pPr>
              <w:pStyle w:val="TableContents"/>
              <w:bidi w:val="0"/>
              <w:spacing w:before="0" w:after="0"/>
              <w:jc w:val="left"/>
              <w:rPr>
                <w:rFonts w:ascii="ARIAL" w:hAnsi="ARIAL"/>
                <w:sz w:val="16"/>
              </w:rPr>
            </w:pPr>
            <w:r>
              <w:rPr>
                <w:rFonts w:ascii="ARIAL" w:hAnsi="ARIAL"/>
                <w:sz w:val="16"/>
              </w:rPr>
              <w:t xml:space="preserve">For 2023, represents discretionary bonuses awarded to certain NEOs, which were payable in the form of immediately vested shares of common stock. Amounts shown reflect the grant date fair value of such stock awards, computed in accordance with the Financial Accounting Standards Board Accounting Standards Codification Topic 718, “Stock Compensation” (“FASB ASC Topic 718”). </w:t>
            </w:r>
          </w:p>
        </w:tc>
      </w:tr>
    </w:tbl>
    <w:p>
      <w:pPr>
        <w:pStyle w:val="TextBody"/>
        <w:bidi w:val="0"/>
        <w:spacing w:before="120" w:after="0"/>
        <w:jc w:val="left"/>
        <w:rPr>
          <w:rFonts w:ascii="ARIAL" w:hAnsi="ARIAL"/>
          <w:sz w:val="16"/>
        </w:rPr>
      </w:pPr>
      <w:r>
        <w:rPr>
          <w:rFonts w:ascii="ARIAL" w:hAnsi="ARIAL"/>
          <w:sz w:val="16"/>
        </w:rPr>
        <w:t xml:space="preserve">For 2021, represents a one-time bonus granted in connection with our IPO.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(2)</w:t>
            </w:r>
          </w:p>
        </w:tc>
        <w:tc>
          <w:tcPr>
            <w:tcW w:w="9896" w:type="dxa"/>
            <w:tcBorders/>
            <w:vAlign w:val="center"/>
          </w:tcPr>
          <w:p>
            <w:pPr>
              <w:pStyle w:val="TableContents"/>
              <w:bidi w:val="0"/>
              <w:spacing w:before="0" w:after="0"/>
              <w:jc w:val="left"/>
              <w:rPr>
                <w:rFonts w:ascii="ARIAL" w:hAnsi="ARIAL"/>
                <w:sz w:val="16"/>
              </w:rPr>
            </w:pPr>
            <w:r>
              <w:rPr>
                <w:rFonts w:ascii="ARIAL" w:hAnsi="ARIAL"/>
                <w:sz w:val="16"/>
              </w:rPr>
              <w:t xml:space="preserve">For 2023, represents the grant date fair values associated with the grant of performance share units (“PSUs”) of Alignment to each of the NEOs, computed in accordance with FASB ASC Topic 718. The grant date fair value of the PSU awards reflected in this column is the target payout based on the probable outcome of the performance-based conditions, determined as of the grant date. PSUs awarded in 2023 are earned based on achievement of certain performance goals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55 </w:t>
      </w:r>
      <w:r>
        <w:br w:type="page"/>
      </w:r>
    </w:p>
    <w:p>
      <w:pPr>
        <w:pStyle w:val="HorizontalLine"/>
        <w:bidi w:val="0"/>
        <w:jc w:val="left"/>
        <w:rPr/>
      </w:pPr>
      <w:r>
        <w:rPr/>
      </w:r>
    </w:p>
    <w:p>
      <w:pPr>
        <w:pStyle w:val="TextBody"/>
        <w:bidi w:val="0"/>
        <w:spacing w:before="0" w:after="0"/>
        <w:jc w:val="left"/>
        <w:rPr>
          <w:rFonts w:ascii="ARIAL" w:hAnsi="ARIAL"/>
          <w:sz w:val="16"/>
        </w:rPr>
      </w:pPr>
      <w:r>
        <w:rPr>
          <w:rFonts w:ascii="ARIAL" w:hAnsi="ARIAL"/>
          <w:sz w:val="16"/>
        </w:rPr>
        <w:t>over fiscal year 2024 and vest in two tranches in or about March 2025 and at December 31, 2025. The maximum potential payout of the PSU awards would be 150% of the target shares awarded on the grant date. These amounts reflect an accounting expense and do not correspond to the actual value that may be realized by the NEOs. See the “</w:t>
      </w:r>
      <w:r>
        <w:rPr>
          <w:rFonts w:ascii="ARIAL" w:hAnsi="ARIAL"/>
          <w:i/>
          <w:sz w:val="16"/>
        </w:rPr>
        <w:t>Grants of Plan-Based Awards</w:t>
      </w:r>
      <w:r>
        <w:rPr>
          <w:rFonts w:ascii="ARIAL" w:hAnsi="ARIAL"/>
          <w:sz w:val="16"/>
        </w:rPr>
        <w:t xml:space="preserve">” table for more information about the PSUs granted in 2023. </w:t>
      </w:r>
    </w:p>
    <w:p>
      <w:pPr>
        <w:pStyle w:val="TextBody"/>
        <w:bidi w:val="0"/>
        <w:spacing w:before="120" w:after="0"/>
        <w:jc w:val="left"/>
        <w:rPr>
          <w:rFonts w:ascii="ARIAL" w:hAnsi="ARIAL"/>
          <w:sz w:val="16"/>
        </w:rPr>
      </w:pPr>
      <w:r>
        <w:rPr>
          <w:rFonts w:ascii="ARIAL" w:hAnsi="ARIAL"/>
          <w:sz w:val="16"/>
        </w:rPr>
        <w:t xml:space="preserve">For 2023, for Dr. Kim, the amount also includes the grant date fair value of restricted stock units (“RSUs”) granted upon commencement of his employment with the Company in the amount of $2,500,000. </w:t>
      </w:r>
    </w:p>
    <w:p>
      <w:pPr>
        <w:pStyle w:val="TextBody"/>
        <w:bidi w:val="0"/>
        <w:spacing w:before="120" w:after="0"/>
        <w:jc w:val="left"/>
        <w:rPr>
          <w:rFonts w:ascii="ARIAL" w:hAnsi="ARIAL"/>
          <w:sz w:val="16"/>
        </w:rPr>
      </w:pPr>
      <w:r>
        <w:rPr>
          <w:rFonts w:ascii="ARIAL" w:hAnsi="ARIAL"/>
          <w:sz w:val="16"/>
        </w:rPr>
        <w:t xml:space="preserve">For 2022, represents the grant date fair values associated with the grant of RSUs of Alignment to each of the NEOs, computed in accordance with FASB ASC Topic 718. </w:t>
      </w:r>
    </w:p>
    <w:p>
      <w:pPr>
        <w:pStyle w:val="TextBody"/>
        <w:bidi w:val="0"/>
        <w:spacing w:before="120" w:after="0"/>
        <w:jc w:val="left"/>
        <w:rPr>
          <w:rFonts w:ascii="ARIAL" w:hAnsi="ARIAL"/>
          <w:sz w:val="16"/>
        </w:rPr>
      </w:pPr>
      <w:r>
        <w:rPr>
          <w:rFonts w:ascii="ARIAL" w:hAnsi="ARIAL"/>
          <w:sz w:val="16"/>
        </w:rPr>
        <w:t>For 2021, the amounts reported include the accounting costs associated with the March 25, 2021 modification in connection with the conversion of performance-based incentive units (for Mr. Kao, Mr. Freeman and Ms. Maroney) and SARs (for Mr. Freeman) as a part of the pre-IPO equity conversion discussed in further detail in “</w:t>
      </w:r>
      <w:r>
        <w:rPr>
          <w:rFonts w:ascii="ARIAL" w:hAnsi="ARIAL"/>
          <w:i/>
          <w:sz w:val="16"/>
        </w:rPr>
        <w:t>Compensation Discussion and Analysis - 2022 Executive Compensation Program in Detail - Long-Term Equity Incentives - Pre-Initial Public Offering Awards</w:t>
      </w:r>
      <w:r>
        <w:rPr>
          <w:rFonts w:ascii="ARIAL" w:hAnsi="ARIAL"/>
          <w:sz w:val="16"/>
        </w:rPr>
        <w:t xml:space="preserve">” as follows: John Kao - $9,237,366; Thomas Freeman - $3,185,730; and Dawn Maroney - $3,672,954. Such accounting costs do not correspond to the actual economic value that may be ultimately realized by the Named Executive Officers for such awards. The remainder of the amounts reported for 2021 include the grant date fair values associated with the grant of RSUs of Alignment to each of the NEOs, computed in accordance with FASB ASC Topic 718 as follows: John Kao – $5,598,540; Thomas Freeman – $1,090,242; and Dawn Maroney – $1,473,300. </w:t>
      </w:r>
    </w:p>
    <w:p>
      <w:pPr>
        <w:pStyle w:val="TextBody"/>
        <w:bidi w:val="0"/>
        <w:spacing w:before="120" w:after="0"/>
        <w:jc w:val="left"/>
        <w:rPr>
          <w:rFonts w:ascii="ARIAL" w:hAnsi="ARIAL"/>
          <w:sz w:val="16"/>
        </w:rPr>
      </w:pPr>
      <w:r>
        <w:rPr>
          <w:rFonts w:ascii="ARIAL" w:hAnsi="ARIAL"/>
          <w:sz w:val="16"/>
        </w:rPr>
        <w:t xml:space="preserve">Assumptions used in computing the amounts reported herein are set forth in Note 10 to the Consolidated Financial Statements included in the Company’s Annual Report on Form 10-K for the year ended December 31,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(3)</w:t>
            </w:r>
          </w:p>
        </w:tc>
        <w:tc>
          <w:tcPr>
            <w:tcW w:w="9895" w:type="dxa"/>
            <w:tcBorders/>
            <w:vAlign w:val="center"/>
          </w:tcPr>
          <w:p>
            <w:pPr>
              <w:pStyle w:val="TableContents"/>
              <w:bidi w:val="0"/>
              <w:spacing w:before="0" w:after="0"/>
              <w:jc w:val="left"/>
              <w:rPr>
                <w:rFonts w:ascii="ARIAL" w:hAnsi="ARIAL"/>
                <w:sz w:val="16"/>
              </w:rPr>
            </w:pPr>
            <w:r>
              <w:rPr>
                <w:rFonts w:ascii="ARIAL" w:hAnsi="ARIAL"/>
                <w:sz w:val="16"/>
              </w:rPr>
              <w:t xml:space="preserve">Represents the grant date fair value of non-qualified stock options granted to the individuals on (i) March 8, 2022 and (ii) March 25, 2021 in connection with the closing of our IPO, in each case calculated in accordance with FASB ASC Topic 718. Assumptions used in computing the amounts reported herein are set forth in Note 10 to the Consolidated Financial Statements included in the Company’s Annual Report on Form 10-K for the year ended December 31, 2022.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(4)</w:t>
            </w:r>
          </w:p>
        </w:tc>
        <w:tc>
          <w:tcPr>
            <w:tcW w:w="9905" w:type="dxa"/>
            <w:tcBorders/>
            <w:vAlign w:val="center"/>
          </w:tcPr>
          <w:p>
            <w:pPr>
              <w:pStyle w:val="TableContents"/>
              <w:bidi w:val="0"/>
              <w:spacing w:before="0" w:after="0"/>
              <w:jc w:val="left"/>
              <w:rPr>
                <w:rFonts w:ascii="ARIAL" w:hAnsi="ARIAL"/>
                <w:sz w:val="16"/>
              </w:rPr>
            </w:pPr>
            <w:r>
              <w:rPr>
                <w:rFonts w:ascii="ARIAL" w:hAnsi="ARIAL"/>
                <w:sz w:val="16"/>
              </w:rPr>
              <w:t xml:space="preserve">For 2023, represents 75% of the NEO’s 2023 bonus payment under the Company’s annual incentive plan, which was paid in March 2024, and the following portions of the 2022 bonus payments that were paid to each NEO in October 2023: John Kao - $214,006; Thomas Freeman - $101,904; Dawn Maroney - $127,279; Hakan Kardes - $49,690; and Hyong (Ken) Kim, M.D. - $0. Portions of the 2023 annual incentive plan awards were paid to NEOs in the form of immediately vested stock grants having the following grant date fair values: John Kao - $0; Thomas Freeman - $348,551; Dawn Maroney - $179,452; Hakan Kardes - $260,948; and Hyong (Ken) Kim, M.D. - $74,851. The remaining 25% of the 2023 bonus payment is not included and will be paid, if at all, in September or October of 2024, based on certain performance criteria (an additional payment may also be made at such time, based on performance). </w:t>
            </w:r>
          </w:p>
        </w:tc>
      </w:tr>
    </w:tbl>
    <w:p>
      <w:pPr>
        <w:pStyle w:val="TextBody"/>
        <w:bidi w:val="0"/>
        <w:spacing w:before="120" w:after="0"/>
        <w:jc w:val="left"/>
        <w:rPr>
          <w:rFonts w:ascii="ARIAL" w:hAnsi="ARIAL"/>
          <w:sz w:val="16"/>
        </w:rPr>
      </w:pPr>
      <w:r>
        <w:rPr>
          <w:rFonts w:ascii="ARIAL" w:hAnsi="ARIAL"/>
          <w:sz w:val="16"/>
        </w:rPr>
        <w:t xml:space="preserve">For 2022, represents 80% of the NEO’s 2022 bonus payment under the Company’s annual incentive plan, which was paid in March 2023, and the following 20% 2021 bonus payments that were paid to each NEO in October 2022: John Kao - $174,305; Thomas Freeman - $61,962; and Dawn Maroney - $120,300. </w:t>
      </w:r>
    </w:p>
    <w:p>
      <w:pPr>
        <w:pStyle w:val="TextBody"/>
        <w:bidi w:val="0"/>
        <w:spacing w:before="120" w:after="0"/>
        <w:jc w:val="left"/>
        <w:rPr>
          <w:rFonts w:ascii="ARIAL" w:hAnsi="ARIAL"/>
          <w:sz w:val="16"/>
        </w:rPr>
      </w:pPr>
      <w:r>
        <w:rPr>
          <w:rFonts w:ascii="ARIAL" w:hAnsi="ARIAL"/>
          <w:sz w:val="16"/>
        </w:rPr>
        <w:t xml:space="preserve">For 2021, represents 80% of the NEO’s 2021 bonus payment under the Company’s annual incentive plan, which was paid in March 2022, and the following 20% 2020 bonus payments that were paid to each NEO on November 5, 2021: John Kao - $154,406; Thomas Freeman - $64,050; and Dawn Maroney - $80,063. </w:t>
      </w:r>
    </w:p>
    <w:p>
      <w:pPr>
        <w:pStyle w:val="TextBody"/>
        <w:bidi w:val="0"/>
        <w:spacing w:before="120" w:after="0"/>
        <w:jc w:val="left"/>
        <w:rPr>
          <w:rFonts w:ascii="ARIAL" w:hAnsi="ARIAL"/>
          <w:sz w:val="16"/>
        </w:rPr>
      </w:pPr>
      <w:r>
        <w:rPr>
          <w:rFonts w:ascii="ARIAL" w:hAnsi="ARIAL"/>
          <w:sz w:val="16"/>
        </w:rPr>
        <w:t>Certain NEOs received increases to base salaries and target and maximum bonus opportunities during applicable years. Target bonus opportunities for the full year reflect the weighted average of the target bonus opportunity percentages applicable to each NEO for each applicable period throughout the year. See “</w:t>
      </w:r>
      <w:r>
        <w:rPr>
          <w:rFonts w:ascii="ARIAL" w:hAnsi="ARIAL"/>
          <w:i/>
          <w:sz w:val="16"/>
        </w:rPr>
        <w:t>Compensation Discussion and Analysis—2023 Executive Compensation Program in Detail—Annual Incentives</w:t>
      </w:r>
      <w:r>
        <w:rPr>
          <w:rFonts w:ascii="ARIAL" w:hAnsi="ARIAL"/>
          <w:sz w:val="16"/>
        </w:rPr>
        <w:t xml:space="preserve">” above for further discussion of our Annual Incentive Plan.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(5)</w:t>
            </w:r>
          </w:p>
        </w:tc>
        <w:tc>
          <w:tcPr>
            <w:tcW w:w="9893" w:type="dxa"/>
            <w:tcBorders/>
            <w:vAlign w:val="center"/>
          </w:tcPr>
          <w:p>
            <w:pPr>
              <w:pStyle w:val="TableContents"/>
              <w:bidi w:val="0"/>
              <w:spacing w:before="0" w:after="0"/>
              <w:jc w:val="left"/>
              <w:rPr>
                <w:rFonts w:ascii="ARIAL" w:hAnsi="ARIAL"/>
                <w:sz w:val="16"/>
              </w:rPr>
            </w:pPr>
            <w:r>
              <w:rPr>
                <w:rFonts w:ascii="ARIAL" w:hAnsi="ARIAL"/>
                <w:sz w:val="16"/>
              </w:rPr>
              <w:t xml:space="preserve">For 2023, represents: for Mr. Kao – $420 internet stipend and imputed income for domestic partnership insurance of $4,789; for Mr. Freeman – $420 internet stipend and Company 401(k) matching contributions of $13,200; for Ms. Maroney – $315 internet stipend and Company 401(k) matching contributions of $13,200; and for Mr. Kardes – $420 internet stipend and Company 401(k) matching contributions of $13,200. </w:t>
            </w:r>
          </w:p>
        </w:tc>
      </w:tr>
    </w:tbl>
    <w:p>
      <w:pPr>
        <w:pStyle w:val="TextBody"/>
        <w:bidi w:val="0"/>
        <w:spacing w:before="120" w:after="0"/>
        <w:jc w:val="left"/>
        <w:rPr>
          <w:rFonts w:ascii="ARIAL" w:hAnsi="ARIAL"/>
          <w:sz w:val="16"/>
        </w:rPr>
      </w:pPr>
      <w:r>
        <w:rPr>
          <w:rFonts w:ascii="ARIAL" w:hAnsi="ARIAL"/>
          <w:sz w:val="16"/>
        </w:rPr>
        <w:t xml:space="preserve">For 2022, represents: for Mr. Kao – $420 internet stipend; for Mr. Freeman – $420 internet stipend, imputed income for domestic partnership insurance of $1,083 and Company 401(k) matching contributions of $12,200; and for Ms. Maroney – $420 internet stipend and Company 401(k) matching contributions of $12,200. </w:t>
      </w:r>
    </w:p>
    <w:p>
      <w:pPr>
        <w:pStyle w:val="TextBody"/>
        <w:bidi w:val="0"/>
        <w:spacing w:before="120" w:after="0"/>
        <w:jc w:val="left"/>
        <w:rPr>
          <w:rFonts w:ascii="ARIAL" w:hAnsi="ARIAL"/>
          <w:sz w:val="16"/>
        </w:rPr>
      </w:pPr>
      <w:r>
        <w:rPr>
          <w:rFonts w:ascii="ARIAL" w:hAnsi="ARIAL"/>
          <w:sz w:val="16"/>
        </w:rPr>
        <w:t xml:space="preserve">For 2021, represents: for Mr. Kao – $420 internet stipend; for Mr. Freeman – $420 internet stipend, imputed income for domestic partnership insurance of $3,247 and Company 401(k) matching contributions of $11,600; and for Ms. Maroney – $420 internet stipend and Company 401(k) matching contributions of $11,600. </w:t>
      </w:r>
    </w:p>
    <w:p>
      <w:pPr>
        <w:pStyle w:val="TextBody"/>
        <w:bidi w:val="0"/>
        <w:spacing w:before="0" w:after="0"/>
        <w:jc w:val="left"/>
        <w:rPr/>
      </w:pPr>
      <w:r>
        <w:rPr/>
        <w:t> </w:t>
      </w:r>
    </w:p>
    <w:tbl>
      <w:tblPr>
        <w:tblW w:w="6085" w:type="dxa"/>
        <w:jc w:val="left"/>
        <w:tblInd w:w="0" w:type="dxa"/>
        <w:tblLayout w:type="fixed"/>
        <w:tblCellMar>
          <w:top w:w="0" w:type="dxa"/>
          <w:left w:w="0" w:type="dxa"/>
          <w:bottom w:w="0" w:type="dxa"/>
          <w:right w:w="0" w:type="dxa"/>
        </w:tblCellMar>
      </w:tblPr>
      <w:tblGrid>
        <w:gridCol w:w="75"/>
        <w:gridCol w:w="290"/>
        <w:gridCol w:w="572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(6)</w:t>
            </w:r>
          </w:p>
        </w:tc>
        <w:tc>
          <w:tcPr>
            <w:tcW w:w="5720" w:type="dxa"/>
            <w:tcBorders/>
            <w:vAlign w:val="center"/>
          </w:tcPr>
          <w:p>
            <w:pPr>
              <w:pStyle w:val="TableContents"/>
              <w:bidi w:val="0"/>
              <w:spacing w:before="0" w:after="0"/>
              <w:jc w:val="left"/>
              <w:rPr>
                <w:rFonts w:ascii="ARIAL" w:hAnsi="ARIAL"/>
                <w:sz w:val="16"/>
              </w:rPr>
            </w:pPr>
            <w:r>
              <w:rPr>
                <w:rFonts w:ascii="ARIAL" w:hAnsi="ARIAL"/>
                <w:sz w:val="16"/>
              </w:rPr>
              <w:t xml:space="preserve">Dr. Kim and Mr. Kardes were not Named Executive Officers for 2021 or 2022. </w:t>
            </w:r>
          </w:p>
        </w:tc>
      </w:tr>
    </w:tbl>
    <w:p>
      <w:pPr>
        <w:pStyle w:val="TextBody"/>
        <w:bidi w:val="0"/>
        <w:spacing w:before="0" w:after="0"/>
        <w:jc w:val="left"/>
        <w:rPr/>
      </w:pPr>
      <w:r>
        <w:rPr/>
        <w:t> </w:t>
      </w:r>
    </w:p>
    <w:tbl>
      <w:tblPr>
        <w:tblW w:w="7675" w:type="dxa"/>
        <w:jc w:val="left"/>
        <w:tblInd w:w="0" w:type="dxa"/>
        <w:tblLayout w:type="fixed"/>
        <w:tblCellMar>
          <w:top w:w="0" w:type="dxa"/>
          <w:left w:w="0" w:type="dxa"/>
          <w:bottom w:w="0" w:type="dxa"/>
          <w:right w:w="0" w:type="dxa"/>
        </w:tblCellMar>
      </w:tblPr>
      <w:tblGrid>
        <w:gridCol w:w="75"/>
        <w:gridCol w:w="290"/>
        <w:gridCol w:w="731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(7)</w:t>
            </w:r>
          </w:p>
        </w:tc>
        <w:tc>
          <w:tcPr>
            <w:tcW w:w="7310" w:type="dxa"/>
            <w:tcBorders/>
            <w:vAlign w:val="center"/>
          </w:tcPr>
          <w:p>
            <w:pPr>
              <w:pStyle w:val="TableContents"/>
              <w:bidi w:val="0"/>
              <w:spacing w:before="0" w:after="0"/>
              <w:jc w:val="left"/>
              <w:rPr>
                <w:rFonts w:ascii="ARIAL" w:hAnsi="ARIAL"/>
                <w:sz w:val="16"/>
              </w:rPr>
            </w:pPr>
            <w:r>
              <w:rPr>
                <w:rFonts w:ascii="ARIAL" w:hAnsi="ARIAL"/>
                <w:sz w:val="16"/>
              </w:rPr>
              <w:t xml:space="preserve">Represents base annual salary earned for the portion of the 2023 after Dr. Kim joined the Company.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56 </w:t>
      </w:r>
      <w:r>
        <w:br w:type="page"/>
      </w:r>
    </w:p>
    <w:p>
      <w:pPr>
        <w:pStyle w:val="HorizontalLine"/>
        <w:bidi w:val="0"/>
        <w:jc w:val="left"/>
        <w:rPr/>
      </w:pPr>
      <w:r>
        <w:rPr/>
      </w:r>
    </w:p>
    <w:p>
      <w:pPr>
        <w:pStyle w:val="TextBody"/>
        <w:bidi w:val="0"/>
        <w:spacing w:before="0" w:after="0"/>
        <w:jc w:val="left"/>
        <w:rPr>
          <w:rFonts w:ascii="ARIAL" w:hAnsi="ARIAL"/>
          <w:b/>
          <w:color w:val="1F497D"/>
          <w:sz w:val="20"/>
        </w:rPr>
      </w:pPr>
      <w:r>
        <w:rPr>
          <w:rFonts w:ascii="ARIAL" w:hAnsi="ARIAL"/>
          <w:b/>
          <w:color w:val="1F497D"/>
          <w:sz w:val="20"/>
        </w:rPr>
        <w:t xml:space="preserve">Grants of Plan-Based Awards for Fiscal Year 2023 </w:t>
      </w:r>
    </w:p>
    <w:p>
      <w:pPr>
        <w:pStyle w:val="TextBody"/>
        <w:bidi w:val="0"/>
        <w:spacing w:before="240" w:after="0"/>
        <w:jc w:val="left"/>
        <w:rPr>
          <w:rFonts w:ascii="ARIAL" w:hAnsi="ARIAL"/>
          <w:sz w:val="20"/>
        </w:rPr>
      </w:pPr>
      <w:r>
        <w:rPr>
          <w:rFonts w:ascii="ARIAL" w:hAnsi="ARIAL"/>
          <w:sz w:val="20"/>
        </w:rPr>
        <w:t xml:space="preserve">The following table presents the plan-based awards granted to the Named Executive Officers in 2023. </w:t>
      </w:r>
    </w:p>
    <w:p>
      <w:pPr>
        <w:pStyle w:val="TextBody"/>
        <w:bidi w:val="0"/>
        <w:spacing w:before="0" w:after="0"/>
        <w:jc w:val="left"/>
        <w:rPr/>
      </w:pPr>
      <w:r>
        <w:rPr/>
        <w:t> </w:t>
      </w:r>
    </w:p>
    <w:tbl>
      <w:tblPr>
        <w:tblW w:w="13145" w:type="dxa"/>
        <w:jc w:val="left"/>
        <w:tblInd w:w="0" w:type="dxa"/>
        <w:tblLayout w:type="fixed"/>
        <w:tblCellMar>
          <w:top w:w="0" w:type="dxa"/>
          <w:left w:w="0" w:type="dxa"/>
          <w:bottom w:w="0" w:type="dxa"/>
          <w:right w:w="0" w:type="dxa"/>
        </w:tblCellMar>
      </w:tblPr>
      <w:tblGrid>
        <w:gridCol w:w="515"/>
        <w:gridCol w:w="60"/>
        <w:gridCol w:w="60"/>
        <w:gridCol w:w="575"/>
        <w:gridCol w:w="60"/>
        <w:gridCol w:w="60"/>
        <w:gridCol w:w="72"/>
        <w:gridCol w:w="961"/>
        <w:gridCol w:w="72"/>
        <w:gridCol w:w="72"/>
        <w:gridCol w:w="72"/>
        <w:gridCol w:w="961"/>
        <w:gridCol w:w="72"/>
        <w:gridCol w:w="72"/>
        <w:gridCol w:w="72"/>
        <w:gridCol w:w="1179"/>
        <w:gridCol w:w="60"/>
        <w:gridCol w:w="60"/>
        <w:gridCol w:w="61"/>
        <w:gridCol w:w="1009"/>
        <w:gridCol w:w="60"/>
        <w:gridCol w:w="60"/>
        <w:gridCol w:w="60"/>
        <w:gridCol w:w="980"/>
        <w:gridCol w:w="60"/>
        <w:gridCol w:w="60"/>
        <w:gridCol w:w="61"/>
        <w:gridCol w:w="1009"/>
        <w:gridCol w:w="60"/>
        <w:gridCol w:w="60"/>
        <w:gridCol w:w="63"/>
        <w:gridCol w:w="842"/>
        <w:gridCol w:w="60"/>
        <w:gridCol w:w="60"/>
        <w:gridCol w:w="220"/>
        <w:gridCol w:w="955"/>
        <w:gridCol w:w="60"/>
        <w:gridCol w:w="60"/>
        <w:gridCol w:w="164"/>
        <w:gridCol w:w="711"/>
        <w:gridCol w:w="60"/>
        <w:gridCol w:w="60"/>
        <w:gridCol w:w="60"/>
        <w:gridCol w:w="1100"/>
        <w:gridCol w:w="75"/>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5" w:type="dxa"/>
            <w:tcBorders>
              <w:bottom w:val="single" w:sz="8" w:space="0" w:color="95B3D7"/>
            </w:tcBorders>
            <w:tcMar>
              <w:bottom w:w="28" w:type="dxa"/>
            </w:tcMar>
            <w:vAlign w:val="center"/>
          </w:tcPr>
          <w:p>
            <w:pPr>
              <w:pStyle w:val="TableContents"/>
              <w:bidi w:val="0"/>
              <w:spacing w:before="0" w:after="20"/>
              <w:jc w:val="left"/>
              <w:rPr>
                <w:rFonts w:ascii="ARIAL" w:hAnsi="ARIAL"/>
                <w:b/>
                <w:sz w:val="12"/>
              </w:rPr>
            </w:pPr>
            <w:r>
              <w:rPr>
                <w:rFonts w:ascii="ARIAL" w:hAnsi="ARIAL"/>
                <w:b/>
                <w:sz w:val="12"/>
              </w:rPr>
              <w:t>Name</w:t>
            </w:r>
          </w:p>
        </w:tc>
        <w:tc>
          <w:tcPr>
            <w:tcW w:w="60" w:type="dxa"/>
            <w:tcBorders/>
            <w:vAlign w:val="center"/>
          </w:tcPr>
          <w:p>
            <w:pPr>
              <w:pStyle w:val="TableContents"/>
              <w:bidi w:val="0"/>
              <w:spacing w:before="0" w:after="283"/>
              <w:jc w:val="left"/>
              <w:rPr/>
            </w:pPr>
            <w:r>
              <w:rPr/>
              <w:t> </w:t>
            </w:r>
          </w:p>
        </w:tc>
        <w:tc>
          <w:tcPr>
            <w:tcW w:w="635" w:type="dxa"/>
            <w:gridSpan w:val="2"/>
            <w:tcBorders>
              <w:bottom w:val="single" w:sz="8" w:space="0" w:color="95B3D7"/>
            </w:tcBorders>
            <w:tcMar>
              <w:bottom w:w="28" w:type="dxa"/>
            </w:tcMar>
            <w:vAlign w:val="center"/>
          </w:tcPr>
          <w:p>
            <w:pPr>
              <w:pStyle w:val="TableContents"/>
              <w:bidi w:val="0"/>
              <w:spacing w:before="0" w:after="283"/>
              <w:jc w:val="center"/>
              <w:rPr/>
            </w:pPr>
            <w:r>
              <w:rPr>
                <w:b/>
              </w:rPr>
              <w:t>Grant</w:t>
            </w:r>
            <w:r>
              <w:rPr/>
              <w:br/>
            </w:r>
            <w:r>
              <w:rPr>
                <w:b/>
              </w:rPr>
              <w:t>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05" w:type="dxa"/>
            <w:gridSpan w:val="10"/>
            <w:tcBorders>
              <w:bottom w:val="single" w:sz="8" w:space="0" w:color="95B3D7"/>
            </w:tcBorders>
            <w:tcMar>
              <w:bottom w:w="28" w:type="dxa"/>
            </w:tcMar>
            <w:vAlign w:val="center"/>
          </w:tcPr>
          <w:p>
            <w:pPr>
              <w:pStyle w:val="TableContents"/>
              <w:bidi w:val="0"/>
              <w:spacing w:before="0" w:after="283"/>
              <w:jc w:val="center"/>
              <w:rPr/>
            </w:pPr>
            <w:r>
              <w:rPr>
                <w:b/>
              </w:rPr>
              <w:t>Estimated Future Payouts Under</w:t>
            </w:r>
            <w:r>
              <w:rPr/>
              <w:br/>
            </w:r>
            <w:r>
              <w:rPr>
                <w:b/>
              </w:rPr>
              <w:t>Non-Equity Incentive Plan 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0" w:type="dxa"/>
            <w:gridSpan w:val="10"/>
            <w:tcBorders>
              <w:bottom w:val="single" w:sz="8" w:space="0" w:color="95B3D7"/>
            </w:tcBorders>
            <w:tcMar>
              <w:bottom w:w="28" w:type="dxa"/>
            </w:tcMar>
            <w:vAlign w:val="center"/>
          </w:tcPr>
          <w:p>
            <w:pPr>
              <w:pStyle w:val="TableContents"/>
              <w:bidi w:val="0"/>
              <w:spacing w:before="0" w:after="283"/>
              <w:jc w:val="center"/>
              <w:rPr/>
            </w:pPr>
            <w:r>
              <w:rPr>
                <w:b/>
              </w:rPr>
              <w:t>Estimated Future Payouts</w:t>
              <w:br/>
              <w:t>Under</w:t>
            </w:r>
            <w:r>
              <w:rPr/>
              <w:br/>
            </w:r>
            <w:r>
              <w:rPr>
                <w:b/>
              </w:rPr>
              <w:t>Equity Incentive Plan</w:t>
              <w:br/>
              <w:t>Awards</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905" w:type="dxa"/>
            <w:gridSpan w:val="2"/>
            <w:vMerge w:val="restart"/>
            <w:tcBorders>
              <w:bottom w:val="single" w:sz="8" w:space="0" w:color="95B3D7"/>
            </w:tcBorders>
            <w:tcMar>
              <w:bottom w:w="28" w:type="dxa"/>
            </w:tcMar>
            <w:vAlign w:val="center"/>
          </w:tcPr>
          <w:p>
            <w:pPr>
              <w:pStyle w:val="TableContents"/>
              <w:bidi w:val="0"/>
              <w:spacing w:before="0" w:after="283"/>
              <w:jc w:val="center"/>
              <w:rPr/>
            </w:pPr>
            <w:r>
              <w:rPr>
                <w:b/>
              </w:rPr>
              <w:t>All</w:t>
            </w:r>
            <w:r>
              <w:rPr/>
              <w:br/>
            </w:r>
            <w:r>
              <w:rPr>
                <w:b/>
              </w:rPr>
              <w:t>Other</w:t>
            </w:r>
            <w:r>
              <w:rPr/>
              <w:br/>
            </w:r>
            <w:r>
              <w:rPr>
                <w:b/>
              </w:rPr>
              <w:t>Stock</w:t>
            </w:r>
            <w:r>
              <w:rPr/>
              <w:br/>
            </w:r>
            <w:r>
              <w:rPr>
                <w:b/>
              </w:rPr>
              <w:t>Awards:</w:t>
            </w:r>
            <w:r>
              <w:rPr/>
              <w:br/>
            </w:r>
            <w:r>
              <w:rPr>
                <w:b/>
              </w:rPr>
              <w:t>Number</w:t>
            </w:r>
            <w:r>
              <w:rPr/>
              <w:br/>
            </w:r>
            <w:r>
              <w:rPr>
                <w:b/>
              </w:rPr>
              <w:t>of</w:t>
              <w:br/>
              <w:t>Shares</w:t>
            </w:r>
            <w:r>
              <w:rPr/>
              <w:br/>
            </w:r>
            <w:r>
              <w:rPr>
                <w:b/>
              </w:rPr>
              <w:t>of</w:t>
            </w:r>
            <w:r>
              <w:rPr/>
              <w:br/>
            </w:r>
            <w:r>
              <w:rPr>
                <w:b/>
              </w:rPr>
              <w:t>Stock</w:t>
              <w:br/>
              <w:t>or</w:t>
            </w:r>
            <w:r>
              <w:rPr/>
              <w:br/>
            </w:r>
            <w:r>
              <w:rPr>
                <w:b/>
              </w:rPr>
              <w:t>Units</w:t>
            </w:r>
            <w:r>
              <w:rPr/>
              <w:br/>
            </w:r>
            <w:r>
              <w:rPr>
                <w:b/>
              </w:rPr>
              <w:t>(#)</w:t>
            </w:r>
            <w:r>
              <w:rPr/>
              <w:br/>
            </w:r>
            <w:r>
              <w:rPr>
                <w:b/>
              </w:rPr>
              <w:t>(i)</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75" w:type="dxa"/>
            <w:gridSpan w:val="2"/>
            <w:vMerge w:val="restart"/>
            <w:tcBorders>
              <w:bottom w:val="single" w:sz="8" w:space="0" w:color="95B3D7"/>
            </w:tcBorders>
            <w:tcMar>
              <w:bottom w:w="28" w:type="dxa"/>
            </w:tcMar>
            <w:vAlign w:val="center"/>
          </w:tcPr>
          <w:p>
            <w:pPr>
              <w:pStyle w:val="TableContents"/>
              <w:bidi w:val="0"/>
              <w:spacing w:before="0" w:after="283"/>
              <w:jc w:val="center"/>
              <w:rPr/>
            </w:pPr>
            <w:r>
              <w:rPr>
                <w:b/>
              </w:rPr>
              <w:t>All Other</w:t>
              <w:br/>
              <w:t>Option</w:t>
              <w:br/>
              <w:t>Awards:</w:t>
              <w:br/>
              <w:t>Number</w:t>
            </w:r>
            <w:r>
              <w:rPr/>
              <w:br/>
            </w:r>
            <w:r>
              <w:rPr>
                <w:b/>
              </w:rPr>
              <w:t>of</w:t>
              <w:br/>
              <w:t>Securities</w:t>
              <w:br/>
              <w:t>Underlying</w:t>
              <w:br/>
              <w:t>Options</w:t>
            </w:r>
            <w:r>
              <w:rPr/>
              <w:br/>
            </w:r>
            <w:r>
              <w:rPr>
                <w:b/>
              </w:rPr>
              <w:t>(#)</w:t>
            </w:r>
            <w:r>
              <w:rPr/>
              <w:br/>
            </w:r>
            <w:r>
              <w:rPr>
                <w:b/>
              </w:rPr>
              <w:t>(j)</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875" w:type="dxa"/>
            <w:gridSpan w:val="2"/>
            <w:vMerge w:val="restart"/>
            <w:tcBorders>
              <w:bottom w:val="single" w:sz="8" w:space="0" w:color="95B3D7"/>
            </w:tcBorders>
            <w:tcMar>
              <w:bottom w:w="28" w:type="dxa"/>
            </w:tcMar>
            <w:vAlign w:val="center"/>
          </w:tcPr>
          <w:p>
            <w:pPr>
              <w:pStyle w:val="TableContents"/>
              <w:bidi w:val="0"/>
              <w:spacing w:before="0" w:after="283"/>
              <w:jc w:val="center"/>
              <w:rPr/>
            </w:pPr>
            <w:r>
              <w:rPr>
                <w:b/>
              </w:rPr>
              <w:t>Exercise</w:t>
              <w:br/>
              <w:t>or Base</w:t>
              <w:br/>
              <w:t>Price of</w:t>
              <w:br/>
              <w:t>Option</w:t>
              <w:br/>
              <w:t>Awards</w:t>
              <w:br/>
              <w:t>($/Sh)</w:t>
            </w:r>
            <w:r>
              <w:rPr/>
              <w:br/>
            </w:r>
            <w:r>
              <w:rPr>
                <w:b/>
              </w:rPr>
              <w:t>(k)</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60" w:type="dxa"/>
            <w:gridSpan w:val="2"/>
            <w:vMerge w:val="restart"/>
            <w:tcBorders>
              <w:bottom w:val="single" w:sz="8" w:space="0" w:color="95B3D7"/>
            </w:tcBorders>
            <w:tcMar>
              <w:bottom w:w="28" w:type="dxa"/>
            </w:tcMar>
            <w:vAlign w:val="center"/>
          </w:tcPr>
          <w:p>
            <w:pPr>
              <w:pStyle w:val="TableContents"/>
              <w:bidi w:val="0"/>
              <w:spacing w:before="0" w:after="283"/>
              <w:jc w:val="center"/>
              <w:rPr/>
            </w:pPr>
            <w:r>
              <w:rPr>
                <w:b/>
              </w:rPr>
              <w:t>Grant</w:t>
              <w:br/>
              <w:t>Date Fair</w:t>
              <w:br/>
              <w:t>Value of</w:t>
              <w:br/>
              <w:t>Stock and</w:t>
              <w:br/>
              <w:t>Option</w:t>
              <w:br/>
              <w:t>Awards(2)</w:t>
            </w:r>
            <w:r>
              <w:rPr/>
              <w:br/>
            </w:r>
            <w:r>
              <w:rPr>
                <w:b/>
              </w:rPr>
              <w:t>($)</w:t>
            </w:r>
            <w:r>
              <w:rPr/>
              <w:br/>
            </w:r>
            <w:r>
              <w:rPr>
                <w:b/>
              </w:rPr>
              <w:t>(l)</w:t>
            </w:r>
          </w:p>
        </w:tc>
        <w:tc>
          <w:tcPr>
            <w:tcW w:w="75" w:type="dxa"/>
            <w:vMerge w:val="restart"/>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95B3D7"/>
              </w:pBdr>
              <w:bidi w:val="0"/>
              <w:spacing w:before="0" w:after="0"/>
              <w:jc w:val="left"/>
              <w:rPr/>
            </w:pPr>
            <w:r>
              <w:rPr/>
              <w:t> </w:t>
            </w:r>
          </w:p>
        </w:tc>
        <w:tc>
          <w:tcPr>
            <w:tcW w:w="575" w:type="dxa"/>
            <w:tcBorders/>
            <w:vAlign w:val="center"/>
          </w:tcPr>
          <w:p>
            <w:pPr>
              <w:pStyle w:val="TableContents"/>
              <w:pBdr>
                <w:top w:val="single" w:sz="2" w:space="1" w:color="95B3D7"/>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pBdr>
                <w:top w:val="single" w:sz="2" w:space="1" w:color="95B3D7"/>
              </w:pBdr>
              <w:bidi w:val="0"/>
              <w:spacing w:before="0" w:after="0"/>
              <w:jc w:val="left"/>
              <w:rPr/>
            </w:pPr>
            <w:r>
              <w:rPr/>
              <w:t> </w:t>
            </w:r>
          </w:p>
        </w:tc>
        <w:tc>
          <w:tcPr>
            <w:tcW w:w="3533" w:type="dxa"/>
            <w:gridSpan w:val="9"/>
            <w:tcBorders/>
            <w:vAlign w:val="center"/>
          </w:tcPr>
          <w:p>
            <w:pPr>
              <w:pStyle w:val="TableContents"/>
              <w:pBdr>
                <w:top w:val="single" w:sz="2" w:space="1" w:color="95B3D7"/>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pBdr>
                <w:top w:val="single" w:sz="2" w:space="1" w:color="95B3D7"/>
              </w:pBdr>
              <w:bidi w:val="0"/>
              <w:spacing w:before="0" w:after="0"/>
              <w:jc w:val="left"/>
              <w:rPr/>
            </w:pPr>
            <w:r>
              <w:rPr/>
              <w:t> </w:t>
            </w:r>
          </w:p>
        </w:tc>
        <w:tc>
          <w:tcPr>
            <w:tcW w:w="3359" w:type="dxa"/>
            <w:gridSpan w:val="9"/>
            <w:tcBorders/>
            <w:vAlign w:val="center"/>
          </w:tcPr>
          <w:p>
            <w:pPr>
              <w:pStyle w:val="TableContents"/>
              <w:pBdr>
                <w:top w:val="single" w:sz="2" w:space="1" w:color="95B3D7"/>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905" w:type="dxa"/>
            <w:gridSpan w:val="2"/>
            <w:vMerge w:val="continue"/>
            <w:tcBorders>
              <w:bottom w:val="single" w:sz="8" w:space="0" w:color="95B3D7"/>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bottom w:val="single" w:sz="8" w:space="0" w:color="95B3D7"/>
            </w:tcBorders>
            <w:tcMar>
              <w:bottom w:w="28" w:type="dxa"/>
            </w:tcMar>
            <w:vAlign w:val="center"/>
          </w:tcPr>
          <w:p>
            <w:pPr>
              <w:pStyle w:val="Normal"/>
              <w:bidi w:val="0"/>
              <w:jc w:val="left"/>
              <w:rPr/>
            </w:pPr>
            <w:r>
              <w:rPr/>
            </w:r>
          </w:p>
        </w:tc>
        <w:tc>
          <w:tcPr>
            <w:tcW w:w="1175" w:type="dxa"/>
            <w:gridSpan w:val="2"/>
            <w:vMerge w:val="continue"/>
            <w:tcBorders/>
            <w:vAlign w:val="center"/>
          </w:tcPr>
          <w:p>
            <w:pPr>
              <w:pStyle w:val="Normal"/>
              <w:bidi w:val="0"/>
              <w:jc w:val="left"/>
              <w:rPr/>
            </w:pPr>
            <w:r>
              <w:rPr/>
            </w:r>
          </w:p>
        </w:tc>
        <w:tc>
          <w:tcPr>
            <w:tcW w:w="60" w:type="dxa"/>
            <w:vMerge w:val="continue"/>
            <w:tcBorders>
              <w:bottom w:val="single" w:sz="8" w:space="0" w:color="95B3D7"/>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875"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160" w:type="dxa"/>
            <w:gridSpan w:val="2"/>
            <w:vMerge w:val="continue"/>
            <w:tcBorders>
              <w:bottom w:val="single" w:sz="8" w:space="0" w:color="95B3D7"/>
            </w:tcBorders>
            <w:tcMar>
              <w:bottom w:w="28" w:type="dxa"/>
            </w:tcMar>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515" w:type="dxa"/>
            <w:tcBorders>
              <w:top w:val="single" w:sz="8" w:space="0" w:color="95B3D7"/>
              <w:bottom w:val="single" w:sz="8" w:space="0" w:color="95B3D7"/>
              <w:right w:val="single" w:sz="8" w:space="0" w:color="95B3D7"/>
            </w:tcBorders>
            <w:tcMar>
              <w:top w:w="28" w:type="dxa"/>
              <w:bottom w:w="28" w:type="dxa"/>
              <w:right w:w="28" w:type="dxa"/>
            </w:tcMar>
            <w:vAlign w:val="center"/>
          </w:tcPr>
          <w:p>
            <w:pPr>
              <w:pStyle w:val="TableContents"/>
              <w:bidi w:val="0"/>
              <w:spacing w:before="0" w:after="20"/>
              <w:jc w:val="left"/>
              <w:rPr/>
            </w:pPr>
            <w:r>
              <w:rPr/>
              <w:t> </w:t>
            </w:r>
            <w:r>
              <w:rPr>
                <w:rFonts w:ascii="ARIAL" w:hAnsi="ARIAL"/>
                <w:b/>
                <w:sz w:val="12"/>
              </w:rPr>
              <w:t>(a)</w:t>
            </w:r>
          </w:p>
        </w:tc>
        <w:tc>
          <w:tcPr>
            <w:tcW w:w="60" w:type="dxa"/>
            <w:tcBorders>
              <w:top w:val="single" w:sz="6" w:space="0" w:color="95B3D7"/>
            </w:tcBorders>
            <w:tcMar>
              <w:top w:w="28" w:type="dxa"/>
            </w:tcMar>
            <w:vAlign w:val="center"/>
          </w:tcPr>
          <w:p>
            <w:pPr>
              <w:pStyle w:val="TableContents"/>
              <w:bidi w:val="0"/>
              <w:spacing w:before="0" w:after="283"/>
              <w:jc w:val="left"/>
              <w:rPr/>
            </w:pPr>
            <w:r>
              <w:rPr/>
              <w:t> </w:t>
            </w:r>
          </w:p>
        </w:tc>
        <w:tc>
          <w:tcPr>
            <w:tcW w:w="635" w:type="dxa"/>
            <w:gridSpan w:val="2"/>
            <w:tcBorders>
              <w:top w:val="single" w:sz="6" w:space="0" w:color="95B3D7"/>
              <w:bottom w:val="single" w:sz="8" w:space="0" w:color="95B3D7"/>
            </w:tcBorders>
            <w:tcMar>
              <w:top w:w="28" w:type="dxa"/>
              <w:bottom w:w="28" w:type="dxa"/>
            </w:tcMar>
            <w:vAlign w:val="center"/>
          </w:tcPr>
          <w:p>
            <w:pPr>
              <w:pStyle w:val="TableContents"/>
              <w:bidi w:val="0"/>
              <w:spacing w:before="0" w:after="283"/>
              <w:jc w:val="center"/>
              <w:rPr>
                <w:b/>
              </w:rPr>
            </w:pPr>
            <w:r>
              <w:rPr>
                <w:b/>
              </w:rPr>
              <w:t>(b)</w:t>
            </w:r>
          </w:p>
        </w:tc>
        <w:tc>
          <w:tcPr>
            <w:tcW w:w="60" w:type="dxa"/>
            <w:tcBorders>
              <w:top w:val="single" w:sz="6" w:space="0" w:color="95B3D7"/>
              <w:right w:val="single" w:sz="6" w:space="0" w:color="95B3D7"/>
            </w:tcBorders>
            <w:tcMar>
              <w:top w:w="28" w:type="dxa"/>
              <w:right w:w="28" w:type="dxa"/>
            </w:tcMar>
            <w:vAlign w:val="center"/>
          </w:tcPr>
          <w:p>
            <w:pPr>
              <w:pStyle w:val="TableContents"/>
              <w:bidi w:val="0"/>
              <w:spacing w:before="0" w:after="283"/>
              <w:jc w:val="left"/>
              <w:rPr/>
            </w:pPr>
            <w:r>
              <w:rPr/>
              <w:t> </w:t>
            </w:r>
          </w:p>
        </w:tc>
        <w:tc>
          <w:tcPr>
            <w:tcW w:w="60" w:type="dxa"/>
            <w:tcBorders>
              <w:top w:val="single" w:sz="8" w:space="0" w:color="95B3D7"/>
            </w:tcBorders>
            <w:tcMar>
              <w:top w:w="28" w:type="dxa"/>
            </w:tcMar>
            <w:vAlign w:val="center"/>
          </w:tcPr>
          <w:p>
            <w:pPr>
              <w:pStyle w:val="TableContents"/>
              <w:bidi w:val="0"/>
              <w:spacing w:before="0" w:after="283"/>
              <w:jc w:val="left"/>
              <w:rPr/>
            </w:pPr>
            <w:r>
              <w:rPr/>
              <w:t> </w:t>
            </w:r>
          </w:p>
        </w:tc>
        <w:tc>
          <w:tcPr>
            <w:tcW w:w="1033" w:type="dxa"/>
            <w:gridSpan w:val="2"/>
            <w:tcBorders>
              <w:top w:val="single" w:sz="8" w:space="0" w:color="95B3D7"/>
              <w:bottom w:val="single" w:sz="8" w:space="0" w:color="95B3D7"/>
            </w:tcBorders>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b/>
                <w:sz w:val="12"/>
              </w:rPr>
            </w:pPr>
            <w:r>
              <w:rPr>
                <w:rFonts w:ascii="ARIAL" w:hAnsi="ARIAL"/>
                <w:b/>
                <w:sz w:val="12"/>
              </w:rPr>
              <w:t>Threshold</w:t>
            </w:r>
          </w:p>
          <w:p>
            <w:pPr>
              <w:pStyle w:val="TableContents"/>
              <w:bidi w:val="0"/>
              <w:spacing w:before="0" w:after="0"/>
              <w:jc w:val="center"/>
              <w:rPr>
                <w:rFonts w:ascii="ARIAL" w:hAnsi="ARIAL"/>
                <w:sz w:val="12"/>
              </w:rPr>
            </w:pPr>
            <w:r>
              <w:rPr>
                <w:rFonts w:ascii="ARIAL" w:hAnsi="ARIAL"/>
                <w:b/>
                <w:sz w:val="12"/>
              </w:rPr>
              <w:t>($)</w:t>
            </w:r>
            <w:r>
              <w:rPr>
                <w:rFonts w:ascii="ARIAL" w:hAnsi="ARIAL"/>
                <w:sz w:val="12"/>
              </w:rPr>
              <w:br/>
            </w:r>
            <w:r>
              <w:rPr>
                <w:rFonts w:ascii="ARIAL" w:hAnsi="ARIAL"/>
                <w:b/>
                <w:sz w:val="12"/>
              </w:rPr>
              <w:t>(c)</w:t>
            </w:r>
          </w:p>
        </w:tc>
        <w:tc>
          <w:tcPr>
            <w:tcW w:w="72" w:type="dxa"/>
            <w:tcBorders>
              <w:top w:val="single" w:sz="8" w:space="0" w:color="95B3D7"/>
              <w:right w:val="single" w:sz="8" w:space="0" w:color="95B3D7"/>
            </w:tcBorders>
            <w:tcMar>
              <w:top w:w="28" w:type="dxa"/>
              <w:right w:w="28" w:type="dxa"/>
            </w:tcMar>
            <w:vAlign w:val="center"/>
          </w:tcPr>
          <w:p>
            <w:pPr>
              <w:pStyle w:val="TableContents"/>
              <w:bidi w:val="0"/>
              <w:spacing w:before="0" w:after="283"/>
              <w:jc w:val="left"/>
              <w:rPr/>
            </w:pPr>
            <w:r>
              <w:rPr/>
              <w:t> </w:t>
            </w:r>
          </w:p>
        </w:tc>
        <w:tc>
          <w:tcPr>
            <w:tcW w:w="72" w:type="dxa"/>
            <w:tcBorders>
              <w:top w:val="single" w:sz="8" w:space="0" w:color="95B3D7"/>
            </w:tcBorders>
            <w:tcMar>
              <w:top w:w="28" w:type="dxa"/>
            </w:tcMar>
            <w:vAlign w:val="center"/>
          </w:tcPr>
          <w:p>
            <w:pPr>
              <w:pStyle w:val="TableContents"/>
              <w:bidi w:val="0"/>
              <w:spacing w:before="0" w:after="283"/>
              <w:jc w:val="left"/>
              <w:rPr/>
            </w:pPr>
            <w:r>
              <w:rPr/>
              <w:t> </w:t>
            </w:r>
          </w:p>
        </w:tc>
        <w:tc>
          <w:tcPr>
            <w:tcW w:w="1033" w:type="dxa"/>
            <w:gridSpan w:val="2"/>
            <w:tcBorders>
              <w:top w:val="single" w:sz="8" w:space="0" w:color="95B3D7"/>
              <w:bottom w:val="single" w:sz="8" w:space="0" w:color="95B3D7"/>
            </w:tcBorders>
            <w:tcMar>
              <w:top w:w="28" w:type="dxa"/>
              <w:bottom w:w="28" w:type="dxa"/>
            </w:tcMar>
            <w:vAlign w:val="center"/>
          </w:tcPr>
          <w:p>
            <w:pPr>
              <w:pStyle w:val="TableContents"/>
              <w:bidi w:val="0"/>
              <w:spacing w:before="0" w:after="283"/>
              <w:jc w:val="center"/>
              <w:rPr/>
            </w:pPr>
            <w:r>
              <w:rPr>
                <w:b/>
              </w:rPr>
              <w:t>Target</w:t>
            </w:r>
            <w:r>
              <w:rPr/>
              <w:br/>
            </w:r>
            <w:r>
              <w:rPr>
                <w:b/>
              </w:rPr>
              <w:t>($)</w:t>
            </w:r>
            <w:r>
              <w:rPr/>
              <w:br/>
            </w:r>
            <w:r>
              <w:rPr>
                <w:b/>
              </w:rPr>
              <w:t>(d)</w:t>
            </w:r>
          </w:p>
        </w:tc>
        <w:tc>
          <w:tcPr>
            <w:tcW w:w="72" w:type="dxa"/>
            <w:tcBorders>
              <w:top w:val="single" w:sz="8" w:space="0" w:color="95B3D7"/>
              <w:right w:val="single" w:sz="8" w:space="0" w:color="95B3D7"/>
            </w:tcBorders>
            <w:tcMar>
              <w:top w:w="28" w:type="dxa"/>
              <w:right w:w="28" w:type="dxa"/>
            </w:tcMar>
            <w:vAlign w:val="center"/>
          </w:tcPr>
          <w:p>
            <w:pPr>
              <w:pStyle w:val="TableContents"/>
              <w:bidi w:val="0"/>
              <w:spacing w:before="0" w:after="283"/>
              <w:jc w:val="left"/>
              <w:rPr/>
            </w:pPr>
            <w:r>
              <w:rPr/>
              <w:t> </w:t>
            </w:r>
          </w:p>
        </w:tc>
        <w:tc>
          <w:tcPr>
            <w:tcW w:w="72" w:type="dxa"/>
            <w:tcBorders>
              <w:top w:val="single" w:sz="8" w:space="0" w:color="95B3D7"/>
            </w:tcBorders>
            <w:tcMar>
              <w:top w:w="28" w:type="dxa"/>
            </w:tcMar>
            <w:vAlign w:val="center"/>
          </w:tcPr>
          <w:p>
            <w:pPr>
              <w:pStyle w:val="TableContents"/>
              <w:bidi w:val="0"/>
              <w:spacing w:before="0" w:after="283"/>
              <w:jc w:val="left"/>
              <w:rPr/>
            </w:pPr>
            <w:r>
              <w:rPr/>
              <w:t> </w:t>
            </w:r>
          </w:p>
        </w:tc>
        <w:tc>
          <w:tcPr>
            <w:tcW w:w="1251" w:type="dxa"/>
            <w:gridSpan w:val="2"/>
            <w:tcBorders>
              <w:top w:val="single" w:sz="8" w:space="0" w:color="95B3D7"/>
              <w:bottom w:val="single" w:sz="8" w:space="0" w:color="95B3D7"/>
            </w:tcBorders>
            <w:tcMar>
              <w:top w:w="28" w:type="dxa"/>
              <w:bottom w:w="28" w:type="dxa"/>
            </w:tcMar>
            <w:vAlign w:val="center"/>
          </w:tcPr>
          <w:p>
            <w:pPr>
              <w:pStyle w:val="TableContents"/>
              <w:bidi w:val="0"/>
              <w:spacing w:before="0" w:after="283"/>
              <w:jc w:val="center"/>
              <w:rPr/>
            </w:pPr>
            <w:r>
              <w:rPr>
                <w:b/>
              </w:rPr>
              <w:t>Maximum</w:t>
            </w:r>
            <w:r>
              <w:rPr/>
              <w:br/>
            </w:r>
            <w:r>
              <w:rPr>
                <w:b/>
              </w:rPr>
              <w:t>($)</w:t>
            </w:r>
            <w:r>
              <w:rPr/>
              <w:br/>
            </w:r>
            <w:r>
              <w:rPr>
                <w:b/>
              </w:rPr>
              <w:t>(e)</w:t>
            </w:r>
          </w:p>
        </w:tc>
        <w:tc>
          <w:tcPr>
            <w:tcW w:w="60" w:type="dxa"/>
            <w:tcBorders>
              <w:top w:val="single" w:sz="8" w:space="0" w:color="95B3D7"/>
              <w:right w:val="single" w:sz="8" w:space="0" w:color="95B3D7"/>
            </w:tcBorders>
            <w:tcMar>
              <w:top w:w="28" w:type="dxa"/>
              <w:right w:w="28" w:type="dxa"/>
            </w:tcMar>
            <w:vAlign w:val="center"/>
          </w:tcPr>
          <w:p>
            <w:pPr>
              <w:pStyle w:val="TableContents"/>
              <w:bidi w:val="0"/>
              <w:spacing w:before="0" w:after="283"/>
              <w:jc w:val="left"/>
              <w:rPr/>
            </w:pPr>
            <w:r>
              <w:rPr/>
              <w:t> </w:t>
            </w:r>
          </w:p>
        </w:tc>
        <w:tc>
          <w:tcPr>
            <w:tcW w:w="60" w:type="dxa"/>
            <w:tcBorders>
              <w:top w:val="single" w:sz="8" w:space="0" w:color="95B3D7"/>
            </w:tcBorders>
            <w:tcMar>
              <w:top w:w="28" w:type="dxa"/>
            </w:tcMar>
            <w:vAlign w:val="center"/>
          </w:tcPr>
          <w:p>
            <w:pPr>
              <w:pStyle w:val="TableContents"/>
              <w:bidi w:val="0"/>
              <w:spacing w:before="0" w:after="283"/>
              <w:jc w:val="left"/>
              <w:rPr/>
            </w:pPr>
            <w:r>
              <w:rPr/>
              <w:t> </w:t>
            </w:r>
          </w:p>
        </w:tc>
        <w:tc>
          <w:tcPr>
            <w:tcW w:w="1070" w:type="dxa"/>
            <w:gridSpan w:val="2"/>
            <w:tcBorders>
              <w:top w:val="single" w:sz="8" w:space="0" w:color="95B3D7"/>
              <w:bottom w:val="single" w:sz="8" w:space="0" w:color="95B3D7"/>
            </w:tcBorders>
            <w:tcMar>
              <w:top w:w="28" w:type="dxa"/>
              <w:bottom w:w="28" w:type="dxa"/>
            </w:tcMar>
            <w:vAlign w:val="center"/>
          </w:tcPr>
          <w:p>
            <w:pPr>
              <w:pStyle w:val="TableContents"/>
              <w:bidi w:val="0"/>
              <w:spacing w:before="0" w:after="283"/>
              <w:jc w:val="center"/>
              <w:rPr/>
            </w:pPr>
            <w:r>
              <w:rPr>
                <w:b/>
              </w:rPr>
              <w:t>Threshold</w:t>
            </w:r>
            <w:r>
              <w:rPr/>
              <w:br/>
            </w:r>
            <w:r>
              <w:rPr>
                <w:b/>
              </w:rPr>
              <w:t>(#)</w:t>
            </w:r>
            <w:r>
              <w:rPr/>
              <w:br/>
            </w:r>
            <w:r>
              <w:rPr>
                <w:b/>
              </w:rPr>
              <w:t>(f)</w:t>
            </w:r>
          </w:p>
        </w:tc>
        <w:tc>
          <w:tcPr>
            <w:tcW w:w="60" w:type="dxa"/>
            <w:tcBorders>
              <w:top w:val="single" w:sz="8" w:space="0" w:color="95B3D7"/>
              <w:right w:val="single" w:sz="8" w:space="0" w:color="95B3D7"/>
            </w:tcBorders>
            <w:tcMar>
              <w:top w:w="28" w:type="dxa"/>
              <w:right w:w="28" w:type="dxa"/>
            </w:tcMar>
            <w:vAlign w:val="center"/>
          </w:tcPr>
          <w:p>
            <w:pPr>
              <w:pStyle w:val="TableContents"/>
              <w:bidi w:val="0"/>
              <w:spacing w:before="0" w:after="283"/>
              <w:jc w:val="left"/>
              <w:rPr/>
            </w:pPr>
            <w:r>
              <w:rPr/>
              <w:t> </w:t>
            </w:r>
          </w:p>
        </w:tc>
        <w:tc>
          <w:tcPr>
            <w:tcW w:w="60" w:type="dxa"/>
            <w:tcBorders>
              <w:top w:val="single" w:sz="8" w:space="0" w:color="95B3D7"/>
            </w:tcBorders>
            <w:tcMar>
              <w:top w:w="28" w:type="dxa"/>
            </w:tcMar>
            <w:vAlign w:val="center"/>
          </w:tcPr>
          <w:p>
            <w:pPr>
              <w:pStyle w:val="TableContents"/>
              <w:bidi w:val="0"/>
              <w:spacing w:before="0" w:after="283"/>
              <w:jc w:val="left"/>
              <w:rPr/>
            </w:pPr>
            <w:r>
              <w:rPr/>
              <w:t> </w:t>
            </w:r>
          </w:p>
        </w:tc>
        <w:tc>
          <w:tcPr>
            <w:tcW w:w="1040" w:type="dxa"/>
            <w:gridSpan w:val="2"/>
            <w:tcBorders>
              <w:top w:val="single" w:sz="8" w:space="0" w:color="95B3D7"/>
              <w:bottom w:val="single" w:sz="8" w:space="0" w:color="95B3D7"/>
            </w:tcBorders>
            <w:tcMar>
              <w:top w:w="28" w:type="dxa"/>
              <w:bottom w:w="28" w:type="dxa"/>
            </w:tcMar>
            <w:vAlign w:val="center"/>
          </w:tcPr>
          <w:p>
            <w:pPr>
              <w:pStyle w:val="TableContents"/>
              <w:bidi w:val="0"/>
              <w:spacing w:before="0" w:after="283"/>
              <w:jc w:val="center"/>
              <w:rPr/>
            </w:pPr>
            <w:r>
              <w:rPr>
                <w:b/>
              </w:rPr>
              <w:t>Target</w:t>
            </w:r>
            <w:r>
              <w:rPr/>
              <w:br/>
            </w:r>
            <w:r>
              <w:rPr>
                <w:b/>
              </w:rPr>
              <w:t>(#)</w:t>
            </w:r>
            <w:r>
              <w:rPr/>
              <w:br/>
            </w:r>
            <w:r>
              <w:rPr>
                <w:b/>
              </w:rPr>
              <w:t>(g)</w:t>
            </w:r>
          </w:p>
        </w:tc>
        <w:tc>
          <w:tcPr>
            <w:tcW w:w="60" w:type="dxa"/>
            <w:tcBorders>
              <w:top w:val="single" w:sz="8" w:space="0" w:color="95B3D7"/>
              <w:right w:val="single" w:sz="8" w:space="0" w:color="95B3D7"/>
            </w:tcBorders>
            <w:tcMar>
              <w:top w:w="28" w:type="dxa"/>
              <w:right w:w="28" w:type="dxa"/>
            </w:tcMar>
            <w:vAlign w:val="center"/>
          </w:tcPr>
          <w:p>
            <w:pPr>
              <w:pStyle w:val="TableContents"/>
              <w:bidi w:val="0"/>
              <w:spacing w:before="0" w:after="283"/>
              <w:jc w:val="left"/>
              <w:rPr/>
            </w:pPr>
            <w:r>
              <w:rPr/>
              <w:t> </w:t>
            </w:r>
          </w:p>
        </w:tc>
        <w:tc>
          <w:tcPr>
            <w:tcW w:w="60" w:type="dxa"/>
            <w:tcBorders>
              <w:top w:val="single" w:sz="8" w:space="0" w:color="95B3D7"/>
            </w:tcBorders>
            <w:tcMar>
              <w:top w:w="28" w:type="dxa"/>
            </w:tcMar>
            <w:vAlign w:val="center"/>
          </w:tcPr>
          <w:p>
            <w:pPr>
              <w:pStyle w:val="TableContents"/>
              <w:bidi w:val="0"/>
              <w:spacing w:before="0" w:after="283"/>
              <w:jc w:val="left"/>
              <w:rPr/>
            </w:pPr>
            <w:r>
              <w:rPr/>
              <w:t> </w:t>
            </w:r>
          </w:p>
        </w:tc>
        <w:tc>
          <w:tcPr>
            <w:tcW w:w="1070" w:type="dxa"/>
            <w:gridSpan w:val="2"/>
            <w:tcBorders>
              <w:top w:val="single" w:sz="8" w:space="0" w:color="95B3D7"/>
              <w:bottom w:val="single" w:sz="8" w:space="0" w:color="95B3D7"/>
            </w:tcBorders>
            <w:tcMar>
              <w:top w:w="28" w:type="dxa"/>
              <w:bottom w:w="28" w:type="dxa"/>
            </w:tcMar>
            <w:vAlign w:val="center"/>
          </w:tcPr>
          <w:p>
            <w:pPr>
              <w:pStyle w:val="TableContents"/>
              <w:bidi w:val="0"/>
              <w:spacing w:before="0" w:after="283"/>
              <w:jc w:val="center"/>
              <w:rPr/>
            </w:pPr>
            <w:r>
              <w:rPr>
                <w:b/>
              </w:rPr>
              <w:t>Maximum</w:t>
            </w:r>
            <w:r>
              <w:rPr/>
              <w:br/>
            </w:r>
            <w:r>
              <w:rPr>
                <w:b/>
              </w:rPr>
              <w:t>(#)</w:t>
            </w:r>
            <w:r>
              <w:rPr/>
              <w:br/>
            </w:r>
            <w:r>
              <w:rPr>
                <w:b/>
              </w:rPr>
              <w:t>(h)</w:t>
            </w:r>
          </w:p>
        </w:tc>
        <w:tc>
          <w:tcPr>
            <w:tcW w:w="60" w:type="dxa"/>
            <w:tcBorders>
              <w:top w:val="single" w:sz="8" w:space="0" w:color="95B3D7"/>
              <w:right w:val="single" w:sz="8" w:space="0" w:color="95B3D7"/>
            </w:tcBorders>
            <w:tcMar>
              <w:top w:w="28" w:type="dxa"/>
              <w:right w:w="28" w:type="dxa"/>
            </w:tcMar>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905" w:type="dxa"/>
            <w:gridSpan w:val="2"/>
            <w:vMerge w:val="continue"/>
            <w:tcBorders>
              <w:bottom w:val="single" w:sz="8" w:space="0" w:color="95B3D7"/>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bottom w:val="single" w:sz="8" w:space="0" w:color="95B3D7"/>
            </w:tcBorders>
            <w:tcMar>
              <w:bottom w:w="28" w:type="dxa"/>
            </w:tcMar>
            <w:vAlign w:val="center"/>
          </w:tcPr>
          <w:p>
            <w:pPr>
              <w:pStyle w:val="Normal"/>
              <w:bidi w:val="0"/>
              <w:jc w:val="left"/>
              <w:rPr/>
            </w:pPr>
            <w:r>
              <w:rPr/>
            </w:r>
          </w:p>
        </w:tc>
        <w:tc>
          <w:tcPr>
            <w:tcW w:w="1175" w:type="dxa"/>
            <w:gridSpan w:val="2"/>
            <w:vMerge w:val="continue"/>
            <w:tcBorders/>
            <w:vAlign w:val="center"/>
          </w:tcPr>
          <w:p>
            <w:pPr>
              <w:pStyle w:val="Normal"/>
              <w:bidi w:val="0"/>
              <w:jc w:val="left"/>
              <w:rPr/>
            </w:pPr>
            <w:r>
              <w:rPr/>
            </w:r>
          </w:p>
        </w:tc>
        <w:tc>
          <w:tcPr>
            <w:tcW w:w="60" w:type="dxa"/>
            <w:vMerge w:val="continue"/>
            <w:tcBorders>
              <w:bottom w:val="single" w:sz="8" w:space="0" w:color="95B3D7"/>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875"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160" w:type="dxa"/>
            <w:gridSpan w:val="2"/>
            <w:vMerge w:val="continue"/>
            <w:tcBorders>
              <w:bottom w:val="single" w:sz="8" w:space="0" w:color="95B3D7"/>
            </w:tcBorders>
            <w:tcMar>
              <w:bottom w:w="28" w:type="dxa"/>
            </w:tcMar>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515" w:type="dxa"/>
            <w:tcBorders>
              <w:right w:val="single" w:sz="8" w:space="0" w:color="DBE5F1"/>
            </w:tcBorders>
            <w:shd w:fill="DBE5F1" w:val="clear"/>
            <w:tcMar>
              <w:right w:w="28" w:type="dxa"/>
            </w:tcMar>
            <w:vAlign w:val="center"/>
          </w:tcPr>
          <w:p>
            <w:pPr>
              <w:pStyle w:val="TableContents"/>
              <w:bidi w:val="0"/>
              <w:spacing w:before="0" w:after="0"/>
              <w:jc w:val="left"/>
              <w:rPr>
                <w:rFonts w:ascii="ARIAL" w:hAnsi="ARIAL"/>
                <w:b/>
                <w:sz w:val="12"/>
              </w:rPr>
            </w:pPr>
            <w:r>
              <w:rPr>
                <w:rFonts w:ascii="ARIAL" w:hAnsi="ARIAL"/>
                <w:b/>
                <w:sz w:val="12"/>
              </w:rPr>
              <w:t>John Kao</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575"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72" w:type="dxa"/>
            <w:tcBorders/>
            <w:shd w:fill="DBE5F1" w:val="clear"/>
            <w:vAlign w:val="center"/>
          </w:tcPr>
          <w:p>
            <w:pPr>
              <w:pStyle w:val="TableContents"/>
              <w:bidi w:val="0"/>
              <w:spacing w:before="0" w:after="283"/>
              <w:jc w:val="left"/>
              <w:rPr>
                <w:sz w:val="4"/>
                <w:szCs w:val="4"/>
              </w:rPr>
            </w:pPr>
            <w:r>
              <w:rPr>
                <w:sz w:val="4"/>
                <w:szCs w:val="4"/>
              </w:rPr>
            </w:r>
          </w:p>
        </w:tc>
        <w:tc>
          <w:tcPr>
            <w:tcW w:w="961" w:type="dxa"/>
            <w:tcBorders/>
            <w:shd w:fill="DBE5F1" w:val="clear"/>
            <w:vAlign w:val="center"/>
          </w:tcPr>
          <w:p>
            <w:pPr>
              <w:pStyle w:val="TableContents"/>
              <w:bidi w:val="0"/>
              <w:spacing w:before="0" w:after="283"/>
              <w:jc w:val="left"/>
              <w:rPr>
                <w:sz w:val="4"/>
                <w:szCs w:val="4"/>
              </w:rPr>
            </w:pPr>
            <w:r>
              <w:rPr>
                <w:sz w:val="4"/>
                <w:szCs w:val="4"/>
              </w:rPr>
            </w:r>
          </w:p>
        </w:tc>
        <w:tc>
          <w:tcPr>
            <w:tcW w:w="72" w:type="dxa"/>
            <w:tcBorders/>
            <w:shd w:fill="DBE5F1" w:val="clear"/>
            <w:vAlign w:val="center"/>
          </w:tcPr>
          <w:p>
            <w:pPr>
              <w:pStyle w:val="TableContents"/>
              <w:bidi w:val="0"/>
              <w:spacing w:before="0" w:after="283"/>
              <w:jc w:val="left"/>
              <w:rPr>
                <w:sz w:val="4"/>
                <w:szCs w:val="4"/>
              </w:rPr>
            </w:pPr>
            <w:r>
              <w:rPr>
                <w:sz w:val="4"/>
                <w:szCs w:val="4"/>
              </w:rPr>
            </w:r>
          </w:p>
        </w:tc>
        <w:tc>
          <w:tcPr>
            <w:tcW w:w="72" w:type="dxa"/>
            <w:tcBorders/>
            <w:shd w:fill="DBE5F1" w:val="clear"/>
            <w:vAlign w:val="center"/>
          </w:tcPr>
          <w:p>
            <w:pPr>
              <w:pStyle w:val="TableContents"/>
              <w:bidi w:val="0"/>
              <w:spacing w:before="0" w:after="283"/>
              <w:jc w:val="left"/>
              <w:rPr/>
            </w:pPr>
            <w:r>
              <w:rPr/>
              <w:t> </w:t>
            </w:r>
          </w:p>
        </w:tc>
        <w:tc>
          <w:tcPr>
            <w:tcW w:w="72" w:type="dxa"/>
            <w:tcBorders/>
            <w:shd w:fill="DBE5F1" w:val="clear"/>
            <w:vAlign w:val="center"/>
          </w:tcPr>
          <w:p>
            <w:pPr>
              <w:pStyle w:val="TableContents"/>
              <w:bidi w:val="0"/>
              <w:spacing w:before="0" w:after="283"/>
              <w:jc w:val="left"/>
              <w:rPr>
                <w:sz w:val="4"/>
                <w:szCs w:val="4"/>
              </w:rPr>
            </w:pPr>
            <w:r>
              <w:rPr>
                <w:sz w:val="4"/>
                <w:szCs w:val="4"/>
              </w:rPr>
            </w:r>
          </w:p>
        </w:tc>
        <w:tc>
          <w:tcPr>
            <w:tcW w:w="961" w:type="dxa"/>
            <w:tcBorders/>
            <w:shd w:fill="DBE5F1" w:val="clear"/>
            <w:vAlign w:val="center"/>
          </w:tcPr>
          <w:p>
            <w:pPr>
              <w:pStyle w:val="TableContents"/>
              <w:bidi w:val="0"/>
              <w:spacing w:before="0" w:after="283"/>
              <w:jc w:val="left"/>
              <w:rPr>
                <w:sz w:val="4"/>
                <w:szCs w:val="4"/>
              </w:rPr>
            </w:pPr>
            <w:r>
              <w:rPr>
                <w:sz w:val="4"/>
                <w:szCs w:val="4"/>
              </w:rPr>
            </w:r>
          </w:p>
        </w:tc>
        <w:tc>
          <w:tcPr>
            <w:tcW w:w="72" w:type="dxa"/>
            <w:tcBorders/>
            <w:shd w:fill="DBE5F1" w:val="clear"/>
            <w:vAlign w:val="center"/>
          </w:tcPr>
          <w:p>
            <w:pPr>
              <w:pStyle w:val="TableContents"/>
              <w:bidi w:val="0"/>
              <w:spacing w:before="0" w:after="283"/>
              <w:jc w:val="left"/>
              <w:rPr>
                <w:sz w:val="4"/>
                <w:szCs w:val="4"/>
              </w:rPr>
            </w:pPr>
            <w:r>
              <w:rPr>
                <w:sz w:val="4"/>
                <w:szCs w:val="4"/>
              </w:rPr>
            </w:r>
          </w:p>
        </w:tc>
        <w:tc>
          <w:tcPr>
            <w:tcW w:w="72" w:type="dxa"/>
            <w:tcBorders/>
            <w:shd w:fill="DBE5F1" w:val="clear"/>
            <w:vAlign w:val="center"/>
          </w:tcPr>
          <w:p>
            <w:pPr>
              <w:pStyle w:val="TableContents"/>
              <w:bidi w:val="0"/>
              <w:spacing w:before="0" w:after="283"/>
              <w:jc w:val="left"/>
              <w:rPr/>
            </w:pPr>
            <w:r>
              <w:rPr/>
              <w:t> </w:t>
            </w:r>
          </w:p>
        </w:tc>
        <w:tc>
          <w:tcPr>
            <w:tcW w:w="72" w:type="dxa"/>
            <w:tcBorders/>
            <w:shd w:fill="DBE5F1" w:val="clear"/>
            <w:vAlign w:val="center"/>
          </w:tcPr>
          <w:p>
            <w:pPr>
              <w:pStyle w:val="TableContents"/>
              <w:bidi w:val="0"/>
              <w:spacing w:before="0" w:after="283"/>
              <w:jc w:val="left"/>
              <w:rPr>
                <w:sz w:val="4"/>
                <w:szCs w:val="4"/>
              </w:rPr>
            </w:pPr>
            <w:r>
              <w:rPr>
                <w:sz w:val="4"/>
                <w:szCs w:val="4"/>
              </w:rPr>
            </w:r>
          </w:p>
        </w:tc>
        <w:tc>
          <w:tcPr>
            <w:tcW w:w="1179"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61" w:type="dxa"/>
            <w:tcBorders/>
            <w:shd w:fill="DBE5F1" w:val="clear"/>
            <w:vAlign w:val="center"/>
          </w:tcPr>
          <w:p>
            <w:pPr>
              <w:pStyle w:val="TableContents"/>
              <w:bidi w:val="0"/>
              <w:spacing w:before="0" w:after="283"/>
              <w:jc w:val="left"/>
              <w:rPr>
                <w:sz w:val="4"/>
                <w:szCs w:val="4"/>
              </w:rPr>
            </w:pPr>
            <w:r>
              <w:rPr>
                <w:sz w:val="4"/>
                <w:szCs w:val="4"/>
              </w:rPr>
            </w:r>
          </w:p>
        </w:tc>
        <w:tc>
          <w:tcPr>
            <w:tcW w:w="1009"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98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61" w:type="dxa"/>
            <w:tcBorders/>
            <w:shd w:fill="DBE5F1" w:val="clear"/>
            <w:vAlign w:val="center"/>
          </w:tcPr>
          <w:p>
            <w:pPr>
              <w:pStyle w:val="TableContents"/>
              <w:bidi w:val="0"/>
              <w:spacing w:before="0" w:after="283"/>
              <w:jc w:val="left"/>
              <w:rPr>
                <w:sz w:val="4"/>
                <w:szCs w:val="4"/>
              </w:rPr>
            </w:pPr>
            <w:r>
              <w:rPr>
                <w:sz w:val="4"/>
                <w:szCs w:val="4"/>
              </w:rPr>
            </w:r>
          </w:p>
        </w:tc>
        <w:tc>
          <w:tcPr>
            <w:tcW w:w="1009"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63" w:type="dxa"/>
            <w:tcBorders/>
            <w:shd w:fill="DBE5F1" w:val="clear"/>
            <w:vAlign w:val="center"/>
          </w:tcPr>
          <w:p>
            <w:pPr>
              <w:pStyle w:val="TableContents"/>
              <w:bidi w:val="0"/>
              <w:spacing w:before="0" w:after="283"/>
              <w:jc w:val="left"/>
              <w:rPr>
                <w:sz w:val="4"/>
                <w:szCs w:val="4"/>
              </w:rPr>
            </w:pPr>
            <w:r>
              <w:rPr>
                <w:sz w:val="4"/>
                <w:szCs w:val="4"/>
              </w:rPr>
            </w:r>
          </w:p>
        </w:tc>
        <w:tc>
          <w:tcPr>
            <w:tcW w:w="842"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220" w:type="dxa"/>
            <w:tcBorders/>
            <w:shd w:fill="DBE5F1" w:val="clear"/>
            <w:vAlign w:val="center"/>
          </w:tcPr>
          <w:p>
            <w:pPr>
              <w:pStyle w:val="TableContents"/>
              <w:bidi w:val="0"/>
              <w:spacing w:before="0" w:after="283"/>
              <w:jc w:val="left"/>
              <w:rPr>
                <w:sz w:val="4"/>
                <w:szCs w:val="4"/>
              </w:rPr>
            </w:pPr>
            <w:r>
              <w:rPr>
                <w:sz w:val="4"/>
                <w:szCs w:val="4"/>
              </w:rPr>
            </w:r>
          </w:p>
        </w:tc>
        <w:tc>
          <w:tcPr>
            <w:tcW w:w="955"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164" w:type="dxa"/>
            <w:tcBorders/>
            <w:shd w:fill="DBE5F1" w:val="clear"/>
            <w:vAlign w:val="center"/>
          </w:tcPr>
          <w:p>
            <w:pPr>
              <w:pStyle w:val="TableContents"/>
              <w:bidi w:val="0"/>
              <w:spacing w:before="0" w:after="283"/>
              <w:jc w:val="left"/>
              <w:rPr>
                <w:sz w:val="4"/>
                <w:szCs w:val="4"/>
              </w:rPr>
            </w:pPr>
            <w:r>
              <w:rPr>
                <w:sz w:val="4"/>
                <w:szCs w:val="4"/>
              </w:rPr>
            </w:r>
          </w:p>
        </w:tc>
        <w:tc>
          <w:tcPr>
            <w:tcW w:w="711"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1100" w:type="dxa"/>
            <w:tcBorders/>
            <w:shd w:fill="DBE5F1" w:val="clear"/>
            <w:vAlign w:val="center"/>
          </w:tcPr>
          <w:p>
            <w:pPr>
              <w:pStyle w:val="TableContents"/>
              <w:bidi w:val="0"/>
              <w:spacing w:before="0" w:after="283"/>
              <w:jc w:val="left"/>
              <w:rPr>
                <w:sz w:val="4"/>
                <w:szCs w:val="4"/>
              </w:rPr>
            </w:pPr>
            <w:r>
              <w:rPr>
                <w:sz w:val="4"/>
                <w:szCs w:val="4"/>
              </w:rPr>
            </w:r>
          </w:p>
        </w:tc>
        <w:tc>
          <w:tcPr>
            <w:tcW w:w="75" w:type="dxa"/>
            <w:tcBorders/>
            <w:shd w:fill="DBE5F1" w:val="clear"/>
            <w:vAlign w:val="center"/>
          </w:tcPr>
          <w:p>
            <w:pPr>
              <w:pStyle w:val="TableContents"/>
              <w:bidi w:val="0"/>
              <w:spacing w:before="0" w:after="283"/>
              <w:jc w:val="left"/>
              <w:rPr>
                <w:sz w:val="4"/>
                <w:szCs w:val="4"/>
              </w:rPr>
            </w:pPr>
            <w:r>
              <w:rPr>
                <w:sz w:val="4"/>
                <w:szCs w:val="4"/>
              </w:rPr>
            </w:r>
          </w:p>
        </w:tc>
      </w:tr>
      <w:tr>
        <w:trPr/>
        <w:tc>
          <w:tcPr>
            <w:tcW w:w="515" w:type="dxa"/>
            <w:tcBorders>
              <w:right w:val="single" w:sz="8" w:space="0" w:color="DBE5F1"/>
            </w:tcBorders>
            <w:shd w:fill="DBE5F1" w:val="clear"/>
            <w:tcMar>
              <w:right w:w="28" w:type="dxa"/>
            </w:tcMar>
            <w:vAlign w:val="center"/>
          </w:tcPr>
          <w:p>
            <w:pPr>
              <w:pStyle w:val="TableContents"/>
              <w:bidi w:val="0"/>
              <w:spacing w:before="0" w:after="0"/>
              <w:jc w:val="left"/>
              <w:rPr/>
            </w:pPr>
            <w:r>
              <w:rPr/>
              <w:t> </w:t>
            </w:r>
            <w:r>
              <w:rPr>
                <w:rFonts w:ascii="ARIAL" w:hAnsi="ARIAL"/>
                <w:sz w:val="12"/>
              </w:rPr>
              <w:t>AIP(1)</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575" w:type="dxa"/>
            <w:tcBorders/>
            <w:shd w:fill="DBE5F1" w:val="clear"/>
            <w:vAlign w:val="center"/>
          </w:tcPr>
          <w:p>
            <w:pPr>
              <w:pStyle w:val="TableContents"/>
              <w:bidi w:val="0"/>
              <w:spacing w:before="0" w:after="283"/>
              <w:jc w:val="center"/>
              <w:rPr/>
            </w:pPr>
            <w:r>
              <w:rPr/>
              <w:t>—</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72" w:type="dxa"/>
            <w:tcBorders/>
            <w:shd w:fill="DBE5F1" w:val="clear"/>
            <w:vAlign w:val="center"/>
          </w:tcPr>
          <w:p>
            <w:pPr>
              <w:pStyle w:val="TableContents"/>
              <w:bidi w:val="0"/>
              <w:spacing w:before="0" w:after="283"/>
              <w:jc w:val="left"/>
              <w:rPr/>
            </w:pPr>
            <w:r>
              <w:rPr/>
              <w:t> </w:t>
            </w:r>
          </w:p>
        </w:tc>
        <w:tc>
          <w:tcPr>
            <w:tcW w:w="961" w:type="dxa"/>
            <w:tcBorders/>
            <w:shd w:fill="DBE5F1" w:val="clear"/>
            <w:vAlign w:val="center"/>
          </w:tcPr>
          <w:p>
            <w:pPr>
              <w:pStyle w:val="TableContents"/>
              <w:bidi w:val="0"/>
              <w:spacing w:before="0" w:after="283"/>
              <w:jc w:val="right"/>
              <w:rPr/>
            </w:pPr>
            <w:r>
              <w:rPr/>
              <w:t>393,269</w:t>
            </w:r>
          </w:p>
        </w:tc>
        <w:tc>
          <w:tcPr>
            <w:tcW w:w="72" w:type="dxa"/>
            <w:tcBorders/>
            <w:shd w:fill="DBE5F1" w:val="clear"/>
            <w:vAlign w:val="center"/>
          </w:tcPr>
          <w:p>
            <w:pPr>
              <w:pStyle w:val="TableContents"/>
              <w:bidi w:val="0"/>
              <w:spacing w:before="0" w:after="283"/>
              <w:jc w:val="left"/>
              <w:rPr/>
            </w:pPr>
            <w:r>
              <w:rPr/>
              <w:t> </w:t>
            </w:r>
          </w:p>
        </w:tc>
        <w:tc>
          <w:tcPr>
            <w:tcW w:w="72" w:type="dxa"/>
            <w:tcBorders/>
            <w:shd w:fill="DBE5F1" w:val="clear"/>
            <w:vAlign w:val="center"/>
          </w:tcPr>
          <w:p>
            <w:pPr>
              <w:pStyle w:val="TableContents"/>
              <w:bidi w:val="0"/>
              <w:spacing w:before="0" w:after="283"/>
              <w:jc w:val="left"/>
              <w:rPr/>
            </w:pPr>
            <w:r>
              <w:rPr/>
              <w:t> </w:t>
            </w:r>
          </w:p>
        </w:tc>
        <w:tc>
          <w:tcPr>
            <w:tcW w:w="72" w:type="dxa"/>
            <w:tcBorders/>
            <w:shd w:fill="DBE5F1" w:val="clear"/>
            <w:vAlign w:val="center"/>
          </w:tcPr>
          <w:p>
            <w:pPr>
              <w:pStyle w:val="TableContents"/>
              <w:bidi w:val="0"/>
              <w:spacing w:before="0" w:after="283"/>
              <w:jc w:val="left"/>
              <w:rPr/>
            </w:pPr>
            <w:r>
              <w:rPr/>
              <w:t> </w:t>
            </w:r>
          </w:p>
        </w:tc>
        <w:tc>
          <w:tcPr>
            <w:tcW w:w="961" w:type="dxa"/>
            <w:tcBorders/>
            <w:shd w:fill="DBE5F1" w:val="clear"/>
            <w:vAlign w:val="center"/>
          </w:tcPr>
          <w:p>
            <w:pPr>
              <w:pStyle w:val="TableContents"/>
              <w:bidi w:val="0"/>
              <w:spacing w:before="0" w:after="283"/>
              <w:jc w:val="right"/>
              <w:rPr/>
            </w:pPr>
            <w:r>
              <w:rPr/>
              <w:t>786,539</w:t>
            </w:r>
          </w:p>
        </w:tc>
        <w:tc>
          <w:tcPr>
            <w:tcW w:w="72" w:type="dxa"/>
            <w:tcBorders/>
            <w:shd w:fill="DBE5F1" w:val="clear"/>
            <w:vAlign w:val="center"/>
          </w:tcPr>
          <w:p>
            <w:pPr>
              <w:pStyle w:val="TableContents"/>
              <w:bidi w:val="0"/>
              <w:spacing w:before="0" w:after="283"/>
              <w:jc w:val="left"/>
              <w:rPr/>
            </w:pPr>
            <w:r>
              <w:rPr/>
              <w:t> </w:t>
            </w:r>
          </w:p>
        </w:tc>
        <w:tc>
          <w:tcPr>
            <w:tcW w:w="72" w:type="dxa"/>
            <w:tcBorders/>
            <w:shd w:fill="DBE5F1" w:val="clear"/>
            <w:vAlign w:val="center"/>
          </w:tcPr>
          <w:p>
            <w:pPr>
              <w:pStyle w:val="TableContents"/>
              <w:bidi w:val="0"/>
              <w:spacing w:before="0" w:after="283"/>
              <w:jc w:val="left"/>
              <w:rPr/>
            </w:pPr>
            <w:r>
              <w:rPr/>
              <w:t> </w:t>
            </w:r>
          </w:p>
        </w:tc>
        <w:tc>
          <w:tcPr>
            <w:tcW w:w="72" w:type="dxa"/>
            <w:tcBorders/>
            <w:shd w:fill="DBE5F1" w:val="clear"/>
            <w:vAlign w:val="center"/>
          </w:tcPr>
          <w:p>
            <w:pPr>
              <w:pStyle w:val="TableContents"/>
              <w:bidi w:val="0"/>
              <w:spacing w:before="0" w:after="283"/>
              <w:jc w:val="left"/>
              <w:rPr/>
            </w:pPr>
            <w:r>
              <w:rPr/>
              <w:t> </w:t>
            </w:r>
          </w:p>
        </w:tc>
        <w:tc>
          <w:tcPr>
            <w:tcW w:w="1179" w:type="dxa"/>
            <w:tcBorders/>
            <w:shd w:fill="DBE5F1" w:val="clear"/>
            <w:vAlign w:val="center"/>
          </w:tcPr>
          <w:p>
            <w:pPr>
              <w:pStyle w:val="TableContents"/>
              <w:bidi w:val="0"/>
              <w:spacing w:before="0" w:after="283"/>
              <w:jc w:val="right"/>
              <w:rPr/>
            </w:pPr>
            <w:r>
              <w:rPr/>
              <w:t>1,573,077</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61" w:type="dxa"/>
            <w:tcBorders/>
            <w:shd w:fill="DBE5F1" w:val="clear"/>
            <w:vAlign w:val="center"/>
          </w:tcPr>
          <w:p>
            <w:pPr>
              <w:pStyle w:val="TableContents"/>
              <w:bidi w:val="0"/>
              <w:spacing w:before="0" w:after="283"/>
              <w:jc w:val="left"/>
              <w:rPr/>
            </w:pPr>
            <w:r>
              <w:rPr/>
              <w:t> </w:t>
            </w:r>
          </w:p>
        </w:tc>
        <w:tc>
          <w:tcPr>
            <w:tcW w:w="1009"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980"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61" w:type="dxa"/>
            <w:tcBorders/>
            <w:shd w:fill="DBE5F1" w:val="clear"/>
            <w:vAlign w:val="center"/>
          </w:tcPr>
          <w:p>
            <w:pPr>
              <w:pStyle w:val="TableContents"/>
              <w:bidi w:val="0"/>
              <w:spacing w:before="0" w:after="283"/>
              <w:jc w:val="left"/>
              <w:rPr/>
            </w:pPr>
            <w:r>
              <w:rPr/>
              <w:t> </w:t>
            </w:r>
          </w:p>
        </w:tc>
        <w:tc>
          <w:tcPr>
            <w:tcW w:w="1009"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63" w:type="dxa"/>
            <w:tcBorders/>
            <w:shd w:fill="DBE5F1" w:val="clear"/>
            <w:vAlign w:val="center"/>
          </w:tcPr>
          <w:p>
            <w:pPr>
              <w:pStyle w:val="TableContents"/>
              <w:bidi w:val="0"/>
              <w:spacing w:before="0" w:after="283"/>
              <w:jc w:val="left"/>
              <w:rPr/>
            </w:pPr>
            <w:r>
              <w:rPr/>
              <w:t> </w:t>
            </w:r>
          </w:p>
        </w:tc>
        <w:tc>
          <w:tcPr>
            <w:tcW w:w="842"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220" w:type="dxa"/>
            <w:tcBorders/>
            <w:shd w:fill="DBE5F1" w:val="clear"/>
            <w:vAlign w:val="center"/>
          </w:tcPr>
          <w:p>
            <w:pPr>
              <w:pStyle w:val="TableContents"/>
              <w:bidi w:val="0"/>
              <w:spacing w:before="0" w:after="283"/>
              <w:jc w:val="left"/>
              <w:rPr/>
            </w:pPr>
            <w:r>
              <w:rPr/>
              <w:t> </w:t>
            </w:r>
          </w:p>
        </w:tc>
        <w:tc>
          <w:tcPr>
            <w:tcW w:w="955"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64" w:type="dxa"/>
            <w:tcBorders/>
            <w:shd w:fill="DBE5F1" w:val="clear"/>
            <w:vAlign w:val="center"/>
          </w:tcPr>
          <w:p>
            <w:pPr>
              <w:pStyle w:val="TableContents"/>
              <w:bidi w:val="0"/>
              <w:spacing w:before="0" w:after="283"/>
              <w:jc w:val="left"/>
              <w:rPr/>
            </w:pPr>
            <w:r>
              <w:rPr/>
              <w:t> </w:t>
            </w:r>
          </w:p>
        </w:tc>
        <w:tc>
          <w:tcPr>
            <w:tcW w:w="711"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w:t>
            </w:r>
          </w:p>
        </w:tc>
        <w:tc>
          <w:tcPr>
            <w:tcW w:w="75" w:type="dxa"/>
            <w:tcBorders/>
            <w:shd w:fill="DBE5F1" w:val="clear"/>
            <w:vAlign w:val="center"/>
          </w:tcPr>
          <w:p>
            <w:pPr>
              <w:pStyle w:val="TableContents"/>
              <w:bidi w:val="0"/>
              <w:spacing w:before="0" w:after="283"/>
              <w:jc w:val="left"/>
              <w:rPr/>
            </w:pPr>
            <w:r>
              <w:rPr/>
              <w:t> </w:t>
            </w:r>
          </w:p>
        </w:tc>
      </w:tr>
      <w:tr>
        <w:trPr/>
        <w:tc>
          <w:tcPr>
            <w:tcW w:w="515" w:type="dxa"/>
            <w:tcBorders>
              <w:bottom w:val="single" w:sz="8" w:space="0" w:color="95B3D7"/>
              <w:right w:val="single" w:sz="8" w:space="0" w:color="DBE5F1"/>
            </w:tcBorders>
            <w:shd w:fill="DBE5F1" w:val="clear"/>
            <w:tcMar>
              <w:bottom w:w="28" w:type="dxa"/>
              <w:right w:w="28" w:type="dxa"/>
            </w:tcMar>
            <w:vAlign w:val="center"/>
          </w:tcPr>
          <w:p>
            <w:pPr>
              <w:pStyle w:val="TableContents"/>
              <w:bidi w:val="0"/>
              <w:spacing w:before="0" w:after="0"/>
              <w:jc w:val="left"/>
              <w:rPr/>
            </w:pPr>
            <w:r>
              <w:rPr/>
              <w:t> </w:t>
            </w:r>
            <w:r>
              <w:rPr>
                <w:rFonts w:ascii="ARIAL" w:hAnsi="ARIAL"/>
                <w:sz w:val="12"/>
              </w:rPr>
              <w:t>PSU Award(2)</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575" w:type="dxa"/>
            <w:tcBorders>
              <w:bottom w:val="single" w:sz="8" w:space="0" w:color="95B3D7"/>
            </w:tcBorders>
            <w:shd w:fill="DBE5F1" w:val="clear"/>
            <w:tcMar>
              <w:bottom w:w="28" w:type="dxa"/>
            </w:tcMar>
            <w:vAlign w:val="center"/>
          </w:tcPr>
          <w:p>
            <w:pPr>
              <w:pStyle w:val="TableContents"/>
              <w:bidi w:val="0"/>
              <w:spacing w:before="0" w:after="283"/>
              <w:jc w:val="right"/>
              <w:rPr/>
            </w:pPr>
            <w:r>
              <w:rPr/>
              <w:t>9/14/2023</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72"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961"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72"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72"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72"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961"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72"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72"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72"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179"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1"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009" w:type="dxa"/>
            <w:tcBorders>
              <w:bottom w:val="single" w:sz="8" w:space="0" w:color="95B3D7"/>
            </w:tcBorders>
            <w:shd w:fill="DBE5F1" w:val="clear"/>
            <w:tcMar>
              <w:bottom w:w="28" w:type="dxa"/>
            </w:tcMar>
            <w:vAlign w:val="center"/>
          </w:tcPr>
          <w:p>
            <w:pPr>
              <w:pStyle w:val="TableContents"/>
              <w:bidi w:val="0"/>
              <w:spacing w:before="0" w:after="283"/>
              <w:jc w:val="right"/>
              <w:rPr/>
            </w:pPr>
            <w:r>
              <w:rPr/>
              <w:t>1,088,667</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980" w:type="dxa"/>
            <w:tcBorders>
              <w:bottom w:val="single" w:sz="8" w:space="0" w:color="95B3D7"/>
            </w:tcBorders>
            <w:shd w:fill="DBE5F1" w:val="clear"/>
            <w:tcMar>
              <w:bottom w:w="28" w:type="dxa"/>
            </w:tcMar>
            <w:vAlign w:val="center"/>
          </w:tcPr>
          <w:p>
            <w:pPr>
              <w:pStyle w:val="TableContents"/>
              <w:bidi w:val="0"/>
              <w:spacing w:before="0" w:after="283"/>
              <w:jc w:val="right"/>
              <w:rPr/>
            </w:pPr>
            <w:r>
              <w:rPr/>
              <w:t>2,177,333</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1"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009" w:type="dxa"/>
            <w:tcBorders>
              <w:bottom w:val="single" w:sz="8" w:space="0" w:color="95B3D7"/>
            </w:tcBorders>
            <w:shd w:fill="DBE5F1" w:val="clear"/>
            <w:tcMar>
              <w:bottom w:w="28" w:type="dxa"/>
            </w:tcMar>
            <w:vAlign w:val="center"/>
          </w:tcPr>
          <w:p>
            <w:pPr>
              <w:pStyle w:val="TableContents"/>
              <w:bidi w:val="0"/>
              <w:spacing w:before="0" w:after="283"/>
              <w:jc w:val="right"/>
              <w:rPr/>
            </w:pPr>
            <w:r>
              <w:rPr/>
              <w:t>3,266,000</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3"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842"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2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955"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64"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711"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100" w:type="dxa"/>
            <w:tcBorders>
              <w:bottom w:val="single" w:sz="8" w:space="0" w:color="95B3D7"/>
            </w:tcBorders>
            <w:shd w:fill="DBE5F1" w:val="clear"/>
            <w:tcMar>
              <w:bottom w:w="28" w:type="dxa"/>
            </w:tcMar>
            <w:vAlign w:val="center"/>
          </w:tcPr>
          <w:p>
            <w:pPr>
              <w:pStyle w:val="TableContents"/>
              <w:bidi w:val="0"/>
              <w:spacing w:before="0" w:after="283"/>
              <w:jc w:val="right"/>
              <w:rPr/>
            </w:pPr>
            <w:r>
              <w:rPr/>
              <w:t>12,497,891</w:t>
            </w:r>
          </w:p>
        </w:tc>
        <w:tc>
          <w:tcPr>
            <w:tcW w:w="75"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r>
      <w:tr>
        <w:trPr/>
        <w:tc>
          <w:tcPr>
            <w:tcW w:w="515" w:type="dxa"/>
            <w:tcBorders>
              <w:right w:val="single" w:sz="8" w:space="0" w:color="95B3D7"/>
            </w:tcBorders>
            <w:tcMar>
              <w:right w:w="28" w:type="dxa"/>
            </w:tcMar>
            <w:vAlign w:val="center"/>
          </w:tcPr>
          <w:p>
            <w:pPr>
              <w:pStyle w:val="TableContents"/>
              <w:bidi w:val="0"/>
              <w:spacing w:before="0" w:after="0"/>
              <w:jc w:val="left"/>
              <w:rPr>
                <w:rFonts w:ascii="ARIAL" w:hAnsi="ARIAL"/>
                <w:b/>
                <w:sz w:val="12"/>
              </w:rPr>
            </w:pPr>
            <w:r>
              <w:rPr>
                <w:rFonts w:ascii="ARIAL" w:hAnsi="ARIAL"/>
                <w:b/>
                <w:sz w:val="12"/>
              </w:rPr>
              <w:t>Thomas Freeman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8" w:space="0" w:color="95B3D7"/>
            </w:tcBorders>
            <w:tcMar>
              <w:right w:w="28" w:type="dxa"/>
            </w:tcMar>
            <w:vAlign w:val="center"/>
          </w:tcPr>
          <w:p>
            <w:pPr>
              <w:pStyle w:val="TableContents"/>
              <w:bidi w:val="0"/>
              <w:spacing w:before="0" w:after="0"/>
              <w:jc w:val="left"/>
              <w:rPr/>
            </w:pPr>
            <w:r>
              <w:rPr/>
              <w:t> </w:t>
            </w:r>
            <w:r>
              <w:rPr>
                <w:rFonts w:ascii="ARIAL" w:hAnsi="ARIAL"/>
                <w:sz w:val="12"/>
              </w:rPr>
              <w:t>AIP(1)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231,135</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462,269</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924,539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515" w:type="dxa"/>
            <w:tcBorders>
              <w:bottom w:val="single" w:sz="8" w:space="0" w:color="95B3D7"/>
              <w:right w:val="single" w:sz="8" w:space="0" w:color="95B3D7"/>
            </w:tcBorders>
            <w:tcMar>
              <w:bottom w:w="28" w:type="dxa"/>
              <w:right w:w="28" w:type="dxa"/>
            </w:tcMar>
            <w:vAlign w:val="center"/>
          </w:tcPr>
          <w:p>
            <w:pPr>
              <w:pStyle w:val="TableContents"/>
              <w:bidi w:val="0"/>
              <w:spacing w:before="0" w:after="0"/>
              <w:jc w:val="left"/>
              <w:rPr/>
            </w:pPr>
            <w:r>
              <w:rPr/>
              <w:t> </w:t>
            </w:r>
            <w:r>
              <w:rPr>
                <w:rFonts w:ascii="ARIAL" w:hAnsi="ARIAL"/>
                <w:sz w:val="12"/>
              </w:rPr>
              <w:t>PSU Award(2)</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575" w:type="dxa"/>
            <w:tcBorders>
              <w:bottom w:val="single" w:sz="8" w:space="0" w:color="95B3D7"/>
            </w:tcBorders>
            <w:tcMar>
              <w:bottom w:w="28" w:type="dxa"/>
            </w:tcMar>
            <w:vAlign w:val="center"/>
          </w:tcPr>
          <w:p>
            <w:pPr>
              <w:pStyle w:val="TableContents"/>
              <w:bidi w:val="0"/>
              <w:spacing w:before="0" w:after="283"/>
              <w:jc w:val="right"/>
              <w:rPr/>
            </w:pPr>
            <w:r>
              <w:rPr/>
              <w:t>9/14/2023</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72" w:type="dxa"/>
            <w:tcBorders>
              <w:bottom w:val="single" w:sz="8" w:space="0" w:color="95B3D7"/>
            </w:tcBorders>
            <w:tcMar>
              <w:bottom w:w="28" w:type="dxa"/>
            </w:tcMar>
            <w:vAlign w:val="center"/>
          </w:tcPr>
          <w:p>
            <w:pPr>
              <w:pStyle w:val="TableContents"/>
              <w:bidi w:val="0"/>
              <w:spacing w:before="0" w:after="283"/>
              <w:jc w:val="left"/>
              <w:rPr/>
            </w:pPr>
            <w:r>
              <w:rPr/>
              <w:t> </w:t>
            </w:r>
          </w:p>
        </w:tc>
        <w:tc>
          <w:tcPr>
            <w:tcW w:w="961" w:type="dxa"/>
            <w:tcBorders>
              <w:bottom w:val="single" w:sz="8" w:space="0" w:color="95B3D7"/>
            </w:tcBorders>
            <w:tcMar>
              <w:bottom w:w="28" w:type="dxa"/>
            </w:tcMar>
            <w:vAlign w:val="center"/>
          </w:tcPr>
          <w:p>
            <w:pPr>
              <w:pStyle w:val="TableContents"/>
              <w:bidi w:val="0"/>
              <w:spacing w:before="0" w:after="283"/>
              <w:jc w:val="right"/>
              <w:rPr/>
            </w:pPr>
            <w:r>
              <w:rPr/>
              <w:t>—</w:t>
            </w:r>
          </w:p>
        </w:tc>
        <w:tc>
          <w:tcPr>
            <w:tcW w:w="72" w:type="dxa"/>
            <w:tcBorders>
              <w:bottom w:val="single" w:sz="8" w:space="0" w:color="95B3D7"/>
            </w:tcBorders>
            <w:tcMar>
              <w:bottom w:w="28" w:type="dxa"/>
            </w:tcMar>
            <w:vAlign w:val="center"/>
          </w:tcPr>
          <w:p>
            <w:pPr>
              <w:pStyle w:val="TableContents"/>
              <w:bidi w:val="0"/>
              <w:spacing w:before="0" w:after="283"/>
              <w:jc w:val="left"/>
              <w:rPr/>
            </w:pPr>
            <w:r>
              <w:rPr/>
              <w:t> </w:t>
            </w:r>
          </w:p>
        </w:tc>
        <w:tc>
          <w:tcPr>
            <w:tcW w:w="72" w:type="dxa"/>
            <w:tcBorders>
              <w:bottom w:val="single" w:sz="8" w:space="0" w:color="95B3D7"/>
            </w:tcBorders>
            <w:tcMar>
              <w:bottom w:w="28" w:type="dxa"/>
            </w:tcMar>
            <w:vAlign w:val="center"/>
          </w:tcPr>
          <w:p>
            <w:pPr>
              <w:pStyle w:val="TableContents"/>
              <w:bidi w:val="0"/>
              <w:spacing w:before="0" w:after="283"/>
              <w:jc w:val="left"/>
              <w:rPr/>
            </w:pPr>
            <w:r>
              <w:rPr/>
              <w:t> </w:t>
            </w:r>
          </w:p>
        </w:tc>
        <w:tc>
          <w:tcPr>
            <w:tcW w:w="72" w:type="dxa"/>
            <w:tcBorders>
              <w:bottom w:val="single" w:sz="8" w:space="0" w:color="95B3D7"/>
            </w:tcBorders>
            <w:tcMar>
              <w:bottom w:w="28" w:type="dxa"/>
            </w:tcMar>
            <w:vAlign w:val="center"/>
          </w:tcPr>
          <w:p>
            <w:pPr>
              <w:pStyle w:val="TableContents"/>
              <w:bidi w:val="0"/>
              <w:spacing w:before="0" w:after="283"/>
              <w:jc w:val="left"/>
              <w:rPr/>
            </w:pPr>
            <w:r>
              <w:rPr/>
              <w:t> </w:t>
            </w:r>
          </w:p>
        </w:tc>
        <w:tc>
          <w:tcPr>
            <w:tcW w:w="961" w:type="dxa"/>
            <w:tcBorders>
              <w:bottom w:val="single" w:sz="8" w:space="0" w:color="95B3D7"/>
            </w:tcBorders>
            <w:tcMar>
              <w:bottom w:w="28" w:type="dxa"/>
            </w:tcMar>
            <w:vAlign w:val="center"/>
          </w:tcPr>
          <w:p>
            <w:pPr>
              <w:pStyle w:val="TableContents"/>
              <w:bidi w:val="0"/>
              <w:spacing w:before="0" w:after="283"/>
              <w:jc w:val="right"/>
              <w:rPr/>
            </w:pPr>
            <w:r>
              <w:rPr/>
              <w:t>—</w:t>
            </w:r>
          </w:p>
        </w:tc>
        <w:tc>
          <w:tcPr>
            <w:tcW w:w="72" w:type="dxa"/>
            <w:tcBorders>
              <w:bottom w:val="single" w:sz="8" w:space="0" w:color="95B3D7"/>
            </w:tcBorders>
            <w:tcMar>
              <w:bottom w:w="28" w:type="dxa"/>
            </w:tcMar>
            <w:vAlign w:val="center"/>
          </w:tcPr>
          <w:p>
            <w:pPr>
              <w:pStyle w:val="TableContents"/>
              <w:bidi w:val="0"/>
              <w:spacing w:before="0" w:after="283"/>
              <w:jc w:val="left"/>
              <w:rPr/>
            </w:pPr>
            <w:r>
              <w:rPr/>
              <w:t> </w:t>
            </w:r>
          </w:p>
        </w:tc>
        <w:tc>
          <w:tcPr>
            <w:tcW w:w="72" w:type="dxa"/>
            <w:tcBorders>
              <w:bottom w:val="single" w:sz="8" w:space="0" w:color="95B3D7"/>
            </w:tcBorders>
            <w:tcMar>
              <w:bottom w:w="28" w:type="dxa"/>
            </w:tcMar>
            <w:vAlign w:val="center"/>
          </w:tcPr>
          <w:p>
            <w:pPr>
              <w:pStyle w:val="TableContents"/>
              <w:bidi w:val="0"/>
              <w:spacing w:before="0" w:after="283"/>
              <w:jc w:val="left"/>
              <w:rPr/>
            </w:pPr>
            <w:r>
              <w:rPr/>
              <w:t> </w:t>
            </w:r>
          </w:p>
        </w:tc>
        <w:tc>
          <w:tcPr>
            <w:tcW w:w="72" w:type="dxa"/>
            <w:tcBorders>
              <w:bottom w:val="single" w:sz="8" w:space="0" w:color="95B3D7"/>
            </w:tcBorders>
            <w:tcMar>
              <w:bottom w:w="28" w:type="dxa"/>
            </w:tcMar>
            <w:vAlign w:val="center"/>
          </w:tcPr>
          <w:p>
            <w:pPr>
              <w:pStyle w:val="TableContents"/>
              <w:bidi w:val="0"/>
              <w:spacing w:before="0" w:after="283"/>
              <w:jc w:val="left"/>
              <w:rPr/>
            </w:pPr>
            <w:r>
              <w:rPr/>
              <w:t> </w:t>
            </w:r>
          </w:p>
        </w:tc>
        <w:tc>
          <w:tcPr>
            <w:tcW w:w="1179" w:type="dxa"/>
            <w:tcBorders>
              <w:bottom w:val="single" w:sz="8" w:space="0" w:color="95B3D7"/>
            </w:tcBorders>
            <w:tcMar>
              <w:bottom w:w="28" w:type="dxa"/>
            </w:tcMar>
            <w:vAlign w:val="center"/>
          </w:tcPr>
          <w:p>
            <w:pPr>
              <w:pStyle w:val="TableContents"/>
              <w:bidi w:val="0"/>
              <w:spacing w:before="0" w:after="283"/>
              <w:jc w:val="right"/>
              <w:rPr/>
            </w:pPr>
            <w:r>
              <w:rPr/>
              <w:t>—</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61" w:type="dxa"/>
            <w:tcBorders>
              <w:bottom w:val="single" w:sz="8" w:space="0" w:color="95B3D7"/>
            </w:tcBorders>
            <w:tcMar>
              <w:bottom w:w="28" w:type="dxa"/>
            </w:tcMar>
            <w:vAlign w:val="center"/>
          </w:tcPr>
          <w:p>
            <w:pPr>
              <w:pStyle w:val="TableContents"/>
              <w:bidi w:val="0"/>
              <w:spacing w:before="0" w:after="283"/>
              <w:jc w:val="left"/>
              <w:rPr/>
            </w:pPr>
            <w:r>
              <w:rPr/>
              <w:t> </w:t>
            </w:r>
          </w:p>
        </w:tc>
        <w:tc>
          <w:tcPr>
            <w:tcW w:w="1009" w:type="dxa"/>
            <w:tcBorders>
              <w:bottom w:val="single" w:sz="8" w:space="0" w:color="95B3D7"/>
            </w:tcBorders>
            <w:tcMar>
              <w:bottom w:w="28" w:type="dxa"/>
            </w:tcMar>
            <w:vAlign w:val="center"/>
          </w:tcPr>
          <w:p>
            <w:pPr>
              <w:pStyle w:val="TableContents"/>
              <w:bidi w:val="0"/>
              <w:spacing w:before="0" w:after="283"/>
              <w:jc w:val="right"/>
              <w:rPr/>
            </w:pPr>
            <w:r>
              <w:rPr/>
              <w:t>436,833</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980" w:type="dxa"/>
            <w:tcBorders>
              <w:bottom w:val="single" w:sz="8" w:space="0" w:color="95B3D7"/>
            </w:tcBorders>
            <w:tcMar>
              <w:bottom w:w="28" w:type="dxa"/>
            </w:tcMar>
            <w:vAlign w:val="center"/>
          </w:tcPr>
          <w:p>
            <w:pPr>
              <w:pStyle w:val="TableContents"/>
              <w:bidi w:val="0"/>
              <w:spacing w:before="0" w:after="283"/>
              <w:jc w:val="right"/>
              <w:rPr/>
            </w:pPr>
            <w:r>
              <w:rPr/>
              <w:t>873,667</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61" w:type="dxa"/>
            <w:tcBorders>
              <w:bottom w:val="single" w:sz="8" w:space="0" w:color="95B3D7"/>
            </w:tcBorders>
            <w:tcMar>
              <w:bottom w:w="28" w:type="dxa"/>
            </w:tcMar>
            <w:vAlign w:val="center"/>
          </w:tcPr>
          <w:p>
            <w:pPr>
              <w:pStyle w:val="TableContents"/>
              <w:bidi w:val="0"/>
              <w:spacing w:before="0" w:after="283"/>
              <w:jc w:val="left"/>
              <w:rPr/>
            </w:pPr>
            <w:r>
              <w:rPr/>
              <w:t> </w:t>
            </w:r>
          </w:p>
        </w:tc>
        <w:tc>
          <w:tcPr>
            <w:tcW w:w="1009" w:type="dxa"/>
            <w:tcBorders>
              <w:bottom w:val="single" w:sz="8" w:space="0" w:color="95B3D7"/>
            </w:tcBorders>
            <w:tcMar>
              <w:bottom w:w="28" w:type="dxa"/>
            </w:tcMar>
            <w:vAlign w:val="center"/>
          </w:tcPr>
          <w:p>
            <w:pPr>
              <w:pStyle w:val="TableContents"/>
              <w:bidi w:val="0"/>
              <w:spacing w:before="0" w:after="283"/>
              <w:jc w:val="right"/>
              <w:rPr/>
            </w:pPr>
            <w:r>
              <w:rPr/>
              <w:t>1,310,500</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63" w:type="dxa"/>
            <w:tcBorders>
              <w:bottom w:val="single" w:sz="8" w:space="0" w:color="95B3D7"/>
            </w:tcBorders>
            <w:tcMar>
              <w:bottom w:w="28" w:type="dxa"/>
            </w:tcMar>
            <w:vAlign w:val="center"/>
          </w:tcPr>
          <w:p>
            <w:pPr>
              <w:pStyle w:val="TableContents"/>
              <w:bidi w:val="0"/>
              <w:spacing w:before="0" w:after="283"/>
              <w:jc w:val="left"/>
              <w:rPr/>
            </w:pPr>
            <w:r>
              <w:rPr/>
              <w:t> </w:t>
            </w:r>
          </w:p>
        </w:tc>
        <w:tc>
          <w:tcPr>
            <w:tcW w:w="842" w:type="dxa"/>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220" w:type="dxa"/>
            <w:tcBorders>
              <w:bottom w:val="single" w:sz="8" w:space="0" w:color="95B3D7"/>
            </w:tcBorders>
            <w:tcMar>
              <w:bottom w:w="28" w:type="dxa"/>
            </w:tcMar>
            <w:vAlign w:val="center"/>
          </w:tcPr>
          <w:p>
            <w:pPr>
              <w:pStyle w:val="TableContents"/>
              <w:bidi w:val="0"/>
              <w:spacing w:before="0" w:after="283"/>
              <w:jc w:val="left"/>
              <w:rPr/>
            </w:pPr>
            <w:r>
              <w:rPr/>
              <w:t> </w:t>
            </w:r>
          </w:p>
        </w:tc>
        <w:tc>
          <w:tcPr>
            <w:tcW w:w="955" w:type="dxa"/>
            <w:tcBorders>
              <w:bottom w:val="single" w:sz="8" w:space="0" w:color="95B3D7"/>
            </w:tcBorders>
            <w:tcMar>
              <w:bottom w:w="28" w:type="dxa"/>
            </w:tcMar>
            <w:vAlign w:val="center"/>
          </w:tcPr>
          <w:p>
            <w:pPr>
              <w:pStyle w:val="TableContents"/>
              <w:bidi w:val="0"/>
              <w:spacing w:before="0" w:after="283"/>
              <w:jc w:val="right"/>
              <w:rPr/>
            </w:pPr>
            <w:r>
              <w:rPr/>
              <w:t>—</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64" w:type="dxa"/>
            <w:tcBorders>
              <w:bottom w:val="single" w:sz="8" w:space="0" w:color="95B3D7"/>
            </w:tcBorders>
            <w:tcMar>
              <w:bottom w:w="28" w:type="dxa"/>
            </w:tcMar>
            <w:vAlign w:val="center"/>
          </w:tcPr>
          <w:p>
            <w:pPr>
              <w:pStyle w:val="TableContents"/>
              <w:bidi w:val="0"/>
              <w:spacing w:before="0" w:after="283"/>
              <w:jc w:val="left"/>
              <w:rPr/>
            </w:pPr>
            <w:r>
              <w:rPr/>
              <w:t> </w:t>
            </w:r>
          </w:p>
        </w:tc>
        <w:tc>
          <w:tcPr>
            <w:tcW w:w="711" w:type="dxa"/>
            <w:tcBorders>
              <w:bottom w:val="single" w:sz="8" w:space="0" w:color="95B3D7"/>
            </w:tcBorders>
            <w:tcMar>
              <w:bottom w:w="28" w:type="dxa"/>
            </w:tcMar>
            <w:vAlign w:val="center"/>
          </w:tcPr>
          <w:p>
            <w:pPr>
              <w:pStyle w:val="TableContents"/>
              <w:bidi w:val="0"/>
              <w:spacing w:before="0" w:after="283"/>
              <w:jc w:val="right"/>
              <w:rPr/>
            </w:pPr>
            <w:r>
              <w:rPr/>
              <w:t>—</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100" w:type="dxa"/>
            <w:tcBorders>
              <w:bottom w:val="single" w:sz="8" w:space="0" w:color="95B3D7"/>
            </w:tcBorders>
            <w:tcMar>
              <w:bottom w:w="28" w:type="dxa"/>
            </w:tcMar>
            <w:vAlign w:val="center"/>
          </w:tcPr>
          <w:p>
            <w:pPr>
              <w:pStyle w:val="TableContents"/>
              <w:bidi w:val="0"/>
              <w:spacing w:before="0" w:after="283"/>
              <w:jc w:val="right"/>
              <w:rPr/>
            </w:pPr>
            <w:r>
              <w:rPr/>
              <w:t>5,014,849</w:t>
            </w:r>
          </w:p>
        </w:tc>
        <w:tc>
          <w:tcPr>
            <w:tcW w:w="75" w:type="dxa"/>
            <w:tcBorders>
              <w:bottom w:val="single" w:sz="8" w:space="0" w:color="95B3D7"/>
            </w:tcBorders>
            <w:tcMar>
              <w:bottom w:w="28" w:type="dxa"/>
            </w:tcMar>
            <w:vAlign w:val="center"/>
          </w:tcPr>
          <w:p>
            <w:pPr>
              <w:pStyle w:val="TableContents"/>
              <w:bidi w:val="0"/>
              <w:spacing w:before="0" w:after="283"/>
              <w:jc w:val="left"/>
              <w:rPr/>
            </w:pPr>
            <w:r>
              <w:rPr/>
              <w:t> </w:t>
            </w:r>
          </w:p>
        </w:tc>
      </w:tr>
      <w:tr>
        <w:trPr/>
        <w:tc>
          <w:tcPr>
            <w:tcW w:w="515" w:type="dxa"/>
            <w:tcBorders>
              <w:right w:val="single" w:sz="8" w:space="0" w:color="DBE5F1"/>
            </w:tcBorders>
            <w:shd w:fill="DBE5F1" w:val="clear"/>
            <w:tcMar>
              <w:right w:w="28" w:type="dxa"/>
            </w:tcMar>
            <w:vAlign w:val="center"/>
          </w:tcPr>
          <w:p>
            <w:pPr>
              <w:pStyle w:val="TableContents"/>
              <w:bidi w:val="0"/>
              <w:spacing w:before="0" w:after="0"/>
              <w:jc w:val="left"/>
              <w:rPr>
                <w:rFonts w:ascii="ARIAL" w:hAnsi="ARIAL"/>
                <w:b/>
                <w:sz w:val="12"/>
              </w:rPr>
            </w:pPr>
            <w:r>
              <w:rPr>
                <w:rFonts w:ascii="ARIAL" w:hAnsi="ARIAL"/>
                <w:b/>
                <w:sz w:val="12"/>
              </w:rPr>
              <w:t>Dawn Maroney</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575"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72" w:type="dxa"/>
            <w:tcBorders/>
            <w:shd w:fill="DBE5F1" w:val="clear"/>
            <w:vAlign w:val="center"/>
          </w:tcPr>
          <w:p>
            <w:pPr>
              <w:pStyle w:val="TableContents"/>
              <w:bidi w:val="0"/>
              <w:spacing w:before="0" w:after="283"/>
              <w:jc w:val="left"/>
              <w:rPr>
                <w:sz w:val="4"/>
                <w:szCs w:val="4"/>
              </w:rPr>
            </w:pPr>
            <w:r>
              <w:rPr>
                <w:sz w:val="4"/>
                <w:szCs w:val="4"/>
              </w:rPr>
            </w:r>
          </w:p>
        </w:tc>
        <w:tc>
          <w:tcPr>
            <w:tcW w:w="961" w:type="dxa"/>
            <w:tcBorders/>
            <w:shd w:fill="DBE5F1" w:val="clear"/>
            <w:vAlign w:val="center"/>
          </w:tcPr>
          <w:p>
            <w:pPr>
              <w:pStyle w:val="TableContents"/>
              <w:bidi w:val="0"/>
              <w:spacing w:before="0" w:after="283"/>
              <w:jc w:val="left"/>
              <w:rPr>
                <w:sz w:val="4"/>
                <w:szCs w:val="4"/>
              </w:rPr>
            </w:pPr>
            <w:r>
              <w:rPr>
                <w:sz w:val="4"/>
                <w:szCs w:val="4"/>
              </w:rPr>
            </w:r>
          </w:p>
        </w:tc>
        <w:tc>
          <w:tcPr>
            <w:tcW w:w="72" w:type="dxa"/>
            <w:tcBorders/>
            <w:shd w:fill="DBE5F1" w:val="clear"/>
            <w:vAlign w:val="center"/>
          </w:tcPr>
          <w:p>
            <w:pPr>
              <w:pStyle w:val="TableContents"/>
              <w:bidi w:val="0"/>
              <w:spacing w:before="0" w:after="283"/>
              <w:jc w:val="left"/>
              <w:rPr>
                <w:sz w:val="4"/>
                <w:szCs w:val="4"/>
              </w:rPr>
            </w:pPr>
            <w:r>
              <w:rPr>
                <w:sz w:val="4"/>
                <w:szCs w:val="4"/>
              </w:rPr>
            </w:r>
          </w:p>
        </w:tc>
        <w:tc>
          <w:tcPr>
            <w:tcW w:w="72" w:type="dxa"/>
            <w:tcBorders/>
            <w:shd w:fill="DBE5F1" w:val="clear"/>
            <w:vAlign w:val="center"/>
          </w:tcPr>
          <w:p>
            <w:pPr>
              <w:pStyle w:val="TableContents"/>
              <w:bidi w:val="0"/>
              <w:spacing w:before="0" w:after="283"/>
              <w:jc w:val="left"/>
              <w:rPr/>
            </w:pPr>
            <w:r>
              <w:rPr/>
              <w:t> </w:t>
            </w:r>
          </w:p>
        </w:tc>
        <w:tc>
          <w:tcPr>
            <w:tcW w:w="72" w:type="dxa"/>
            <w:tcBorders/>
            <w:shd w:fill="DBE5F1" w:val="clear"/>
            <w:vAlign w:val="center"/>
          </w:tcPr>
          <w:p>
            <w:pPr>
              <w:pStyle w:val="TableContents"/>
              <w:bidi w:val="0"/>
              <w:spacing w:before="0" w:after="283"/>
              <w:jc w:val="left"/>
              <w:rPr>
                <w:sz w:val="4"/>
                <w:szCs w:val="4"/>
              </w:rPr>
            </w:pPr>
            <w:r>
              <w:rPr>
                <w:sz w:val="4"/>
                <w:szCs w:val="4"/>
              </w:rPr>
            </w:r>
          </w:p>
        </w:tc>
        <w:tc>
          <w:tcPr>
            <w:tcW w:w="961" w:type="dxa"/>
            <w:tcBorders/>
            <w:shd w:fill="DBE5F1" w:val="clear"/>
            <w:vAlign w:val="center"/>
          </w:tcPr>
          <w:p>
            <w:pPr>
              <w:pStyle w:val="TableContents"/>
              <w:bidi w:val="0"/>
              <w:spacing w:before="0" w:after="283"/>
              <w:jc w:val="left"/>
              <w:rPr>
                <w:sz w:val="4"/>
                <w:szCs w:val="4"/>
              </w:rPr>
            </w:pPr>
            <w:r>
              <w:rPr>
                <w:sz w:val="4"/>
                <w:szCs w:val="4"/>
              </w:rPr>
            </w:r>
          </w:p>
        </w:tc>
        <w:tc>
          <w:tcPr>
            <w:tcW w:w="72" w:type="dxa"/>
            <w:tcBorders/>
            <w:shd w:fill="DBE5F1" w:val="clear"/>
            <w:vAlign w:val="center"/>
          </w:tcPr>
          <w:p>
            <w:pPr>
              <w:pStyle w:val="TableContents"/>
              <w:bidi w:val="0"/>
              <w:spacing w:before="0" w:after="283"/>
              <w:jc w:val="left"/>
              <w:rPr>
                <w:sz w:val="4"/>
                <w:szCs w:val="4"/>
              </w:rPr>
            </w:pPr>
            <w:r>
              <w:rPr>
                <w:sz w:val="4"/>
                <w:szCs w:val="4"/>
              </w:rPr>
            </w:r>
          </w:p>
        </w:tc>
        <w:tc>
          <w:tcPr>
            <w:tcW w:w="72" w:type="dxa"/>
            <w:tcBorders/>
            <w:shd w:fill="DBE5F1" w:val="clear"/>
            <w:vAlign w:val="center"/>
          </w:tcPr>
          <w:p>
            <w:pPr>
              <w:pStyle w:val="TableContents"/>
              <w:bidi w:val="0"/>
              <w:spacing w:before="0" w:after="283"/>
              <w:jc w:val="left"/>
              <w:rPr/>
            </w:pPr>
            <w:r>
              <w:rPr/>
              <w:t> </w:t>
            </w:r>
          </w:p>
        </w:tc>
        <w:tc>
          <w:tcPr>
            <w:tcW w:w="72" w:type="dxa"/>
            <w:tcBorders/>
            <w:shd w:fill="DBE5F1" w:val="clear"/>
            <w:vAlign w:val="center"/>
          </w:tcPr>
          <w:p>
            <w:pPr>
              <w:pStyle w:val="TableContents"/>
              <w:bidi w:val="0"/>
              <w:spacing w:before="0" w:after="283"/>
              <w:jc w:val="left"/>
              <w:rPr>
                <w:sz w:val="4"/>
                <w:szCs w:val="4"/>
              </w:rPr>
            </w:pPr>
            <w:r>
              <w:rPr>
                <w:sz w:val="4"/>
                <w:szCs w:val="4"/>
              </w:rPr>
            </w:r>
          </w:p>
        </w:tc>
        <w:tc>
          <w:tcPr>
            <w:tcW w:w="1179"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61" w:type="dxa"/>
            <w:tcBorders/>
            <w:shd w:fill="DBE5F1" w:val="clear"/>
            <w:vAlign w:val="center"/>
          </w:tcPr>
          <w:p>
            <w:pPr>
              <w:pStyle w:val="TableContents"/>
              <w:bidi w:val="0"/>
              <w:spacing w:before="0" w:after="283"/>
              <w:jc w:val="left"/>
              <w:rPr>
                <w:sz w:val="4"/>
                <w:szCs w:val="4"/>
              </w:rPr>
            </w:pPr>
            <w:r>
              <w:rPr>
                <w:sz w:val="4"/>
                <w:szCs w:val="4"/>
              </w:rPr>
            </w:r>
          </w:p>
        </w:tc>
        <w:tc>
          <w:tcPr>
            <w:tcW w:w="1009"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98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61" w:type="dxa"/>
            <w:tcBorders/>
            <w:shd w:fill="DBE5F1" w:val="clear"/>
            <w:vAlign w:val="center"/>
          </w:tcPr>
          <w:p>
            <w:pPr>
              <w:pStyle w:val="TableContents"/>
              <w:bidi w:val="0"/>
              <w:spacing w:before="0" w:after="283"/>
              <w:jc w:val="left"/>
              <w:rPr>
                <w:sz w:val="4"/>
                <w:szCs w:val="4"/>
              </w:rPr>
            </w:pPr>
            <w:r>
              <w:rPr>
                <w:sz w:val="4"/>
                <w:szCs w:val="4"/>
              </w:rPr>
            </w:r>
          </w:p>
        </w:tc>
        <w:tc>
          <w:tcPr>
            <w:tcW w:w="1009"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63" w:type="dxa"/>
            <w:tcBorders/>
            <w:shd w:fill="DBE5F1" w:val="clear"/>
            <w:vAlign w:val="center"/>
          </w:tcPr>
          <w:p>
            <w:pPr>
              <w:pStyle w:val="TableContents"/>
              <w:bidi w:val="0"/>
              <w:spacing w:before="0" w:after="283"/>
              <w:jc w:val="left"/>
              <w:rPr>
                <w:sz w:val="4"/>
                <w:szCs w:val="4"/>
              </w:rPr>
            </w:pPr>
            <w:r>
              <w:rPr>
                <w:sz w:val="4"/>
                <w:szCs w:val="4"/>
              </w:rPr>
            </w:r>
          </w:p>
        </w:tc>
        <w:tc>
          <w:tcPr>
            <w:tcW w:w="842"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220" w:type="dxa"/>
            <w:tcBorders/>
            <w:shd w:fill="DBE5F1" w:val="clear"/>
            <w:vAlign w:val="center"/>
          </w:tcPr>
          <w:p>
            <w:pPr>
              <w:pStyle w:val="TableContents"/>
              <w:bidi w:val="0"/>
              <w:spacing w:before="0" w:after="283"/>
              <w:jc w:val="left"/>
              <w:rPr>
                <w:sz w:val="4"/>
                <w:szCs w:val="4"/>
              </w:rPr>
            </w:pPr>
            <w:r>
              <w:rPr>
                <w:sz w:val="4"/>
                <w:szCs w:val="4"/>
              </w:rPr>
            </w:r>
          </w:p>
        </w:tc>
        <w:tc>
          <w:tcPr>
            <w:tcW w:w="955"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164" w:type="dxa"/>
            <w:tcBorders/>
            <w:shd w:fill="DBE5F1" w:val="clear"/>
            <w:vAlign w:val="center"/>
          </w:tcPr>
          <w:p>
            <w:pPr>
              <w:pStyle w:val="TableContents"/>
              <w:bidi w:val="0"/>
              <w:spacing w:before="0" w:after="283"/>
              <w:jc w:val="left"/>
              <w:rPr>
                <w:sz w:val="4"/>
                <w:szCs w:val="4"/>
              </w:rPr>
            </w:pPr>
            <w:r>
              <w:rPr>
                <w:sz w:val="4"/>
                <w:szCs w:val="4"/>
              </w:rPr>
            </w:r>
          </w:p>
        </w:tc>
        <w:tc>
          <w:tcPr>
            <w:tcW w:w="711"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1100" w:type="dxa"/>
            <w:tcBorders/>
            <w:shd w:fill="DBE5F1" w:val="clear"/>
            <w:vAlign w:val="center"/>
          </w:tcPr>
          <w:p>
            <w:pPr>
              <w:pStyle w:val="TableContents"/>
              <w:bidi w:val="0"/>
              <w:spacing w:before="0" w:after="283"/>
              <w:jc w:val="left"/>
              <w:rPr>
                <w:sz w:val="4"/>
                <w:szCs w:val="4"/>
              </w:rPr>
            </w:pPr>
            <w:r>
              <w:rPr>
                <w:sz w:val="4"/>
                <w:szCs w:val="4"/>
              </w:rPr>
            </w:r>
          </w:p>
        </w:tc>
        <w:tc>
          <w:tcPr>
            <w:tcW w:w="75" w:type="dxa"/>
            <w:tcBorders/>
            <w:shd w:fill="DBE5F1" w:val="clear"/>
            <w:vAlign w:val="center"/>
          </w:tcPr>
          <w:p>
            <w:pPr>
              <w:pStyle w:val="TableContents"/>
              <w:bidi w:val="0"/>
              <w:spacing w:before="0" w:after="283"/>
              <w:jc w:val="left"/>
              <w:rPr>
                <w:sz w:val="4"/>
                <w:szCs w:val="4"/>
              </w:rPr>
            </w:pPr>
            <w:r>
              <w:rPr>
                <w:sz w:val="4"/>
                <w:szCs w:val="4"/>
              </w:rPr>
            </w:r>
          </w:p>
        </w:tc>
      </w:tr>
      <w:tr>
        <w:trPr/>
        <w:tc>
          <w:tcPr>
            <w:tcW w:w="515" w:type="dxa"/>
            <w:tcBorders>
              <w:right w:val="single" w:sz="8" w:space="0" w:color="DBE5F1"/>
            </w:tcBorders>
            <w:shd w:fill="DBE5F1" w:val="clear"/>
            <w:tcMar>
              <w:right w:w="28" w:type="dxa"/>
            </w:tcMar>
            <w:vAlign w:val="center"/>
          </w:tcPr>
          <w:p>
            <w:pPr>
              <w:pStyle w:val="TableContents"/>
              <w:bidi w:val="0"/>
              <w:spacing w:before="0" w:after="0"/>
              <w:jc w:val="left"/>
              <w:rPr/>
            </w:pPr>
            <w:r>
              <w:rPr/>
              <w:t> </w:t>
            </w:r>
            <w:r>
              <w:rPr>
                <w:rFonts w:ascii="ARIAL" w:hAnsi="ARIAL"/>
                <w:sz w:val="12"/>
              </w:rPr>
              <w:t>AIP(1)</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575" w:type="dxa"/>
            <w:tcBorders/>
            <w:shd w:fill="DBE5F1" w:val="clear"/>
            <w:vAlign w:val="center"/>
          </w:tcPr>
          <w:p>
            <w:pPr>
              <w:pStyle w:val="TableContents"/>
              <w:bidi w:val="0"/>
              <w:spacing w:before="0" w:after="283"/>
              <w:jc w:val="center"/>
              <w:rPr/>
            </w:pPr>
            <w:r>
              <w:rPr/>
              <w:t>—</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72" w:type="dxa"/>
            <w:tcBorders/>
            <w:shd w:fill="DBE5F1" w:val="clear"/>
            <w:vAlign w:val="center"/>
          </w:tcPr>
          <w:p>
            <w:pPr>
              <w:pStyle w:val="TableContents"/>
              <w:bidi w:val="0"/>
              <w:spacing w:before="0" w:after="283"/>
              <w:jc w:val="left"/>
              <w:rPr/>
            </w:pPr>
            <w:r>
              <w:rPr/>
              <w:t> </w:t>
            </w:r>
          </w:p>
        </w:tc>
        <w:tc>
          <w:tcPr>
            <w:tcW w:w="961" w:type="dxa"/>
            <w:tcBorders/>
            <w:shd w:fill="DBE5F1" w:val="clear"/>
            <w:vAlign w:val="center"/>
          </w:tcPr>
          <w:p>
            <w:pPr>
              <w:pStyle w:val="TableContents"/>
              <w:bidi w:val="0"/>
              <w:spacing w:before="0" w:after="283"/>
              <w:jc w:val="right"/>
              <w:rPr/>
            </w:pPr>
            <w:r>
              <w:rPr/>
              <w:t>238,000</w:t>
            </w:r>
          </w:p>
        </w:tc>
        <w:tc>
          <w:tcPr>
            <w:tcW w:w="72" w:type="dxa"/>
            <w:tcBorders/>
            <w:shd w:fill="DBE5F1" w:val="clear"/>
            <w:vAlign w:val="center"/>
          </w:tcPr>
          <w:p>
            <w:pPr>
              <w:pStyle w:val="TableContents"/>
              <w:bidi w:val="0"/>
              <w:spacing w:before="0" w:after="283"/>
              <w:jc w:val="left"/>
              <w:rPr/>
            </w:pPr>
            <w:r>
              <w:rPr/>
              <w:t> </w:t>
            </w:r>
          </w:p>
        </w:tc>
        <w:tc>
          <w:tcPr>
            <w:tcW w:w="72" w:type="dxa"/>
            <w:tcBorders/>
            <w:shd w:fill="DBE5F1" w:val="clear"/>
            <w:vAlign w:val="center"/>
          </w:tcPr>
          <w:p>
            <w:pPr>
              <w:pStyle w:val="TableContents"/>
              <w:bidi w:val="0"/>
              <w:spacing w:before="0" w:after="283"/>
              <w:jc w:val="left"/>
              <w:rPr/>
            </w:pPr>
            <w:r>
              <w:rPr/>
              <w:t> </w:t>
            </w:r>
          </w:p>
        </w:tc>
        <w:tc>
          <w:tcPr>
            <w:tcW w:w="72" w:type="dxa"/>
            <w:tcBorders/>
            <w:shd w:fill="DBE5F1" w:val="clear"/>
            <w:vAlign w:val="center"/>
          </w:tcPr>
          <w:p>
            <w:pPr>
              <w:pStyle w:val="TableContents"/>
              <w:bidi w:val="0"/>
              <w:spacing w:before="0" w:after="283"/>
              <w:jc w:val="left"/>
              <w:rPr/>
            </w:pPr>
            <w:r>
              <w:rPr/>
              <w:t> </w:t>
            </w:r>
          </w:p>
        </w:tc>
        <w:tc>
          <w:tcPr>
            <w:tcW w:w="961" w:type="dxa"/>
            <w:tcBorders/>
            <w:shd w:fill="DBE5F1" w:val="clear"/>
            <w:vAlign w:val="center"/>
          </w:tcPr>
          <w:p>
            <w:pPr>
              <w:pStyle w:val="TableContents"/>
              <w:bidi w:val="0"/>
              <w:spacing w:before="0" w:after="283"/>
              <w:jc w:val="right"/>
              <w:rPr/>
            </w:pPr>
            <w:r>
              <w:rPr/>
              <w:t>476,000</w:t>
            </w:r>
          </w:p>
        </w:tc>
        <w:tc>
          <w:tcPr>
            <w:tcW w:w="72" w:type="dxa"/>
            <w:tcBorders/>
            <w:shd w:fill="DBE5F1" w:val="clear"/>
            <w:vAlign w:val="center"/>
          </w:tcPr>
          <w:p>
            <w:pPr>
              <w:pStyle w:val="TableContents"/>
              <w:bidi w:val="0"/>
              <w:spacing w:before="0" w:after="283"/>
              <w:jc w:val="left"/>
              <w:rPr/>
            </w:pPr>
            <w:r>
              <w:rPr/>
              <w:t> </w:t>
            </w:r>
          </w:p>
        </w:tc>
        <w:tc>
          <w:tcPr>
            <w:tcW w:w="72" w:type="dxa"/>
            <w:tcBorders/>
            <w:shd w:fill="DBE5F1" w:val="clear"/>
            <w:vAlign w:val="center"/>
          </w:tcPr>
          <w:p>
            <w:pPr>
              <w:pStyle w:val="TableContents"/>
              <w:bidi w:val="0"/>
              <w:spacing w:before="0" w:after="283"/>
              <w:jc w:val="left"/>
              <w:rPr/>
            </w:pPr>
            <w:r>
              <w:rPr/>
              <w:t> </w:t>
            </w:r>
          </w:p>
        </w:tc>
        <w:tc>
          <w:tcPr>
            <w:tcW w:w="72" w:type="dxa"/>
            <w:tcBorders/>
            <w:shd w:fill="DBE5F1" w:val="clear"/>
            <w:vAlign w:val="center"/>
          </w:tcPr>
          <w:p>
            <w:pPr>
              <w:pStyle w:val="TableContents"/>
              <w:bidi w:val="0"/>
              <w:spacing w:before="0" w:after="283"/>
              <w:jc w:val="left"/>
              <w:rPr/>
            </w:pPr>
            <w:r>
              <w:rPr/>
              <w:t> </w:t>
            </w:r>
          </w:p>
        </w:tc>
        <w:tc>
          <w:tcPr>
            <w:tcW w:w="1179" w:type="dxa"/>
            <w:tcBorders/>
            <w:shd w:fill="DBE5F1" w:val="clear"/>
            <w:vAlign w:val="center"/>
          </w:tcPr>
          <w:p>
            <w:pPr>
              <w:pStyle w:val="TableContents"/>
              <w:bidi w:val="0"/>
              <w:spacing w:before="0" w:after="283"/>
              <w:jc w:val="right"/>
              <w:rPr/>
            </w:pPr>
            <w:r>
              <w:rPr/>
              <w:t>952,001</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61" w:type="dxa"/>
            <w:tcBorders/>
            <w:shd w:fill="DBE5F1" w:val="clear"/>
            <w:vAlign w:val="center"/>
          </w:tcPr>
          <w:p>
            <w:pPr>
              <w:pStyle w:val="TableContents"/>
              <w:bidi w:val="0"/>
              <w:spacing w:before="0" w:after="283"/>
              <w:jc w:val="left"/>
              <w:rPr/>
            </w:pPr>
            <w:r>
              <w:rPr/>
              <w:t> </w:t>
            </w:r>
          </w:p>
        </w:tc>
        <w:tc>
          <w:tcPr>
            <w:tcW w:w="1009"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980"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61" w:type="dxa"/>
            <w:tcBorders/>
            <w:shd w:fill="DBE5F1" w:val="clear"/>
            <w:vAlign w:val="center"/>
          </w:tcPr>
          <w:p>
            <w:pPr>
              <w:pStyle w:val="TableContents"/>
              <w:bidi w:val="0"/>
              <w:spacing w:before="0" w:after="283"/>
              <w:jc w:val="left"/>
              <w:rPr/>
            </w:pPr>
            <w:r>
              <w:rPr/>
              <w:t> </w:t>
            </w:r>
          </w:p>
        </w:tc>
        <w:tc>
          <w:tcPr>
            <w:tcW w:w="1009"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63" w:type="dxa"/>
            <w:tcBorders/>
            <w:shd w:fill="DBE5F1" w:val="clear"/>
            <w:vAlign w:val="center"/>
          </w:tcPr>
          <w:p>
            <w:pPr>
              <w:pStyle w:val="TableContents"/>
              <w:bidi w:val="0"/>
              <w:spacing w:before="0" w:after="283"/>
              <w:jc w:val="left"/>
              <w:rPr/>
            </w:pPr>
            <w:r>
              <w:rPr/>
              <w:t> </w:t>
            </w:r>
          </w:p>
        </w:tc>
        <w:tc>
          <w:tcPr>
            <w:tcW w:w="842"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220" w:type="dxa"/>
            <w:tcBorders/>
            <w:shd w:fill="DBE5F1" w:val="clear"/>
            <w:vAlign w:val="center"/>
          </w:tcPr>
          <w:p>
            <w:pPr>
              <w:pStyle w:val="TableContents"/>
              <w:bidi w:val="0"/>
              <w:spacing w:before="0" w:after="283"/>
              <w:jc w:val="left"/>
              <w:rPr/>
            </w:pPr>
            <w:r>
              <w:rPr/>
              <w:t> </w:t>
            </w:r>
          </w:p>
        </w:tc>
        <w:tc>
          <w:tcPr>
            <w:tcW w:w="955"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64" w:type="dxa"/>
            <w:tcBorders/>
            <w:shd w:fill="DBE5F1" w:val="clear"/>
            <w:vAlign w:val="center"/>
          </w:tcPr>
          <w:p>
            <w:pPr>
              <w:pStyle w:val="TableContents"/>
              <w:bidi w:val="0"/>
              <w:spacing w:before="0" w:after="283"/>
              <w:jc w:val="left"/>
              <w:rPr/>
            </w:pPr>
            <w:r>
              <w:rPr/>
              <w:t> </w:t>
            </w:r>
          </w:p>
        </w:tc>
        <w:tc>
          <w:tcPr>
            <w:tcW w:w="711"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w:t>
            </w:r>
          </w:p>
        </w:tc>
        <w:tc>
          <w:tcPr>
            <w:tcW w:w="75" w:type="dxa"/>
            <w:tcBorders/>
            <w:shd w:fill="DBE5F1" w:val="clear"/>
            <w:vAlign w:val="center"/>
          </w:tcPr>
          <w:p>
            <w:pPr>
              <w:pStyle w:val="TableContents"/>
              <w:bidi w:val="0"/>
              <w:spacing w:before="0" w:after="283"/>
              <w:jc w:val="left"/>
              <w:rPr/>
            </w:pPr>
            <w:r>
              <w:rPr/>
              <w:t> </w:t>
            </w:r>
          </w:p>
        </w:tc>
      </w:tr>
      <w:tr>
        <w:trPr/>
        <w:tc>
          <w:tcPr>
            <w:tcW w:w="515" w:type="dxa"/>
            <w:tcBorders>
              <w:bottom w:val="single" w:sz="8" w:space="0" w:color="95B3D7"/>
              <w:right w:val="single" w:sz="8" w:space="0" w:color="DBE5F1"/>
            </w:tcBorders>
            <w:shd w:fill="DBE5F1" w:val="clear"/>
            <w:tcMar>
              <w:bottom w:w="28" w:type="dxa"/>
              <w:right w:w="28" w:type="dxa"/>
            </w:tcMar>
            <w:vAlign w:val="center"/>
          </w:tcPr>
          <w:p>
            <w:pPr>
              <w:pStyle w:val="TableContents"/>
              <w:bidi w:val="0"/>
              <w:spacing w:before="0" w:after="0"/>
              <w:jc w:val="left"/>
              <w:rPr/>
            </w:pPr>
            <w:r>
              <w:rPr/>
              <w:t> </w:t>
            </w:r>
            <w:r>
              <w:rPr>
                <w:rFonts w:ascii="ARIAL" w:hAnsi="ARIAL"/>
                <w:sz w:val="12"/>
              </w:rPr>
              <w:t>PSU Award(2)</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575" w:type="dxa"/>
            <w:tcBorders>
              <w:bottom w:val="single" w:sz="8" w:space="0" w:color="95B3D7"/>
            </w:tcBorders>
            <w:shd w:fill="DBE5F1" w:val="clear"/>
            <w:tcMar>
              <w:bottom w:w="28" w:type="dxa"/>
            </w:tcMar>
            <w:vAlign w:val="center"/>
          </w:tcPr>
          <w:p>
            <w:pPr>
              <w:pStyle w:val="TableContents"/>
              <w:bidi w:val="0"/>
              <w:spacing w:before="0" w:after="283"/>
              <w:jc w:val="right"/>
              <w:rPr/>
            </w:pPr>
            <w:r>
              <w:rPr/>
              <w:t>9/14/2023</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72"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961"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72"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72"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72"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961"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72"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72"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72"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179"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1"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009" w:type="dxa"/>
            <w:tcBorders>
              <w:bottom w:val="single" w:sz="8" w:space="0" w:color="95B3D7"/>
            </w:tcBorders>
            <w:shd w:fill="DBE5F1" w:val="clear"/>
            <w:tcMar>
              <w:bottom w:w="28" w:type="dxa"/>
            </w:tcMar>
            <w:vAlign w:val="center"/>
          </w:tcPr>
          <w:p>
            <w:pPr>
              <w:pStyle w:val="TableContents"/>
              <w:bidi w:val="0"/>
              <w:spacing w:before="0" w:after="283"/>
              <w:jc w:val="right"/>
              <w:rPr/>
            </w:pPr>
            <w:r>
              <w:rPr/>
              <w:t>436,833</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980" w:type="dxa"/>
            <w:tcBorders>
              <w:bottom w:val="single" w:sz="8" w:space="0" w:color="95B3D7"/>
            </w:tcBorders>
            <w:shd w:fill="DBE5F1" w:val="clear"/>
            <w:tcMar>
              <w:bottom w:w="28" w:type="dxa"/>
            </w:tcMar>
            <w:vAlign w:val="center"/>
          </w:tcPr>
          <w:p>
            <w:pPr>
              <w:pStyle w:val="TableContents"/>
              <w:bidi w:val="0"/>
              <w:spacing w:before="0" w:after="283"/>
              <w:jc w:val="right"/>
              <w:rPr/>
            </w:pPr>
            <w:r>
              <w:rPr/>
              <w:t>873,667</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1"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009" w:type="dxa"/>
            <w:tcBorders>
              <w:bottom w:val="single" w:sz="8" w:space="0" w:color="95B3D7"/>
            </w:tcBorders>
            <w:shd w:fill="DBE5F1" w:val="clear"/>
            <w:tcMar>
              <w:bottom w:w="28" w:type="dxa"/>
            </w:tcMar>
            <w:vAlign w:val="center"/>
          </w:tcPr>
          <w:p>
            <w:pPr>
              <w:pStyle w:val="TableContents"/>
              <w:bidi w:val="0"/>
              <w:spacing w:before="0" w:after="283"/>
              <w:jc w:val="right"/>
              <w:rPr/>
            </w:pPr>
            <w:r>
              <w:rPr/>
              <w:t>1,310,500</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3"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842"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2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955"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64"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711"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100" w:type="dxa"/>
            <w:tcBorders>
              <w:bottom w:val="single" w:sz="8" w:space="0" w:color="95B3D7"/>
            </w:tcBorders>
            <w:shd w:fill="DBE5F1" w:val="clear"/>
            <w:tcMar>
              <w:bottom w:w="28" w:type="dxa"/>
            </w:tcMar>
            <w:vAlign w:val="center"/>
          </w:tcPr>
          <w:p>
            <w:pPr>
              <w:pStyle w:val="TableContents"/>
              <w:bidi w:val="0"/>
              <w:spacing w:before="0" w:after="283"/>
              <w:jc w:val="right"/>
              <w:rPr/>
            </w:pPr>
            <w:r>
              <w:rPr/>
              <w:t>5,014,849</w:t>
            </w:r>
          </w:p>
        </w:tc>
        <w:tc>
          <w:tcPr>
            <w:tcW w:w="75"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r>
      <w:tr>
        <w:trPr/>
        <w:tc>
          <w:tcPr>
            <w:tcW w:w="515" w:type="dxa"/>
            <w:tcBorders>
              <w:right w:val="single" w:sz="8" w:space="0" w:color="95B3D7"/>
            </w:tcBorders>
            <w:tcMar>
              <w:right w:w="28" w:type="dxa"/>
            </w:tcMar>
            <w:vAlign w:val="center"/>
          </w:tcPr>
          <w:p>
            <w:pPr>
              <w:pStyle w:val="TableContents"/>
              <w:bidi w:val="0"/>
              <w:spacing w:before="0" w:after="0"/>
              <w:jc w:val="left"/>
              <w:rPr>
                <w:rFonts w:ascii="ARIAL" w:hAnsi="ARIAL"/>
                <w:b/>
                <w:sz w:val="12"/>
              </w:rPr>
            </w:pPr>
            <w:r>
              <w:rPr>
                <w:rFonts w:ascii="ARIAL" w:hAnsi="ARIAL"/>
                <w:b/>
                <w:sz w:val="12"/>
              </w:rPr>
              <w:t>Hakan Kardes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5" w:type="dxa"/>
            <w:tcBorders>
              <w:right w:val="single" w:sz="8" w:space="0" w:color="95B3D7"/>
            </w:tcBorders>
            <w:tcMar>
              <w:right w:w="28" w:type="dxa"/>
            </w:tcMar>
            <w:vAlign w:val="center"/>
          </w:tcPr>
          <w:p>
            <w:pPr>
              <w:pStyle w:val="TableContents"/>
              <w:bidi w:val="0"/>
              <w:spacing w:before="0" w:after="0"/>
              <w:jc w:val="left"/>
              <w:rPr/>
            </w:pPr>
            <w:r>
              <w:rPr/>
              <w:t> </w:t>
            </w:r>
            <w:r>
              <w:rPr>
                <w:rFonts w:ascii="ARIAL" w:hAnsi="ARIAL"/>
                <w:sz w:val="12"/>
              </w:rPr>
              <w:t>AIP(1)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157,236</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right"/>
              <w:rPr/>
            </w:pPr>
            <w:r>
              <w:rPr/>
              <w:t>314,471</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628,942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515" w:type="dxa"/>
            <w:tcBorders>
              <w:bottom w:val="single" w:sz="8" w:space="0" w:color="95B3D7"/>
              <w:right w:val="single" w:sz="8" w:space="0" w:color="95B3D7"/>
            </w:tcBorders>
            <w:tcMar>
              <w:bottom w:w="28" w:type="dxa"/>
              <w:right w:w="28" w:type="dxa"/>
            </w:tcMar>
            <w:vAlign w:val="center"/>
          </w:tcPr>
          <w:p>
            <w:pPr>
              <w:pStyle w:val="TableContents"/>
              <w:bidi w:val="0"/>
              <w:spacing w:before="0" w:after="0"/>
              <w:jc w:val="left"/>
              <w:rPr/>
            </w:pPr>
            <w:r>
              <w:rPr/>
              <w:t> </w:t>
            </w:r>
            <w:r>
              <w:rPr>
                <w:rFonts w:ascii="ARIAL" w:hAnsi="ARIAL"/>
                <w:sz w:val="12"/>
              </w:rPr>
              <w:t>PSU Award(2)</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575" w:type="dxa"/>
            <w:tcBorders>
              <w:bottom w:val="single" w:sz="8" w:space="0" w:color="95B3D7"/>
            </w:tcBorders>
            <w:tcMar>
              <w:bottom w:w="28" w:type="dxa"/>
            </w:tcMar>
            <w:vAlign w:val="center"/>
          </w:tcPr>
          <w:p>
            <w:pPr>
              <w:pStyle w:val="TableContents"/>
              <w:bidi w:val="0"/>
              <w:spacing w:before="0" w:after="283"/>
              <w:jc w:val="right"/>
              <w:rPr/>
            </w:pPr>
            <w:r>
              <w:rPr/>
              <w:t>9/14/2023</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72" w:type="dxa"/>
            <w:tcBorders>
              <w:bottom w:val="single" w:sz="8" w:space="0" w:color="95B3D7"/>
            </w:tcBorders>
            <w:tcMar>
              <w:bottom w:w="28" w:type="dxa"/>
            </w:tcMar>
            <w:vAlign w:val="center"/>
          </w:tcPr>
          <w:p>
            <w:pPr>
              <w:pStyle w:val="TableContents"/>
              <w:bidi w:val="0"/>
              <w:spacing w:before="0" w:after="283"/>
              <w:jc w:val="left"/>
              <w:rPr/>
            </w:pPr>
            <w:r>
              <w:rPr/>
              <w:t> </w:t>
            </w:r>
          </w:p>
        </w:tc>
        <w:tc>
          <w:tcPr>
            <w:tcW w:w="961" w:type="dxa"/>
            <w:tcBorders>
              <w:bottom w:val="single" w:sz="8" w:space="0" w:color="95B3D7"/>
            </w:tcBorders>
            <w:tcMar>
              <w:bottom w:w="28" w:type="dxa"/>
            </w:tcMar>
            <w:vAlign w:val="center"/>
          </w:tcPr>
          <w:p>
            <w:pPr>
              <w:pStyle w:val="TableContents"/>
              <w:bidi w:val="0"/>
              <w:spacing w:before="0" w:after="283"/>
              <w:jc w:val="left"/>
              <w:rPr/>
            </w:pPr>
            <w:r>
              <w:rPr/>
              <w:t> </w:t>
            </w:r>
          </w:p>
        </w:tc>
        <w:tc>
          <w:tcPr>
            <w:tcW w:w="72" w:type="dxa"/>
            <w:tcBorders>
              <w:bottom w:val="single" w:sz="8" w:space="0" w:color="95B3D7"/>
            </w:tcBorders>
            <w:tcMar>
              <w:bottom w:w="28" w:type="dxa"/>
            </w:tcMar>
            <w:vAlign w:val="center"/>
          </w:tcPr>
          <w:p>
            <w:pPr>
              <w:pStyle w:val="TableContents"/>
              <w:bidi w:val="0"/>
              <w:spacing w:before="0" w:after="283"/>
              <w:jc w:val="left"/>
              <w:rPr/>
            </w:pPr>
            <w:r>
              <w:rPr/>
              <w:t> </w:t>
            </w:r>
          </w:p>
        </w:tc>
        <w:tc>
          <w:tcPr>
            <w:tcW w:w="72" w:type="dxa"/>
            <w:tcBorders>
              <w:bottom w:val="single" w:sz="8" w:space="0" w:color="95B3D7"/>
            </w:tcBorders>
            <w:tcMar>
              <w:bottom w:w="28" w:type="dxa"/>
            </w:tcMar>
            <w:vAlign w:val="center"/>
          </w:tcPr>
          <w:p>
            <w:pPr>
              <w:pStyle w:val="TableContents"/>
              <w:bidi w:val="0"/>
              <w:spacing w:before="0" w:after="283"/>
              <w:jc w:val="left"/>
              <w:rPr/>
            </w:pPr>
            <w:r>
              <w:rPr/>
              <w:t> </w:t>
            </w:r>
          </w:p>
        </w:tc>
        <w:tc>
          <w:tcPr>
            <w:tcW w:w="72" w:type="dxa"/>
            <w:tcBorders>
              <w:bottom w:val="single" w:sz="8" w:space="0" w:color="95B3D7"/>
            </w:tcBorders>
            <w:tcMar>
              <w:bottom w:w="28" w:type="dxa"/>
            </w:tcMar>
            <w:vAlign w:val="center"/>
          </w:tcPr>
          <w:p>
            <w:pPr>
              <w:pStyle w:val="TableContents"/>
              <w:bidi w:val="0"/>
              <w:spacing w:before="0" w:after="283"/>
              <w:jc w:val="left"/>
              <w:rPr/>
            </w:pPr>
            <w:r>
              <w:rPr/>
              <w:t> </w:t>
            </w:r>
          </w:p>
        </w:tc>
        <w:tc>
          <w:tcPr>
            <w:tcW w:w="961" w:type="dxa"/>
            <w:tcBorders>
              <w:bottom w:val="single" w:sz="8" w:space="0" w:color="95B3D7"/>
            </w:tcBorders>
            <w:tcMar>
              <w:bottom w:w="28" w:type="dxa"/>
            </w:tcMar>
            <w:vAlign w:val="center"/>
          </w:tcPr>
          <w:p>
            <w:pPr>
              <w:pStyle w:val="TableContents"/>
              <w:bidi w:val="0"/>
              <w:spacing w:before="0" w:after="283"/>
              <w:jc w:val="left"/>
              <w:rPr/>
            </w:pPr>
            <w:r>
              <w:rPr/>
              <w:t> </w:t>
            </w:r>
          </w:p>
        </w:tc>
        <w:tc>
          <w:tcPr>
            <w:tcW w:w="72" w:type="dxa"/>
            <w:tcBorders>
              <w:bottom w:val="single" w:sz="8" w:space="0" w:color="95B3D7"/>
            </w:tcBorders>
            <w:tcMar>
              <w:bottom w:w="28" w:type="dxa"/>
            </w:tcMar>
            <w:vAlign w:val="center"/>
          </w:tcPr>
          <w:p>
            <w:pPr>
              <w:pStyle w:val="TableContents"/>
              <w:bidi w:val="0"/>
              <w:spacing w:before="0" w:after="283"/>
              <w:jc w:val="left"/>
              <w:rPr/>
            </w:pPr>
            <w:r>
              <w:rPr/>
              <w:t> </w:t>
            </w:r>
          </w:p>
        </w:tc>
        <w:tc>
          <w:tcPr>
            <w:tcW w:w="72" w:type="dxa"/>
            <w:tcBorders>
              <w:bottom w:val="single" w:sz="8" w:space="0" w:color="95B3D7"/>
            </w:tcBorders>
            <w:tcMar>
              <w:bottom w:w="28" w:type="dxa"/>
            </w:tcMar>
            <w:vAlign w:val="center"/>
          </w:tcPr>
          <w:p>
            <w:pPr>
              <w:pStyle w:val="TableContents"/>
              <w:bidi w:val="0"/>
              <w:spacing w:before="0" w:after="283"/>
              <w:jc w:val="left"/>
              <w:rPr/>
            </w:pPr>
            <w:r>
              <w:rPr/>
              <w:t> </w:t>
            </w:r>
          </w:p>
        </w:tc>
        <w:tc>
          <w:tcPr>
            <w:tcW w:w="72" w:type="dxa"/>
            <w:tcBorders>
              <w:bottom w:val="single" w:sz="8" w:space="0" w:color="95B3D7"/>
            </w:tcBorders>
            <w:tcMar>
              <w:bottom w:w="28" w:type="dxa"/>
            </w:tcMar>
            <w:vAlign w:val="center"/>
          </w:tcPr>
          <w:p>
            <w:pPr>
              <w:pStyle w:val="TableContents"/>
              <w:bidi w:val="0"/>
              <w:spacing w:before="0" w:after="283"/>
              <w:jc w:val="left"/>
              <w:rPr/>
            </w:pPr>
            <w:r>
              <w:rPr/>
              <w:t> </w:t>
            </w:r>
          </w:p>
        </w:tc>
        <w:tc>
          <w:tcPr>
            <w:tcW w:w="1179" w:type="dxa"/>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61" w:type="dxa"/>
            <w:tcBorders>
              <w:bottom w:val="single" w:sz="8" w:space="0" w:color="95B3D7"/>
            </w:tcBorders>
            <w:tcMar>
              <w:bottom w:w="28" w:type="dxa"/>
            </w:tcMar>
            <w:vAlign w:val="center"/>
          </w:tcPr>
          <w:p>
            <w:pPr>
              <w:pStyle w:val="TableContents"/>
              <w:bidi w:val="0"/>
              <w:spacing w:before="0" w:after="283"/>
              <w:jc w:val="left"/>
              <w:rPr/>
            </w:pPr>
            <w:r>
              <w:rPr/>
              <w:t> </w:t>
            </w:r>
          </w:p>
        </w:tc>
        <w:tc>
          <w:tcPr>
            <w:tcW w:w="1009" w:type="dxa"/>
            <w:tcBorders>
              <w:bottom w:val="single" w:sz="8" w:space="0" w:color="95B3D7"/>
            </w:tcBorders>
            <w:tcMar>
              <w:bottom w:w="28" w:type="dxa"/>
            </w:tcMar>
            <w:vAlign w:val="center"/>
          </w:tcPr>
          <w:p>
            <w:pPr>
              <w:pStyle w:val="TableContents"/>
              <w:bidi w:val="0"/>
              <w:spacing w:before="0" w:after="283"/>
              <w:jc w:val="right"/>
              <w:rPr/>
            </w:pPr>
            <w:r>
              <w:rPr/>
              <w:t>203,000</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980" w:type="dxa"/>
            <w:tcBorders>
              <w:bottom w:val="single" w:sz="8" w:space="0" w:color="95B3D7"/>
            </w:tcBorders>
            <w:tcMar>
              <w:bottom w:w="28" w:type="dxa"/>
            </w:tcMar>
            <w:vAlign w:val="center"/>
          </w:tcPr>
          <w:p>
            <w:pPr>
              <w:pStyle w:val="TableContents"/>
              <w:bidi w:val="0"/>
              <w:spacing w:before="0" w:after="283"/>
              <w:jc w:val="right"/>
              <w:rPr/>
            </w:pPr>
            <w:r>
              <w:rPr/>
              <w:t>406,000</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61" w:type="dxa"/>
            <w:tcBorders>
              <w:bottom w:val="single" w:sz="8" w:space="0" w:color="95B3D7"/>
            </w:tcBorders>
            <w:tcMar>
              <w:bottom w:w="28" w:type="dxa"/>
            </w:tcMar>
            <w:vAlign w:val="center"/>
          </w:tcPr>
          <w:p>
            <w:pPr>
              <w:pStyle w:val="TableContents"/>
              <w:bidi w:val="0"/>
              <w:spacing w:before="0" w:after="283"/>
              <w:jc w:val="left"/>
              <w:rPr/>
            </w:pPr>
            <w:r>
              <w:rPr/>
              <w:t> </w:t>
            </w:r>
          </w:p>
        </w:tc>
        <w:tc>
          <w:tcPr>
            <w:tcW w:w="1009" w:type="dxa"/>
            <w:tcBorders>
              <w:bottom w:val="single" w:sz="8" w:space="0" w:color="95B3D7"/>
            </w:tcBorders>
            <w:tcMar>
              <w:bottom w:w="28" w:type="dxa"/>
            </w:tcMar>
            <w:vAlign w:val="center"/>
          </w:tcPr>
          <w:p>
            <w:pPr>
              <w:pStyle w:val="TableContents"/>
              <w:bidi w:val="0"/>
              <w:spacing w:before="0" w:after="283"/>
              <w:jc w:val="right"/>
              <w:rPr/>
            </w:pPr>
            <w:r>
              <w:rPr/>
              <w:t>609,000</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63" w:type="dxa"/>
            <w:tcBorders>
              <w:bottom w:val="single" w:sz="8" w:space="0" w:color="95B3D7"/>
            </w:tcBorders>
            <w:tcMar>
              <w:bottom w:w="28" w:type="dxa"/>
            </w:tcMar>
            <w:vAlign w:val="center"/>
          </w:tcPr>
          <w:p>
            <w:pPr>
              <w:pStyle w:val="TableContents"/>
              <w:bidi w:val="0"/>
              <w:spacing w:before="0" w:after="283"/>
              <w:jc w:val="left"/>
              <w:rPr/>
            </w:pPr>
            <w:r>
              <w:rPr/>
              <w:t> </w:t>
            </w:r>
          </w:p>
        </w:tc>
        <w:tc>
          <w:tcPr>
            <w:tcW w:w="842" w:type="dxa"/>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220" w:type="dxa"/>
            <w:tcBorders>
              <w:bottom w:val="single" w:sz="8" w:space="0" w:color="95B3D7"/>
            </w:tcBorders>
            <w:tcMar>
              <w:bottom w:w="28" w:type="dxa"/>
            </w:tcMar>
            <w:vAlign w:val="center"/>
          </w:tcPr>
          <w:p>
            <w:pPr>
              <w:pStyle w:val="TableContents"/>
              <w:bidi w:val="0"/>
              <w:spacing w:before="0" w:after="283"/>
              <w:jc w:val="left"/>
              <w:rPr/>
            </w:pPr>
            <w:r>
              <w:rPr/>
              <w:t> </w:t>
            </w:r>
          </w:p>
        </w:tc>
        <w:tc>
          <w:tcPr>
            <w:tcW w:w="955" w:type="dxa"/>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64" w:type="dxa"/>
            <w:tcBorders>
              <w:bottom w:val="single" w:sz="8" w:space="0" w:color="95B3D7"/>
            </w:tcBorders>
            <w:tcMar>
              <w:bottom w:w="28" w:type="dxa"/>
            </w:tcMar>
            <w:vAlign w:val="center"/>
          </w:tcPr>
          <w:p>
            <w:pPr>
              <w:pStyle w:val="TableContents"/>
              <w:bidi w:val="0"/>
              <w:spacing w:before="0" w:after="283"/>
              <w:jc w:val="left"/>
              <w:rPr/>
            </w:pPr>
            <w:r>
              <w:rPr/>
              <w:t> </w:t>
            </w:r>
          </w:p>
        </w:tc>
        <w:tc>
          <w:tcPr>
            <w:tcW w:w="711" w:type="dxa"/>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100" w:type="dxa"/>
            <w:tcBorders>
              <w:bottom w:val="single" w:sz="8" w:space="0" w:color="95B3D7"/>
            </w:tcBorders>
            <w:tcMar>
              <w:bottom w:w="28" w:type="dxa"/>
            </w:tcMar>
            <w:vAlign w:val="center"/>
          </w:tcPr>
          <w:p>
            <w:pPr>
              <w:pStyle w:val="TableContents"/>
              <w:bidi w:val="0"/>
              <w:spacing w:before="0" w:after="283"/>
              <w:jc w:val="right"/>
              <w:rPr/>
            </w:pPr>
            <w:r>
              <w:rPr/>
              <w:t>2,330,440</w:t>
            </w:r>
          </w:p>
        </w:tc>
        <w:tc>
          <w:tcPr>
            <w:tcW w:w="75" w:type="dxa"/>
            <w:tcBorders>
              <w:bottom w:val="single" w:sz="8" w:space="0" w:color="95B3D7"/>
            </w:tcBorders>
            <w:tcMar>
              <w:bottom w:w="28" w:type="dxa"/>
            </w:tcMar>
            <w:vAlign w:val="center"/>
          </w:tcPr>
          <w:p>
            <w:pPr>
              <w:pStyle w:val="TableContents"/>
              <w:bidi w:val="0"/>
              <w:spacing w:before="0" w:after="283"/>
              <w:jc w:val="left"/>
              <w:rPr/>
            </w:pPr>
            <w:r>
              <w:rPr/>
              <w:t> </w:t>
            </w:r>
          </w:p>
        </w:tc>
      </w:tr>
      <w:tr>
        <w:trPr/>
        <w:tc>
          <w:tcPr>
            <w:tcW w:w="515" w:type="dxa"/>
            <w:tcBorders>
              <w:right w:val="single" w:sz="8" w:space="0" w:color="DBE5F1"/>
            </w:tcBorders>
            <w:shd w:fill="DBE5F1" w:val="clear"/>
            <w:tcMar>
              <w:right w:w="28" w:type="dxa"/>
            </w:tcMar>
            <w:vAlign w:val="center"/>
          </w:tcPr>
          <w:p>
            <w:pPr>
              <w:pStyle w:val="TableContents"/>
              <w:bidi w:val="0"/>
              <w:spacing w:before="0" w:after="0"/>
              <w:jc w:val="left"/>
              <w:rPr>
                <w:rFonts w:ascii="ARIAL" w:hAnsi="ARIAL"/>
                <w:b/>
                <w:sz w:val="12"/>
              </w:rPr>
            </w:pPr>
            <w:r>
              <w:rPr>
                <w:rFonts w:ascii="ARIAL" w:hAnsi="ARIAL"/>
                <w:b/>
                <w:sz w:val="12"/>
              </w:rPr>
              <w:t>Hyong (Ken) Kim, M.D.</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575"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72" w:type="dxa"/>
            <w:tcBorders/>
            <w:shd w:fill="DBE5F1" w:val="clear"/>
            <w:vAlign w:val="center"/>
          </w:tcPr>
          <w:p>
            <w:pPr>
              <w:pStyle w:val="TableContents"/>
              <w:bidi w:val="0"/>
              <w:spacing w:before="0" w:after="283"/>
              <w:jc w:val="left"/>
              <w:rPr>
                <w:sz w:val="4"/>
                <w:szCs w:val="4"/>
              </w:rPr>
            </w:pPr>
            <w:r>
              <w:rPr>
                <w:sz w:val="4"/>
                <w:szCs w:val="4"/>
              </w:rPr>
            </w:r>
          </w:p>
        </w:tc>
        <w:tc>
          <w:tcPr>
            <w:tcW w:w="961" w:type="dxa"/>
            <w:tcBorders/>
            <w:shd w:fill="DBE5F1" w:val="clear"/>
            <w:vAlign w:val="center"/>
          </w:tcPr>
          <w:p>
            <w:pPr>
              <w:pStyle w:val="TableContents"/>
              <w:bidi w:val="0"/>
              <w:spacing w:before="0" w:after="283"/>
              <w:jc w:val="left"/>
              <w:rPr>
                <w:sz w:val="4"/>
                <w:szCs w:val="4"/>
              </w:rPr>
            </w:pPr>
            <w:r>
              <w:rPr>
                <w:sz w:val="4"/>
                <w:szCs w:val="4"/>
              </w:rPr>
            </w:r>
          </w:p>
        </w:tc>
        <w:tc>
          <w:tcPr>
            <w:tcW w:w="72" w:type="dxa"/>
            <w:tcBorders/>
            <w:shd w:fill="DBE5F1" w:val="clear"/>
            <w:vAlign w:val="center"/>
          </w:tcPr>
          <w:p>
            <w:pPr>
              <w:pStyle w:val="TableContents"/>
              <w:bidi w:val="0"/>
              <w:spacing w:before="0" w:after="283"/>
              <w:jc w:val="left"/>
              <w:rPr>
                <w:sz w:val="4"/>
                <w:szCs w:val="4"/>
              </w:rPr>
            </w:pPr>
            <w:r>
              <w:rPr>
                <w:sz w:val="4"/>
                <w:szCs w:val="4"/>
              </w:rPr>
            </w:r>
          </w:p>
        </w:tc>
        <w:tc>
          <w:tcPr>
            <w:tcW w:w="72" w:type="dxa"/>
            <w:tcBorders/>
            <w:shd w:fill="DBE5F1" w:val="clear"/>
            <w:vAlign w:val="center"/>
          </w:tcPr>
          <w:p>
            <w:pPr>
              <w:pStyle w:val="TableContents"/>
              <w:bidi w:val="0"/>
              <w:spacing w:before="0" w:after="283"/>
              <w:jc w:val="left"/>
              <w:rPr/>
            </w:pPr>
            <w:r>
              <w:rPr/>
              <w:t> </w:t>
            </w:r>
          </w:p>
        </w:tc>
        <w:tc>
          <w:tcPr>
            <w:tcW w:w="72" w:type="dxa"/>
            <w:tcBorders/>
            <w:shd w:fill="DBE5F1" w:val="clear"/>
            <w:vAlign w:val="center"/>
          </w:tcPr>
          <w:p>
            <w:pPr>
              <w:pStyle w:val="TableContents"/>
              <w:bidi w:val="0"/>
              <w:spacing w:before="0" w:after="283"/>
              <w:jc w:val="left"/>
              <w:rPr>
                <w:sz w:val="4"/>
                <w:szCs w:val="4"/>
              </w:rPr>
            </w:pPr>
            <w:r>
              <w:rPr>
                <w:sz w:val="4"/>
                <w:szCs w:val="4"/>
              </w:rPr>
            </w:r>
          </w:p>
        </w:tc>
        <w:tc>
          <w:tcPr>
            <w:tcW w:w="961" w:type="dxa"/>
            <w:tcBorders/>
            <w:shd w:fill="DBE5F1" w:val="clear"/>
            <w:vAlign w:val="center"/>
          </w:tcPr>
          <w:p>
            <w:pPr>
              <w:pStyle w:val="TableContents"/>
              <w:bidi w:val="0"/>
              <w:spacing w:before="0" w:after="283"/>
              <w:jc w:val="left"/>
              <w:rPr>
                <w:sz w:val="4"/>
                <w:szCs w:val="4"/>
              </w:rPr>
            </w:pPr>
            <w:r>
              <w:rPr>
                <w:sz w:val="4"/>
                <w:szCs w:val="4"/>
              </w:rPr>
            </w:r>
          </w:p>
        </w:tc>
        <w:tc>
          <w:tcPr>
            <w:tcW w:w="72" w:type="dxa"/>
            <w:tcBorders/>
            <w:shd w:fill="DBE5F1" w:val="clear"/>
            <w:vAlign w:val="center"/>
          </w:tcPr>
          <w:p>
            <w:pPr>
              <w:pStyle w:val="TableContents"/>
              <w:bidi w:val="0"/>
              <w:spacing w:before="0" w:after="283"/>
              <w:jc w:val="left"/>
              <w:rPr>
                <w:sz w:val="4"/>
                <w:szCs w:val="4"/>
              </w:rPr>
            </w:pPr>
            <w:r>
              <w:rPr>
                <w:sz w:val="4"/>
                <w:szCs w:val="4"/>
              </w:rPr>
            </w:r>
          </w:p>
        </w:tc>
        <w:tc>
          <w:tcPr>
            <w:tcW w:w="72" w:type="dxa"/>
            <w:tcBorders/>
            <w:shd w:fill="DBE5F1" w:val="clear"/>
            <w:vAlign w:val="center"/>
          </w:tcPr>
          <w:p>
            <w:pPr>
              <w:pStyle w:val="TableContents"/>
              <w:bidi w:val="0"/>
              <w:spacing w:before="0" w:after="283"/>
              <w:jc w:val="left"/>
              <w:rPr/>
            </w:pPr>
            <w:r>
              <w:rPr/>
              <w:t> </w:t>
            </w:r>
          </w:p>
        </w:tc>
        <w:tc>
          <w:tcPr>
            <w:tcW w:w="72" w:type="dxa"/>
            <w:tcBorders/>
            <w:shd w:fill="DBE5F1" w:val="clear"/>
            <w:vAlign w:val="center"/>
          </w:tcPr>
          <w:p>
            <w:pPr>
              <w:pStyle w:val="TableContents"/>
              <w:bidi w:val="0"/>
              <w:spacing w:before="0" w:after="283"/>
              <w:jc w:val="left"/>
              <w:rPr>
                <w:sz w:val="4"/>
                <w:szCs w:val="4"/>
              </w:rPr>
            </w:pPr>
            <w:r>
              <w:rPr>
                <w:sz w:val="4"/>
                <w:szCs w:val="4"/>
              </w:rPr>
            </w:r>
          </w:p>
        </w:tc>
        <w:tc>
          <w:tcPr>
            <w:tcW w:w="1179"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61" w:type="dxa"/>
            <w:tcBorders/>
            <w:shd w:fill="DBE5F1" w:val="clear"/>
            <w:vAlign w:val="center"/>
          </w:tcPr>
          <w:p>
            <w:pPr>
              <w:pStyle w:val="TableContents"/>
              <w:bidi w:val="0"/>
              <w:spacing w:before="0" w:after="283"/>
              <w:jc w:val="left"/>
              <w:rPr>
                <w:sz w:val="4"/>
                <w:szCs w:val="4"/>
              </w:rPr>
            </w:pPr>
            <w:r>
              <w:rPr>
                <w:sz w:val="4"/>
                <w:szCs w:val="4"/>
              </w:rPr>
            </w:r>
          </w:p>
        </w:tc>
        <w:tc>
          <w:tcPr>
            <w:tcW w:w="1009"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98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61" w:type="dxa"/>
            <w:tcBorders/>
            <w:shd w:fill="DBE5F1" w:val="clear"/>
            <w:vAlign w:val="center"/>
          </w:tcPr>
          <w:p>
            <w:pPr>
              <w:pStyle w:val="TableContents"/>
              <w:bidi w:val="0"/>
              <w:spacing w:before="0" w:after="283"/>
              <w:jc w:val="left"/>
              <w:rPr>
                <w:sz w:val="4"/>
                <w:szCs w:val="4"/>
              </w:rPr>
            </w:pPr>
            <w:r>
              <w:rPr>
                <w:sz w:val="4"/>
                <w:szCs w:val="4"/>
              </w:rPr>
            </w:r>
          </w:p>
        </w:tc>
        <w:tc>
          <w:tcPr>
            <w:tcW w:w="1009"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63" w:type="dxa"/>
            <w:tcBorders/>
            <w:shd w:fill="DBE5F1" w:val="clear"/>
            <w:vAlign w:val="center"/>
          </w:tcPr>
          <w:p>
            <w:pPr>
              <w:pStyle w:val="TableContents"/>
              <w:bidi w:val="0"/>
              <w:spacing w:before="0" w:after="283"/>
              <w:jc w:val="left"/>
              <w:rPr>
                <w:sz w:val="4"/>
                <w:szCs w:val="4"/>
              </w:rPr>
            </w:pPr>
            <w:r>
              <w:rPr>
                <w:sz w:val="4"/>
                <w:szCs w:val="4"/>
              </w:rPr>
            </w:r>
          </w:p>
        </w:tc>
        <w:tc>
          <w:tcPr>
            <w:tcW w:w="842"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220" w:type="dxa"/>
            <w:tcBorders/>
            <w:shd w:fill="DBE5F1" w:val="clear"/>
            <w:vAlign w:val="center"/>
          </w:tcPr>
          <w:p>
            <w:pPr>
              <w:pStyle w:val="TableContents"/>
              <w:bidi w:val="0"/>
              <w:spacing w:before="0" w:after="283"/>
              <w:jc w:val="left"/>
              <w:rPr>
                <w:sz w:val="4"/>
                <w:szCs w:val="4"/>
              </w:rPr>
            </w:pPr>
            <w:r>
              <w:rPr>
                <w:sz w:val="4"/>
                <w:szCs w:val="4"/>
              </w:rPr>
            </w:r>
          </w:p>
        </w:tc>
        <w:tc>
          <w:tcPr>
            <w:tcW w:w="955"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164" w:type="dxa"/>
            <w:tcBorders/>
            <w:shd w:fill="DBE5F1" w:val="clear"/>
            <w:vAlign w:val="center"/>
          </w:tcPr>
          <w:p>
            <w:pPr>
              <w:pStyle w:val="TableContents"/>
              <w:bidi w:val="0"/>
              <w:spacing w:before="0" w:after="283"/>
              <w:jc w:val="left"/>
              <w:rPr>
                <w:sz w:val="4"/>
                <w:szCs w:val="4"/>
              </w:rPr>
            </w:pPr>
            <w:r>
              <w:rPr>
                <w:sz w:val="4"/>
                <w:szCs w:val="4"/>
              </w:rPr>
            </w:r>
          </w:p>
        </w:tc>
        <w:tc>
          <w:tcPr>
            <w:tcW w:w="711"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1100" w:type="dxa"/>
            <w:tcBorders/>
            <w:shd w:fill="DBE5F1" w:val="clear"/>
            <w:vAlign w:val="center"/>
          </w:tcPr>
          <w:p>
            <w:pPr>
              <w:pStyle w:val="TableContents"/>
              <w:bidi w:val="0"/>
              <w:spacing w:before="0" w:after="283"/>
              <w:jc w:val="left"/>
              <w:rPr>
                <w:sz w:val="4"/>
                <w:szCs w:val="4"/>
              </w:rPr>
            </w:pPr>
            <w:r>
              <w:rPr>
                <w:sz w:val="4"/>
                <w:szCs w:val="4"/>
              </w:rPr>
            </w:r>
          </w:p>
        </w:tc>
        <w:tc>
          <w:tcPr>
            <w:tcW w:w="75" w:type="dxa"/>
            <w:tcBorders/>
            <w:shd w:fill="DBE5F1" w:val="clear"/>
            <w:vAlign w:val="center"/>
          </w:tcPr>
          <w:p>
            <w:pPr>
              <w:pStyle w:val="TableContents"/>
              <w:bidi w:val="0"/>
              <w:spacing w:before="0" w:after="283"/>
              <w:jc w:val="left"/>
              <w:rPr>
                <w:sz w:val="4"/>
                <w:szCs w:val="4"/>
              </w:rPr>
            </w:pPr>
            <w:r>
              <w:rPr>
                <w:sz w:val="4"/>
                <w:szCs w:val="4"/>
              </w:rPr>
            </w:r>
          </w:p>
        </w:tc>
      </w:tr>
      <w:tr>
        <w:trPr/>
        <w:tc>
          <w:tcPr>
            <w:tcW w:w="515" w:type="dxa"/>
            <w:tcBorders>
              <w:right w:val="single" w:sz="8" w:space="0" w:color="DBE5F1"/>
            </w:tcBorders>
            <w:shd w:fill="DBE5F1" w:val="clear"/>
            <w:tcMar>
              <w:right w:w="28" w:type="dxa"/>
            </w:tcMar>
            <w:vAlign w:val="center"/>
          </w:tcPr>
          <w:p>
            <w:pPr>
              <w:pStyle w:val="TableContents"/>
              <w:bidi w:val="0"/>
              <w:spacing w:before="0" w:after="0"/>
              <w:jc w:val="left"/>
              <w:rPr/>
            </w:pPr>
            <w:r>
              <w:rPr/>
              <w:t> </w:t>
            </w:r>
            <w:r>
              <w:rPr>
                <w:rFonts w:ascii="ARIAL" w:hAnsi="ARIAL"/>
                <w:sz w:val="12"/>
              </w:rPr>
              <w:t>AIP(1)</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575" w:type="dxa"/>
            <w:tcBorders/>
            <w:shd w:fill="DBE5F1" w:val="clear"/>
            <w:vAlign w:val="center"/>
          </w:tcPr>
          <w:p>
            <w:pPr>
              <w:pStyle w:val="TableContents"/>
              <w:bidi w:val="0"/>
              <w:spacing w:before="0" w:after="283"/>
              <w:jc w:val="center"/>
              <w:rPr/>
            </w:pPr>
            <w:r>
              <w:rPr/>
              <w:t>—</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72" w:type="dxa"/>
            <w:tcBorders/>
            <w:shd w:fill="DBE5F1" w:val="clear"/>
            <w:vAlign w:val="center"/>
          </w:tcPr>
          <w:p>
            <w:pPr>
              <w:pStyle w:val="TableContents"/>
              <w:bidi w:val="0"/>
              <w:spacing w:before="0" w:after="283"/>
              <w:jc w:val="left"/>
              <w:rPr/>
            </w:pPr>
            <w:r>
              <w:rPr/>
              <w:t> </w:t>
            </w:r>
          </w:p>
        </w:tc>
        <w:tc>
          <w:tcPr>
            <w:tcW w:w="961" w:type="dxa"/>
            <w:tcBorders/>
            <w:shd w:fill="DBE5F1" w:val="clear"/>
            <w:vAlign w:val="center"/>
          </w:tcPr>
          <w:p>
            <w:pPr>
              <w:pStyle w:val="TableContents"/>
              <w:bidi w:val="0"/>
              <w:spacing w:before="0" w:after="283"/>
              <w:jc w:val="right"/>
              <w:rPr/>
            </w:pPr>
            <w:r>
              <w:rPr/>
              <w:t>59,500</w:t>
            </w:r>
          </w:p>
        </w:tc>
        <w:tc>
          <w:tcPr>
            <w:tcW w:w="72" w:type="dxa"/>
            <w:tcBorders/>
            <w:shd w:fill="DBE5F1" w:val="clear"/>
            <w:vAlign w:val="center"/>
          </w:tcPr>
          <w:p>
            <w:pPr>
              <w:pStyle w:val="TableContents"/>
              <w:bidi w:val="0"/>
              <w:spacing w:before="0" w:after="283"/>
              <w:jc w:val="left"/>
              <w:rPr/>
            </w:pPr>
            <w:r>
              <w:rPr/>
              <w:t> </w:t>
            </w:r>
          </w:p>
        </w:tc>
        <w:tc>
          <w:tcPr>
            <w:tcW w:w="72" w:type="dxa"/>
            <w:tcBorders/>
            <w:shd w:fill="DBE5F1" w:val="clear"/>
            <w:vAlign w:val="center"/>
          </w:tcPr>
          <w:p>
            <w:pPr>
              <w:pStyle w:val="TableContents"/>
              <w:bidi w:val="0"/>
              <w:spacing w:before="0" w:after="283"/>
              <w:jc w:val="left"/>
              <w:rPr/>
            </w:pPr>
            <w:r>
              <w:rPr/>
              <w:t> </w:t>
            </w:r>
          </w:p>
        </w:tc>
        <w:tc>
          <w:tcPr>
            <w:tcW w:w="72" w:type="dxa"/>
            <w:tcBorders/>
            <w:shd w:fill="DBE5F1" w:val="clear"/>
            <w:vAlign w:val="center"/>
          </w:tcPr>
          <w:p>
            <w:pPr>
              <w:pStyle w:val="TableContents"/>
              <w:bidi w:val="0"/>
              <w:spacing w:before="0" w:after="283"/>
              <w:jc w:val="left"/>
              <w:rPr/>
            </w:pPr>
            <w:r>
              <w:rPr/>
              <w:t> </w:t>
            </w:r>
          </w:p>
        </w:tc>
        <w:tc>
          <w:tcPr>
            <w:tcW w:w="961" w:type="dxa"/>
            <w:tcBorders/>
            <w:shd w:fill="DBE5F1" w:val="clear"/>
            <w:vAlign w:val="center"/>
          </w:tcPr>
          <w:p>
            <w:pPr>
              <w:pStyle w:val="TableContents"/>
              <w:bidi w:val="0"/>
              <w:spacing w:before="0" w:after="283"/>
              <w:jc w:val="right"/>
              <w:rPr/>
            </w:pPr>
            <w:r>
              <w:rPr/>
              <w:t>119,000</w:t>
            </w:r>
          </w:p>
        </w:tc>
        <w:tc>
          <w:tcPr>
            <w:tcW w:w="72" w:type="dxa"/>
            <w:tcBorders/>
            <w:shd w:fill="DBE5F1" w:val="clear"/>
            <w:vAlign w:val="center"/>
          </w:tcPr>
          <w:p>
            <w:pPr>
              <w:pStyle w:val="TableContents"/>
              <w:bidi w:val="0"/>
              <w:spacing w:before="0" w:after="283"/>
              <w:jc w:val="left"/>
              <w:rPr/>
            </w:pPr>
            <w:r>
              <w:rPr/>
              <w:t> </w:t>
            </w:r>
          </w:p>
        </w:tc>
        <w:tc>
          <w:tcPr>
            <w:tcW w:w="72" w:type="dxa"/>
            <w:tcBorders/>
            <w:shd w:fill="DBE5F1" w:val="clear"/>
            <w:vAlign w:val="center"/>
          </w:tcPr>
          <w:p>
            <w:pPr>
              <w:pStyle w:val="TableContents"/>
              <w:bidi w:val="0"/>
              <w:spacing w:before="0" w:after="283"/>
              <w:jc w:val="left"/>
              <w:rPr/>
            </w:pPr>
            <w:r>
              <w:rPr/>
              <w:t> </w:t>
            </w:r>
          </w:p>
        </w:tc>
        <w:tc>
          <w:tcPr>
            <w:tcW w:w="72" w:type="dxa"/>
            <w:tcBorders/>
            <w:shd w:fill="DBE5F1" w:val="clear"/>
            <w:vAlign w:val="center"/>
          </w:tcPr>
          <w:p>
            <w:pPr>
              <w:pStyle w:val="TableContents"/>
              <w:bidi w:val="0"/>
              <w:spacing w:before="0" w:after="283"/>
              <w:jc w:val="left"/>
              <w:rPr/>
            </w:pPr>
            <w:r>
              <w:rPr/>
              <w:t> </w:t>
            </w:r>
          </w:p>
        </w:tc>
        <w:tc>
          <w:tcPr>
            <w:tcW w:w="1179" w:type="dxa"/>
            <w:tcBorders/>
            <w:shd w:fill="DBE5F1" w:val="clear"/>
            <w:vAlign w:val="center"/>
          </w:tcPr>
          <w:p>
            <w:pPr>
              <w:pStyle w:val="TableContents"/>
              <w:bidi w:val="0"/>
              <w:spacing w:before="0" w:after="283"/>
              <w:jc w:val="right"/>
              <w:rPr/>
            </w:pPr>
            <w:r>
              <w:rPr/>
              <w:t>238,000</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61" w:type="dxa"/>
            <w:tcBorders/>
            <w:shd w:fill="DBE5F1" w:val="clear"/>
            <w:vAlign w:val="center"/>
          </w:tcPr>
          <w:p>
            <w:pPr>
              <w:pStyle w:val="TableContents"/>
              <w:bidi w:val="0"/>
              <w:spacing w:before="0" w:after="283"/>
              <w:jc w:val="left"/>
              <w:rPr/>
            </w:pPr>
            <w:r>
              <w:rPr/>
              <w:t> </w:t>
            </w:r>
          </w:p>
        </w:tc>
        <w:tc>
          <w:tcPr>
            <w:tcW w:w="1009"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980"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61" w:type="dxa"/>
            <w:tcBorders/>
            <w:shd w:fill="DBE5F1" w:val="clear"/>
            <w:vAlign w:val="center"/>
          </w:tcPr>
          <w:p>
            <w:pPr>
              <w:pStyle w:val="TableContents"/>
              <w:bidi w:val="0"/>
              <w:spacing w:before="0" w:after="283"/>
              <w:jc w:val="left"/>
              <w:rPr/>
            </w:pPr>
            <w:r>
              <w:rPr/>
              <w:t> </w:t>
            </w:r>
          </w:p>
        </w:tc>
        <w:tc>
          <w:tcPr>
            <w:tcW w:w="1009"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63" w:type="dxa"/>
            <w:tcBorders/>
            <w:shd w:fill="DBE5F1" w:val="clear"/>
            <w:vAlign w:val="center"/>
          </w:tcPr>
          <w:p>
            <w:pPr>
              <w:pStyle w:val="TableContents"/>
              <w:bidi w:val="0"/>
              <w:spacing w:before="0" w:after="283"/>
              <w:jc w:val="left"/>
              <w:rPr/>
            </w:pPr>
            <w:r>
              <w:rPr/>
              <w:t> </w:t>
            </w:r>
          </w:p>
        </w:tc>
        <w:tc>
          <w:tcPr>
            <w:tcW w:w="842"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220" w:type="dxa"/>
            <w:tcBorders/>
            <w:shd w:fill="DBE5F1" w:val="clear"/>
            <w:vAlign w:val="center"/>
          </w:tcPr>
          <w:p>
            <w:pPr>
              <w:pStyle w:val="TableContents"/>
              <w:bidi w:val="0"/>
              <w:spacing w:before="0" w:after="283"/>
              <w:jc w:val="left"/>
              <w:rPr/>
            </w:pPr>
            <w:r>
              <w:rPr/>
              <w:t> </w:t>
            </w:r>
          </w:p>
        </w:tc>
        <w:tc>
          <w:tcPr>
            <w:tcW w:w="955"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64" w:type="dxa"/>
            <w:tcBorders/>
            <w:shd w:fill="DBE5F1" w:val="clear"/>
            <w:vAlign w:val="center"/>
          </w:tcPr>
          <w:p>
            <w:pPr>
              <w:pStyle w:val="TableContents"/>
              <w:bidi w:val="0"/>
              <w:spacing w:before="0" w:after="283"/>
              <w:jc w:val="left"/>
              <w:rPr/>
            </w:pPr>
            <w:r>
              <w:rPr/>
              <w:t> </w:t>
            </w:r>
          </w:p>
        </w:tc>
        <w:tc>
          <w:tcPr>
            <w:tcW w:w="711"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w:t>
            </w:r>
          </w:p>
        </w:tc>
        <w:tc>
          <w:tcPr>
            <w:tcW w:w="75" w:type="dxa"/>
            <w:tcBorders/>
            <w:shd w:fill="DBE5F1" w:val="clear"/>
            <w:vAlign w:val="center"/>
          </w:tcPr>
          <w:p>
            <w:pPr>
              <w:pStyle w:val="TableContents"/>
              <w:bidi w:val="0"/>
              <w:spacing w:before="0" w:after="283"/>
              <w:jc w:val="left"/>
              <w:rPr/>
            </w:pPr>
            <w:r>
              <w:rPr/>
              <w:t> </w:t>
            </w:r>
          </w:p>
        </w:tc>
      </w:tr>
      <w:tr>
        <w:trPr/>
        <w:tc>
          <w:tcPr>
            <w:tcW w:w="515" w:type="dxa"/>
            <w:tcBorders>
              <w:right w:val="single" w:sz="8" w:space="0" w:color="DBE5F1"/>
            </w:tcBorders>
            <w:shd w:fill="DBE5F1" w:val="clear"/>
            <w:tcMar>
              <w:right w:w="28" w:type="dxa"/>
            </w:tcMar>
            <w:vAlign w:val="center"/>
          </w:tcPr>
          <w:p>
            <w:pPr>
              <w:pStyle w:val="TableContents"/>
              <w:bidi w:val="0"/>
              <w:spacing w:before="0" w:after="0"/>
              <w:jc w:val="left"/>
              <w:rPr/>
            </w:pPr>
            <w:r>
              <w:rPr/>
              <w:t> </w:t>
            </w:r>
            <w:r>
              <w:rPr>
                <w:rFonts w:ascii="ARIAL" w:hAnsi="ARIAL"/>
                <w:sz w:val="12"/>
              </w:rPr>
              <w:t>PSU Award(2)</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575" w:type="dxa"/>
            <w:tcBorders/>
            <w:shd w:fill="DBE5F1" w:val="clear"/>
            <w:vAlign w:val="center"/>
          </w:tcPr>
          <w:p>
            <w:pPr>
              <w:pStyle w:val="TableContents"/>
              <w:bidi w:val="0"/>
              <w:spacing w:before="0" w:after="283"/>
              <w:jc w:val="right"/>
              <w:rPr/>
            </w:pPr>
            <w:r>
              <w:rPr/>
              <w:t>9/14/2023</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72" w:type="dxa"/>
            <w:tcBorders/>
            <w:shd w:fill="DBE5F1" w:val="clear"/>
            <w:vAlign w:val="center"/>
          </w:tcPr>
          <w:p>
            <w:pPr>
              <w:pStyle w:val="TableContents"/>
              <w:bidi w:val="0"/>
              <w:spacing w:before="0" w:after="283"/>
              <w:jc w:val="left"/>
              <w:rPr>
                <w:sz w:val="4"/>
                <w:szCs w:val="4"/>
              </w:rPr>
            </w:pPr>
            <w:r>
              <w:rPr>
                <w:sz w:val="4"/>
                <w:szCs w:val="4"/>
              </w:rPr>
            </w:r>
          </w:p>
        </w:tc>
        <w:tc>
          <w:tcPr>
            <w:tcW w:w="961" w:type="dxa"/>
            <w:tcBorders/>
            <w:shd w:fill="DBE5F1" w:val="clear"/>
            <w:vAlign w:val="center"/>
          </w:tcPr>
          <w:p>
            <w:pPr>
              <w:pStyle w:val="TableContents"/>
              <w:bidi w:val="0"/>
              <w:spacing w:before="0" w:after="283"/>
              <w:jc w:val="left"/>
              <w:rPr>
                <w:sz w:val="4"/>
                <w:szCs w:val="4"/>
              </w:rPr>
            </w:pPr>
            <w:r>
              <w:rPr>
                <w:sz w:val="4"/>
                <w:szCs w:val="4"/>
              </w:rPr>
            </w:r>
          </w:p>
        </w:tc>
        <w:tc>
          <w:tcPr>
            <w:tcW w:w="72" w:type="dxa"/>
            <w:tcBorders/>
            <w:shd w:fill="DBE5F1" w:val="clear"/>
            <w:vAlign w:val="center"/>
          </w:tcPr>
          <w:p>
            <w:pPr>
              <w:pStyle w:val="TableContents"/>
              <w:bidi w:val="0"/>
              <w:spacing w:before="0" w:after="283"/>
              <w:jc w:val="left"/>
              <w:rPr>
                <w:sz w:val="4"/>
                <w:szCs w:val="4"/>
              </w:rPr>
            </w:pPr>
            <w:r>
              <w:rPr>
                <w:sz w:val="4"/>
                <w:szCs w:val="4"/>
              </w:rPr>
            </w:r>
          </w:p>
        </w:tc>
        <w:tc>
          <w:tcPr>
            <w:tcW w:w="72" w:type="dxa"/>
            <w:tcBorders/>
            <w:shd w:fill="DBE5F1" w:val="clear"/>
            <w:vAlign w:val="center"/>
          </w:tcPr>
          <w:p>
            <w:pPr>
              <w:pStyle w:val="TableContents"/>
              <w:bidi w:val="0"/>
              <w:spacing w:before="0" w:after="283"/>
              <w:jc w:val="left"/>
              <w:rPr/>
            </w:pPr>
            <w:r>
              <w:rPr/>
              <w:t> </w:t>
            </w:r>
          </w:p>
        </w:tc>
        <w:tc>
          <w:tcPr>
            <w:tcW w:w="72" w:type="dxa"/>
            <w:tcBorders/>
            <w:shd w:fill="DBE5F1" w:val="clear"/>
            <w:vAlign w:val="center"/>
          </w:tcPr>
          <w:p>
            <w:pPr>
              <w:pStyle w:val="TableContents"/>
              <w:bidi w:val="0"/>
              <w:spacing w:before="0" w:after="283"/>
              <w:jc w:val="left"/>
              <w:rPr>
                <w:sz w:val="4"/>
                <w:szCs w:val="4"/>
              </w:rPr>
            </w:pPr>
            <w:r>
              <w:rPr>
                <w:sz w:val="4"/>
                <w:szCs w:val="4"/>
              </w:rPr>
            </w:r>
          </w:p>
        </w:tc>
        <w:tc>
          <w:tcPr>
            <w:tcW w:w="961" w:type="dxa"/>
            <w:tcBorders/>
            <w:shd w:fill="DBE5F1" w:val="clear"/>
            <w:vAlign w:val="center"/>
          </w:tcPr>
          <w:p>
            <w:pPr>
              <w:pStyle w:val="TableContents"/>
              <w:bidi w:val="0"/>
              <w:spacing w:before="0" w:after="283"/>
              <w:jc w:val="left"/>
              <w:rPr>
                <w:sz w:val="4"/>
                <w:szCs w:val="4"/>
              </w:rPr>
            </w:pPr>
            <w:r>
              <w:rPr>
                <w:sz w:val="4"/>
                <w:szCs w:val="4"/>
              </w:rPr>
            </w:r>
          </w:p>
        </w:tc>
        <w:tc>
          <w:tcPr>
            <w:tcW w:w="72" w:type="dxa"/>
            <w:tcBorders/>
            <w:shd w:fill="DBE5F1" w:val="clear"/>
            <w:vAlign w:val="center"/>
          </w:tcPr>
          <w:p>
            <w:pPr>
              <w:pStyle w:val="TableContents"/>
              <w:bidi w:val="0"/>
              <w:spacing w:before="0" w:after="283"/>
              <w:jc w:val="left"/>
              <w:rPr>
                <w:sz w:val="4"/>
                <w:szCs w:val="4"/>
              </w:rPr>
            </w:pPr>
            <w:r>
              <w:rPr>
                <w:sz w:val="4"/>
                <w:szCs w:val="4"/>
              </w:rPr>
            </w:r>
          </w:p>
        </w:tc>
        <w:tc>
          <w:tcPr>
            <w:tcW w:w="72" w:type="dxa"/>
            <w:tcBorders/>
            <w:shd w:fill="DBE5F1" w:val="clear"/>
            <w:vAlign w:val="center"/>
          </w:tcPr>
          <w:p>
            <w:pPr>
              <w:pStyle w:val="TableContents"/>
              <w:bidi w:val="0"/>
              <w:spacing w:before="0" w:after="283"/>
              <w:jc w:val="left"/>
              <w:rPr/>
            </w:pPr>
            <w:r>
              <w:rPr/>
              <w:t> </w:t>
            </w:r>
          </w:p>
        </w:tc>
        <w:tc>
          <w:tcPr>
            <w:tcW w:w="72" w:type="dxa"/>
            <w:tcBorders/>
            <w:shd w:fill="DBE5F1" w:val="clear"/>
            <w:vAlign w:val="center"/>
          </w:tcPr>
          <w:p>
            <w:pPr>
              <w:pStyle w:val="TableContents"/>
              <w:bidi w:val="0"/>
              <w:spacing w:before="0" w:after="283"/>
              <w:jc w:val="left"/>
              <w:rPr>
                <w:sz w:val="4"/>
                <w:szCs w:val="4"/>
              </w:rPr>
            </w:pPr>
            <w:r>
              <w:rPr>
                <w:sz w:val="4"/>
                <w:szCs w:val="4"/>
              </w:rPr>
            </w:r>
          </w:p>
        </w:tc>
        <w:tc>
          <w:tcPr>
            <w:tcW w:w="1179"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61" w:type="dxa"/>
            <w:tcBorders/>
            <w:shd w:fill="DBE5F1" w:val="clear"/>
            <w:vAlign w:val="center"/>
          </w:tcPr>
          <w:p>
            <w:pPr>
              <w:pStyle w:val="TableContents"/>
              <w:bidi w:val="0"/>
              <w:spacing w:before="0" w:after="283"/>
              <w:jc w:val="left"/>
              <w:rPr/>
            </w:pPr>
            <w:r>
              <w:rPr/>
              <w:t> </w:t>
            </w:r>
          </w:p>
        </w:tc>
        <w:tc>
          <w:tcPr>
            <w:tcW w:w="1009" w:type="dxa"/>
            <w:tcBorders/>
            <w:shd w:fill="DBE5F1" w:val="clear"/>
            <w:vAlign w:val="center"/>
          </w:tcPr>
          <w:p>
            <w:pPr>
              <w:pStyle w:val="TableContents"/>
              <w:bidi w:val="0"/>
              <w:spacing w:before="0" w:after="283"/>
              <w:jc w:val="right"/>
              <w:rPr/>
            </w:pPr>
            <w:r>
              <w:rPr/>
              <w:t>25,000</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980" w:type="dxa"/>
            <w:tcBorders/>
            <w:shd w:fill="DBE5F1" w:val="clear"/>
            <w:vAlign w:val="center"/>
          </w:tcPr>
          <w:p>
            <w:pPr>
              <w:pStyle w:val="TableContents"/>
              <w:bidi w:val="0"/>
              <w:spacing w:before="0" w:after="283"/>
              <w:jc w:val="right"/>
              <w:rPr/>
            </w:pPr>
            <w:r>
              <w:rPr/>
              <w:t>50,000</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61" w:type="dxa"/>
            <w:tcBorders/>
            <w:shd w:fill="DBE5F1" w:val="clear"/>
            <w:vAlign w:val="center"/>
          </w:tcPr>
          <w:p>
            <w:pPr>
              <w:pStyle w:val="TableContents"/>
              <w:bidi w:val="0"/>
              <w:spacing w:before="0" w:after="283"/>
              <w:jc w:val="left"/>
              <w:rPr/>
            </w:pPr>
            <w:r>
              <w:rPr/>
              <w:t> </w:t>
            </w:r>
          </w:p>
        </w:tc>
        <w:tc>
          <w:tcPr>
            <w:tcW w:w="1009" w:type="dxa"/>
            <w:tcBorders/>
            <w:shd w:fill="DBE5F1" w:val="clear"/>
            <w:vAlign w:val="center"/>
          </w:tcPr>
          <w:p>
            <w:pPr>
              <w:pStyle w:val="TableContents"/>
              <w:bidi w:val="0"/>
              <w:spacing w:before="0" w:after="283"/>
              <w:jc w:val="right"/>
              <w:rPr/>
            </w:pPr>
            <w:r>
              <w:rPr/>
              <w:t>75,000</w:t>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63" w:type="dxa"/>
            <w:tcBorders/>
            <w:shd w:fill="DBE5F1" w:val="clear"/>
            <w:vAlign w:val="center"/>
          </w:tcPr>
          <w:p>
            <w:pPr>
              <w:pStyle w:val="TableContents"/>
              <w:bidi w:val="0"/>
              <w:spacing w:before="0" w:after="283"/>
              <w:jc w:val="left"/>
              <w:rPr>
                <w:sz w:val="4"/>
                <w:szCs w:val="4"/>
              </w:rPr>
            </w:pPr>
            <w:r>
              <w:rPr>
                <w:sz w:val="4"/>
                <w:szCs w:val="4"/>
              </w:rPr>
            </w:r>
          </w:p>
        </w:tc>
        <w:tc>
          <w:tcPr>
            <w:tcW w:w="842"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220" w:type="dxa"/>
            <w:tcBorders/>
            <w:shd w:fill="DBE5F1" w:val="clear"/>
            <w:vAlign w:val="center"/>
          </w:tcPr>
          <w:p>
            <w:pPr>
              <w:pStyle w:val="TableContents"/>
              <w:bidi w:val="0"/>
              <w:spacing w:before="0" w:after="283"/>
              <w:jc w:val="left"/>
              <w:rPr>
                <w:sz w:val="4"/>
                <w:szCs w:val="4"/>
              </w:rPr>
            </w:pPr>
            <w:r>
              <w:rPr>
                <w:sz w:val="4"/>
                <w:szCs w:val="4"/>
              </w:rPr>
            </w:r>
          </w:p>
        </w:tc>
        <w:tc>
          <w:tcPr>
            <w:tcW w:w="955"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164" w:type="dxa"/>
            <w:tcBorders/>
            <w:shd w:fill="DBE5F1" w:val="clear"/>
            <w:vAlign w:val="center"/>
          </w:tcPr>
          <w:p>
            <w:pPr>
              <w:pStyle w:val="TableContents"/>
              <w:bidi w:val="0"/>
              <w:spacing w:before="0" w:after="283"/>
              <w:jc w:val="left"/>
              <w:rPr>
                <w:sz w:val="4"/>
                <w:szCs w:val="4"/>
              </w:rPr>
            </w:pPr>
            <w:r>
              <w:rPr>
                <w:sz w:val="4"/>
                <w:szCs w:val="4"/>
              </w:rPr>
            </w:r>
          </w:p>
        </w:tc>
        <w:tc>
          <w:tcPr>
            <w:tcW w:w="711"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287,000</w:t>
            </w:r>
          </w:p>
        </w:tc>
        <w:tc>
          <w:tcPr>
            <w:tcW w:w="75" w:type="dxa"/>
            <w:tcBorders/>
            <w:shd w:fill="DBE5F1" w:val="clear"/>
            <w:vAlign w:val="center"/>
          </w:tcPr>
          <w:p>
            <w:pPr>
              <w:pStyle w:val="TableContents"/>
              <w:bidi w:val="0"/>
              <w:spacing w:before="0" w:after="283"/>
              <w:jc w:val="left"/>
              <w:rPr/>
            </w:pPr>
            <w:r>
              <w:rPr/>
              <w:t> </w:t>
            </w:r>
          </w:p>
        </w:tc>
      </w:tr>
      <w:tr>
        <w:trPr/>
        <w:tc>
          <w:tcPr>
            <w:tcW w:w="515" w:type="dxa"/>
            <w:tcBorders>
              <w:bottom w:val="single" w:sz="8" w:space="0" w:color="95B3D7"/>
              <w:right w:val="single" w:sz="8" w:space="0" w:color="DBE5F1"/>
            </w:tcBorders>
            <w:shd w:fill="DBE5F1" w:val="clear"/>
            <w:tcMar>
              <w:bottom w:w="28" w:type="dxa"/>
              <w:right w:w="28" w:type="dxa"/>
            </w:tcMar>
            <w:vAlign w:val="center"/>
          </w:tcPr>
          <w:p>
            <w:pPr>
              <w:pStyle w:val="TableContents"/>
              <w:bidi w:val="0"/>
              <w:spacing w:before="0" w:after="0"/>
              <w:jc w:val="left"/>
              <w:rPr/>
            </w:pPr>
            <w:r>
              <w:rPr/>
              <w:t> </w:t>
            </w:r>
            <w:r>
              <w:rPr>
                <w:rFonts w:ascii="ARIAL" w:hAnsi="ARIAL"/>
                <w:sz w:val="12"/>
              </w:rPr>
              <w:t>RSU Award(2)</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575" w:type="dxa"/>
            <w:tcBorders>
              <w:bottom w:val="single" w:sz="8" w:space="0" w:color="95B3D7"/>
            </w:tcBorders>
            <w:shd w:fill="DBE5F1" w:val="clear"/>
            <w:tcMar>
              <w:bottom w:w="28" w:type="dxa"/>
            </w:tcMar>
            <w:vAlign w:val="center"/>
          </w:tcPr>
          <w:p>
            <w:pPr>
              <w:pStyle w:val="TableContents"/>
              <w:bidi w:val="0"/>
              <w:spacing w:before="0" w:after="283"/>
              <w:jc w:val="right"/>
              <w:rPr/>
            </w:pPr>
            <w:r>
              <w:rPr/>
              <w:t>10/4/2023</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72"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961"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72"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72"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72"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961"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72"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72"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72"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179"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1"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009"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980"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1"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009"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3"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842" w:type="dxa"/>
            <w:tcBorders>
              <w:bottom w:val="single" w:sz="8" w:space="0" w:color="95B3D7"/>
            </w:tcBorders>
            <w:shd w:fill="DBE5F1" w:val="clear"/>
            <w:tcMar>
              <w:bottom w:w="28" w:type="dxa"/>
            </w:tcMar>
            <w:vAlign w:val="center"/>
          </w:tcPr>
          <w:p>
            <w:pPr>
              <w:pStyle w:val="TableContents"/>
              <w:bidi w:val="0"/>
              <w:spacing w:before="0" w:after="283"/>
              <w:jc w:val="right"/>
              <w:rPr/>
            </w:pPr>
            <w:r>
              <w:rPr/>
              <w:t>340,136</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2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955"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64"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711"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100" w:type="dxa"/>
            <w:tcBorders>
              <w:bottom w:val="single" w:sz="8" w:space="0" w:color="95B3D7"/>
            </w:tcBorders>
            <w:shd w:fill="DBE5F1" w:val="clear"/>
            <w:tcMar>
              <w:bottom w:w="28" w:type="dxa"/>
            </w:tcMar>
            <w:vAlign w:val="center"/>
          </w:tcPr>
          <w:p>
            <w:pPr>
              <w:pStyle w:val="TableContents"/>
              <w:bidi w:val="0"/>
              <w:spacing w:before="0" w:after="283"/>
              <w:jc w:val="right"/>
              <w:rPr/>
            </w:pPr>
            <w:r>
              <w:rPr/>
              <w:t>2,500,000</w:t>
            </w:r>
          </w:p>
        </w:tc>
        <w:tc>
          <w:tcPr>
            <w:tcW w:w="75"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(1)</w:t>
            </w:r>
          </w:p>
        </w:tc>
        <w:tc>
          <w:tcPr>
            <w:tcW w:w="9910" w:type="dxa"/>
            <w:tcBorders/>
            <w:vAlign w:val="center"/>
          </w:tcPr>
          <w:p>
            <w:pPr>
              <w:pStyle w:val="TableContents"/>
              <w:bidi w:val="0"/>
              <w:spacing w:before="0" w:after="0"/>
              <w:jc w:val="left"/>
              <w:rPr>
                <w:rFonts w:ascii="ARIAL" w:hAnsi="ARIAL"/>
                <w:sz w:val="16"/>
              </w:rPr>
            </w:pPr>
            <w:r>
              <w:rPr>
                <w:rFonts w:ascii="ARIAL" w:hAnsi="ARIAL"/>
                <w:sz w:val="16"/>
              </w:rPr>
              <w:t>Awards designated “AIP” represent the threshold, target and maximum amounts of performance-based awards that our NEOs might have earned during 2023 under our Annual Incentive Plan, dependent upon our 2023 performance. Maximum payouts assume that the Annual Incentive Plan was funded at maximum levels based on applicable Company and/or business unit performance and individual performance was also achieved at maximum levels. Awards actually earned are shown above in the “Non-Equity Incentive Plan Compensation” column of the 2023 Summary Compensation Table. Payouts depend on the achievement of pre-determined, strategic and/or financial corporate performance objectives (75% of the award), as well as individual performance (25% of the award). Based on results, base payouts can range from 0% to 200% of target award amounts. In addition, a modifier (-25% to +50%) is applied to the total bonus payout based on the Company’s CMS Star Ratings. During 2023, the base salaries and target and maximum bonus opportunities were increased for certain CEOs. Target bonus opportunities for the full 2023 year reflect the weighted average of the target bonus opportunity percentages applicable to each NEO for each applicable period throughout the year. Executive officers had the option to elect to settle all or a portion of their actual AIP payouts in shares of common stock. See “</w:t>
            </w:r>
            <w:r>
              <w:rPr>
                <w:rFonts w:ascii="ARIAL" w:hAnsi="ARIAL"/>
                <w:i/>
                <w:sz w:val="16"/>
              </w:rPr>
              <w:t>Compensation Discussion and Analysis—2023 Executive Compensation Program in Detail—Annual Incentives</w:t>
            </w:r>
            <w:r>
              <w:rPr>
                <w:rFonts w:ascii="ARIAL" w:hAnsi="ARIAL"/>
                <w:sz w:val="16"/>
              </w:rPr>
              <w:t xml:space="preserve">” above for further discussion of our Annual Incentive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(2)</w:t>
            </w:r>
          </w:p>
        </w:tc>
        <w:tc>
          <w:tcPr>
            <w:tcW w:w="9907" w:type="dxa"/>
            <w:tcBorders/>
            <w:vAlign w:val="center"/>
          </w:tcPr>
          <w:p>
            <w:pPr>
              <w:pStyle w:val="TableContents"/>
              <w:bidi w:val="0"/>
              <w:spacing w:before="0" w:after="0"/>
              <w:jc w:val="left"/>
              <w:rPr>
                <w:rFonts w:ascii="ARIAL" w:hAnsi="ARIAL"/>
                <w:sz w:val="16"/>
              </w:rPr>
            </w:pPr>
            <w:r>
              <w:rPr>
                <w:rFonts w:ascii="ARIAL" w:hAnsi="ARIAL"/>
                <w:sz w:val="16"/>
              </w:rPr>
              <w:t xml:space="preserve">The actual value to be realized by a named executive officer depends upon the appreciation in value of the Company’s stock and the length of time the award is held. The grant date fair value of each PSU award was computed in accordance with FASB ASC Topic 718 based on assumptions discussed in Note 10 “Stock-Based Compensation” to the Company’s consolidated financial statements in the Form 10-K for the year ended December 31, 2023, as filed with the SEC, assuming target-level achievement. Threshold, target, and maximum awards are equal to 50%, 100%, and 150%, respectively, of the number of PSUs granted. The PSUs are earned based on achievement of certain performance goals over fiscal year 2024 and vest, to the extent achievement metrics are met, in two equal installments on or about March 2025 and December 31, 2025. The grant date fair value of each RSU award was computed in accordance with FASB ASC Topic 718 based on the closing stock price on the grant date. RSU awards to employees are generally subject to four-year vesting provisions. </w:t>
            </w:r>
          </w:p>
        </w:tc>
      </w:tr>
    </w:tbl>
    <w:p>
      <w:pPr>
        <w:pStyle w:val="TextBody"/>
        <w:bidi w:val="0"/>
        <w:spacing w:before="240" w:after="0"/>
        <w:jc w:val="left"/>
        <w:rPr>
          <w:rFonts w:ascii="ARIAL" w:hAnsi="ARIAL"/>
          <w:b/>
          <w:color w:val="1F497D"/>
          <w:sz w:val="20"/>
        </w:rPr>
      </w:pPr>
      <w:r>
        <w:rPr>
          <w:rFonts w:ascii="ARIAL" w:hAnsi="ARIAL"/>
          <w:b/>
          <w:color w:val="1F497D"/>
          <w:sz w:val="20"/>
        </w:rPr>
        <w:t xml:space="preserve">Narrative Disclosure to Summary Compensation Table and Grant of Plan-Based Awards Table </w:t>
      </w:r>
    </w:p>
    <w:p>
      <w:pPr>
        <w:pStyle w:val="TextBody"/>
        <w:bidi w:val="0"/>
        <w:spacing w:before="240" w:after="0"/>
        <w:jc w:val="left"/>
        <w:rPr>
          <w:rFonts w:ascii="ARIAL" w:hAnsi="ARIAL"/>
          <w:b/>
          <w:i/>
          <w:color w:val="1F497D"/>
          <w:sz w:val="20"/>
        </w:rPr>
      </w:pPr>
      <w:r>
        <w:rPr>
          <w:rFonts w:ascii="ARIAL" w:hAnsi="ARIAL"/>
          <w:b/>
          <w:i/>
          <w:color w:val="1F497D"/>
          <w:sz w:val="20"/>
        </w:rPr>
        <w:t xml:space="preserve">Employment Agreements </w:t>
      </w:r>
    </w:p>
    <w:p>
      <w:pPr>
        <w:pStyle w:val="TextBody"/>
        <w:bidi w:val="0"/>
        <w:spacing w:before="240" w:after="0"/>
        <w:jc w:val="left"/>
        <w:rPr>
          <w:rFonts w:ascii="ARIAL" w:hAnsi="ARIAL"/>
          <w:sz w:val="20"/>
        </w:rPr>
      </w:pPr>
      <w:r>
        <w:rPr>
          <w:rFonts w:ascii="ARIAL" w:hAnsi="ARIAL"/>
          <w:sz w:val="20"/>
        </w:rPr>
        <w:t xml:space="preserve">Prior to our IPO, we were party to employment agreements with Mr. Kao, Mr. Freeman and Ms. Maroney, which provided for an initial base salary of $350,000, $250,000 and $300,000, respectively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57 </w:t>
      </w:r>
      <w:r>
        <w:br w:type="page"/>
      </w:r>
    </w:p>
    <w:p>
      <w:pPr>
        <w:pStyle w:val="HorizontalLine"/>
        <w:bidi w:val="0"/>
        <w:jc w:val="left"/>
        <w:rPr/>
      </w:pPr>
      <w:r>
        <w:rPr/>
      </w:r>
    </w:p>
    <w:p>
      <w:pPr>
        <w:pStyle w:val="TextBody"/>
        <w:bidi w:val="0"/>
        <w:spacing w:before="0" w:after="0"/>
        <w:jc w:val="left"/>
        <w:rPr>
          <w:rFonts w:ascii="ARIAL" w:hAnsi="ARIAL"/>
          <w:sz w:val="20"/>
        </w:rPr>
      </w:pPr>
      <w:r>
        <w:rPr>
          <w:rFonts w:ascii="ARIAL" w:hAnsi="ARIAL"/>
          <w:sz w:val="20"/>
        </w:rPr>
        <w:t xml:space="preserve">(which was later increased for each NEO). In addition, each employment agreement provided for an annual cash incentive bonus with an initial target and maximum bonus opportunity equal to 25% and 50% of base salary for Mr. Kao, Mr. Freeman and Ms. Maroney (which was also later increased for each NEO). Ms. Maroney’s employment agreement also initially provided for a commission payment program, which did not apply in 2021 or thereafter. </w:t>
      </w:r>
    </w:p>
    <w:p>
      <w:pPr>
        <w:pStyle w:val="TextBody"/>
        <w:bidi w:val="0"/>
        <w:spacing w:before="240" w:after="0"/>
        <w:jc w:val="left"/>
        <w:rPr>
          <w:rFonts w:ascii="ARIAL" w:hAnsi="ARIAL"/>
          <w:sz w:val="20"/>
        </w:rPr>
      </w:pPr>
      <w:r>
        <w:rPr>
          <w:rFonts w:ascii="ARIAL" w:hAnsi="ARIAL"/>
          <w:sz w:val="20"/>
        </w:rPr>
        <w:t xml:space="preserve">In connection with our IPO, we entered into amended and restated employment agreements with Mr. Kao, Mr. Freeman and Ms. Maroney, effective as of March 26, 2021, each of which superseded their prior employment agreements. In addition, we entered into an employment agreement with Mr. Kardes effective as of April 11, 2021; and we entered in to an employment agreement with Dr. Kim, effective as of September 25, 2023. The foregoing employment agreements are referred to herein as the “NEO Employment Agreements.” Each NEO Employment Agreement provides for an initial term of one year, which automatically renews for additional one-year periods until either the Company or the Named Executive Officer provides written notice within 90 days in advance of the next scheduled renewal date of an intent not to renew. The NEO Employment Agreements provided for an initial base salary as follows: $675,000 for Mr. Kao; $450,000 for Mr. Freeman; $550,000 for Ms. Maroney; $350,000 for Mr. Kardes; and $560,000 for Dr. Kim. In addition, each employment agreement provided for an annual cash incentive bonus with an initial target and maximum bonus opportunity equal to 100% and 200% of base salary for Mr. Kao; 50% and 100% of base salary for Mr. Freeman; 85% and 170% of base salary for Ms. Maroney; 25% and 50% of base salary for Mr. Kardes; and 85% and 170% of base salary for Dr. Kim. With the exception of Dr. Kim, each NEO has received increased to his or her base salary and target and maximum bonus opportunity percentages. </w:t>
      </w:r>
    </w:p>
    <w:p>
      <w:pPr>
        <w:pStyle w:val="TextBody"/>
        <w:bidi w:val="0"/>
        <w:spacing w:before="240" w:after="0"/>
        <w:jc w:val="left"/>
        <w:rPr>
          <w:rFonts w:ascii="ARIAL" w:hAnsi="ARIAL"/>
          <w:sz w:val="20"/>
        </w:rPr>
      </w:pPr>
      <w:r>
        <w:rPr>
          <w:rFonts w:ascii="ARIAL" w:hAnsi="ARIAL"/>
          <w:sz w:val="20"/>
        </w:rPr>
        <w:t>Target bonus opportunities and payouts for each of the fiscal years shown in the tables above reflect the weighted average of the target bonus opportunity percentages for each applicable period throughout the fiscal year. In general, annual cash incentive bonuses are determined based on the achievement of performance goals established by the Board (or the Compensation Committee) within the first 90 days of the calendar year following the applicable performance year (or, with respect to the first calendar year of employment, within the first 30 days of the commencement of employment), and may be based on quantitative performance objectives for the Company or one or more of its affiliates, subsidiaries, business units or divisions, and/or individual quantitative or qualitative performance objectives or any combination of the foregoing. Base salaries and annual cash incentive bonus opportunities are reviewed by the Board at least annually and may be increased (but not decreased). For additional information on the 2023 Annual Incentive Plan, see “</w:t>
      </w:r>
      <w:r>
        <w:rPr>
          <w:rFonts w:ascii="ARIAL" w:hAnsi="ARIAL"/>
          <w:i/>
          <w:sz w:val="20"/>
        </w:rPr>
        <w:t>Compensation Discussion &amp; Analysis—2023 Executive Compensation Program in Detail—Annual Incentives</w:t>
      </w:r>
      <w:r>
        <w:rPr>
          <w:rFonts w:ascii="ARIAL" w:hAnsi="ARIAL"/>
          <w:sz w:val="20"/>
        </w:rPr>
        <w:t xml:space="preserve">” above. </w:t>
      </w:r>
    </w:p>
    <w:p>
      <w:pPr>
        <w:pStyle w:val="TextBody"/>
        <w:bidi w:val="0"/>
        <w:spacing w:before="240" w:after="0"/>
        <w:jc w:val="left"/>
        <w:rPr>
          <w:rFonts w:ascii="ARIAL" w:hAnsi="ARIAL"/>
          <w:sz w:val="20"/>
        </w:rPr>
      </w:pPr>
      <w:r>
        <w:rPr>
          <w:rFonts w:ascii="ARIAL" w:hAnsi="ARIAL"/>
          <w:sz w:val="20"/>
        </w:rPr>
        <w:t>Each of our Named Executive Officers are entitled to severance payments and benefits upon a qualifying termination of employment as described below in “—</w:t>
      </w:r>
      <w:r>
        <w:rPr>
          <w:rFonts w:ascii="ARIAL" w:hAnsi="ARIAL"/>
          <w:i/>
          <w:sz w:val="20"/>
        </w:rPr>
        <w:t>Potential Payments Upon Termination or Change in Control</w:t>
      </w:r>
      <w:r>
        <w:rPr>
          <w:rFonts w:ascii="ARIAL" w:hAnsi="ARIAL"/>
          <w:sz w:val="20"/>
        </w:rPr>
        <w:t xml:space="preserve">.” </w:t>
      </w:r>
    </w:p>
    <w:p>
      <w:pPr>
        <w:pStyle w:val="TextBody"/>
        <w:bidi w:val="0"/>
        <w:spacing w:before="360" w:after="0"/>
        <w:jc w:val="left"/>
        <w:rPr>
          <w:rFonts w:ascii="ARIAL" w:hAnsi="ARIAL"/>
          <w:b/>
          <w:color w:val="1F497D"/>
          <w:sz w:val="20"/>
        </w:rPr>
      </w:pPr>
      <w:r>
        <w:rPr>
          <w:rFonts w:ascii="ARIAL" w:hAnsi="ARIAL"/>
          <w:b/>
          <w:color w:val="1F497D"/>
          <w:sz w:val="20"/>
        </w:rPr>
        <w:t xml:space="preserve">Outstanding Equity Awards at 2023 Fiscal Year End </w:t>
      </w:r>
    </w:p>
    <w:p>
      <w:pPr>
        <w:pStyle w:val="TextBody"/>
        <w:bidi w:val="0"/>
        <w:spacing w:before="240" w:after="0"/>
        <w:jc w:val="left"/>
        <w:rPr>
          <w:rFonts w:ascii="ARIAL" w:hAnsi="ARIAL"/>
          <w:sz w:val="20"/>
        </w:rPr>
      </w:pPr>
      <w:r>
        <w:rPr>
          <w:rFonts w:ascii="ARIAL" w:hAnsi="ARIAL"/>
          <w:sz w:val="20"/>
        </w:rPr>
        <w:t xml:space="preserve">The following table summarizes, for each of the Named Executive Officers, the number of shares of our common stock underlying outstanding equity awards held as of December 31, 2023. </w:t>
      </w:r>
    </w:p>
    <w:p>
      <w:pPr>
        <w:pStyle w:val="TextBody"/>
        <w:bidi w:val="0"/>
        <w:spacing w:before="0" w:after="0"/>
        <w:jc w:val="left"/>
        <w:rPr/>
      </w:pPr>
      <w:r>
        <w:rPr/>
        <w:t> </w:t>
      </w:r>
    </w:p>
    <w:tbl>
      <w:tblPr>
        <w:tblW w:w="12270" w:type="dxa"/>
        <w:jc w:val="left"/>
        <w:tblInd w:w="0" w:type="dxa"/>
        <w:tblLayout w:type="fixed"/>
        <w:tblCellMar>
          <w:top w:w="0" w:type="dxa"/>
          <w:left w:w="0" w:type="dxa"/>
          <w:bottom w:w="0" w:type="dxa"/>
          <w:right w:w="0" w:type="dxa"/>
        </w:tblCellMar>
      </w:tblPr>
      <w:tblGrid>
        <w:gridCol w:w="500"/>
        <w:gridCol w:w="120"/>
        <w:gridCol w:w="60"/>
        <w:gridCol w:w="575"/>
        <w:gridCol w:w="60"/>
        <w:gridCol w:w="120"/>
        <w:gridCol w:w="86"/>
        <w:gridCol w:w="1434"/>
        <w:gridCol w:w="60"/>
        <w:gridCol w:w="120"/>
        <w:gridCol w:w="101"/>
        <w:gridCol w:w="1674"/>
        <w:gridCol w:w="60"/>
        <w:gridCol w:w="120"/>
        <w:gridCol w:w="237"/>
        <w:gridCol w:w="1028"/>
        <w:gridCol w:w="60"/>
        <w:gridCol w:w="120"/>
        <w:gridCol w:w="84"/>
        <w:gridCol w:w="791"/>
        <w:gridCol w:w="60"/>
        <w:gridCol w:w="240"/>
        <w:gridCol w:w="119"/>
        <w:gridCol w:w="996"/>
        <w:gridCol w:w="60"/>
        <w:gridCol w:w="240"/>
        <w:gridCol w:w="60"/>
        <w:gridCol w:w="980"/>
        <w:gridCol w:w="60"/>
        <w:gridCol w:w="120"/>
        <w:gridCol w:w="95"/>
        <w:gridCol w:w="1755"/>
        <w:gridCol w:w="75"/>
      </w:tblGrid>
      <w:tr>
        <w:trPr/>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pBdr>
                <w:bottom w:val="single" w:sz="8" w:space="1" w:color="95B3D7"/>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pBdr>
                <w:bottom w:val="single" w:sz="8" w:space="1" w:color="95B3D7"/>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90" w:type="dxa"/>
            <w:gridSpan w:val="18"/>
            <w:tcBorders>
              <w:bottom w:val="single" w:sz="8" w:space="0" w:color="95B3D7"/>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3070" w:type="dxa"/>
            <w:gridSpan w:val="6"/>
            <w:tcBorders>
              <w:bottom w:val="single" w:sz="8" w:space="0" w:color="95B3D7"/>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1255" w:type="dxa"/>
            <w:gridSpan w:val="4"/>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86" w:type="dxa"/>
            <w:tcBorders>
              <w:bottom w:val="single" w:sz="8" w:space="0" w:color="95B3D7"/>
            </w:tcBorders>
            <w:tcMar>
              <w:bottom w:w="28" w:type="dxa"/>
            </w:tcMar>
            <w:vAlign w:val="center"/>
          </w:tcPr>
          <w:p>
            <w:pPr>
              <w:pStyle w:val="TableContents"/>
              <w:bidi w:val="0"/>
              <w:spacing w:before="0" w:after="283"/>
              <w:jc w:val="left"/>
              <w:rPr/>
            </w:pPr>
            <w:r>
              <w:rPr/>
              <w:t> </w:t>
            </w:r>
          </w:p>
        </w:tc>
        <w:tc>
          <w:tcPr>
            <w:tcW w:w="7304" w:type="dxa"/>
            <w:gridSpan w:val="17"/>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240" w:type="dxa"/>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3010" w:type="dxa"/>
            <w:gridSpan w:val="5"/>
            <w:tcBorders>
              <w:bottom w:val="single" w:sz="8" w:space="0" w:color="95B3D7"/>
            </w:tcBorders>
            <w:tcMar>
              <w:bottom w:w="28" w:type="dxa"/>
            </w:tcMar>
            <w:vAlign w:val="center"/>
          </w:tcPr>
          <w:p>
            <w:pPr>
              <w:pStyle w:val="TableContents"/>
              <w:bidi w:val="0"/>
              <w:spacing w:before="0" w:after="283"/>
              <w:jc w:val="left"/>
              <w:rPr/>
            </w:pPr>
            <w:r>
              <w:rPr/>
              <w:t> </w:t>
            </w:r>
          </w:p>
        </w:tc>
        <w:tc>
          <w:tcPr>
            <w:tcW w:w="75" w:type="dxa"/>
            <w:tcBorders>
              <w:bottom w:val="single" w:sz="8" w:space="0" w:color="95B3D7"/>
            </w:tcBorders>
            <w:tcMar>
              <w:bottom w:w="28" w:type="dxa"/>
            </w:tcMar>
            <w:vAlign w:val="center"/>
          </w:tcPr>
          <w:p>
            <w:pPr>
              <w:pStyle w:val="TableContents"/>
              <w:bidi w:val="0"/>
              <w:spacing w:before="0" w:after="283"/>
              <w:jc w:val="left"/>
              <w:rPr/>
            </w:pPr>
            <w:r>
              <w:rPr/>
              <w:t> </w:t>
            </w:r>
          </w:p>
        </w:tc>
      </w:tr>
      <w:tr>
        <w:trPr/>
        <w:tc>
          <w:tcPr>
            <w:tcW w:w="500" w:type="dxa"/>
            <w:tcBorders>
              <w:bottom w:val="single" w:sz="8" w:space="0" w:color="95B3D7"/>
              <w:right w:val="single" w:sz="8" w:space="0" w:color="95B3D7"/>
            </w:tcBorders>
            <w:tcMar>
              <w:bottom w:w="28" w:type="dxa"/>
              <w:right w:w="28" w:type="dxa"/>
            </w:tcMar>
            <w:vAlign w:val="center"/>
          </w:tcPr>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35" w:type="dxa"/>
            <w:gridSpan w:val="2"/>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right w:val="single" w:sz="8" w:space="0" w:color="95B3D7"/>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0" w:type="dxa"/>
            <w:gridSpan w:val="2"/>
            <w:tcBorders>
              <w:bottom w:val="single" w:sz="8" w:space="0" w:color="95B3D7"/>
            </w:tcBorders>
            <w:tcMar>
              <w:bottom w:w="28" w:type="dxa"/>
            </w:tcMar>
            <w:vAlign w:val="center"/>
          </w:tcPr>
          <w:p>
            <w:pPr>
              <w:pStyle w:val="TableContents"/>
              <w:bidi w:val="0"/>
              <w:spacing w:before="0" w:after="283"/>
              <w:jc w:val="left"/>
              <w:rPr>
                <w:b/>
              </w:rPr>
            </w:pPr>
            <w:r>
              <w:rPr>
                <w:b/>
              </w:rPr>
              <w:t>Number of</w:t>
              <w:br/>
              <w:t>Securities</w:t>
              <w:br/>
              <w:t>Underlying</w:t>
              <w:br/>
              <w:t>Unexercised</w:t>
              <w:br/>
              <w:t>Options</w:t>
            </w:r>
          </w:p>
        </w:tc>
        <w:tc>
          <w:tcPr>
            <w:tcW w:w="60" w:type="dxa"/>
            <w:tcBorders>
              <w:right w:val="single" w:sz="8" w:space="0" w:color="95B3D7"/>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5" w:type="dxa"/>
            <w:gridSpan w:val="2"/>
            <w:tcBorders>
              <w:bottom w:val="single" w:sz="8" w:space="0" w:color="95B3D7"/>
            </w:tcBorders>
            <w:tcMar>
              <w:bottom w:w="28" w:type="dxa"/>
            </w:tcMar>
            <w:vAlign w:val="center"/>
          </w:tcPr>
          <w:p>
            <w:pPr>
              <w:pStyle w:val="TableContents"/>
              <w:bidi w:val="0"/>
              <w:spacing w:before="0" w:after="283"/>
              <w:jc w:val="left"/>
              <w:rPr>
                <w:b/>
              </w:rPr>
            </w:pPr>
            <w:r>
              <w:rPr>
                <w:b/>
              </w:rPr>
              <w:t>Number of</w:t>
              <w:br/>
              <w:t>Securities</w:t>
              <w:br/>
              <w:t>Underlying</w:t>
              <w:br/>
              <w:t>Unexercised</w:t>
              <w:br/>
              <w:t>Options(1)</w:t>
            </w:r>
          </w:p>
        </w:tc>
        <w:tc>
          <w:tcPr>
            <w:tcW w:w="60" w:type="dxa"/>
            <w:tcBorders>
              <w:right w:val="single" w:sz="8" w:space="0" w:color="95B3D7"/>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95B3D7"/>
            </w:tcBorders>
            <w:tcMar>
              <w:bottom w:w="28" w:type="dxa"/>
            </w:tcMar>
            <w:vAlign w:val="center"/>
          </w:tcPr>
          <w:p>
            <w:pPr>
              <w:pStyle w:val="TableContents"/>
              <w:bidi w:val="0"/>
              <w:spacing w:before="0" w:after="283"/>
              <w:jc w:val="left"/>
              <w:rPr>
                <w:b/>
              </w:rPr>
            </w:pPr>
            <w:r>
              <w:rPr>
                <w:b/>
              </w:rPr>
              <w:t>Equity</w:t>
              <w:br/>
              <w:t>Incentive</w:t>
              <w:br/>
              <w:t>Plan</w:t>
              <w:br/>
              <w:t>Awards:</w:t>
              <w:br/>
              <w:t>Number of</w:t>
              <w:br/>
              <w:t>Securities</w:t>
              <w:br/>
              <w:t>Underlying</w:t>
              <w:br/>
              <w:t>Unexercised</w:t>
              <w:br/>
              <w:t>Options</w:t>
            </w:r>
          </w:p>
        </w:tc>
        <w:tc>
          <w:tcPr>
            <w:tcW w:w="60" w:type="dxa"/>
            <w:tcBorders>
              <w:right w:val="single" w:sz="8" w:space="0" w:color="95B3D7"/>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95B3D7"/>
            </w:tcBorders>
            <w:tcMar>
              <w:bottom w:w="28" w:type="dxa"/>
            </w:tcMar>
            <w:vAlign w:val="center"/>
          </w:tcPr>
          <w:p>
            <w:pPr>
              <w:pStyle w:val="TableContents"/>
              <w:bidi w:val="0"/>
              <w:spacing w:before="0" w:after="283"/>
              <w:jc w:val="left"/>
              <w:rPr>
                <w:b/>
              </w:rPr>
            </w:pPr>
            <w:r>
              <w:rPr>
                <w:b/>
              </w:rPr>
              <w:t>Option</w:t>
              <w:br/>
              <w:t>Exercise</w:t>
              <w:br/>
              <w:t>Price</w:t>
            </w:r>
          </w:p>
        </w:tc>
        <w:tc>
          <w:tcPr>
            <w:tcW w:w="60" w:type="dxa"/>
            <w:tcBorders>
              <w:right w:val="single" w:sz="8" w:space="0" w:color="95B3D7"/>
            </w:tcBorders>
            <w:tcMar>
              <w:right w:w="28" w:type="dxa"/>
            </w:tcMar>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115" w:type="dxa"/>
            <w:gridSpan w:val="2"/>
            <w:tcBorders>
              <w:bottom w:val="single" w:sz="8" w:space="0" w:color="95B3D7"/>
            </w:tcBorders>
            <w:tcMar>
              <w:bottom w:w="28" w:type="dxa"/>
            </w:tcMar>
            <w:vAlign w:val="center"/>
          </w:tcPr>
          <w:p>
            <w:pPr>
              <w:pStyle w:val="TableContents"/>
              <w:bidi w:val="0"/>
              <w:spacing w:before="0" w:after="283"/>
              <w:jc w:val="left"/>
              <w:rPr>
                <w:b/>
              </w:rPr>
            </w:pPr>
            <w:r>
              <w:rPr>
                <w:b/>
              </w:rPr>
              <w:t>Option</w:t>
              <w:br/>
              <w:t>Expiration</w:t>
              <w:br/>
              <w:t>Date</w:t>
            </w:r>
          </w:p>
        </w:tc>
        <w:tc>
          <w:tcPr>
            <w:tcW w:w="60" w:type="dxa"/>
            <w:tcBorders>
              <w:right w:val="single" w:sz="8" w:space="0" w:color="95B3D7"/>
            </w:tcBorders>
            <w:tcMar>
              <w:right w:w="28" w:type="dxa"/>
            </w:tcMar>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40" w:type="dxa"/>
            <w:gridSpan w:val="2"/>
            <w:tcBorders>
              <w:bottom w:val="single" w:sz="8" w:space="0" w:color="95B3D7"/>
            </w:tcBorders>
            <w:tcMar>
              <w:bottom w:w="28" w:type="dxa"/>
            </w:tcMar>
            <w:vAlign w:val="center"/>
          </w:tcPr>
          <w:p>
            <w:pPr>
              <w:pStyle w:val="TableContents"/>
              <w:bidi w:val="0"/>
              <w:spacing w:before="0" w:after="283"/>
              <w:jc w:val="left"/>
              <w:rPr>
                <w:b/>
              </w:rPr>
            </w:pPr>
            <w:r>
              <w:rPr>
                <w:b/>
              </w:rPr>
              <w:t>Number</w:t>
              <w:br/>
              <w:t>of</w:t>
              <w:br/>
              <w:t>Shares</w:t>
              <w:br/>
              <w:t>or Units</w:t>
              <w:br/>
              <w:t>of Stock</w:t>
              <w:br/>
              <w:t>That</w:t>
              <w:br/>
              <w:t>Have Not</w:t>
              <w:br/>
              <w:t>Vested (1)</w:t>
            </w:r>
          </w:p>
        </w:tc>
        <w:tc>
          <w:tcPr>
            <w:tcW w:w="60" w:type="dxa"/>
            <w:tcBorders>
              <w:right w:val="single" w:sz="8" w:space="0" w:color="95B3D7"/>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0" w:type="dxa"/>
            <w:gridSpan w:val="2"/>
            <w:tcBorders>
              <w:bottom w:val="single" w:sz="8" w:space="0" w:color="95B3D7"/>
            </w:tcBorders>
            <w:tcMar>
              <w:bottom w:w="28" w:type="dxa"/>
            </w:tcMar>
            <w:vAlign w:val="center"/>
          </w:tcPr>
          <w:p>
            <w:pPr>
              <w:pStyle w:val="TableContents"/>
              <w:bidi w:val="0"/>
              <w:spacing w:before="0" w:after="283"/>
              <w:jc w:val="left"/>
              <w:rPr>
                <w:b/>
              </w:rPr>
            </w:pPr>
            <w:r>
              <w:rPr>
                <w:b/>
              </w:rPr>
              <w:t>Market Value of</w:t>
              <w:br/>
              <w:t>Shares or Units of</w:t>
              <w:br/>
              <w:t>Stock That Have</w:t>
              <w:br/>
              <w:t>Not Vested(2)</w:t>
            </w:r>
          </w:p>
        </w:tc>
        <w:tc>
          <w:tcPr>
            <w:tcW w:w="75" w:type="dxa"/>
            <w:tcBorders/>
            <w:vAlign w:val="center"/>
          </w:tcPr>
          <w:p>
            <w:pPr>
              <w:pStyle w:val="TableContents"/>
              <w:bidi w:val="0"/>
              <w:spacing w:before="0" w:after="283"/>
              <w:jc w:val="left"/>
              <w:rPr/>
            </w:pPr>
            <w:r>
              <w:rPr/>
              <w:t> </w:t>
            </w:r>
          </w:p>
        </w:tc>
      </w:tr>
      <w:tr>
        <w:trPr/>
        <w:tc>
          <w:tcPr>
            <w:tcW w:w="500" w:type="dxa"/>
            <w:tcBorders>
              <w:bottom w:val="single" w:sz="8" w:space="0" w:color="95B3D7"/>
            </w:tcBorders>
            <w:tcMar>
              <w:bottom w:w="28" w:type="dxa"/>
            </w:tcMar>
            <w:vAlign w:val="center"/>
          </w:tcPr>
          <w:p>
            <w:pPr>
              <w:pStyle w:val="TableContents"/>
              <w:bidi w:val="0"/>
              <w:spacing w:before="0" w:after="20"/>
              <w:jc w:val="left"/>
              <w:rPr>
                <w:rFonts w:ascii="ARIAL" w:hAnsi="ARIAL"/>
                <w:b/>
                <w:sz w:val="12"/>
              </w:rPr>
            </w:pPr>
            <w:r>
              <w:rPr>
                <w:rFonts w:ascii="ARIAL" w:hAnsi="ARIAL"/>
                <w:b/>
                <w:sz w:val="12"/>
              </w:rPr>
              <w:t>Name</w:t>
            </w:r>
          </w:p>
        </w:tc>
        <w:tc>
          <w:tcPr>
            <w:tcW w:w="120" w:type="dxa"/>
            <w:tcBorders/>
            <w:vAlign w:val="center"/>
          </w:tcPr>
          <w:p>
            <w:pPr>
              <w:pStyle w:val="TableContents"/>
              <w:bidi w:val="0"/>
              <w:spacing w:before="0" w:after="283"/>
              <w:jc w:val="left"/>
              <w:rPr/>
            </w:pPr>
            <w:r>
              <w:rPr/>
              <w:t>  </w:t>
            </w:r>
          </w:p>
        </w:tc>
        <w:tc>
          <w:tcPr>
            <w:tcW w:w="635" w:type="dxa"/>
            <w:gridSpan w:val="2"/>
            <w:tcBorders>
              <w:bottom w:val="single" w:sz="8" w:space="0" w:color="95B3D7"/>
            </w:tcBorders>
            <w:tcMar>
              <w:bottom w:w="28" w:type="dxa"/>
            </w:tcMar>
            <w:vAlign w:val="center"/>
          </w:tcPr>
          <w:p>
            <w:pPr>
              <w:pStyle w:val="TableContents"/>
              <w:bidi w:val="0"/>
              <w:spacing w:before="0" w:after="283"/>
              <w:jc w:val="center"/>
              <w:rPr>
                <w:b/>
              </w:rPr>
            </w:pPr>
            <w:r>
              <w:rPr>
                <w:b/>
              </w:rPr>
              <w:t>Grant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0" w:type="dxa"/>
            <w:gridSpan w:val="2"/>
            <w:tcBorders>
              <w:bottom w:val="single" w:sz="8" w:space="0" w:color="95B3D7"/>
            </w:tcBorders>
            <w:tcMar>
              <w:bottom w:w="28" w:type="dxa"/>
            </w:tcMar>
            <w:vAlign w:val="center"/>
          </w:tcPr>
          <w:p>
            <w:pPr>
              <w:pStyle w:val="TableContents"/>
              <w:bidi w:val="0"/>
              <w:spacing w:before="0" w:after="283"/>
              <w:jc w:val="center"/>
              <w:rPr>
                <w:b/>
              </w:rPr>
            </w:pPr>
            <w:r>
              <w:rPr>
                <w:b/>
              </w:rPr>
              <w:t>(#) 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5" w:type="dxa"/>
            <w:gridSpan w:val="2"/>
            <w:tcBorders>
              <w:bottom w:val="single" w:sz="8" w:space="0" w:color="95B3D7"/>
            </w:tcBorders>
            <w:tcMar>
              <w:bottom w:w="28" w:type="dxa"/>
            </w:tcMar>
            <w:vAlign w:val="center"/>
          </w:tcPr>
          <w:p>
            <w:pPr>
              <w:pStyle w:val="TableContents"/>
              <w:bidi w:val="0"/>
              <w:spacing w:before="0" w:after="283"/>
              <w:jc w:val="center"/>
              <w:rPr>
                <w:b/>
              </w:rPr>
            </w:pPr>
            <w:r>
              <w:rPr>
                <w:b/>
              </w:rPr>
              <w:t>(#) Unexercisable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95B3D7"/>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95B3D7"/>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pBdr>
                <w:bottom w:val="single" w:sz="8" w:space="1" w:color="95B3D7"/>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040" w:type="dxa"/>
            <w:gridSpan w:val="2"/>
            <w:tcBorders>
              <w:bottom w:val="single" w:sz="8" w:space="0" w:color="95B3D7"/>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0" w:type="dxa"/>
            <w:gridSpan w:val="2"/>
            <w:tcBorders>
              <w:bottom w:val="single" w:sz="8" w:space="0" w:color="95B3D7"/>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1255" w:type="dxa"/>
            <w:gridSpan w:val="4"/>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86" w:type="dxa"/>
            <w:tcBorders>
              <w:bottom w:val="single" w:sz="8" w:space="0" w:color="95B3D7"/>
            </w:tcBorders>
            <w:tcMar>
              <w:bottom w:w="28" w:type="dxa"/>
            </w:tcMar>
            <w:vAlign w:val="center"/>
          </w:tcPr>
          <w:p>
            <w:pPr>
              <w:pStyle w:val="TableContents"/>
              <w:bidi w:val="0"/>
              <w:spacing w:before="0" w:after="283"/>
              <w:jc w:val="left"/>
              <w:rPr/>
            </w:pPr>
            <w:r>
              <w:rPr/>
              <w:t> </w:t>
            </w:r>
          </w:p>
        </w:tc>
        <w:tc>
          <w:tcPr>
            <w:tcW w:w="7304" w:type="dxa"/>
            <w:gridSpan w:val="17"/>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240" w:type="dxa"/>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3010" w:type="dxa"/>
            <w:gridSpan w:val="5"/>
            <w:tcBorders>
              <w:bottom w:val="single" w:sz="8" w:space="0" w:color="95B3D7"/>
            </w:tcBorders>
            <w:tcMar>
              <w:bottom w:w="28" w:type="dxa"/>
            </w:tcMar>
            <w:vAlign w:val="center"/>
          </w:tcPr>
          <w:p>
            <w:pPr>
              <w:pStyle w:val="TableContents"/>
              <w:bidi w:val="0"/>
              <w:spacing w:before="0" w:after="283"/>
              <w:jc w:val="left"/>
              <w:rPr/>
            </w:pPr>
            <w:r>
              <w:rPr/>
              <w:t> </w:t>
            </w:r>
          </w:p>
        </w:tc>
        <w:tc>
          <w:tcPr>
            <w:tcW w:w="75" w:type="dxa"/>
            <w:tcBorders>
              <w:bottom w:val="single" w:sz="8" w:space="0" w:color="95B3D7"/>
            </w:tcBorders>
            <w:tcMar>
              <w:bottom w:w="28" w:type="dxa"/>
            </w:tcMar>
            <w:vAlign w:val="center"/>
          </w:tcPr>
          <w:p>
            <w:pPr>
              <w:pStyle w:val="TableContents"/>
              <w:bidi w:val="0"/>
              <w:spacing w:before="0" w:after="283"/>
              <w:jc w:val="left"/>
              <w:rPr/>
            </w:pPr>
            <w:r>
              <w:rPr/>
              <w:t> </w:t>
            </w:r>
          </w:p>
        </w:tc>
      </w:tr>
      <w:tr>
        <w:trPr/>
        <w:tc>
          <w:tcPr>
            <w:tcW w:w="500" w:type="dxa"/>
            <w:tcBorders/>
            <w:shd w:fill="DBE5F1" w:val="clear"/>
            <w:vAlign w:val="center"/>
          </w:tcPr>
          <w:p>
            <w:pPr>
              <w:pStyle w:val="TableContents"/>
              <w:bidi w:val="0"/>
              <w:spacing w:before="0" w:after="0"/>
              <w:jc w:val="left"/>
              <w:rPr>
                <w:rFonts w:ascii="ARIAL" w:hAnsi="ARIAL"/>
                <w:sz w:val="12"/>
              </w:rPr>
            </w:pPr>
            <w:r>
              <w:rPr>
                <w:rFonts w:ascii="ARIAL" w:hAnsi="ARIAL"/>
                <w:sz w:val="12"/>
              </w:rPr>
              <w:t>John Kao</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575" w:type="dxa"/>
            <w:tcBorders/>
            <w:shd w:fill="DBE5F1" w:val="clear"/>
            <w:vAlign w:val="center"/>
          </w:tcPr>
          <w:p>
            <w:pPr>
              <w:pStyle w:val="TableContents"/>
              <w:bidi w:val="0"/>
              <w:spacing w:before="0" w:after="283"/>
              <w:jc w:val="right"/>
              <w:rPr/>
            </w:pPr>
            <w:r>
              <w:rPr/>
              <w:t>9/14/2023</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86" w:type="dxa"/>
            <w:tcBorders/>
            <w:shd w:fill="DBE5F1" w:val="clear"/>
            <w:vAlign w:val="center"/>
          </w:tcPr>
          <w:p>
            <w:pPr>
              <w:pStyle w:val="TableContents"/>
              <w:bidi w:val="0"/>
              <w:spacing w:before="0" w:after="283"/>
              <w:jc w:val="left"/>
              <w:rPr>
                <w:sz w:val="4"/>
                <w:szCs w:val="4"/>
              </w:rPr>
            </w:pPr>
            <w:r>
              <w:rPr>
                <w:sz w:val="4"/>
                <w:szCs w:val="4"/>
              </w:rPr>
            </w:r>
          </w:p>
        </w:tc>
        <w:tc>
          <w:tcPr>
            <w:tcW w:w="1434"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101" w:type="dxa"/>
            <w:tcBorders/>
            <w:shd w:fill="DBE5F1" w:val="clear"/>
            <w:vAlign w:val="center"/>
          </w:tcPr>
          <w:p>
            <w:pPr>
              <w:pStyle w:val="TableContents"/>
              <w:bidi w:val="0"/>
              <w:spacing w:before="0" w:after="283"/>
              <w:jc w:val="left"/>
              <w:rPr>
                <w:sz w:val="4"/>
                <w:szCs w:val="4"/>
              </w:rPr>
            </w:pPr>
            <w:r>
              <w:rPr>
                <w:sz w:val="4"/>
                <w:szCs w:val="4"/>
              </w:rPr>
            </w:r>
          </w:p>
        </w:tc>
        <w:tc>
          <w:tcPr>
            <w:tcW w:w="1674"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237" w:type="dxa"/>
            <w:tcBorders/>
            <w:shd w:fill="DBE5F1" w:val="clear"/>
            <w:vAlign w:val="center"/>
          </w:tcPr>
          <w:p>
            <w:pPr>
              <w:pStyle w:val="TableContents"/>
              <w:bidi w:val="0"/>
              <w:spacing w:before="0" w:after="283"/>
              <w:jc w:val="left"/>
              <w:rPr>
                <w:sz w:val="4"/>
                <w:szCs w:val="4"/>
              </w:rPr>
            </w:pPr>
            <w:r>
              <w:rPr>
                <w:sz w:val="4"/>
                <w:szCs w:val="4"/>
              </w:rPr>
            </w:r>
          </w:p>
        </w:tc>
        <w:tc>
          <w:tcPr>
            <w:tcW w:w="1028"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84" w:type="dxa"/>
            <w:tcBorders/>
            <w:shd w:fill="DBE5F1" w:val="clear"/>
            <w:vAlign w:val="center"/>
          </w:tcPr>
          <w:p>
            <w:pPr>
              <w:pStyle w:val="TableContents"/>
              <w:bidi w:val="0"/>
              <w:spacing w:before="0" w:after="283"/>
              <w:jc w:val="left"/>
              <w:rPr>
                <w:sz w:val="4"/>
                <w:szCs w:val="4"/>
              </w:rPr>
            </w:pPr>
            <w:r>
              <w:rPr>
                <w:sz w:val="4"/>
                <w:szCs w:val="4"/>
              </w:rPr>
            </w:r>
          </w:p>
        </w:tc>
        <w:tc>
          <w:tcPr>
            <w:tcW w:w="791"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240" w:type="dxa"/>
            <w:tcBorders/>
            <w:shd w:fill="DBE5F1" w:val="clear"/>
            <w:vAlign w:val="center"/>
          </w:tcPr>
          <w:p>
            <w:pPr>
              <w:pStyle w:val="TableContents"/>
              <w:bidi w:val="0"/>
              <w:spacing w:before="0" w:after="283"/>
              <w:jc w:val="left"/>
              <w:rPr/>
            </w:pPr>
            <w:r>
              <w:rPr/>
              <w:t>    </w:t>
            </w:r>
          </w:p>
        </w:tc>
        <w:tc>
          <w:tcPr>
            <w:tcW w:w="119" w:type="dxa"/>
            <w:tcBorders/>
            <w:shd w:fill="DBE5F1" w:val="clear"/>
            <w:vAlign w:val="center"/>
          </w:tcPr>
          <w:p>
            <w:pPr>
              <w:pStyle w:val="TableContents"/>
              <w:bidi w:val="0"/>
              <w:spacing w:before="0" w:after="283"/>
              <w:jc w:val="left"/>
              <w:rPr>
                <w:sz w:val="4"/>
                <w:szCs w:val="4"/>
              </w:rPr>
            </w:pPr>
            <w:r>
              <w:rPr>
                <w:sz w:val="4"/>
                <w:szCs w:val="4"/>
              </w:rPr>
            </w:r>
          </w:p>
        </w:tc>
        <w:tc>
          <w:tcPr>
            <w:tcW w:w="996"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24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980" w:type="dxa"/>
            <w:tcBorders/>
            <w:shd w:fill="DBE5F1" w:val="clear"/>
            <w:vAlign w:val="center"/>
          </w:tcPr>
          <w:p>
            <w:pPr>
              <w:pStyle w:val="TableContents"/>
              <w:bidi w:val="0"/>
              <w:spacing w:before="0" w:after="283"/>
              <w:jc w:val="right"/>
              <w:rPr/>
            </w:pPr>
            <w:r>
              <w:rPr/>
              <w:t>2,177,333</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95" w:type="dxa"/>
            <w:tcBorders/>
            <w:shd w:fill="DBE5F1" w:val="clear"/>
            <w:vAlign w:val="center"/>
          </w:tcPr>
          <w:p>
            <w:pPr>
              <w:pStyle w:val="TableContents"/>
              <w:bidi w:val="0"/>
              <w:spacing w:before="0" w:after="283"/>
              <w:jc w:val="left"/>
              <w:rPr/>
            </w:pPr>
            <w:r>
              <w:rPr/>
              <w:t> </w:t>
            </w:r>
          </w:p>
        </w:tc>
        <w:tc>
          <w:tcPr>
            <w:tcW w:w="1755" w:type="dxa"/>
            <w:tcBorders/>
            <w:shd w:fill="DBE5F1" w:val="clear"/>
            <w:vAlign w:val="center"/>
          </w:tcPr>
          <w:p>
            <w:pPr>
              <w:pStyle w:val="TableContents"/>
              <w:bidi w:val="0"/>
              <w:spacing w:before="0" w:after="283"/>
              <w:jc w:val="right"/>
              <w:rPr/>
            </w:pPr>
            <w:r>
              <w:rPr/>
              <w:t>18,746,837</w:t>
            </w:r>
          </w:p>
        </w:tc>
        <w:tc>
          <w:tcPr>
            <w:tcW w:w="75" w:type="dxa"/>
            <w:tcBorders/>
            <w:shd w:fill="DBE5F1" w:val="clear"/>
            <w:vAlign w:val="center"/>
          </w:tcPr>
          <w:p>
            <w:pPr>
              <w:pStyle w:val="TableContents"/>
              <w:bidi w:val="0"/>
              <w:spacing w:before="0" w:after="283"/>
              <w:jc w:val="left"/>
              <w:rPr/>
            </w:pPr>
            <w:r>
              <w:rPr/>
              <w:t> </w:t>
            </w:r>
          </w:p>
        </w:tc>
      </w:tr>
      <w:tr>
        <w:trPr/>
        <w:tc>
          <w:tcPr>
            <w:tcW w:w="50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575" w:type="dxa"/>
            <w:tcBorders/>
            <w:shd w:fill="DBE5F1" w:val="clear"/>
            <w:vAlign w:val="center"/>
          </w:tcPr>
          <w:p>
            <w:pPr>
              <w:pStyle w:val="TableContents"/>
              <w:bidi w:val="0"/>
              <w:spacing w:before="0" w:after="283"/>
              <w:jc w:val="right"/>
              <w:rPr/>
            </w:pPr>
            <w:r>
              <w:rPr/>
              <w:t>9/12/2022</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86" w:type="dxa"/>
            <w:tcBorders/>
            <w:shd w:fill="DBE5F1" w:val="clear"/>
            <w:vAlign w:val="center"/>
          </w:tcPr>
          <w:p>
            <w:pPr>
              <w:pStyle w:val="TableContents"/>
              <w:bidi w:val="0"/>
              <w:spacing w:before="0" w:after="283"/>
              <w:jc w:val="left"/>
              <w:rPr/>
            </w:pPr>
            <w:r>
              <w:rPr/>
              <w:t> </w:t>
            </w:r>
          </w:p>
        </w:tc>
        <w:tc>
          <w:tcPr>
            <w:tcW w:w="1434"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01" w:type="dxa"/>
            <w:tcBorders/>
            <w:shd w:fill="DBE5F1" w:val="clear"/>
            <w:vAlign w:val="center"/>
          </w:tcPr>
          <w:p>
            <w:pPr>
              <w:pStyle w:val="TableContents"/>
              <w:bidi w:val="0"/>
              <w:spacing w:before="0" w:after="283"/>
              <w:jc w:val="left"/>
              <w:rPr/>
            </w:pPr>
            <w:r>
              <w:rPr/>
              <w:t> </w:t>
            </w:r>
          </w:p>
        </w:tc>
        <w:tc>
          <w:tcPr>
            <w:tcW w:w="1674"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237" w:type="dxa"/>
            <w:tcBorders/>
            <w:shd w:fill="DBE5F1" w:val="clear"/>
            <w:vAlign w:val="center"/>
          </w:tcPr>
          <w:p>
            <w:pPr>
              <w:pStyle w:val="TableContents"/>
              <w:bidi w:val="0"/>
              <w:spacing w:before="0" w:after="283"/>
              <w:jc w:val="left"/>
              <w:rPr/>
            </w:pPr>
            <w:r>
              <w:rPr/>
              <w:t> </w:t>
            </w:r>
          </w:p>
        </w:tc>
        <w:tc>
          <w:tcPr>
            <w:tcW w:w="1028"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84" w:type="dxa"/>
            <w:tcBorders/>
            <w:shd w:fill="DBE5F1" w:val="clear"/>
            <w:vAlign w:val="center"/>
          </w:tcPr>
          <w:p>
            <w:pPr>
              <w:pStyle w:val="TableContents"/>
              <w:bidi w:val="0"/>
              <w:spacing w:before="0" w:after="283"/>
              <w:jc w:val="left"/>
              <w:rPr/>
            </w:pPr>
            <w:r>
              <w:rPr/>
              <w:t> </w:t>
            </w:r>
          </w:p>
        </w:tc>
        <w:tc>
          <w:tcPr>
            <w:tcW w:w="791"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240" w:type="dxa"/>
            <w:tcBorders/>
            <w:shd w:fill="DBE5F1" w:val="clear"/>
            <w:vAlign w:val="center"/>
          </w:tcPr>
          <w:p>
            <w:pPr>
              <w:pStyle w:val="TableContents"/>
              <w:bidi w:val="0"/>
              <w:spacing w:before="0" w:after="283"/>
              <w:jc w:val="left"/>
              <w:rPr/>
            </w:pPr>
            <w:r>
              <w:rPr/>
              <w:t>    </w:t>
            </w:r>
          </w:p>
        </w:tc>
        <w:tc>
          <w:tcPr>
            <w:tcW w:w="119" w:type="dxa"/>
            <w:tcBorders/>
            <w:shd w:fill="DBE5F1" w:val="clear"/>
            <w:vAlign w:val="center"/>
          </w:tcPr>
          <w:p>
            <w:pPr>
              <w:pStyle w:val="TableContents"/>
              <w:bidi w:val="0"/>
              <w:spacing w:before="0" w:after="283"/>
              <w:jc w:val="left"/>
              <w:rPr/>
            </w:pPr>
            <w:r>
              <w:rPr/>
              <w:t> </w:t>
            </w:r>
          </w:p>
        </w:tc>
        <w:tc>
          <w:tcPr>
            <w:tcW w:w="996"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24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980" w:type="dxa"/>
            <w:tcBorders/>
            <w:shd w:fill="DBE5F1" w:val="clear"/>
            <w:vAlign w:val="center"/>
          </w:tcPr>
          <w:p>
            <w:pPr>
              <w:pStyle w:val="TableContents"/>
              <w:bidi w:val="0"/>
              <w:spacing w:before="0" w:after="283"/>
              <w:jc w:val="right"/>
              <w:rPr/>
            </w:pPr>
            <w:r>
              <w:rPr/>
              <w:t>1,639,027</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95" w:type="dxa"/>
            <w:tcBorders/>
            <w:shd w:fill="DBE5F1" w:val="clear"/>
            <w:vAlign w:val="center"/>
          </w:tcPr>
          <w:p>
            <w:pPr>
              <w:pStyle w:val="TableContents"/>
              <w:bidi w:val="0"/>
              <w:spacing w:before="0" w:after="283"/>
              <w:jc w:val="left"/>
              <w:rPr/>
            </w:pPr>
            <w:r>
              <w:rPr/>
              <w:t> </w:t>
            </w:r>
          </w:p>
        </w:tc>
        <w:tc>
          <w:tcPr>
            <w:tcW w:w="1755" w:type="dxa"/>
            <w:tcBorders/>
            <w:shd w:fill="DBE5F1" w:val="clear"/>
            <w:vAlign w:val="center"/>
          </w:tcPr>
          <w:p>
            <w:pPr>
              <w:pStyle w:val="TableContents"/>
              <w:bidi w:val="0"/>
              <w:spacing w:before="0" w:after="283"/>
              <w:jc w:val="right"/>
              <w:rPr/>
            </w:pPr>
            <w:r>
              <w:rPr/>
              <w:t>14,112,022</w:t>
            </w:r>
          </w:p>
        </w:tc>
        <w:tc>
          <w:tcPr>
            <w:tcW w:w="75" w:type="dxa"/>
            <w:tcBorders/>
            <w:shd w:fill="DBE5F1" w:val="clear"/>
            <w:vAlign w:val="center"/>
          </w:tcPr>
          <w:p>
            <w:pPr>
              <w:pStyle w:val="TableContents"/>
              <w:bidi w:val="0"/>
              <w:spacing w:before="0" w:after="283"/>
              <w:jc w:val="left"/>
              <w:rPr/>
            </w:pPr>
            <w:r>
              <w:rPr/>
              <w:t> </w:t>
            </w:r>
          </w:p>
        </w:tc>
      </w:tr>
      <w:tr>
        <w:trPr/>
        <w:tc>
          <w:tcPr>
            <w:tcW w:w="50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575" w:type="dxa"/>
            <w:tcBorders/>
            <w:shd w:fill="DBE5F1" w:val="clear"/>
            <w:vAlign w:val="center"/>
          </w:tcPr>
          <w:p>
            <w:pPr>
              <w:pStyle w:val="TableContents"/>
              <w:bidi w:val="0"/>
              <w:spacing w:before="0" w:after="283"/>
              <w:jc w:val="right"/>
              <w:rPr/>
            </w:pPr>
            <w:r>
              <w:rPr/>
              <w:t>3/8/2022</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86" w:type="dxa"/>
            <w:tcBorders/>
            <w:shd w:fill="DBE5F1" w:val="clear"/>
            <w:vAlign w:val="center"/>
          </w:tcPr>
          <w:p>
            <w:pPr>
              <w:pStyle w:val="TableContents"/>
              <w:bidi w:val="0"/>
              <w:spacing w:before="0" w:after="283"/>
              <w:jc w:val="left"/>
              <w:rPr/>
            </w:pPr>
            <w:r>
              <w:rPr/>
              <w:t> </w:t>
            </w:r>
          </w:p>
        </w:tc>
        <w:tc>
          <w:tcPr>
            <w:tcW w:w="1434" w:type="dxa"/>
            <w:tcBorders/>
            <w:shd w:fill="DBE5F1" w:val="clear"/>
            <w:vAlign w:val="center"/>
          </w:tcPr>
          <w:p>
            <w:pPr>
              <w:pStyle w:val="TableContents"/>
              <w:bidi w:val="0"/>
              <w:spacing w:before="0" w:after="283"/>
              <w:jc w:val="right"/>
              <w:rPr/>
            </w:pPr>
            <w:r>
              <w:rPr/>
              <w:t>91,241</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01" w:type="dxa"/>
            <w:tcBorders/>
            <w:shd w:fill="DBE5F1" w:val="clear"/>
            <w:vAlign w:val="center"/>
          </w:tcPr>
          <w:p>
            <w:pPr>
              <w:pStyle w:val="TableContents"/>
              <w:bidi w:val="0"/>
              <w:spacing w:before="0" w:after="283"/>
              <w:jc w:val="left"/>
              <w:rPr/>
            </w:pPr>
            <w:r>
              <w:rPr/>
              <w:t> </w:t>
            </w:r>
          </w:p>
        </w:tc>
        <w:tc>
          <w:tcPr>
            <w:tcW w:w="1674" w:type="dxa"/>
            <w:tcBorders/>
            <w:shd w:fill="DBE5F1" w:val="clear"/>
            <w:vAlign w:val="center"/>
          </w:tcPr>
          <w:p>
            <w:pPr>
              <w:pStyle w:val="TableContents"/>
              <w:bidi w:val="0"/>
              <w:spacing w:before="0" w:after="283"/>
              <w:jc w:val="right"/>
              <w:rPr/>
            </w:pPr>
            <w:r>
              <w:rPr/>
              <w:t>273,723</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237" w:type="dxa"/>
            <w:tcBorders/>
            <w:shd w:fill="DBE5F1" w:val="clear"/>
            <w:vAlign w:val="center"/>
          </w:tcPr>
          <w:p>
            <w:pPr>
              <w:pStyle w:val="TableContents"/>
              <w:bidi w:val="0"/>
              <w:spacing w:before="0" w:after="283"/>
              <w:jc w:val="left"/>
              <w:rPr/>
            </w:pPr>
            <w:r>
              <w:rPr/>
              <w:t> </w:t>
            </w:r>
          </w:p>
        </w:tc>
        <w:tc>
          <w:tcPr>
            <w:tcW w:w="1028"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84" w:type="dxa"/>
            <w:tcBorders/>
            <w:shd w:fill="DBE5F1" w:val="clear"/>
            <w:vAlign w:val="center"/>
          </w:tcPr>
          <w:p>
            <w:pPr>
              <w:pStyle w:val="TableContents"/>
              <w:bidi w:val="0"/>
              <w:spacing w:before="0" w:after="283"/>
              <w:jc w:val="left"/>
              <w:rPr/>
            </w:pPr>
            <w:r>
              <w:rPr/>
              <w:t> </w:t>
            </w:r>
          </w:p>
        </w:tc>
        <w:tc>
          <w:tcPr>
            <w:tcW w:w="791" w:type="dxa"/>
            <w:tcBorders/>
            <w:shd w:fill="DBE5F1" w:val="clear"/>
            <w:vAlign w:val="center"/>
          </w:tcPr>
          <w:p>
            <w:pPr>
              <w:pStyle w:val="TableContents"/>
              <w:bidi w:val="0"/>
              <w:spacing w:before="0" w:after="283"/>
              <w:jc w:val="right"/>
              <w:rPr/>
            </w:pPr>
            <w:r>
              <w:rPr/>
              <w:t>9.06</w:t>
            </w:r>
          </w:p>
        </w:tc>
        <w:tc>
          <w:tcPr>
            <w:tcW w:w="60" w:type="dxa"/>
            <w:tcBorders/>
            <w:shd w:fill="DBE5F1" w:val="clear"/>
            <w:vAlign w:val="center"/>
          </w:tcPr>
          <w:p>
            <w:pPr>
              <w:pStyle w:val="TableContents"/>
              <w:bidi w:val="0"/>
              <w:spacing w:before="0" w:after="283"/>
              <w:jc w:val="left"/>
              <w:rPr/>
            </w:pPr>
            <w:r>
              <w:rPr/>
              <w:t> </w:t>
            </w:r>
          </w:p>
        </w:tc>
        <w:tc>
          <w:tcPr>
            <w:tcW w:w="240" w:type="dxa"/>
            <w:tcBorders/>
            <w:shd w:fill="DBE5F1" w:val="clear"/>
            <w:vAlign w:val="center"/>
          </w:tcPr>
          <w:p>
            <w:pPr>
              <w:pStyle w:val="TableContents"/>
              <w:bidi w:val="0"/>
              <w:spacing w:before="0" w:after="283"/>
              <w:jc w:val="left"/>
              <w:rPr/>
            </w:pPr>
            <w:r>
              <w:rPr/>
              <w:t>    </w:t>
            </w:r>
          </w:p>
        </w:tc>
        <w:tc>
          <w:tcPr>
            <w:tcW w:w="119" w:type="dxa"/>
            <w:tcBorders/>
            <w:shd w:fill="DBE5F1" w:val="clear"/>
            <w:vAlign w:val="center"/>
          </w:tcPr>
          <w:p>
            <w:pPr>
              <w:pStyle w:val="TableContents"/>
              <w:bidi w:val="0"/>
              <w:spacing w:before="0" w:after="283"/>
              <w:jc w:val="left"/>
              <w:rPr/>
            </w:pPr>
            <w:r>
              <w:rPr/>
              <w:t> </w:t>
            </w:r>
          </w:p>
        </w:tc>
        <w:tc>
          <w:tcPr>
            <w:tcW w:w="996" w:type="dxa"/>
            <w:tcBorders/>
            <w:shd w:fill="DBE5F1" w:val="clear"/>
            <w:vAlign w:val="center"/>
          </w:tcPr>
          <w:p>
            <w:pPr>
              <w:pStyle w:val="TableContents"/>
              <w:bidi w:val="0"/>
              <w:spacing w:before="0" w:after="283"/>
              <w:jc w:val="right"/>
              <w:rPr/>
            </w:pPr>
            <w:r>
              <w:rPr/>
              <w:t>3/8/2032</w:t>
            </w:r>
          </w:p>
        </w:tc>
        <w:tc>
          <w:tcPr>
            <w:tcW w:w="60" w:type="dxa"/>
            <w:tcBorders/>
            <w:shd w:fill="DBE5F1" w:val="clear"/>
            <w:vAlign w:val="center"/>
          </w:tcPr>
          <w:p>
            <w:pPr>
              <w:pStyle w:val="TableContents"/>
              <w:bidi w:val="0"/>
              <w:spacing w:before="0" w:after="283"/>
              <w:jc w:val="left"/>
              <w:rPr/>
            </w:pPr>
            <w:r>
              <w:rPr/>
              <w:t> </w:t>
            </w:r>
          </w:p>
        </w:tc>
        <w:tc>
          <w:tcPr>
            <w:tcW w:w="24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980"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95" w:type="dxa"/>
            <w:tcBorders/>
            <w:shd w:fill="DBE5F1" w:val="clear"/>
            <w:vAlign w:val="center"/>
          </w:tcPr>
          <w:p>
            <w:pPr>
              <w:pStyle w:val="TableContents"/>
              <w:bidi w:val="0"/>
              <w:spacing w:before="0" w:after="283"/>
              <w:jc w:val="left"/>
              <w:rPr/>
            </w:pPr>
            <w:r>
              <w:rPr/>
              <w:t> </w:t>
            </w:r>
          </w:p>
        </w:tc>
        <w:tc>
          <w:tcPr>
            <w:tcW w:w="1755" w:type="dxa"/>
            <w:tcBorders/>
            <w:shd w:fill="DBE5F1" w:val="clear"/>
            <w:vAlign w:val="center"/>
          </w:tcPr>
          <w:p>
            <w:pPr>
              <w:pStyle w:val="TableContents"/>
              <w:bidi w:val="0"/>
              <w:spacing w:before="0" w:after="283"/>
              <w:jc w:val="right"/>
              <w:rPr/>
            </w:pPr>
            <w:r>
              <w:rPr/>
              <w:t>—</w:t>
            </w:r>
          </w:p>
        </w:tc>
        <w:tc>
          <w:tcPr>
            <w:tcW w:w="75" w:type="dxa"/>
            <w:tcBorders/>
            <w:shd w:fill="DBE5F1" w:val="clear"/>
            <w:vAlign w:val="center"/>
          </w:tcPr>
          <w:p>
            <w:pPr>
              <w:pStyle w:val="TableContents"/>
              <w:bidi w:val="0"/>
              <w:spacing w:before="0" w:after="283"/>
              <w:jc w:val="left"/>
              <w:rPr/>
            </w:pPr>
            <w:r>
              <w:rPr/>
              <w:t> </w:t>
            </w:r>
          </w:p>
        </w:tc>
      </w:tr>
      <w:tr>
        <w:trPr/>
        <w:tc>
          <w:tcPr>
            <w:tcW w:w="50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575" w:type="dxa"/>
            <w:tcBorders/>
            <w:shd w:fill="DBE5F1" w:val="clear"/>
            <w:vAlign w:val="center"/>
          </w:tcPr>
          <w:p>
            <w:pPr>
              <w:pStyle w:val="TableContents"/>
              <w:bidi w:val="0"/>
              <w:spacing w:before="0" w:after="283"/>
              <w:jc w:val="right"/>
              <w:rPr/>
            </w:pPr>
            <w:r>
              <w:rPr/>
              <w:t>3/8/2022</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86" w:type="dxa"/>
            <w:tcBorders/>
            <w:shd w:fill="DBE5F1" w:val="clear"/>
            <w:vAlign w:val="center"/>
          </w:tcPr>
          <w:p>
            <w:pPr>
              <w:pStyle w:val="TableContents"/>
              <w:bidi w:val="0"/>
              <w:spacing w:before="0" w:after="283"/>
              <w:jc w:val="left"/>
              <w:rPr/>
            </w:pPr>
            <w:r>
              <w:rPr/>
              <w:t> </w:t>
            </w:r>
          </w:p>
        </w:tc>
        <w:tc>
          <w:tcPr>
            <w:tcW w:w="1434"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01" w:type="dxa"/>
            <w:tcBorders/>
            <w:shd w:fill="DBE5F1" w:val="clear"/>
            <w:vAlign w:val="center"/>
          </w:tcPr>
          <w:p>
            <w:pPr>
              <w:pStyle w:val="TableContents"/>
              <w:bidi w:val="0"/>
              <w:spacing w:before="0" w:after="283"/>
              <w:jc w:val="left"/>
              <w:rPr/>
            </w:pPr>
            <w:r>
              <w:rPr/>
              <w:t> </w:t>
            </w:r>
          </w:p>
        </w:tc>
        <w:tc>
          <w:tcPr>
            <w:tcW w:w="1674"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237" w:type="dxa"/>
            <w:tcBorders/>
            <w:shd w:fill="DBE5F1" w:val="clear"/>
            <w:vAlign w:val="center"/>
          </w:tcPr>
          <w:p>
            <w:pPr>
              <w:pStyle w:val="TableContents"/>
              <w:bidi w:val="0"/>
              <w:spacing w:before="0" w:after="283"/>
              <w:jc w:val="left"/>
              <w:rPr/>
            </w:pPr>
            <w:r>
              <w:rPr/>
              <w:t> </w:t>
            </w:r>
          </w:p>
        </w:tc>
        <w:tc>
          <w:tcPr>
            <w:tcW w:w="1028"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84" w:type="dxa"/>
            <w:tcBorders/>
            <w:shd w:fill="DBE5F1" w:val="clear"/>
            <w:vAlign w:val="center"/>
          </w:tcPr>
          <w:p>
            <w:pPr>
              <w:pStyle w:val="TableContents"/>
              <w:bidi w:val="0"/>
              <w:spacing w:before="0" w:after="283"/>
              <w:jc w:val="left"/>
              <w:rPr/>
            </w:pPr>
            <w:r>
              <w:rPr/>
              <w:t> </w:t>
            </w:r>
          </w:p>
        </w:tc>
        <w:tc>
          <w:tcPr>
            <w:tcW w:w="791"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240" w:type="dxa"/>
            <w:tcBorders/>
            <w:shd w:fill="DBE5F1" w:val="clear"/>
            <w:vAlign w:val="center"/>
          </w:tcPr>
          <w:p>
            <w:pPr>
              <w:pStyle w:val="TableContents"/>
              <w:bidi w:val="0"/>
              <w:spacing w:before="0" w:after="283"/>
              <w:jc w:val="left"/>
              <w:rPr/>
            </w:pPr>
            <w:r>
              <w:rPr/>
              <w:t>    </w:t>
            </w:r>
          </w:p>
        </w:tc>
        <w:tc>
          <w:tcPr>
            <w:tcW w:w="119" w:type="dxa"/>
            <w:tcBorders/>
            <w:shd w:fill="DBE5F1" w:val="clear"/>
            <w:vAlign w:val="center"/>
          </w:tcPr>
          <w:p>
            <w:pPr>
              <w:pStyle w:val="TableContents"/>
              <w:bidi w:val="0"/>
              <w:spacing w:before="0" w:after="283"/>
              <w:jc w:val="left"/>
              <w:rPr/>
            </w:pPr>
            <w:r>
              <w:rPr/>
              <w:t> </w:t>
            </w:r>
          </w:p>
        </w:tc>
        <w:tc>
          <w:tcPr>
            <w:tcW w:w="996"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24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980" w:type="dxa"/>
            <w:tcBorders/>
            <w:shd w:fill="DBE5F1" w:val="clear"/>
            <w:vAlign w:val="center"/>
          </w:tcPr>
          <w:p>
            <w:pPr>
              <w:pStyle w:val="TableContents"/>
              <w:bidi w:val="0"/>
              <w:spacing w:before="0" w:after="283"/>
              <w:jc w:val="right"/>
              <w:rPr/>
            </w:pPr>
            <w:r>
              <w:rPr/>
              <w:t>372,516</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95" w:type="dxa"/>
            <w:tcBorders/>
            <w:shd w:fill="DBE5F1" w:val="clear"/>
            <w:vAlign w:val="center"/>
          </w:tcPr>
          <w:p>
            <w:pPr>
              <w:pStyle w:val="TableContents"/>
              <w:bidi w:val="0"/>
              <w:spacing w:before="0" w:after="283"/>
              <w:jc w:val="left"/>
              <w:rPr/>
            </w:pPr>
            <w:r>
              <w:rPr/>
              <w:t> </w:t>
            </w:r>
          </w:p>
        </w:tc>
        <w:tc>
          <w:tcPr>
            <w:tcW w:w="1755" w:type="dxa"/>
            <w:tcBorders/>
            <w:shd w:fill="DBE5F1" w:val="clear"/>
            <w:vAlign w:val="center"/>
          </w:tcPr>
          <w:p>
            <w:pPr>
              <w:pStyle w:val="TableContents"/>
              <w:bidi w:val="0"/>
              <w:spacing w:before="0" w:after="283"/>
              <w:jc w:val="right"/>
              <w:rPr/>
            </w:pPr>
            <w:r>
              <w:rPr/>
              <w:t>3,207,363</w:t>
            </w:r>
          </w:p>
        </w:tc>
        <w:tc>
          <w:tcPr>
            <w:tcW w:w="75" w:type="dxa"/>
            <w:tcBorders/>
            <w:shd w:fill="DBE5F1" w:val="clear"/>
            <w:vAlign w:val="center"/>
          </w:tcPr>
          <w:p>
            <w:pPr>
              <w:pStyle w:val="TableContents"/>
              <w:bidi w:val="0"/>
              <w:spacing w:before="0" w:after="283"/>
              <w:jc w:val="left"/>
              <w:rPr/>
            </w:pPr>
            <w:r>
              <w:rPr/>
              <w:t> </w:t>
            </w:r>
          </w:p>
        </w:tc>
      </w:tr>
      <w:tr>
        <w:trPr/>
        <w:tc>
          <w:tcPr>
            <w:tcW w:w="50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575" w:type="dxa"/>
            <w:tcBorders/>
            <w:shd w:fill="DBE5F1" w:val="clear"/>
            <w:vAlign w:val="center"/>
          </w:tcPr>
          <w:p>
            <w:pPr>
              <w:pStyle w:val="TableContents"/>
              <w:bidi w:val="0"/>
              <w:spacing w:before="0" w:after="283"/>
              <w:jc w:val="right"/>
              <w:rPr/>
            </w:pPr>
            <w:r>
              <w:rPr/>
              <w:t>3/25/2021</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86" w:type="dxa"/>
            <w:tcBorders/>
            <w:shd w:fill="DBE5F1" w:val="clear"/>
            <w:vAlign w:val="center"/>
          </w:tcPr>
          <w:p>
            <w:pPr>
              <w:pStyle w:val="TableContents"/>
              <w:bidi w:val="0"/>
              <w:spacing w:before="0" w:after="283"/>
              <w:jc w:val="left"/>
              <w:rPr/>
            </w:pPr>
            <w:r>
              <w:rPr/>
              <w:t> </w:t>
            </w:r>
          </w:p>
        </w:tc>
        <w:tc>
          <w:tcPr>
            <w:tcW w:w="1434" w:type="dxa"/>
            <w:tcBorders/>
            <w:shd w:fill="DBE5F1" w:val="clear"/>
            <w:vAlign w:val="center"/>
          </w:tcPr>
          <w:p>
            <w:pPr>
              <w:pStyle w:val="TableContents"/>
              <w:bidi w:val="0"/>
              <w:spacing w:before="0" w:after="283"/>
              <w:jc w:val="right"/>
              <w:rPr/>
            </w:pPr>
            <w:r>
              <w:rPr/>
              <w:t>1,958,334</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01" w:type="dxa"/>
            <w:tcBorders/>
            <w:shd w:fill="DBE5F1" w:val="clear"/>
            <w:vAlign w:val="center"/>
          </w:tcPr>
          <w:p>
            <w:pPr>
              <w:pStyle w:val="TableContents"/>
              <w:bidi w:val="0"/>
              <w:spacing w:before="0" w:after="283"/>
              <w:jc w:val="left"/>
              <w:rPr/>
            </w:pPr>
            <w:r>
              <w:rPr/>
              <w:t> </w:t>
            </w:r>
          </w:p>
        </w:tc>
        <w:tc>
          <w:tcPr>
            <w:tcW w:w="1674" w:type="dxa"/>
            <w:tcBorders/>
            <w:shd w:fill="DBE5F1" w:val="clear"/>
            <w:vAlign w:val="center"/>
          </w:tcPr>
          <w:p>
            <w:pPr>
              <w:pStyle w:val="TableContents"/>
              <w:bidi w:val="0"/>
              <w:spacing w:before="0" w:after="283"/>
              <w:jc w:val="right"/>
              <w:rPr/>
            </w:pPr>
            <w:r>
              <w:rPr/>
              <w:t>1,958,334</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237" w:type="dxa"/>
            <w:tcBorders/>
            <w:shd w:fill="DBE5F1" w:val="clear"/>
            <w:vAlign w:val="center"/>
          </w:tcPr>
          <w:p>
            <w:pPr>
              <w:pStyle w:val="TableContents"/>
              <w:bidi w:val="0"/>
              <w:spacing w:before="0" w:after="283"/>
              <w:jc w:val="left"/>
              <w:rPr/>
            </w:pPr>
            <w:r>
              <w:rPr/>
              <w:t> </w:t>
            </w:r>
          </w:p>
        </w:tc>
        <w:tc>
          <w:tcPr>
            <w:tcW w:w="1028"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84" w:type="dxa"/>
            <w:tcBorders/>
            <w:shd w:fill="DBE5F1" w:val="clear"/>
            <w:vAlign w:val="center"/>
          </w:tcPr>
          <w:p>
            <w:pPr>
              <w:pStyle w:val="TableContents"/>
              <w:bidi w:val="0"/>
              <w:spacing w:before="0" w:after="283"/>
              <w:jc w:val="left"/>
              <w:rPr/>
            </w:pPr>
            <w:r>
              <w:rPr/>
              <w:t> </w:t>
            </w:r>
          </w:p>
        </w:tc>
        <w:tc>
          <w:tcPr>
            <w:tcW w:w="791" w:type="dxa"/>
            <w:tcBorders/>
            <w:shd w:fill="DBE5F1" w:val="clear"/>
            <w:vAlign w:val="center"/>
          </w:tcPr>
          <w:p>
            <w:pPr>
              <w:pStyle w:val="TableContents"/>
              <w:bidi w:val="0"/>
              <w:spacing w:before="0" w:after="283"/>
              <w:jc w:val="right"/>
              <w:rPr/>
            </w:pPr>
            <w:r>
              <w:rPr/>
              <w:t>18.00</w:t>
            </w:r>
          </w:p>
        </w:tc>
        <w:tc>
          <w:tcPr>
            <w:tcW w:w="60" w:type="dxa"/>
            <w:tcBorders/>
            <w:shd w:fill="DBE5F1" w:val="clear"/>
            <w:vAlign w:val="center"/>
          </w:tcPr>
          <w:p>
            <w:pPr>
              <w:pStyle w:val="TableContents"/>
              <w:bidi w:val="0"/>
              <w:spacing w:before="0" w:after="283"/>
              <w:jc w:val="left"/>
              <w:rPr/>
            </w:pPr>
            <w:r>
              <w:rPr/>
              <w:t> </w:t>
            </w:r>
          </w:p>
        </w:tc>
        <w:tc>
          <w:tcPr>
            <w:tcW w:w="240" w:type="dxa"/>
            <w:tcBorders/>
            <w:shd w:fill="DBE5F1" w:val="clear"/>
            <w:vAlign w:val="center"/>
          </w:tcPr>
          <w:p>
            <w:pPr>
              <w:pStyle w:val="TableContents"/>
              <w:bidi w:val="0"/>
              <w:spacing w:before="0" w:after="283"/>
              <w:jc w:val="left"/>
              <w:rPr/>
            </w:pPr>
            <w:r>
              <w:rPr/>
              <w:t>    </w:t>
            </w:r>
          </w:p>
        </w:tc>
        <w:tc>
          <w:tcPr>
            <w:tcW w:w="119" w:type="dxa"/>
            <w:tcBorders/>
            <w:shd w:fill="DBE5F1" w:val="clear"/>
            <w:vAlign w:val="center"/>
          </w:tcPr>
          <w:p>
            <w:pPr>
              <w:pStyle w:val="TableContents"/>
              <w:bidi w:val="0"/>
              <w:spacing w:before="0" w:after="283"/>
              <w:jc w:val="left"/>
              <w:rPr/>
            </w:pPr>
            <w:r>
              <w:rPr/>
              <w:t> </w:t>
            </w:r>
          </w:p>
        </w:tc>
        <w:tc>
          <w:tcPr>
            <w:tcW w:w="996" w:type="dxa"/>
            <w:tcBorders/>
            <w:shd w:fill="DBE5F1" w:val="clear"/>
            <w:vAlign w:val="center"/>
          </w:tcPr>
          <w:p>
            <w:pPr>
              <w:pStyle w:val="TableContents"/>
              <w:bidi w:val="0"/>
              <w:spacing w:before="0" w:after="283"/>
              <w:jc w:val="right"/>
              <w:rPr/>
            </w:pPr>
            <w:r>
              <w:rPr/>
              <w:t>3/25/2031</w:t>
            </w:r>
          </w:p>
        </w:tc>
        <w:tc>
          <w:tcPr>
            <w:tcW w:w="60" w:type="dxa"/>
            <w:tcBorders/>
            <w:shd w:fill="DBE5F1" w:val="clear"/>
            <w:vAlign w:val="center"/>
          </w:tcPr>
          <w:p>
            <w:pPr>
              <w:pStyle w:val="TableContents"/>
              <w:bidi w:val="0"/>
              <w:spacing w:before="0" w:after="283"/>
              <w:jc w:val="left"/>
              <w:rPr/>
            </w:pPr>
            <w:r>
              <w:rPr/>
              <w:t> </w:t>
            </w:r>
          </w:p>
        </w:tc>
        <w:tc>
          <w:tcPr>
            <w:tcW w:w="24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980"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95" w:type="dxa"/>
            <w:tcBorders/>
            <w:shd w:fill="DBE5F1" w:val="clear"/>
            <w:vAlign w:val="center"/>
          </w:tcPr>
          <w:p>
            <w:pPr>
              <w:pStyle w:val="TableContents"/>
              <w:bidi w:val="0"/>
              <w:spacing w:before="0" w:after="283"/>
              <w:jc w:val="left"/>
              <w:rPr/>
            </w:pPr>
            <w:r>
              <w:rPr/>
              <w:t> </w:t>
            </w:r>
          </w:p>
        </w:tc>
        <w:tc>
          <w:tcPr>
            <w:tcW w:w="1755" w:type="dxa"/>
            <w:tcBorders/>
            <w:shd w:fill="DBE5F1" w:val="clear"/>
            <w:vAlign w:val="center"/>
          </w:tcPr>
          <w:p>
            <w:pPr>
              <w:pStyle w:val="TableContents"/>
              <w:bidi w:val="0"/>
              <w:spacing w:before="0" w:after="283"/>
              <w:jc w:val="right"/>
              <w:rPr/>
            </w:pPr>
            <w:r>
              <w:rPr/>
              <w:t>—</w:t>
            </w:r>
          </w:p>
        </w:tc>
        <w:tc>
          <w:tcPr>
            <w:tcW w:w="75" w:type="dxa"/>
            <w:tcBorders/>
            <w:shd w:fill="DBE5F1" w:val="clear"/>
            <w:vAlign w:val="center"/>
          </w:tcPr>
          <w:p>
            <w:pPr>
              <w:pStyle w:val="TableContents"/>
              <w:bidi w:val="0"/>
              <w:spacing w:before="0" w:after="283"/>
              <w:jc w:val="left"/>
              <w:rPr/>
            </w:pPr>
            <w:r>
              <w:rPr/>
              <w:t> </w:t>
            </w:r>
          </w:p>
        </w:tc>
      </w:tr>
      <w:tr>
        <w:trPr/>
        <w:tc>
          <w:tcPr>
            <w:tcW w:w="50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575" w:type="dxa"/>
            <w:tcBorders/>
            <w:shd w:fill="DBE5F1" w:val="clear"/>
            <w:vAlign w:val="center"/>
          </w:tcPr>
          <w:p>
            <w:pPr>
              <w:pStyle w:val="TableContents"/>
              <w:bidi w:val="0"/>
              <w:spacing w:before="0" w:after="283"/>
              <w:jc w:val="right"/>
              <w:rPr/>
            </w:pPr>
            <w:r>
              <w:rPr/>
              <w:t>3/25/2021</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86" w:type="dxa"/>
            <w:tcBorders/>
            <w:shd w:fill="DBE5F1" w:val="clear"/>
            <w:vAlign w:val="center"/>
          </w:tcPr>
          <w:p>
            <w:pPr>
              <w:pStyle w:val="TableContents"/>
              <w:bidi w:val="0"/>
              <w:spacing w:before="0" w:after="283"/>
              <w:jc w:val="left"/>
              <w:rPr/>
            </w:pPr>
            <w:r>
              <w:rPr/>
              <w:t> </w:t>
            </w:r>
          </w:p>
        </w:tc>
        <w:tc>
          <w:tcPr>
            <w:tcW w:w="1434"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01" w:type="dxa"/>
            <w:tcBorders/>
            <w:shd w:fill="DBE5F1" w:val="clear"/>
            <w:vAlign w:val="center"/>
          </w:tcPr>
          <w:p>
            <w:pPr>
              <w:pStyle w:val="TableContents"/>
              <w:bidi w:val="0"/>
              <w:spacing w:before="0" w:after="283"/>
              <w:jc w:val="left"/>
              <w:rPr/>
            </w:pPr>
            <w:r>
              <w:rPr/>
              <w:t> </w:t>
            </w:r>
          </w:p>
        </w:tc>
        <w:tc>
          <w:tcPr>
            <w:tcW w:w="1674"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237" w:type="dxa"/>
            <w:tcBorders/>
            <w:shd w:fill="DBE5F1" w:val="clear"/>
            <w:vAlign w:val="center"/>
          </w:tcPr>
          <w:p>
            <w:pPr>
              <w:pStyle w:val="TableContents"/>
              <w:bidi w:val="0"/>
              <w:spacing w:before="0" w:after="283"/>
              <w:jc w:val="left"/>
              <w:rPr/>
            </w:pPr>
            <w:r>
              <w:rPr/>
              <w:t> </w:t>
            </w:r>
          </w:p>
        </w:tc>
        <w:tc>
          <w:tcPr>
            <w:tcW w:w="1028"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84" w:type="dxa"/>
            <w:tcBorders/>
            <w:shd w:fill="DBE5F1" w:val="clear"/>
            <w:vAlign w:val="center"/>
          </w:tcPr>
          <w:p>
            <w:pPr>
              <w:pStyle w:val="TableContents"/>
              <w:bidi w:val="0"/>
              <w:spacing w:before="0" w:after="283"/>
              <w:jc w:val="left"/>
              <w:rPr/>
            </w:pPr>
            <w:r>
              <w:rPr/>
              <w:t> </w:t>
            </w:r>
          </w:p>
        </w:tc>
        <w:tc>
          <w:tcPr>
            <w:tcW w:w="791"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240" w:type="dxa"/>
            <w:tcBorders/>
            <w:shd w:fill="DBE5F1" w:val="clear"/>
            <w:vAlign w:val="center"/>
          </w:tcPr>
          <w:p>
            <w:pPr>
              <w:pStyle w:val="TableContents"/>
              <w:bidi w:val="0"/>
              <w:spacing w:before="0" w:after="283"/>
              <w:jc w:val="left"/>
              <w:rPr/>
            </w:pPr>
            <w:r>
              <w:rPr/>
              <w:t>    </w:t>
            </w:r>
          </w:p>
        </w:tc>
        <w:tc>
          <w:tcPr>
            <w:tcW w:w="119" w:type="dxa"/>
            <w:tcBorders/>
            <w:shd w:fill="DBE5F1" w:val="clear"/>
            <w:vAlign w:val="center"/>
          </w:tcPr>
          <w:p>
            <w:pPr>
              <w:pStyle w:val="TableContents"/>
              <w:bidi w:val="0"/>
              <w:spacing w:before="0" w:after="283"/>
              <w:jc w:val="left"/>
              <w:rPr/>
            </w:pPr>
            <w:r>
              <w:rPr/>
              <w:t> </w:t>
            </w:r>
          </w:p>
        </w:tc>
        <w:tc>
          <w:tcPr>
            <w:tcW w:w="996"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24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980" w:type="dxa"/>
            <w:tcBorders/>
            <w:shd w:fill="DBE5F1" w:val="clear"/>
            <w:vAlign w:val="center"/>
          </w:tcPr>
          <w:p>
            <w:pPr>
              <w:pStyle w:val="TableContents"/>
              <w:bidi w:val="0"/>
              <w:spacing w:before="0" w:after="283"/>
              <w:jc w:val="right"/>
              <w:rPr/>
            </w:pPr>
            <w:r>
              <w:rPr/>
              <w:t>155,514</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95" w:type="dxa"/>
            <w:tcBorders/>
            <w:shd w:fill="DBE5F1" w:val="clear"/>
            <w:vAlign w:val="center"/>
          </w:tcPr>
          <w:p>
            <w:pPr>
              <w:pStyle w:val="TableContents"/>
              <w:bidi w:val="0"/>
              <w:spacing w:before="0" w:after="283"/>
              <w:jc w:val="left"/>
              <w:rPr/>
            </w:pPr>
            <w:r>
              <w:rPr/>
              <w:t> </w:t>
            </w:r>
          </w:p>
        </w:tc>
        <w:tc>
          <w:tcPr>
            <w:tcW w:w="1755" w:type="dxa"/>
            <w:tcBorders/>
            <w:shd w:fill="DBE5F1" w:val="clear"/>
            <w:vAlign w:val="center"/>
          </w:tcPr>
          <w:p>
            <w:pPr>
              <w:pStyle w:val="TableContents"/>
              <w:bidi w:val="0"/>
              <w:spacing w:before="0" w:after="283"/>
              <w:jc w:val="right"/>
              <w:rPr/>
            </w:pPr>
            <w:r>
              <w:rPr/>
              <w:t>1,338,976</w:t>
            </w:r>
          </w:p>
        </w:tc>
        <w:tc>
          <w:tcPr>
            <w:tcW w:w="75" w:type="dxa"/>
            <w:tcBorders/>
            <w:shd w:fill="DBE5F1" w:val="clear"/>
            <w:vAlign w:val="center"/>
          </w:tcPr>
          <w:p>
            <w:pPr>
              <w:pStyle w:val="TableContents"/>
              <w:bidi w:val="0"/>
              <w:spacing w:before="0" w:after="283"/>
              <w:jc w:val="left"/>
              <w:rPr/>
            </w:pPr>
            <w:r>
              <w:rPr/>
              <w:t> </w:t>
            </w:r>
          </w:p>
        </w:tc>
      </w:tr>
      <w:tr>
        <w:trPr/>
        <w:tc>
          <w:tcPr>
            <w:tcW w:w="50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575" w:type="dxa"/>
            <w:tcBorders>
              <w:bottom w:val="single" w:sz="8" w:space="0" w:color="95B3D7"/>
            </w:tcBorders>
            <w:shd w:fill="DBE5F1" w:val="clear"/>
            <w:tcMar>
              <w:bottom w:w="28" w:type="dxa"/>
            </w:tcMar>
            <w:vAlign w:val="center"/>
          </w:tcPr>
          <w:p>
            <w:pPr>
              <w:pStyle w:val="TableContents"/>
              <w:bidi w:val="0"/>
              <w:spacing w:before="0" w:after="283"/>
              <w:jc w:val="right"/>
              <w:rPr/>
            </w:pPr>
            <w:r>
              <w:rPr/>
              <w:t>9/25/2020(3)</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86"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434"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01"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674"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237"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028"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84"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791"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24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19"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996"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24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980" w:type="dxa"/>
            <w:tcBorders>
              <w:bottom w:val="single" w:sz="8" w:space="0" w:color="95B3D7"/>
            </w:tcBorders>
            <w:shd w:fill="DBE5F1" w:val="clear"/>
            <w:tcMar>
              <w:bottom w:w="28" w:type="dxa"/>
            </w:tcMar>
            <w:vAlign w:val="center"/>
          </w:tcPr>
          <w:p>
            <w:pPr>
              <w:pStyle w:val="TableContents"/>
              <w:bidi w:val="0"/>
              <w:spacing w:before="0" w:after="283"/>
              <w:jc w:val="right"/>
              <w:rPr/>
            </w:pPr>
            <w:r>
              <w:rPr/>
              <w:t>227,142</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95"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755" w:type="dxa"/>
            <w:tcBorders>
              <w:bottom w:val="single" w:sz="8" w:space="0" w:color="95B3D7"/>
            </w:tcBorders>
            <w:shd w:fill="DBE5F1" w:val="clear"/>
            <w:tcMar>
              <w:bottom w:w="28" w:type="dxa"/>
            </w:tcMar>
            <w:vAlign w:val="center"/>
          </w:tcPr>
          <w:p>
            <w:pPr>
              <w:pStyle w:val="TableContents"/>
              <w:bidi w:val="0"/>
              <w:spacing w:before="0" w:after="283"/>
              <w:jc w:val="right"/>
              <w:rPr/>
            </w:pPr>
            <w:r>
              <w:rPr/>
              <w:t>1,955,693</w:t>
            </w:r>
          </w:p>
        </w:tc>
        <w:tc>
          <w:tcPr>
            <w:tcW w:w="75"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58 </w:t>
      </w:r>
      <w:r>
        <w:br w:type="page"/>
      </w:r>
    </w:p>
    <w:p>
      <w:pPr>
        <w:pStyle w:val="HorizontalLine"/>
        <w:bidi w:val="0"/>
        <w:jc w:val="left"/>
        <w:rPr/>
      </w:pPr>
      <w:r>
        <w:rPr/>
      </w:r>
    </w:p>
    <w:tbl>
      <w:tblPr>
        <w:tblW w:w="12525" w:type="dxa"/>
        <w:jc w:val="left"/>
        <w:tblInd w:w="0" w:type="dxa"/>
        <w:tblLayout w:type="fixed"/>
        <w:tblCellMar>
          <w:top w:w="0" w:type="dxa"/>
          <w:left w:w="0" w:type="dxa"/>
          <w:bottom w:w="0" w:type="dxa"/>
          <w:right w:w="0" w:type="dxa"/>
        </w:tblCellMar>
      </w:tblPr>
      <w:tblGrid>
        <w:gridCol w:w="500"/>
        <w:gridCol w:w="120"/>
        <w:gridCol w:w="60"/>
        <w:gridCol w:w="575"/>
        <w:gridCol w:w="60"/>
        <w:gridCol w:w="120"/>
        <w:gridCol w:w="105"/>
        <w:gridCol w:w="1415"/>
        <w:gridCol w:w="60"/>
        <w:gridCol w:w="120"/>
        <w:gridCol w:w="123"/>
        <w:gridCol w:w="1652"/>
        <w:gridCol w:w="60"/>
        <w:gridCol w:w="120"/>
        <w:gridCol w:w="237"/>
        <w:gridCol w:w="1028"/>
        <w:gridCol w:w="60"/>
        <w:gridCol w:w="120"/>
        <w:gridCol w:w="84"/>
        <w:gridCol w:w="791"/>
        <w:gridCol w:w="60"/>
        <w:gridCol w:w="120"/>
        <w:gridCol w:w="119"/>
        <w:gridCol w:w="996"/>
        <w:gridCol w:w="60"/>
        <w:gridCol w:w="120"/>
        <w:gridCol w:w="107"/>
        <w:gridCol w:w="1428"/>
        <w:gridCol w:w="60"/>
        <w:gridCol w:w="120"/>
        <w:gridCol w:w="106"/>
        <w:gridCol w:w="1744"/>
        <w:gridCol w:w="75"/>
      </w:tblGrid>
      <w:tr>
        <w:trPr/>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pBdr>
                <w:bottom w:val="single" w:sz="8" w:space="1" w:color="95B3D7"/>
              </w:pBdr>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635" w:type="dxa"/>
            <w:gridSpan w:val="2"/>
            <w:tcBorders/>
            <w:vAlign w:val="center"/>
          </w:tcPr>
          <w:p>
            <w:pPr>
              <w:pStyle w:val="TableContents"/>
              <w:pBdr>
                <w:bottom w:val="single" w:sz="8" w:space="1" w:color="95B3D7"/>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70" w:type="dxa"/>
            <w:gridSpan w:val="18"/>
            <w:tcBorders>
              <w:bottom w:val="single" w:sz="8" w:space="0" w:color="95B3D7"/>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65" w:type="dxa"/>
            <w:gridSpan w:val="6"/>
            <w:tcBorders>
              <w:bottom w:val="single" w:sz="8" w:space="0" w:color="95B3D7"/>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1255" w:type="dxa"/>
            <w:gridSpan w:val="4"/>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05" w:type="dxa"/>
            <w:tcBorders>
              <w:bottom w:val="single" w:sz="8" w:space="0" w:color="95B3D7"/>
            </w:tcBorders>
            <w:tcMar>
              <w:bottom w:w="28" w:type="dxa"/>
            </w:tcMar>
            <w:vAlign w:val="center"/>
          </w:tcPr>
          <w:p>
            <w:pPr>
              <w:pStyle w:val="TableContents"/>
              <w:bidi w:val="0"/>
              <w:spacing w:before="0" w:after="283"/>
              <w:jc w:val="left"/>
              <w:rPr/>
            </w:pPr>
            <w:r>
              <w:rPr/>
              <w:t> </w:t>
            </w:r>
          </w:p>
        </w:tc>
        <w:tc>
          <w:tcPr>
            <w:tcW w:w="7165" w:type="dxa"/>
            <w:gridSpan w:val="17"/>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07" w:type="dxa"/>
            <w:tcBorders>
              <w:bottom w:val="single" w:sz="8" w:space="0" w:color="95B3D7"/>
            </w:tcBorders>
            <w:tcMar>
              <w:bottom w:w="28" w:type="dxa"/>
            </w:tcMar>
            <w:vAlign w:val="center"/>
          </w:tcPr>
          <w:p>
            <w:pPr>
              <w:pStyle w:val="TableContents"/>
              <w:bidi w:val="0"/>
              <w:spacing w:before="0" w:after="283"/>
              <w:jc w:val="left"/>
              <w:rPr/>
            </w:pPr>
            <w:r>
              <w:rPr/>
              <w:t> </w:t>
            </w:r>
          </w:p>
        </w:tc>
        <w:tc>
          <w:tcPr>
            <w:tcW w:w="3458" w:type="dxa"/>
            <w:gridSpan w:val="5"/>
            <w:tcBorders>
              <w:bottom w:val="single" w:sz="8" w:space="0" w:color="95B3D7"/>
            </w:tcBorders>
            <w:tcMar>
              <w:bottom w:w="28" w:type="dxa"/>
            </w:tcMar>
            <w:vAlign w:val="center"/>
          </w:tcPr>
          <w:p>
            <w:pPr>
              <w:pStyle w:val="TableContents"/>
              <w:bidi w:val="0"/>
              <w:spacing w:before="0" w:after="283"/>
              <w:jc w:val="left"/>
              <w:rPr/>
            </w:pPr>
            <w:r>
              <w:rPr/>
              <w:t> </w:t>
            </w:r>
          </w:p>
        </w:tc>
        <w:tc>
          <w:tcPr>
            <w:tcW w:w="75" w:type="dxa"/>
            <w:tcBorders>
              <w:bottom w:val="single" w:sz="8" w:space="0" w:color="95B3D7"/>
            </w:tcBorders>
            <w:tcMar>
              <w:bottom w:w="28" w:type="dxa"/>
            </w:tcMar>
            <w:vAlign w:val="center"/>
          </w:tcPr>
          <w:p>
            <w:pPr>
              <w:pStyle w:val="TableContents"/>
              <w:bidi w:val="0"/>
              <w:spacing w:before="0" w:after="283"/>
              <w:jc w:val="left"/>
              <w:rPr/>
            </w:pPr>
            <w:r>
              <w:rPr/>
              <w:t> </w:t>
            </w:r>
          </w:p>
        </w:tc>
      </w:tr>
      <w:tr>
        <w:trPr/>
        <w:tc>
          <w:tcPr>
            <w:tcW w:w="500" w:type="dxa"/>
            <w:tcBorders>
              <w:bottom w:val="single" w:sz="8" w:space="0" w:color="95B3D7"/>
              <w:right w:val="single" w:sz="8" w:space="0" w:color="DBE5F1"/>
            </w:tcBorders>
            <w:tcMar>
              <w:bottom w:w="28" w:type="dxa"/>
              <w:right w:w="28" w:type="dxa"/>
            </w:tcMar>
            <w:vAlign w:val="center"/>
          </w:tcPr>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35" w:type="dxa"/>
            <w:gridSpan w:val="2"/>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right w:val="single" w:sz="8" w:space="0" w:color="DBE5F1"/>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0" w:type="dxa"/>
            <w:gridSpan w:val="2"/>
            <w:tcBorders>
              <w:bottom w:val="single" w:sz="8" w:space="0" w:color="95B3D7"/>
            </w:tcBorders>
            <w:tcMar>
              <w:bottom w:w="28" w:type="dxa"/>
            </w:tcMar>
            <w:vAlign w:val="center"/>
          </w:tcPr>
          <w:p>
            <w:pPr>
              <w:pStyle w:val="TableContents"/>
              <w:bidi w:val="0"/>
              <w:spacing w:before="0" w:after="283"/>
              <w:jc w:val="left"/>
              <w:rPr>
                <w:b/>
              </w:rPr>
            </w:pPr>
            <w:r>
              <w:rPr>
                <w:b/>
              </w:rPr>
              <w:t>Number of</w:t>
              <w:br/>
              <w:t>Securities</w:t>
              <w:br/>
              <w:t>Underlying</w:t>
              <w:br/>
              <w:t>Unexercised</w:t>
              <w:br/>
              <w:t>Options</w:t>
            </w:r>
          </w:p>
        </w:tc>
        <w:tc>
          <w:tcPr>
            <w:tcW w:w="60" w:type="dxa"/>
            <w:tcBorders>
              <w:right w:val="single" w:sz="8" w:space="0" w:color="DBE5F1"/>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5" w:type="dxa"/>
            <w:gridSpan w:val="2"/>
            <w:tcBorders>
              <w:bottom w:val="single" w:sz="8" w:space="0" w:color="95B3D7"/>
            </w:tcBorders>
            <w:tcMar>
              <w:bottom w:w="28" w:type="dxa"/>
            </w:tcMar>
            <w:vAlign w:val="center"/>
          </w:tcPr>
          <w:p>
            <w:pPr>
              <w:pStyle w:val="TableContents"/>
              <w:bidi w:val="0"/>
              <w:spacing w:before="0" w:after="283"/>
              <w:jc w:val="left"/>
              <w:rPr>
                <w:b/>
              </w:rPr>
            </w:pPr>
            <w:r>
              <w:rPr>
                <w:b/>
              </w:rPr>
              <w:t>Number of</w:t>
              <w:br/>
              <w:t>Securities</w:t>
              <w:br/>
              <w:t>Underlying</w:t>
              <w:br/>
              <w:t>Unexercised</w:t>
              <w:br/>
              <w:t>Options(1)</w:t>
            </w:r>
          </w:p>
        </w:tc>
        <w:tc>
          <w:tcPr>
            <w:tcW w:w="60" w:type="dxa"/>
            <w:tcBorders>
              <w:right w:val="single" w:sz="8" w:space="0" w:color="DBE5F1"/>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95B3D7"/>
            </w:tcBorders>
            <w:tcMar>
              <w:bottom w:w="28" w:type="dxa"/>
            </w:tcMar>
            <w:vAlign w:val="center"/>
          </w:tcPr>
          <w:p>
            <w:pPr>
              <w:pStyle w:val="TableContents"/>
              <w:bidi w:val="0"/>
              <w:spacing w:before="0" w:after="283"/>
              <w:jc w:val="left"/>
              <w:rPr>
                <w:b/>
              </w:rPr>
            </w:pPr>
            <w:r>
              <w:rPr>
                <w:b/>
              </w:rPr>
              <w:t>Equity</w:t>
              <w:br/>
              <w:t>Incentive</w:t>
              <w:br/>
              <w:t>Plan</w:t>
              <w:br/>
              <w:t>Awards:</w:t>
              <w:br/>
              <w:t>Number of</w:t>
              <w:br/>
              <w:t>Securities</w:t>
              <w:br/>
              <w:t>Underlying</w:t>
              <w:br/>
              <w:t>Unexercised</w:t>
              <w:br/>
              <w:t>Options</w:t>
            </w:r>
          </w:p>
        </w:tc>
        <w:tc>
          <w:tcPr>
            <w:tcW w:w="60" w:type="dxa"/>
            <w:tcBorders>
              <w:right w:val="single" w:sz="8" w:space="0" w:color="DBE5F1"/>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95B3D7"/>
            </w:tcBorders>
            <w:tcMar>
              <w:bottom w:w="28" w:type="dxa"/>
            </w:tcMar>
            <w:vAlign w:val="center"/>
          </w:tcPr>
          <w:p>
            <w:pPr>
              <w:pStyle w:val="TableContents"/>
              <w:bidi w:val="0"/>
              <w:spacing w:before="0" w:after="283"/>
              <w:jc w:val="left"/>
              <w:rPr>
                <w:b/>
              </w:rPr>
            </w:pPr>
            <w:r>
              <w:rPr>
                <w:b/>
              </w:rPr>
              <w:t>Option</w:t>
              <w:br/>
              <w:t>Exercise</w:t>
              <w:br/>
              <w:t>Price</w:t>
            </w:r>
          </w:p>
        </w:tc>
        <w:tc>
          <w:tcPr>
            <w:tcW w:w="60" w:type="dxa"/>
            <w:tcBorders>
              <w:right w:val="single" w:sz="8" w:space="0" w:color="DBE5F1"/>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95B3D7"/>
            </w:tcBorders>
            <w:tcMar>
              <w:bottom w:w="28" w:type="dxa"/>
            </w:tcMar>
            <w:vAlign w:val="center"/>
          </w:tcPr>
          <w:p>
            <w:pPr>
              <w:pStyle w:val="TableContents"/>
              <w:bidi w:val="0"/>
              <w:spacing w:before="0" w:after="283"/>
              <w:jc w:val="left"/>
              <w:rPr>
                <w:b/>
              </w:rPr>
            </w:pPr>
            <w:r>
              <w:rPr>
                <w:b/>
              </w:rPr>
              <w:t>Option</w:t>
              <w:br/>
              <w:t>Expiration</w:t>
              <w:br/>
              <w:t>Date</w:t>
            </w:r>
          </w:p>
        </w:tc>
        <w:tc>
          <w:tcPr>
            <w:tcW w:w="60" w:type="dxa"/>
            <w:tcBorders>
              <w:right w:val="single" w:sz="8" w:space="0" w:color="DBE5F1"/>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bottom w:val="single" w:sz="8" w:space="0" w:color="95B3D7"/>
            </w:tcBorders>
            <w:tcMar>
              <w:bottom w:w="28" w:type="dxa"/>
            </w:tcMar>
            <w:vAlign w:val="center"/>
          </w:tcPr>
          <w:p>
            <w:pPr>
              <w:pStyle w:val="TableContents"/>
              <w:bidi w:val="0"/>
              <w:spacing w:before="0" w:after="283"/>
              <w:jc w:val="left"/>
              <w:rPr>
                <w:b/>
              </w:rPr>
            </w:pPr>
            <w:r>
              <w:rPr>
                <w:b/>
              </w:rPr>
              <w:t>Number of</w:t>
              <w:br/>
              <w:t>Shares or</w:t>
              <w:br/>
              <w:t>Units of Stock</w:t>
              <w:br/>
              <w:t>That Have Not</w:t>
              <w:br/>
              <w:t>Vested (1)</w:t>
            </w:r>
          </w:p>
        </w:tc>
        <w:tc>
          <w:tcPr>
            <w:tcW w:w="60" w:type="dxa"/>
            <w:tcBorders>
              <w:right w:val="single" w:sz="8" w:space="0" w:color="DBE5F1"/>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0" w:type="dxa"/>
            <w:gridSpan w:val="2"/>
            <w:tcBorders>
              <w:bottom w:val="single" w:sz="8" w:space="0" w:color="95B3D7"/>
            </w:tcBorders>
            <w:tcMar>
              <w:bottom w:w="28" w:type="dxa"/>
            </w:tcMar>
            <w:vAlign w:val="center"/>
          </w:tcPr>
          <w:p>
            <w:pPr>
              <w:pStyle w:val="TableContents"/>
              <w:bidi w:val="0"/>
              <w:spacing w:before="0" w:after="283"/>
              <w:jc w:val="left"/>
              <w:rPr>
                <w:b/>
              </w:rPr>
            </w:pPr>
            <w:r>
              <w:rPr>
                <w:b/>
              </w:rPr>
              <w:t>Market Value of</w:t>
              <w:br/>
              <w:t>Shares or Units of</w:t>
              <w:br/>
              <w:t>Stock That Have</w:t>
              <w:br/>
              <w:t>Not Vested(2)</w:t>
            </w:r>
          </w:p>
        </w:tc>
        <w:tc>
          <w:tcPr>
            <w:tcW w:w="75" w:type="dxa"/>
            <w:tcBorders/>
            <w:vAlign w:val="center"/>
          </w:tcPr>
          <w:p>
            <w:pPr>
              <w:pStyle w:val="TableContents"/>
              <w:bidi w:val="0"/>
              <w:spacing w:before="0" w:after="283"/>
              <w:jc w:val="left"/>
              <w:rPr/>
            </w:pPr>
            <w:r>
              <w:rPr/>
              <w:t> </w:t>
            </w:r>
          </w:p>
        </w:tc>
      </w:tr>
      <w:tr>
        <w:trPr/>
        <w:tc>
          <w:tcPr>
            <w:tcW w:w="500" w:type="dxa"/>
            <w:tcBorders>
              <w:bottom w:val="single" w:sz="8" w:space="0" w:color="95B3D7"/>
              <w:right w:val="single" w:sz="8" w:space="0" w:color="DBE5F1"/>
            </w:tcBorders>
            <w:tcMar>
              <w:bottom w:w="28" w:type="dxa"/>
              <w:right w:w="28" w:type="dxa"/>
            </w:tcMar>
            <w:vAlign w:val="center"/>
          </w:tcPr>
          <w:p>
            <w:pPr>
              <w:pStyle w:val="TableContents"/>
              <w:bidi w:val="0"/>
              <w:spacing w:before="0" w:after="20"/>
              <w:jc w:val="left"/>
              <w:rPr>
                <w:rFonts w:ascii="ARIAL" w:hAnsi="ARIAL"/>
                <w:b/>
                <w:sz w:val="12"/>
              </w:rPr>
            </w:pPr>
            <w:r>
              <w:rPr>
                <w:rFonts w:ascii="ARIAL" w:hAnsi="ARIAL"/>
                <w:b/>
                <w:sz w:val="12"/>
              </w:rPr>
              <w:t>Name</w:t>
            </w:r>
          </w:p>
        </w:tc>
        <w:tc>
          <w:tcPr>
            <w:tcW w:w="120" w:type="dxa"/>
            <w:tcBorders/>
            <w:vAlign w:val="center"/>
          </w:tcPr>
          <w:p>
            <w:pPr>
              <w:pStyle w:val="TableContents"/>
              <w:bidi w:val="0"/>
              <w:spacing w:before="0" w:after="283"/>
              <w:jc w:val="left"/>
              <w:rPr/>
            </w:pPr>
            <w:r>
              <w:rPr/>
              <w:t>  </w:t>
            </w:r>
          </w:p>
        </w:tc>
        <w:tc>
          <w:tcPr>
            <w:tcW w:w="635" w:type="dxa"/>
            <w:gridSpan w:val="2"/>
            <w:tcBorders>
              <w:bottom w:val="single" w:sz="8" w:space="0" w:color="95B3D7"/>
            </w:tcBorders>
            <w:tcMar>
              <w:bottom w:w="28" w:type="dxa"/>
            </w:tcMar>
            <w:vAlign w:val="center"/>
          </w:tcPr>
          <w:p>
            <w:pPr>
              <w:pStyle w:val="TableContents"/>
              <w:bidi w:val="0"/>
              <w:spacing w:before="0" w:after="283"/>
              <w:jc w:val="left"/>
              <w:rPr>
                <w:b/>
              </w:rPr>
            </w:pPr>
            <w:r>
              <w:rPr>
                <w:b/>
              </w:rPr>
              <w:t>Grant Date</w:t>
            </w:r>
          </w:p>
        </w:tc>
        <w:tc>
          <w:tcPr>
            <w:tcW w:w="60" w:type="dxa"/>
            <w:tcBorders>
              <w:right w:val="single" w:sz="8" w:space="0" w:color="DBE5F1"/>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0" w:type="dxa"/>
            <w:gridSpan w:val="2"/>
            <w:tcBorders>
              <w:bottom w:val="single" w:sz="8" w:space="0" w:color="95B3D7"/>
            </w:tcBorders>
            <w:tcMar>
              <w:bottom w:w="28" w:type="dxa"/>
            </w:tcMar>
            <w:vAlign w:val="center"/>
          </w:tcPr>
          <w:p>
            <w:pPr>
              <w:pStyle w:val="TableContents"/>
              <w:bidi w:val="0"/>
              <w:spacing w:before="0" w:after="283"/>
              <w:jc w:val="left"/>
              <w:rPr>
                <w:b/>
              </w:rPr>
            </w:pPr>
            <w:r>
              <w:rPr>
                <w:b/>
              </w:rPr>
              <w:t>(#) Exercisable</w:t>
            </w:r>
          </w:p>
        </w:tc>
        <w:tc>
          <w:tcPr>
            <w:tcW w:w="60" w:type="dxa"/>
            <w:tcBorders>
              <w:right w:val="single" w:sz="8" w:space="0" w:color="DBE5F1"/>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75" w:type="dxa"/>
            <w:gridSpan w:val="2"/>
            <w:tcBorders>
              <w:bottom w:val="single" w:sz="8" w:space="0" w:color="95B3D7"/>
            </w:tcBorders>
            <w:tcMar>
              <w:bottom w:w="28" w:type="dxa"/>
            </w:tcMar>
            <w:vAlign w:val="center"/>
          </w:tcPr>
          <w:p>
            <w:pPr>
              <w:pStyle w:val="TableContents"/>
              <w:bidi w:val="0"/>
              <w:spacing w:before="0" w:after="283"/>
              <w:jc w:val="left"/>
              <w:rPr>
                <w:b/>
              </w:rPr>
            </w:pPr>
            <w:r>
              <w:rPr>
                <w:b/>
              </w:rPr>
              <w:t>(#) Unexercisable</w:t>
            </w:r>
          </w:p>
        </w:tc>
        <w:tc>
          <w:tcPr>
            <w:tcW w:w="60" w:type="dxa"/>
            <w:tcBorders>
              <w:right w:val="single" w:sz="8" w:space="0" w:color="DBE5F1"/>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95B3D7"/>
            </w:tcBorders>
            <w:tcMar>
              <w:bottom w:w="28" w:type="dxa"/>
            </w:tcMar>
            <w:vAlign w:val="center"/>
          </w:tcPr>
          <w:p>
            <w:pPr>
              <w:pStyle w:val="TableContents"/>
              <w:bidi w:val="0"/>
              <w:spacing w:before="0" w:after="283"/>
              <w:jc w:val="left"/>
              <w:rPr>
                <w:b/>
              </w:rPr>
            </w:pPr>
            <w:r>
              <w:rPr>
                <w:b/>
              </w:rPr>
              <w:t>(#)</w:t>
            </w:r>
          </w:p>
        </w:tc>
        <w:tc>
          <w:tcPr>
            <w:tcW w:w="60" w:type="dxa"/>
            <w:tcBorders>
              <w:right w:val="single" w:sz="8" w:space="0" w:color="DBE5F1"/>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95B3D7"/>
            </w:tcBorders>
            <w:tcMar>
              <w:bottom w:w="28" w:type="dxa"/>
            </w:tcMar>
            <w:vAlign w:val="center"/>
          </w:tcPr>
          <w:p>
            <w:pPr>
              <w:pStyle w:val="TableContents"/>
              <w:bidi w:val="0"/>
              <w:spacing w:before="0" w:after="283"/>
              <w:jc w:val="left"/>
              <w:rPr>
                <w:b/>
              </w:rPr>
            </w:pPr>
            <w:r>
              <w:rPr>
                <w:b/>
              </w:rPr>
              <w:t>($)</w:t>
            </w:r>
          </w:p>
        </w:tc>
        <w:tc>
          <w:tcPr>
            <w:tcW w:w="60" w:type="dxa"/>
            <w:tcBorders>
              <w:right w:val="single" w:sz="8" w:space="0" w:color="DBE5F1"/>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pBdr>
                <w:bottom w:val="single" w:sz="8" w:space="1" w:color="95B3D7"/>
              </w:pBdr>
              <w:bidi w:val="0"/>
              <w:spacing w:before="0" w:after="0"/>
              <w:jc w:val="left"/>
              <w:rPr/>
            </w:pPr>
            <w:r>
              <w:rPr/>
              <w:t> </w:t>
            </w:r>
          </w:p>
        </w:tc>
        <w:tc>
          <w:tcPr>
            <w:tcW w:w="60" w:type="dxa"/>
            <w:tcBorders>
              <w:right w:val="single" w:sz="8" w:space="0" w:color="DBE5F1"/>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bottom w:val="single" w:sz="8" w:space="0" w:color="95B3D7"/>
            </w:tcBorders>
            <w:tcMar>
              <w:bottom w:w="28" w:type="dxa"/>
            </w:tcMar>
            <w:vAlign w:val="center"/>
          </w:tcPr>
          <w:p>
            <w:pPr>
              <w:pStyle w:val="TableContents"/>
              <w:bidi w:val="0"/>
              <w:spacing w:before="0" w:after="283"/>
              <w:jc w:val="left"/>
              <w:rPr>
                <w:b/>
              </w:rPr>
            </w:pPr>
            <w:r>
              <w:rPr>
                <w:b/>
              </w:rPr>
              <w:t>(#)</w:t>
            </w:r>
          </w:p>
        </w:tc>
        <w:tc>
          <w:tcPr>
            <w:tcW w:w="60" w:type="dxa"/>
            <w:tcBorders>
              <w:right w:val="single" w:sz="8" w:space="0" w:color="DBE5F1"/>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0" w:type="dxa"/>
            <w:gridSpan w:val="2"/>
            <w:tcBorders>
              <w:bottom w:val="single" w:sz="8" w:space="0" w:color="95B3D7"/>
            </w:tcBorders>
            <w:tcMar>
              <w:bottom w:w="28" w:type="dxa"/>
            </w:tcMar>
            <w:vAlign w:val="center"/>
          </w:tcPr>
          <w:p>
            <w:pPr>
              <w:pStyle w:val="TableContents"/>
              <w:bidi w:val="0"/>
              <w:spacing w:before="0" w:after="283"/>
              <w:jc w:val="left"/>
              <w:rPr>
                <w:b/>
              </w:rPr>
            </w:pPr>
            <w:r>
              <w:rPr>
                <w:b/>
              </w:rPr>
              <w:t>($)</w:t>
            </w:r>
          </w:p>
        </w:tc>
        <w:tc>
          <w:tcPr>
            <w:tcW w:w="75" w:type="dxa"/>
            <w:tcBorders/>
            <w:vAlign w:val="center"/>
          </w:tcPr>
          <w:p>
            <w:pPr>
              <w:pStyle w:val="TableContents"/>
              <w:bidi w:val="0"/>
              <w:spacing w:before="0" w:after="283"/>
              <w:jc w:val="left"/>
              <w:rPr/>
            </w:pPr>
            <w:r>
              <w:rPr/>
              <w:t> </w:t>
            </w:r>
          </w:p>
        </w:tc>
      </w:tr>
      <w:tr>
        <w:trPr/>
        <w:tc>
          <w:tcPr>
            <w:tcW w:w="1255" w:type="dxa"/>
            <w:gridSpan w:val="4"/>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05" w:type="dxa"/>
            <w:tcBorders>
              <w:bottom w:val="single" w:sz="8" w:space="0" w:color="95B3D7"/>
            </w:tcBorders>
            <w:tcMar>
              <w:bottom w:w="28" w:type="dxa"/>
            </w:tcMar>
            <w:vAlign w:val="center"/>
          </w:tcPr>
          <w:p>
            <w:pPr>
              <w:pStyle w:val="TableContents"/>
              <w:bidi w:val="0"/>
              <w:spacing w:before="0" w:after="283"/>
              <w:jc w:val="left"/>
              <w:rPr/>
            </w:pPr>
            <w:r>
              <w:rPr/>
              <w:t> </w:t>
            </w:r>
          </w:p>
        </w:tc>
        <w:tc>
          <w:tcPr>
            <w:tcW w:w="7165" w:type="dxa"/>
            <w:gridSpan w:val="17"/>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07" w:type="dxa"/>
            <w:tcBorders>
              <w:bottom w:val="single" w:sz="8" w:space="0" w:color="95B3D7"/>
            </w:tcBorders>
            <w:tcMar>
              <w:bottom w:w="28" w:type="dxa"/>
            </w:tcMar>
            <w:vAlign w:val="center"/>
          </w:tcPr>
          <w:p>
            <w:pPr>
              <w:pStyle w:val="TableContents"/>
              <w:bidi w:val="0"/>
              <w:spacing w:before="0" w:after="283"/>
              <w:jc w:val="left"/>
              <w:rPr/>
            </w:pPr>
            <w:r>
              <w:rPr/>
              <w:t> </w:t>
            </w:r>
          </w:p>
        </w:tc>
        <w:tc>
          <w:tcPr>
            <w:tcW w:w="3458" w:type="dxa"/>
            <w:gridSpan w:val="5"/>
            <w:tcBorders>
              <w:bottom w:val="single" w:sz="8" w:space="0" w:color="95B3D7"/>
            </w:tcBorders>
            <w:tcMar>
              <w:bottom w:w="28" w:type="dxa"/>
            </w:tcMar>
            <w:vAlign w:val="center"/>
          </w:tcPr>
          <w:p>
            <w:pPr>
              <w:pStyle w:val="TableContents"/>
              <w:bidi w:val="0"/>
              <w:spacing w:before="0" w:after="283"/>
              <w:jc w:val="left"/>
              <w:rPr/>
            </w:pPr>
            <w:r>
              <w:rPr/>
              <w:t> </w:t>
            </w:r>
          </w:p>
        </w:tc>
        <w:tc>
          <w:tcPr>
            <w:tcW w:w="75" w:type="dxa"/>
            <w:tcBorders>
              <w:bottom w:val="single" w:sz="8" w:space="0" w:color="95B3D7"/>
            </w:tcBorders>
            <w:tcMar>
              <w:bottom w:w="28" w:type="dxa"/>
            </w:tcMar>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jc w:val="left"/>
              <w:rPr>
                <w:rFonts w:ascii="ARIAL" w:hAnsi="ARIAL"/>
                <w:sz w:val="12"/>
              </w:rPr>
            </w:pPr>
            <w:r>
              <w:rPr>
                <w:rFonts w:ascii="ARIAL" w:hAnsi="ARIAL"/>
                <w:sz w:val="12"/>
              </w:rPr>
              <w:t>Thomas Freeman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9/14/2023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873,667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right"/>
              <w:rPr/>
            </w:pPr>
            <w:r>
              <w:rPr/>
              <w:t>7,522,273</w:t>
            </w:r>
          </w:p>
        </w:tc>
        <w:tc>
          <w:tcPr>
            <w:tcW w:w="7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9/12/2022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319,179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right"/>
              <w:rPr/>
            </w:pPr>
            <w:r>
              <w:rPr/>
              <w:t>2,748,131</w:t>
            </w:r>
          </w:p>
        </w:tc>
        <w:tc>
          <w:tcPr>
            <w:tcW w:w="7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3/8/2022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25,092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right"/>
              <w:rPr/>
            </w:pPr>
            <w:r>
              <w:rPr/>
              <w:t>75,273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9.06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3/8/2032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3/8/2022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102,411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right"/>
              <w:rPr/>
            </w:pPr>
            <w:r>
              <w:rPr/>
              <w:t>882,017</w:t>
            </w:r>
          </w:p>
        </w:tc>
        <w:tc>
          <w:tcPr>
            <w:tcW w:w="7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3/25/2021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381,360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right"/>
              <w:rPr/>
            </w:pPr>
            <w:r>
              <w:rPr/>
              <w:t>381,360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18.00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3/25/2031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3/25/2021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30,283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right"/>
              <w:rPr/>
            </w:pPr>
            <w:r>
              <w:rPr/>
              <w:t>260,737</w:t>
            </w:r>
          </w:p>
        </w:tc>
        <w:tc>
          <w:tcPr>
            <w:tcW w:w="7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9/25/2020(4)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61,127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right"/>
              <w:rPr/>
            </w:pPr>
            <w:r>
              <w:rPr/>
              <w:t>526,303</w:t>
            </w:r>
          </w:p>
        </w:tc>
        <w:tc>
          <w:tcPr>
            <w:tcW w:w="75" w:type="dxa"/>
            <w:tcBorders/>
            <w:vAlign w:val="center"/>
          </w:tcPr>
          <w:p>
            <w:pPr>
              <w:pStyle w:val="TableContents"/>
              <w:bidi w:val="0"/>
              <w:spacing w:before="0" w:after="283"/>
              <w:jc w:val="left"/>
              <w:rPr/>
            </w:pPr>
            <w:r>
              <w:rPr/>
              <w:t> </w:t>
            </w:r>
          </w:p>
        </w:tc>
      </w:tr>
      <w:tr>
        <w:trPr/>
        <w:tc>
          <w:tcPr>
            <w:tcW w:w="500" w:type="dxa"/>
            <w:tcBorders>
              <w:top w:val="single" w:sz="8" w:space="0" w:color="95B3D7"/>
            </w:tcBorders>
            <w:shd w:fill="DBE5F1" w:val="clear"/>
            <w:tcMar>
              <w:top w:w="28" w:type="dxa"/>
            </w:tcMar>
            <w:vAlign w:val="center"/>
          </w:tcPr>
          <w:p>
            <w:pPr>
              <w:pStyle w:val="TableContents"/>
              <w:bidi w:val="0"/>
              <w:spacing w:before="0" w:after="0"/>
              <w:jc w:val="left"/>
              <w:rPr>
                <w:rFonts w:ascii="ARIAL" w:hAnsi="ARIAL"/>
                <w:sz w:val="12"/>
              </w:rPr>
            </w:pPr>
            <w:r>
              <w:rPr>
                <w:rFonts w:ascii="ARIAL" w:hAnsi="ARIAL"/>
                <w:sz w:val="12"/>
              </w:rPr>
              <w:t>Dawn Maroney</w:t>
            </w:r>
          </w:p>
        </w:tc>
        <w:tc>
          <w:tcPr>
            <w:tcW w:w="12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6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575" w:type="dxa"/>
            <w:tcBorders>
              <w:top w:val="single" w:sz="8" w:space="0" w:color="95B3D7"/>
            </w:tcBorders>
            <w:shd w:fill="DBE5F1" w:val="clear"/>
            <w:tcMar>
              <w:top w:w="28" w:type="dxa"/>
            </w:tcMar>
            <w:vAlign w:val="center"/>
          </w:tcPr>
          <w:p>
            <w:pPr>
              <w:pStyle w:val="TableContents"/>
              <w:bidi w:val="0"/>
              <w:spacing w:before="0" w:after="283"/>
              <w:jc w:val="right"/>
              <w:rPr/>
            </w:pPr>
            <w:r>
              <w:rPr/>
              <w:t>9/14/23</w:t>
            </w:r>
          </w:p>
        </w:tc>
        <w:tc>
          <w:tcPr>
            <w:tcW w:w="6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2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05"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415" w:type="dxa"/>
            <w:tcBorders>
              <w:top w:val="single" w:sz="8" w:space="0" w:color="95B3D7"/>
            </w:tcBorders>
            <w:shd w:fill="DBE5F1" w:val="clear"/>
            <w:tcMar>
              <w:top w:w="28" w:type="dxa"/>
            </w:tcMar>
            <w:vAlign w:val="center"/>
          </w:tcPr>
          <w:p>
            <w:pPr>
              <w:pStyle w:val="TableContents"/>
              <w:bidi w:val="0"/>
              <w:spacing w:before="0" w:after="283"/>
              <w:jc w:val="right"/>
              <w:rPr/>
            </w:pPr>
            <w:r>
              <w:rPr/>
              <w:t>—</w:t>
            </w:r>
          </w:p>
        </w:tc>
        <w:tc>
          <w:tcPr>
            <w:tcW w:w="6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2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23"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652" w:type="dxa"/>
            <w:tcBorders>
              <w:top w:val="single" w:sz="8" w:space="0" w:color="95B3D7"/>
            </w:tcBorders>
            <w:shd w:fill="DBE5F1" w:val="clear"/>
            <w:tcMar>
              <w:top w:w="28" w:type="dxa"/>
            </w:tcMar>
            <w:vAlign w:val="center"/>
          </w:tcPr>
          <w:p>
            <w:pPr>
              <w:pStyle w:val="TableContents"/>
              <w:bidi w:val="0"/>
              <w:spacing w:before="0" w:after="283"/>
              <w:jc w:val="right"/>
              <w:rPr/>
            </w:pPr>
            <w:r>
              <w:rPr/>
              <w:t>—</w:t>
            </w:r>
          </w:p>
        </w:tc>
        <w:tc>
          <w:tcPr>
            <w:tcW w:w="6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2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237"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028" w:type="dxa"/>
            <w:tcBorders>
              <w:top w:val="single" w:sz="8" w:space="0" w:color="95B3D7"/>
            </w:tcBorders>
            <w:shd w:fill="DBE5F1" w:val="clear"/>
            <w:tcMar>
              <w:top w:w="28" w:type="dxa"/>
            </w:tcMar>
            <w:vAlign w:val="center"/>
          </w:tcPr>
          <w:p>
            <w:pPr>
              <w:pStyle w:val="TableContents"/>
              <w:bidi w:val="0"/>
              <w:spacing w:before="0" w:after="283"/>
              <w:jc w:val="right"/>
              <w:rPr/>
            </w:pPr>
            <w:r>
              <w:rPr/>
              <w:t>—</w:t>
            </w:r>
          </w:p>
        </w:tc>
        <w:tc>
          <w:tcPr>
            <w:tcW w:w="6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2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84"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791" w:type="dxa"/>
            <w:tcBorders>
              <w:top w:val="single" w:sz="8" w:space="0" w:color="95B3D7"/>
            </w:tcBorders>
            <w:shd w:fill="DBE5F1" w:val="clear"/>
            <w:tcMar>
              <w:top w:w="28" w:type="dxa"/>
            </w:tcMar>
            <w:vAlign w:val="center"/>
          </w:tcPr>
          <w:p>
            <w:pPr>
              <w:pStyle w:val="TableContents"/>
              <w:bidi w:val="0"/>
              <w:spacing w:before="0" w:after="283"/>
              <w:jc w:val="right"/>
              <w:rPr/>
            </w:pPr>
            <w:r>
              <w:rPr/>
              <w:t>—</w:t>
            </w:r>
          </w:p>
        </w:tc>
        <w:tc>
          <w:tcPr>
            <w:tcW w:w="6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2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19"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996" w:type="dxa"/>
            <w:tcBorders>
              <w:top w:val="single" w:sz="8" w:space="0" w:color="95B3D7"/>
            </w:tcBorders>
            <w:shd w:fill="DBE5F1" w:val="clear"/>
            <w:tcMar>
              <w:top w:w="28" w:type="dxa"/>
            </w:tcMar>
            <w:vAlign w:val="center"/>
          </w:tcPr>
          <w:p>
            <w:pPr>
              <w:pStyle w:val="TableContents"/>
              <w:bidi w:val="0"/>
              <w:spacing w:before="0" w:after="283"/>
              <w:jc w:val="right"/>
              <w:rPr/>
            </w:pPr>
            <w:r>
              <w:rPr/>
              <w:t>—</w:t>
            </w:r>
          </w:p>
        </w:tc>
        <w:tc>
          <w:tcPr>
            <w:tcW w:w="6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2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07"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428" w:type="dxa"/>
            <w:tcBorders>
              <w:top w:val="single" w:sz="8" w:space="0" w:color="95B3D7"/>
            </w:tcBorders>
            <w:shd w:fill="DBE5F1" w:val="clear"/>
            <w:tcMar>
              <w:top w:w="28" w:type="dxa"/>
            </w:tcMar>
            <w:vAlign w:val="center"/>
          </w:tcPr>
          <w:p>
            <w:pPr>
              <w:pStyle w:val="TableContents"/>
              <w:bidi w:val="0"/>
              <w:spacing w:before="0" w:after="283"/>
              <w:jc w:val="right"/>
              <w:rPr/>
            </w:pPr>
            <w:r>
              <w:rPr/>
              <w:t>873,667</w:t>
            </w:r>
          </w:p>
        </w:tc>
        <w:tc>
          <w:tcPr>
            <w:tcW w:w="6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2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06"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744" w:type="dxa"/>
            <w:tcBorders>
              <w:top w:val="single" w:sz="8" w:space="0" w:color="95B3D7"/>
            </w:tcBorders>
            <w:shd w:fill="DBE5F1" w:val="clear"/>
            <w:tcMar>
              <w:top w:w="28" w:type="dxa"/>
            </w:tcMar>
            <w:vAlign w:val="center"/>
          </w:tcPr>
          <w:p>
            <w:pPr>
              <w:pStyle w:val="TableContents"/>
              <w:bidi w:val="0"/>
              <w:spacing w:before="0" w:after="283"/>
              <w:jc w:val="right"/>
              <w:rPr/>
            </w:pPr>
            <w:r>
              <w:rPr/>
              <w:t>7,522,273</w:t>
            </w:r>
          </w:p>
        </w:tc>
        <w:tc>
          <w:tcPr>
            <w:tcW w:w="75"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r>
      <w:tr>
        <w:trPr/>
        <w:tc>
          <w:tcPr>
            <w:tcW w:w="50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575" w:type="dxa"/>
            <w:tcBorders/>
            <w:shd w:fill="DBE5F1" w:val="clear"/>
            <w:vAlign w:val="center"/>
          </w:tcPr>
          <w:p>
            <w:pPr>
              <w:pStyle w:val="TableContents"/>
              <w:bidi w:val="0"/>
              <w:spacing w:before="0" w:after="283"/>
              <w:jc w:val="right"/>
              <w:rPr/>
            </w:pPr>
            <w:r>
              <w:rPr/>
              <w:t>9/12/2022</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05" w:type="dxa"/>
            <w:tcBorders/>
            <w:shd w:fill="DBE5F1" w:val="clear"/>
            <w:vAlign w:val="center"/>
          </w:tcPr>
          <w:p>
            <w:pPr>
              <w:pStyle w:val="TableContents"/>
              <w:bidi w:val="0"/>
              <w:spacing w:before="0" w:after="283"/>
              <w:jc w:val="left"/>
              <w:rPr/>
            </w:pPr>
            <w:r>
              <w:rPr/>
              <w:t> </w:t>
            </w:r>
          </w:p>
        </w:tc>
        <w:tc>
          <w:tcPr>
            <w:tcW w:w="1415"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23" w:type="dxa"/>
            <w:tcBorders/>
            <w:shd w:fill="DBE5F1" w:val="clear"/>
            <w:vAlign w:val="center"/>
          </w:tcPr>
          <w:p>
            <w:pPr>
              <w:pStyle w:val="TableContents"/>
              <w:bidi w:val="0"/>
              <w:spacing w:before="0" w:after="283"/>
              <w:jc w:val="left"/>
              <w:rPr/>
            </w:pPr>
            <w:r>
              <w:rPr/>
              <w:t> </w:t>
            </w:r>
          </w:p>
        </w:tc>
        <w:tc>
          <w:tcPr>
            <w:tcW w:w="1652"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237" w:type="dxa"/>
            <w:tcBorders/>
            <w:shd w:fill="DBE5F1" w:val="clear"/>
            <w:vAlign w:val="center"/>
          </w:tcPr>
          <w:p>
            <w:pPr>
              <w:pStyle w:val="TableContents"/>
              <w:bidi w:val="0"/>
              <w:spacing w:before="0" w:after="283"/>
              <w:jc w:val="left"/>
              <w:rPr/>
            </w:pPr>
            <w:r>
              <w:rPr/>
              <w:t> </w:t>
            </w:r>
          </w:p>
        </w:tc>
        <w:tc>
          <w:tcPr>
            <w:tcW w:w="1028"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84" w:type="dxa"/>
            <w:tcBorders/>
            <w:shd w:fill="DBE5F1" w:val="clear"/>
            <w:vAlign w:val="center"/>
          </w:tcPr>
          <w:p>
            <w:pPr>
              <w:pStyle w:val="TableContents"/>
              <w:bidi w:val="0"/>
              <w:spacing w:before="0" w:after="283"/>
              <w:jc w:val="left"/>
              <w:rPr/>
            </w:pPr>
            <w:r>
              <w:rPr/>
              <w:t> </w:t>
            </w:r>
          </w:p>
        </w:tc>
        <w:tc>
          <w:tcPr>
            <w:tcW w:w="791"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19" w:type="dxa"/>
            <w:tcBorders/>
            <w:shd w:fill="DBE5F1" w:val="clear"/>
            <w:vAlign w:val="center"/>
          </w:tcPr>
          <w:p>
            <w:pPr>
              <w:pStyle w:val="TableContents"/>
              <w:bidi w:val="0"/>
              <w:spacing w:before="0" w:after="283"/>
              <w:jc w:val="left"/>
              <w:rPr/>
            </w:pPr>
            <w:r>
              <w:rPr/>
              <w:t> </w:t>
            </w:r>
          </w:p>
        </w:tc>
        <w:tc>
          <w:tcPr>
            <w:tcW w:w="996"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07" w:type="dxa"/>
            <w:tcBorders/>
            <w:shd w:fill="DBE5F1" w:val="clear"/>
            <w:vAlign w:val="center"/>
          </w:tcPr>
          <w:p>
            <w:pPr>
              <w:pStyle w:val="TableContents"/>
              <w:bidi w:val="0"/>
              <w:spacing w:before="0" w:after="283"/>
              <w:jc w:val="left"/>
              <w:rPr/>
            </w:pPr>
            <w:r>
              <w:rPr/>
              <w:t> </w:t>
            </w:r>
          </w:p>
        </w:tc>
        <w:tc>
          <w:tcPr>
            <w:tcW w:w="1428" w:type="dxa"/>
            <w:tcBorders/>
            <w:shd w:fill="DBE5F1" w:val="clear"/>
            <w:vAlign w:val="center"/>
          </w:tcPr>
          <w:p>
            <w:pPr>
              <w:pStyle w:val="TableContents"/>
              <w:bidi w:val="0"/>
              <w:spacing w:before="0" w:after="283"/>
              <w:jc w:val="right"/>
              <w:rPr/>
            </w:pPr>
            <w:r>
              <w:rPr/>
              <w:t>431,323</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06" w:type="dxa"/>
            <w:tcBorders/>
            <w:shd w:fill="DBE5F1" w:val="clear"/>
            <w:vAlign w:val="center"/>
          </w:tcPr>
          <w:p>
            <w:pPr>
              <w:pStyle w:val="TableContents"/>
              <w:bidi w:val="0"/>
              <w:spacing w:before="0" w:after="283"/>
              <w:jc w:val="left"/>
              <w:rPr/>
            </w:pPr>
            <w:r>
              <w:rPr/>
              <w:t> </w:t>
            </w:r>
          </w:p>
        </w:tc>
        <w:tc>
          <w:tcPr>
            <w:tcW w:w="1744" w:type="dxa"/>
            <w:tcBorders/>
            <w:shd w:fill="DBE5F1" w:val="clear"/>
            <w:vAlign w:val="center"/>
          </w:tcPr>
          <w:p>
            <w:pPr>
              <w:pStyle w:val="TableContents"/>
              <w:bidi w:val="0"/>
              <w:spacing w:before="0" w:after="283"/>
              <w:jc w:val="right"/>
              <w:rPr/>
            </w:pPr>
            <w:r>
              <w:rPr/>
              <w:t>3,713,691</w:t>
            </w:r>
          </w:p>
        </w:tc>
        <w:tc>
          <w:tcPr>
            <w:tcW w:w="75" w:type="dxa"/>
            <w:tcBorders/>
            <w:shd w:fill="DBE5F1" w:val="clear"/>
            <w:vAlign w:val="center"/>
          </w:tcPr>
          <w:p>
            <w:pPr>
              <w:pStyle w:val="TableContents"/>
              <w:bidi w:val="0"/>
              <w:spacing w:before="0" w:after="283"/>
              <w:jc w:val="left"/>
              <w:rPr/>
            </w:pPr>
            <w:r>
              <w:rPr/>
              <w:t> </w:t>
            </w:r>
          </w:p>
        </w:tc>
      </w:tr>
      <w:tr>
        <w:trPr/>
        <w:tc>
          <w:tcPr>
            <w:tcW w:w="50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575" w:type="dxa"/>
            <w:tcBorders/>
            <w:shd w:fill="DBE5F1" w:val="clear"/>
            <w:vAlign w:val="center"/>
          </w:tcPr>
          <w:p>
            <w:pPr>
              <w:pStyle w:val="TableContents"/>
              <w:bidi w:val="0"/>
              <w:spacing w:before="0" w:after="283"/>
              <w:jc w:val="right"/>
              <w:rPr/>
            </w:pPr>
            <w:r>
              <w:rPr/>
              <w:t>3/8/2022</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05" w:type="dxa"/>
            <w:tcBorders/>
            <w:shd w:fill="DBE5F1" w:val="clear"/>
            <w:vAlign w:val="center"/>
          </w:tcPr>
          <w:p>
            <w:pPr>
              <w:pStyle w:val="TableContents"/>
              <w:bidi w:val="0"/>
              <w:spacing w:before="0" w:after="283"/>
              <w:jc w:val="left"/>
              <w:rPr/>
            </w:pPr>
            <w:r>
              <w:rPr/>
              <w:t> </w:t>
            </w:r>
          </w:p>
        </w:tc>
        <w:tc>
          <w:tcPr>
            <w:tcW w:w="1415" w:type="dxa"/>
            <w:tcBorders/>
            <w:shd w:fill="DBE5F1" w:val="clear"/>
            <w:vAlign w:val="center"/>
          </w:tcPr>
          <w:p>
            <w:pPr>
              <w:pStyle w:val="TableContents"/>
              <w:bidi w:val="0"/>
              <w:spacing w:before="0" w:after="283"/>
              <w:jc w:val="right"/>
              <w:rPr/>
            </w:pPr>
            <w:r>
              <w:rPr/>
              <w:t>38,017</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23" w:type="dxa"/>
            <w:tcBorders/>
            <w:shd w:fill="DBE5F1" w:val="clear"/>
            <w:vAlign w:val="center"/>
          </w:tcPr>
          <w:p>
            <w:pPr>
              <w:pStyle w:val="TableContents"/>
              <w:bidi w:val="0"/>
              <w:spacing w:before="0" w:after="283"/>
              <w:jc w:val="left"/>
              <w:rPr/>
            </w:pPr>
            <w:r>
              <w:rPr/>
              <w:t> </w:t>
            </w:r>
          </w:p>
        </w:tc>
        <w:tc>
          <w:tcPr>
            <w:tcW w:w="1652" w:type="dxa"/>
            <w:tcBorders/>
            <w:shd w:fill="DBE5F1" w:val="clear"/>
            <w:vAlign w:val="center"/>
          </w:tcPr>
          <w:p>
            <w:pPr>
              <w:pStyle w:val="TableContents"/>
              <w:bidi w:val="0"/>
              <w:spacing w:before="0" w:after="283"/>
              <w:jc w:val="right"/>
              <w:rPr/>
            </w:pPr>
            <w:r>
              <w:rPr/>
              <w:t>114,051</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237" w:type="dxa"/>
            <w:tcBorders/>
            <w:shd w:fill="DBE5F1" w:val="clear"/>
            <w:vAlign w:val="center"/>
          </w:tcPr>
          <w:p>
            <w:pPr>
              <w:pStyle w:val="TableContents"/>
              <w:bidi w:val="0"/>
              <w:spacing w:before="0" w:after="283"/>
              <w:jc w:val="left"/>
              <w:rPr/>
            </w:pPr>
            <w:r>
              <w:rPr/>
              <w:t> </w:t>
            </w:r>
          </w:p>
        </w:tc>
        <w:tc>
          <w:tcPr>
            <w:tcW w:w="1028"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84" w:type="dxa"/>
            <w:tcBorders/>
            <w:shd w:fill="DBE5F1" w:val="clear"/>
            <w:vAlign w:val="center"/>
          </w:tcPr>
          <w:p>
            <w:pPr>
              <w:pStyle w:val="TableContents"/>
              <w:bidi w:val="0"/>
              <w:spacing w:before="0" w:after="283"/>
              <w:jc w:val="left"/>
              <w:rPr/>
            </w:pPr>
            <w:r>
              <w:rPr/>
              <w:t> </w:t>
            </w:r>
          </w:p>
        </w:tc>
        <w:tc>
          <w:tcPr>
            <w:tcW w:w="791" w:type="dxa"/>
            <w:tcBorders/>
            <w:shd w:fill="DBE5F1" w:val="clear"/>
            <w:vAlign w:val="center"/>
          </w:tcPr>
          <w:p>
            <w:pPr>
              <w:pStyle w:val="TableContents"/>
              <w:bidi w:val="0"/>
              <w:spacing w:before="0" w:after="283"/>
              <w:jc w:val="right"/>
              <w:rPr/>
            </w:pPr>
            <w:r>
              <w:rPr/>
              <w:t>9.06</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19" w:type="dxa"/>
            <w:tcBorders/>
            <w:shd w:fill="DBE5F1" w:val="clear"/>
            <w:vAlign w:val="center"/>
          </w:tcPr>
          <w:p>
            <w:pPr>
              <w:pStyle w:val="TableContents"/>
              <w:bidi w:val="0"/>
              <w:spacing w:before="0" w:after="283"/>
              <w:jc w:val="left"/>
              <w:rPr/>
            </w:pPr>
            <w:r>
              <w:rPr/>
              <w:t> </w:t>
            </w:r>
          </w:p>
        </w:tc>
        <w:tc>
          <w:tcPr>
            <w:tcW w:w="996" w:type="dxa"/>
            <w:tcBorders/>
            <w:shd w:fill="DBE5F1" w:val="clear"/>
            <w:vAlign w:val="center"/>
          </w:tcPr>
          <w:p>
            <w:pPr>
              <w:pStyle w:val="TableContents"/>
              <w:bidi w:val="0"/>
              <w:spacing w:before="0" w:after="283"/>
              <w:jc w:val="right"/>
              <w:rPr/>
            </w:pPr>
            <w:r>
              <w:rPr/>
              <w:t>3/8/2032</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07" w:type="dxa"/>
            <w:tcBorders/>
            <w:shd w:fill="DBE5F1" w:val="clear"/>
            <w:vAlign w:val="center"/>
          </w:tcPr>
          <w:p>
            <w:pPr>
              <w:pStyle w:val="TableContents"/>
              <w:bidi w:val="0"/>
              <w:spacing w:before="0" w:after="283"/>
              <w:jc w:val="left"/>
              <w:rPr/>
            </w:pPr>
            <w:r>
              <w:rPr/>
              <w:t> </w:t>
            </w:r>
          </w:p>
        </w:tc>
        <w:tc>
          <w:tcPr>
            <w:tcW w:w="1428"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06" w:type="dxa"/>
            <w:tcBorders/>
            <w:shd w:fill="DBE5F1" w:val="clear"/>
            <w:vAlign w:val="center"/>
          </w:tcPr>
          <w:p>
            <w:pPr>
              <w:pStyle w:val="TableContents"/>
              <w:bidi w:val="0"/>
              <w:spacing w:before="0" w:after="283"/>
              <w:jc w:val="left"/>
              <w:rPr/>
            </w:pPr>
            <w:r>
              <w:rPr/>
              <w:t> </w:t>
            </w:r>
          </w:p>
        </w:tc>
        <w:tc>
          <w:tcPr>
            <w:tcW w:w="1744" w:type="dxa"/>
            <w:tcBorders/>
            <w:shd w:fill="DBE5F1" w:val="clear"/>
            <w:vAlign w:val="center"/>
          </w:tcPr>
          <w:p>
            <w:pPr>
              <w:pStyle w:val="TableContents"/>
              <w:bidi w:val="0"/>
              <w:spacing w:before="0" w:after="283"/>
              <w:jc w:val="right"/>
              <w:rPr/>
            </w:pPr>
            <w:r>
              <w:rPr/>
              <w:t>—</w:t>
            </w:r>
          </w:p>
        </w:tc>
        <w:tc>
          <w:tcPr>
            <w:tcW w:w="75" w:type="dxa"/>
            <w:tcBorders/>
            <w:shd w:fill="DBE5F1" w:val="clear"/>
            <w:vAlign w:val="center"/>
          </w:tcPr>
          <w:p>
            <w:pPr>
              <w:pStyle w:val="TableContents"/>
              <w:bidi w:val="0"/>
              <w:spacing w:before="0" w:after="283"/>
              <w:jc w:val="left"/>
              <w:rPr/>
            </w:pPr>
            <w:r>
              <w:rPr/>
              <w:t> </w:t>
            </w:r>
          </w:p>
        </w:tc>
      </w:tr>
      <w:tr>
        <w:trPr/>
        <w:tc>
          <w:tcPr>
            <w:tcW w:w="50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575" w:type="dxa"/>
            <w:tcBorders/>
            <w:shd w:fill="DBE5F1" w:val="clear"/>
            <w:vAlign w:val="center"/>
          </w:tcPr>
          <w:p>
            <w:pPr>
              <w:pStyle w:val="TableContents"/>
              <w:bidi w:val="0"/>
              <w:spacing w:before="0" w:after="283"/>
              <w:jc w:val="right"/>
              <w:rPr/>
            </w:pPr>
            <w:r>
              <w:rPr/>
              <w:t>3/8/2022</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05" w:type="dxa"/>
            <w:tcBorders/>
            <w:shd w:fill="DBE5F1" w:val="clear"/>
            <w:vAlign w:val="center"/>
          </w:tcPr>
          <w:p>
            <w:pPr>
              <w:pStyle w:val="TableContents"/>
              <w:bidi w:val="0"/>
              <w:spacing w:before="0" w:after="283"/>
              <w:jc w:val="left"/>
              <w:rPr>
                <w:sz w:val="4"/>
                <w:szCs w:val="4"/>
              </w:rPr>
            </w:pPr>
            <w:r>
              <w:rPr>
                <w:sz w:val="4"/>
                <w:szCs w:val="4"/>
              </w:rPr>
            </w:r>
          </w:p>
        </w:tc>
        <w:tc>
          <w:tcPr>
            <w:tcW w:w="1415"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123" w:type="dxa"/>
            <w:tcBorders/>
            <w:shd w:fill="DBE5F1" w:val="clear"/>
            <w:vAlign w:val="center"/>
          </w:tcPr>
          <w:p>
            <w:pPr>
              <w:pStyle w:val="TableContents"/>
              <w:bidi w:val="0"/>
              <w:spacing w:before="0" w:after="283"/>
              <w:jc w:val="left"/>
              <w:rPr>
                <w:sz w:val="4"/>
                <w:szCs w:val="4"/>
              </w:rPr>
            </w:pPr>
            <w:r>
              <w:rPr>
                <w:sz w:val="4"/>
                <w:szCs w:val="4"/>
              </w:rPr>
            </w:r>
          </w:p>
        </w:tc>
        <w:tc>
          <w:tcPr>
            <w:tcW w:w="1652"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237" w:type="dxa"/>
            <w:tcBorders/>
            <w:shd w:fill="DBE5F1" w:val="clear"/>
            <w:vAlign w:val="center"/>
          </w:tcPr>
          <w:p>
            <w:pPr>
              <w:pStyle w:val="TableContents"/>
              <w:bidi w:val="0"/>
              <w:spacing w:before="0" w:after="283"/>
              <w:jc w:val="left"/>
              <w:rPr>
                <w:sz w:val="4"/>
                <w:szCs w:val="4"/>
              </w:rPr>
            </w:pPr>
            <w:r>
              <w:rPr>
                <w:sz w:val="4"/>
                <w:szCs w:val="4"/>
              </w:rPr>
            </w:r>
          </w:p>
        </w:tc>
        <w:tc>
          <w:tcPr>
            <w:tcW w:w="1028"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84" w:type="dxa"/>
            <w:tcBorders/>
            <w:shd w:fill="DBE5F1" w:val="clear"/>
            <w:vAlign w:val="center"/>
          </w:tcPr>
          <w:p>
            <w:pPr>
              <w:pStyle w:val="TableContents"/>
              <w:bidi w:val="0"/>
              <w:spacing w:before="0" w:after="283"/>
              <w:jc w:val="left"/>
              <w:rPr>
                <w:sz w:val="4"/>
                <w:szCs w:val="4"/>
              </w:rPr>
            </w:pPr>
            <w:r>
              <w:rPr>
                <w:sz w:val="4"/>
                <w:szCs w:val="4"/>
              </w:rPr>
            </w:r>
          </w:p>
        </w:tc>
        <w:tc>
          <w:tcPr>
            <w:tcW w:w="791"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119" w:type="dxa"/>
            <w:tcBorders/>
            <w:shd w:fill="DBE5F1" w:val="clear"/>
            <w:vAlign w:val="center"/>
          </w:tcPr>
          <w:p>
            <w:pPr>
              <w:pStyle w:val="TableContents"/>
              <w:bidi w:val="0"/>
              <w:spacing w:before="0" w:after="283"/>
              <w:jc w:val="left"/>
              <w:rPr>
                <w:sz w:val="4"/>
                <w:szCs w:val="4"/>
              </w:rPr>
            </w:pPr>
            <w:r>
              <w:rPr>
                <w:sz w:val="4"/>
                <w:szCs w:val="4"/>
              </w:rPr>
            </w:r>
          </w:p>
        </w:tc>
        <w:tc>
          <w:tcPr>
            <w:tcW w:w="996"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107" w:type="dxa"/>
            <w:tcBorders/>
            <w:shd w:fill="DBE5F1" w:val="clear"/>
            <w:vAlign w:val="center"/>
          </w:tcPr>
          <w:p>
            <w:pPr>
              <w:pStyle w:val="TableContents"/>
              <w:bidi w:val="0"/>
              <w:spacing w:before="0" w:after="283"/>
              <w:jc w:val="left"/>
              <w:rPr/>
            </w:pPr>
            <w:r>
              <w:rPr/>
              <w:t> </w:t>
            </w:r>
          </w:p>
        </w:tc>
        <w:tc>
          <w:tcPr>
            <w:tcW w:w="1428" w:type="dxa"/>
            <w:tcBorders/>
            <w:shd w:fill="DBE5F1" w:val="clear"/>
            <w:vAlign w:val="center"/>
          </w:tcPr>
          <w:p>
            <w:pPr>
              <w:pStyle w:val="TableContents"/>
              <w:bidi w:val="0"/>
              <w:spacing w:before="0" w:after="283"/>
              <w:jc w:val="right"/>
              <w:rPr/>
            </w:pPr>
            <w:r>
              <w:rPr/>
              <w:t>155,215</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06" w:type="dxa"/>
            <w:tcBorders/>
            <w:shd w:fill="DBE5F1" w:val="clear"/>
            <w:vAlign w:val="center"/>
          </w:tcPr>
          <w:p>
            <w:pPr>
              <w:pStyle w:val="TableContents"/>
              <w:bidi w:val="0"/>
              <w:spacing w:before="0" w:after="283"/>
              <w:jc w:val="left"/>
              <w:rPr/>
            </w:pPr>
            <w:r>
              <w:rPr/>
              <w:t> </w:t>
            </w:r>
          </w:p>
        </w:tc>
        <w:tc>
          <w:tcPr>
            <w:tcW w:w="1744" w:type="dxa"/>
            <w:tcBorders/>
            <w:shd w:fill="DBE5F1" w:val="clear"/>
            <w:vAlign w:val="center"/>
          </w:tcPr>
          <w:p>
            <w:pPr>
              <w:pStyle w:val="TableContents"/>
              <w:bidi w:val="0"/>
              <w:spacing w:before="0" w:after="283"/>
              <w:jc w:val="right"/>
              <w:rPr/>
            </w:pPr>
            <w:r>
              <w:rPr/>
              <w:t>1,336,401</w:t>
            </w:r>
          </w:p>
        </w:tc>
        <w:tc>
          <w:tcPr>
            <w:tcW w:w="75" w:type="dxa"/>
            <w:tcBorders/>
            <w:shd w:fill="DBE5F1" w:val="clear"/>
            <w:vAlign w:val="center"/>
          </w:tcPr>
          <w:p>
            <w:pPr>
              <w:pStyle w:val="TableContents"/>
              <w:bidi w:val="0"/>
              <w:spacing w:before="0" w:after="283"/>
              <w:jc w:val="left"/>
              <w:rPr/>
            </w:pPr>
            <w:r>
              <w:rPr/>
              <w:t> </w:t>
            </w:r>
          </w:p>
        </w:tc>
      </w:tr>
      <w:tr>
        <w:trPr/>
        <w:tc>
          <w:tcPr>
            <w:tcW w:w="50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575" w:type="dxa"/>
            <w:tcBorders/>
            <w:shd w:fill="DBE5F1" w:val="clear"/>
            <w:vAlign w:val="center"/>
          </w:tcPr>
          <w:p>
            <w:pPr>
              <w:pStyle w:val="TableContents"/>
              <w:bidi w:val="0"/>
              <w:spacing w:before="0" w:after="283"/>
              <w:jc w:val="right"/>
              <w:rPr/>
            </w:pPr>
            <w:r>
              <w:rPr/>
              <w:t>3/25/2021</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05" w:type="dxa"/>
            <w:tcBorders/>
            <w:shd w:fill="DBE5F1" w:val="clear"/>
            <w:vAlign w:val="center"/>
          </w:tcPr>
          <w:p>
            <w:pPr>
              <w:pStyle w:val="TableContents"/>
              <w:bidi w:val="0"/>
              <w:spacing w:before="0" w:after="283"/>
              <w:jc w:val="left"/>
              <w:rPr/>
            </w:pPr>
            <w:r>
              <w:rPr/>
              <w:t> </w:t>
            </w:r>
          </w:p>
        </w:tc>
        <w:tc>
          <w:tcPr>
            <w:tcW w:w="1415" w:type="dxa"/>
            <w:tcBorders/>
            <w:shd w:fill="DBE5F1" w:val="clear"/>
            <w:vAlign w:val="center"/>
          </w:tcPr>
          <w:p>
            <w:pPr>
              <w:pStyle w:val="TableContents"/>
              <w:bidi w:val="0"/>
              <w:spacing w:before="0" w:after="283"/>
              <w:jc w:val="right"/>
              <w:rPr/>
            </w:pPr>
            <w:r>
              <w:rPr/>
              <w:t>515,352</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23" w:type="dxa"/>
            <w:tcBorders/>
            <w:shd w:fill="DBE5F1" w:val="clear"/>
            <w:vAlign w:val="center"/>
          </w:tcPr>
          <w:p>
            <w:pPr>
              <w:pStyle w:val="TableContents"/>
              <w:bidi w:val="0"/>
              <w:spacing w:before="0" w:after="283"/>
              <w:jc w:val="left"/>
              <w:rPr/>
            </w:pPr>
            <w:r>
              <w:rPr/>
              <w:t> </w:t>
            </w:r>
          </w:p>
        </w:tc>
        <w:tc>
          <w:tcPr>
            <w:tcW w:w="1652" w:type="dxa"/>
            <w:tcBorders/>
            <w:shd w:fill="DBE5F1" w:val="clear"/>
            <w:vAlign w:val="center"/>
          </w:tcPr>
          <w:p>
            <w:pPr>
              <w:pStyle w:val="TableContents"/>
              <w:bidi w:val="0"/>
              <w:spacing w:before="0" w:after="283"/>
              <w:jc w:val="right"/>
              <w:rPr/>
            </w:pPr>
            <w:r>
              <w:rPr/>
              <w:t>515,350</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237" w:type="dxa"/>
            <w:tcBorders/>
            <w:shd w:fill="DBE5F1" w:val="clear"/>
            <w:vAlign w:val="center"/>
          </w:tcPr>
          <w:p>
            <w:pPr>
              <w:pStyle w:val="TableContents"/>
              <w:bidi w:val="0"/>
              <w:spacing w:before="0" w:after="283"/>
              <w:jc w:val="left"/>
              <w:rPr/>
            </w:pPr>
            <w:r>
              <w:rPr/>
              <w:t> </w:t>
            </w:r>
          </w:p>
        </w:tc>
        <w:tc>
          <w:tcPr>
            <w:tcW w:w="1028"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84" w:type="dxa"/>
            <w:tcBorders/>
            <w:shd w:fill="DBE5F1" w:val="clear"/>
            <w:vAlign w:val="center"/>
          </w:tcPr>
          <w:p>
            <w:pPr>
              <w:pStyle w:val="TableContents"/>
              <w:bidi w:val="0"/>
              <w:spacing w:before="0" w:after="283"/>
              <w:jc w:val="left"/>
              <w:rPr/>
            </w:pPr>
            <w:r>
              <w:rPr/>
              <w:t> </w:t>
            </w:r>
          </w:p>
        </w:tc>
        <w:tc>
          <w:tcPr>
            <w:tcW w:w="791" w:type="dxa"/>
            <w:tcBorders/>
            <w:shd w:fill="DBE5F1" w:val="clear"/>
            <w:vAlign w:val="center"/>
          </w:tcPr>
          <w:p>
            <w:pPr>
              <w:pStyle w:val="TableContents"/>
              <w:bidi w:val="0"/>
              <w:spacing w:before="0" w:after="283"/>
              <w:jc w:val="right"/>
              <w:rPr/>
            </w:pPr>
            <w:r>
              <w:rPr/>
              <w:t>18.00</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19" w:type="dxa"/>
            <w:tcBorders/>
            <w:shd w:fill="DBE5F1" w:val="clear"/>
            <w:vAlign w:val="center"/>
          </w:tcPr>
          <w:p>
            <w:pPr>
              <w:pStyle w:val="TableContents"/>
              <w:bidi w:val="0"/>
              <w:spacing w:before="0" w:after="283"/>
              <w:jc w:val="left"/>
              <w:rPr/>
            </w:pPr>
            <w:r>
              <w:rPr/>
              <w:t> </w:t>
            </w:r>
          </w:p>
        </w:tc>
        <w:tc>
          <w:tcPr>
            <w:tcW w:w="996" w:type="dxa"/>
            <w:tcBorders/>
            <w:shd w:fill="DBE5F1" w:val="clear"/>
            <w:vAlign w:val="center"/>
          </w:tcPr>
          <w:p>
            <w:pPr>
              <w:pStyle w:val="TableContents"/>
              <w:bidi w:val="0"/>
              <w:spacing w:before="0" w:after="283"/>
              <w:jc w:val="right"/>
              <w:rPr/>
            </w:pPr>
            <w:r>
              <w:rPr/>
              <w:t>3/25/2031</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07" w:type="dxa"/>
            <w:tcBorders/>
            <w:shd w:fill="DBE5F1" w:val="clear"/>
            <w:vAlign w:val="center"/>
          </w:tcPr>
          <w:p>
            <w:pPr>
              <w:pStyle w:val="TableContents"/>
              <w:bidi w:val="0"/>
              <w:spacing w:before="0" w:after="283"/>
              <w:jc w:val="left"/>
              <w:rPr/>
            </w:pPr>
            <w:r>
              <w:rPr/>
              <w:t> </w:t>
            </w:r>
          </w:p>
        </w:tc>
        <w:tc>
          <w:tcPr>
            <w:tcW w:w="1428"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06" w:type="dxa"/>
            <w:tcBorders/>
            <w:shd w:fill="DBE5F1" w:val="clear"/>
            <w:vAlign w:val="center"/>
          </w:tcPr>
          <w:p>
            <w:pPr>
              <w:pStyle w:val="TableContents"/>
              <w:bidi w:val="0"/>
              <w:spacing w:before="0" w:after="283"/>
              <w:jc w:val="left"/>
              <w:rPr/>
            </w:pPr>
            <w:r>
              <w:rPr/>
              <w:t> </w:t>
            </w:r>
          </w:p>
        </w:tc>
        <w:tc>
          <w:tcPr>
            <w:tcW w:w="1744" w:type="dxa"/>
            <w:tcBorders/>
            <w:shd w:fill="DBE5F1" w:val="clear"/>
            <w:vAlign w:val="center"/>
          </w:tcPr>
          <w:p>
            <w:pPr>
              <w:pStyle w:val="TableContents"/>
              <w:bidi w:val="0"/>
              <w:spacing w:before="0" w:after="283"/>
              <w:jc w:val="right"/>
              <w:rPr/>
            </w:pPr>
            <w:r>
              <w:rPr/>
              <w:t>—</w:t>
            </w:r>
          </w:p>
        </w:tc>
        <w:tc>
          <w:tcPr>
            <w:tcW w:w="75" w:type="dxa"/>
            <w:tcBorders/>
            <w:shd w:fill="DBE5F1" w:val="clear"/>
            <w:vAlign w:val="center"/>
          </w:tcPr>
          <w:p>
            <w:pPr>
              <w:pStyle w:val="TableContents"/>
              <w:bidi w:val="0"/>
              <w:spacing w:before="0" w:after="283"/>
              <w:jc w:val="left"/>
              <w:rPr/>
            </w:pPr>
            <w:r>
              <w:rPr/>
              <w:t> </w:t>
            </w:r>
          </w:p>
        </w:tc>
      </w:tr>
      <w:tr>
        <w:trPr/>
        <w:tc>
          <w:tcPr>
            <w:tcW w:w="50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575" w:type="dxa"/>
            <w:tcBorders/>
            <w:shd w:fill="DBE5F1" w:val="clear"/>
            <w:vAlign w:val="center"/>
          </w:tcPr>
          <w:p>
            <w:pPr>
              <w:pStyle w:val="TableContents"/>
              <w:bidi w:val="0"/>
              <w:spacing w:before="0" w:after="283"/>
              <w:jc w:val="right"/>
              <w:rPr/>
            </w:pPr>
            <w:r>
              <w:rPr/>
              <w:t>3/25/2021</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05" w:type="dxa"/>
            <w:tcBorders/>
            <w:shd w:fill="DBE5F1" w:val="clear"/>
            <w:vAlign w:val="center"/>
          </w:tcPr>
          <w:p>
            <w:pPr>
              <w:pStyle w:val="TableContents"/>
              <w:bidi w:val="0"/>
              <w:spacing w:before="0" w:after="283"/>
              <w:jc w:val="left"/>
              <w:rPr/>
            </w:pPr>
            <w:r>
              <w:rPr/>
              <w:t> </w:t>
            </w:r>
          </w:p>
        </w:tc>
        <w:tc>
          <w:tcPr>
            <w:tcW w:w="1415"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23" w:type="dxa"/>
            <w:tcBorders/>
            <w:shd w:fill="DBE5F1" w:val="clear"/>
            <w:vAlign w:val="center"/>
          </w:tcPr>
          <w:p>
            <w:pPr>
              <w:pStyle w:val="TableContents"/>
              <w:bidi w:val="0"/>
              <w:spacing w:before="0" w:after="283"/>
              <w:jc w:val="left"/>
              <w:rPr/>
            </w:pPr>
            <w:r>
              <w:rPr/>
              <w:t> </w:t>
            </w:r>
          </w:p>
        </w:tc>
        <w:tc>
          <w:tcPr>
            <w:tcW w:w="1652"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237" w:type="dxa"/>
            <w:tcBorders/>
            <w:shd w:fill="DBE5F1" w:val="clear"/>
            <w:vAlign w:val="center"/>
          </w:tcPr>
          <w:p>
            <w:pPr>
              <w:pStyle w:val="TableContents"/>
              <w:bidi w:val="0"/>
              <w:spacing w:before="0" w:after="283"/>
              <w:jc w:val="left"/>
              <w:rPr/>
            </w:pPr>
            <w:r>
              <w:rPr/>
              <w:t> </w:t>
            </w:r>
          </w:p>
        </w:tc>
        <w:tc>
          <w:tcPr>
            <w:tcW w:w="1028"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84" w:type="dxa"/>
            <w:tcBorders/>
            <w:shd w:fill="DBE5F1" w:val="clear"/>
            <w:vAlign w:val="center"/>
          </w:tcPr>
          <w:p>
            <w:pPr>
              <w:pStyle w:val="TableContents"/>
              <w:bidi w:val="0"/>
              <w:spacing w:before="0" w:after="283"/>
              <w:jc w:val="left"/>
              <w:rPr/>
            </w:pPr>
            <w:r>
              <w:rPr/>
              <w:t> </w:t>
            </w:r>
          </w:p>
        </w:tc>
        <w:tc>
          <w:tcPr>
            <w:tcW w:w="791"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19" w:type="dxa"/>
            <w:tcBorders/>
            <w:shd w:fill="DBE5F1" w:val="clear"/>
            <w:vAlign w:val="center"/>
          </w:tcPr>
          <w:p>
            <w:pPr>
              <w:pStyle w:val="TableContents"/>
              <w:bidi w:val="0"/>
              <w:spacing w:before="0" w:after="283"/>
              <w:jc w:val="left"/>
              <w:rPr/>
            </w:pPr>
            <w:r>
              <w:rPr/>
              <w:t> </w:t>
            </w:r>
          </w:p>
        </w:tc>
        <w:tc>
          <w:tcPr>
            <w:tcW w:w="996"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07" w:type="dxa"/>
            <w:tcBorders/>
            <w:shd w:fill="DBE5F1" w:val="clear"/>
            <w:vAlign w:val="center"/>
          </w:tcPr>
          <w:p>
            <w:pPr>
              <w:pStyle w:val="TableContents"/>
              <w:bidi w:val="0"/>
              <w:spacing w:before="0" w:after="283"/>
              <w:jc w:val="left"/>
              <w:rPr/>
            </w:pPr>
            <w:r>
              <w:rPr/>
              <w:t> </w:t>
            </w:r>
          </w:p>
        </w:tc>
        <w:tc>
          <w:tcPr>
            <w:tcW w:w="1428" w:type="dxa"/>
            <w:tcBorders/>
            <w:shd w:fill="DBE5F1" w:val="clear"/>
            <w:vAlign w:val="center"/>
          </w:tcPr>
          <w:p>
            <w:pPr>
              <w:pStyle w:val="TableContents"/>
              <w:bidi w:val="0"/>
              <w:spacing w:before="0" w:after="283"/>
              <w:jc w:val="right"/>
              <w:rPr/>
            </w:pPr>
            <w:r>
              <w:rPr/>
              <w:t>40,924</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06" w:type="dxa"/>
            <w:tcBorders/>
            <w:shd w:fill="DBE5F1" w:val="clear"/>
            <w:vAlign w:val="center"/>
          </w:tcPr>
          <w:p>
            <w:pPr>
              <w:pStyle w:val="TableContents"/>
              <w:bidi w:val="0"/>
              <w:spacing w:before="0" w:after="283"/>
              <w:jc w:val="left"/>
              <w:rPr/>
            </w:pPr>
            <w:r>
              <w:rPr/>
              <w:t> </w:t>
            </w:r>
          </w:p>
        </w:tc>
        <w:tc>
          <w:tcPr>
            <w:tcW w:w="1744" w:type="dxa"/>
            <w:tcBorders/>
            <w:shd w:fill="DBE5F1" w:val="clear"/>
            <w:vAlign w:val="center"/>
          </w:tcPr>
          <w:p>
            <w:pPr>
              <w:pStyle w:val="TableContents"/>
              <w:bidi w:val="0"/>
              <w:spacing w:before="0" w:after="283"/>
              <w:jc w:val="right"/>
              <w:rPr/>
            </w:pPr>
            <w:r>
              <w:rPr/>
              <w:t>352,356</w:t>
            </w:r>
          </w:p>
        </w:tc>
        <w:tc>
          <w:tcPr>
            <w:tcW w:w="75" w:type="dxa"/>
            <w:tcBorders/>
            <w:shd w:fill="DBE5F1" w:val="clear"/>
            <w:vAlign w:val="center"/>
          </w:tcPr>
          <w:p>
            <w:pPr>
              <w:pStyle w:val="TableContents"/>
              <w:bidi w:val="0"/>
              <w:spacing w:before="0" w:after="283"/>
              <w:jc w:val="left"/>
              <w:rPr/>
            </w:pPr>
            <w:r>
              <w:rPr/>
              <w:t> </w:t>
            </w:r>
          </w:p>
        </w:tc>
      </w:tr>
      <w:tr>
        <w:trPr/>
        <w:tc>
          <w:tcPr>
            <w:tcW w:w="50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575" w:type="dxa"/>
            <w:tcBorders/>
            <w:shd w:fill="DBE5F1" w:val="clear"/>
            <w:vAlign w:val="center"/>
          </w:tcPr>
          <w:p>
            <w:pPr>
              <w:pStyle w:val="TableContents"/>
              <w:bidi w:val="0"/>
              <w:spacing w:before="0" w:after="283"/>
              <w:jc w:val="right"/>
              <w:rPr/>
            </w:pPr>
            <w:r>
              <w:rPr/>
              <w:t>9/25/2020</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05" w:type="dxa"/>
            <w:tcBorders/>
            <w:shd w:fill="DBE5F1" w:val="clear"/>
            <w:vAlign w:val="center"/>
          </w:tcPr>
          <w:p>
            <w:pPr>
              <w:pStyle w:val="TableContents"/>
              <w:bidi w:val="0"/>
              <w:spacing w:before="0" w:after="283"/>
              <w:jc w:val="left"/>
              <w:rPr/>
            </w:pPr>
            <w:r>
              <w:rPr/>
              <w:t> </w:t>
            </w:r>
          </w:p>
        </w:tc>
        <w:tc>
          <w:tcPr>
            <w:tcW w:w="1415"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23" w:type="dxa"/>
            <w:tcBorders/>
            <w:shd w:fill="DBE5F1" w:val="clear"/>
            <w:vAlign w:val="center"/>
          </w:tcPr>
          <w:p>
            <w:pPr>
              <w:pStyle w:val="TableContents"/>
              <w:bidi w:val="0"/>
              <w:spacing w:before="0" w:after="283"/>
              <w:jc w:val="left"/>
              <w:rPr/>
            </w:pPr>
            <w:r>
              <w:rPr/>
              <w:t> </w:t>
            </w:r>
          </w:p>
        </w:tc>
        <w:tc>
          <w:tcPr>
            <w:tcW w:w="1652"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237" w:type="dxa"/>
            <w:tcBorders/>
            <w:shd w:fill="DBE5F1" w:val="clear"/>
            <w:vAlign w:val="center"/>
          </w:tcPr>
          <w:p>
            <w:pPr>
              <w:pStyle w:val="TableContents"/>
              <w:bidi w:val="0"/>
              <w:spacing w:before="0" w:after="283"/>
              <w:jc w:val="left"/>
              <w:rPr/>
            </w:pPr>
            <w:r>
              <w:rPr/>
              <w:t> </w:t>
            </w:r>
          </w:p>
        </w:tc>
        <w:tc>
          <w:tcPr>
            <w:tcW w:w="1028"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84" w:type="dxa"/>
            <w:tcBorders/>
            <w:shd w:fill="DBE5F1" w:val="clear"/>
            <w:vAlign w:val="center"/>
          </w:tcPr>
          <w:p>
            <w:pPr>
              <w:pStyle w:val="TableContents"/>
              <w:bidi w:val="0"/>
              <w:spacing w:before="0" w:after="283"/>
              <w:jc w:val="left"/>
              <w:rPr/>
            </w:pPr>
            <w:r>
              <w:rPr/>
              <w:t> </w:t>
            </w:r>
          </w:p>
        </w:tc>
        <w:tc>
          <w:tcPr>
            <w:tcW w:w="791"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19" w:type="dxa"/>
            <w:tcBorders/>
            <w:shd w:fill="DBE5F1" w:val="clear"/>
            <w:vAlign w:val="center"/>
          </w:tcPr>
          <w:p>
            <w:pPr>
              <w:pStyle w:val="TableContents"/>
              <w:bidi w:val="0"/>
              <w:spacing w:before="0" w:after="283"/>
              <w:jc w:val="left"/>
              <w:rPr/>
            </w:pPr>
            <w:r>
              <w:rPr/>
              <w:t> </w:t>
            </w:r>
          </w:p>
        </w:tc>
        <w:tc>
          <w:tcPr>
            <w:tcW w:w="996"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07" w:type="dxa"/>
            <w:tcBorders/>
            <w:shd w:fill="DBE5F1" w:val="clear"/>
            <w:vAlign w:val="center"/>
          </w:tcPr>
          <w:p>
            <w:pPr>
              <w:pStyle w:val="TableContents"/>
              <w:bidi w:val="0"/>
              <w:spacing w:before="0" w:after="283"/>
              <w:jc w:val="left"/>
              <w:rPr/>
            </w:pPr>
            <w:r>
              <w:rPr/>
              <w:t> </w:t>
            </w:r>
          </w:p>
        </w:tc>
        <w:tc>
          <w:tcPr>
            <w:tcW w:w="1428" w:type="dxa"/>
            <w:tcBorders/>
            <w:shd w:fill="DBE5F1" w:val="clear"/>
            <w:vAlign w:val="center"/>
          </w:tcPr>
          <w:p>
            <w:pPr>
              <w:pStyle w:val="TableContents"/>
              <w:bidi w:val="0"/>
              <w:spacing w:before="0" w:after="283"/>
              <w:jc w:val="right"/>
              <w:rPr/>
            </w:pPr>
            <w:r>
              <w:rPr/>
              <w:t>81,503</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06" w:type="dxa"/>
            <w:tcBorders/>
            <w:shd w:fill="DBE5F1" w:val="clear"/>
            <w:vAlign w:val="center"/>
          </w:tcPr>
          <w:p>
            <w:pPr>
              <w:pStyle w:val="TableContents"/>
              <w:bidi w:val="0"/>
              <w:spacing w:before="0" w:after="283"/>
              <w:jc w:val="left"/>
              <w:rPr/>
            </w:pPr>
            <w:r>
              <w:rPr/>
              <w:t> </w:t>
            </w:r>
          </w:p>
        </w:tc>
        <w:tc>
          <w:tcPr>
            <w:tcW w:w="1744" w:type="dxa"/>
            <w:tcBorders/>
            <w:shd w:fill="DBE5F1" w:val="clear"/>
            <w:vAlign w:val="center"/>
          </w:tcPr>
          <w:p>
            <w:pPr>
              <w:pStyle w:val="TableContents"/>
              <w:bidi w:val="0"/>
              <w:spacing w:before="0" w:after="283"/>
              <w:jc w:val="right"/>
              <w:rPr/>
            </w:pPr>
            <w:r>
              <w:rPr/>
              <w:t>701,741</w:t>
            </w:r>
          </w:p>
        </w:tc>
        <w:tc>
          <w:tcPr>
            <w:tcW w:w="75" w:type="dxa"/>
            <w:tcBorders/>
            <w:shd w:fill="DBE5F1" w:val="clear"/>
            <w:vAlign w:val="center"/>
          </w:tcPr>
          <w:p>
            <w:pPr>
              <w:pStyle w:val="TableContents"/>
              <w:bidi w:val="0"/>
              <w:spacing w:before="0" w:after="283"/>
              <w:jc w:val="left"/>
              <w:rPr/>
            </w:pPr>
            <w:r>
              <w:rPr/>
              <w:t> </w:t>
            </w:r>
          </w:p>
        </w:tc>
      </w:tr>
      <w:tr>
        <w:trPr/>
        <w:tc>
          <w:tcPr>
            <w:tcW w:w="500" w:type="dxa"/>
            <w:tcBorders>
              <w:top w:val="single" w:sz="8" w:space="0" w:color="95B3D7"/>
            </w:tcBorders>
            <w:tcMar>
              <w:top w:w="28" w:type="dxa"/>
            </w:tcMar>
            <w:vAlign w:val="center"/>
          </w:tcPr>
          <w:p>
            <w:pPr>
              <w:pStyle w:val="TableContents"/>
              <w:bidi w:val="0"/>
              <w:spacing w:before="0" w:after="0"/>
              <w:jc w:val="left"/>
              <w:rPr>
                <w:rFonts w:ascii="ARIAL" w:hAnsi="ARIAL"/>
                <w:sz w:val="12"/>
              </w:rPr>
            </w:pPr>
            <w:r>
              <w:rPr>
                <w:rFonts w:ascii="ARIAL" w:hAnsi="ARIAL"/>
                <w:sz w:val="12"/>
              </w:rPr>
              <w:t>Hakan Kardes</w:t>
            </w:r>
          </w:p>
        </w:tc>
        <w:tc>
          <w:tcPr>
            <w:tcW w:w="120" w:type="dxa"/>
            <w:tcBorders>
              <w:top w:val="single" w:sz="8" w:space="0" w:color="95B3D7"/>
            </w:tcBorders>
            <w:tcMar>
              <w:top w:w="28" w:type="dxa"/>
            </w:tcMar>
            <w:vAlign w:val="center"/>
          </w:tcPr>
          <w:p>
            <w:pPr>
              <w:pStyle w:val="TableContents"/>
              <w:bidi w:val="0"/>
              <w:spacing w:before="0" w:after="283"/>
              <w:jc w:val="left"/>
              <w:rPr/>
            </w:pPr>
            <w:r>
              <w:rPr/>
              <w:t>  </w:t>
            </w:r>
          </w:p>
        </w:tc>
        <w:tc>
          <w:tcPr>
            <w:tcW w:w="60" w:type="dxa"/>
            <w:tcBorders>
              <w:top w:val="single" w:sz="8" w:space="0" w:color="95B3D7"/>
            </w:tcBorders>
            <w:tcMar>
              <w:top w:w="28" w:type="dxa"/>
            </w:tcMar>
            <w:vAlign w:val="center"/>
          </w:tcPr>
          <w:p>
            <w:pPr>
              <w:pStyle w:val="TableContents"/>
              <w:bidi w:val="0"/>
              <w:spacing w:before="0" w:after="283"/>
              <w:jc w:val="left"/>
              <w:rPr/>
            </w:pPr>
            <w:r>
              <w:rPr/>
              <w:t> </w:t>
            </w:r>
          </w:p>
        </w:tc>
        <w:tc>
          <w:tcPr>
            <w:tcW w:w="575" w:type="dxa"/>
            <w:tcBorders>
              <w:top w:val="single" w:sz="8" w:space="0" w:color="95B3D7"/>
            </w:tcBorders>
            <w:tcMar>
              <w:top w:w="28" w:type="dxa"/>
            </w:tcMar>
            <w:vAlign w:val="center"/>
          </w:tcPr>
          <w:p>
            <w:pPr>
              <w:pStyle w:val="TableContents"/>
              <w:bidi w:val="0"/>
              <w:spacing w:before="0" w:after="283"/>
              <w:jc w:val="right"/>
              <w:rPr/>
            </w:pPr>
            <w:r>
              <w:rPr/>
              <w:t>9/14/2023</w:t>
            </w:r>
          </w:p>
        </w:tc>
        <w:tc>
          <w:tcPr>
            <w:tcW w:w="60" w:type="dxa"/>
            <w:tcBorders>
              <w:top w:val="single" w:sz="8" w:space="0" w:color="95B3D7"/>
            </w:tcBorders>
            <w:tcMar>
              <w:top w:w="28" w:type="dxa"/>
            </w:tcMar>
            <w:vAlign w:val="center"/>
          </w:tcPr>
          <w:p>
            <w:pPr>
              <w:pStyle w:val="TableContents"/>
              <w:bidi w:val="0"/>
              <w:spacing w:before="0" w:after="283"/>
              <w:jc w:val="left"/>
              <w:rPr/>
            </w:pPr>
            <w:r>
              <w:rPr/>
              <w:t> </w:t>
            </w:r>
          </w:p>
        </w:tc>
        <w:tc>
          <w:tcPr>
            <w:tcW w:w="120" w:type="dxa"/>
            <w:tcBorders>
              <w:top w:val="single" w:sz="8" w:space="0" w:color="95B3D7"/>
            </w:tcBorders>
            <w:tcMar>
              <w:top w:w="28" w:type="dxa"/>
            </w:tcMar>
            <w:vAlign w:val="center"/>
          </w:tcPr>
          <w:p>
            <w:pPr>
              <w:pStyle w:val="TableContents"/>
              <w:bidi w:val="0"/>
              <w:spacing w:before="0" w:after="283"/>
              <w:jc w:val="left"/>
              <w:rPr/>
            </w:pPr>
            <w:r>
              <w:rPr/>
              <w:t>  </w:t>
            </w:r>
          </w:p>
        </w:tc>
        <w:tc>
          <w:tcPr>
            <w:tcW w:w="105" w:type="dxa"/>
            <w:tcBorders>
              <w:top w:val="single" w:sz="8" w:space="0" w:color="95B3D7"/>
            </w:tcBorders>
            <w:tcMar>
              <w:top w:w="28" w:type="dxa"/>
            </w:tcMar>
            <w:vAlign w:val="center"/>
          </w:tcPr>
          <w:p>
            <w:pPr>
              <w:pStyle w:val="TableContents"/>
              <w:bidi w:val="0"/>
              <w:spacing w:before="0" w:after="283"/>
              <w:jc w:val="left"/>
              <w:rPr/>
            </w:pPr>
            <w:r>
              <w:rPr/>
              <w:t> </w:t>
            </w:r>
          </w:p>
        </w:tc>
        <w:tc>
          <w:tcPr>
            <w:tcW w:w="1415" w:type="dxa"/>
            <w:tcBorders>
              <w:top w:val="single" w:sz="8" w:space="0" w:color="95B3D7"/>
            </w:tcBorders>
            <w:tcMar>
              <w:top w:w="28" w:type="dxa"/>
            </w:tcMar>
            <w:vAlign w:val="center"/>
          </w:tcPr>
          <w:p>
            <w:pPr>
              <w:pStyle w:val="TableContents"/>
              <w:bidi w:val="0"/>
              <w:spacing w:before="0" w:after="283"/>
              <w:jc w:val="right"/>
              <w:rPr/>
            </w:pPr>
            <w:r>
              <w:rPr/>
              <w:t>—</w:t>
            </w:r>
          </w:p>
        </w:tc>
        <w:tc>
          <w:tcPr>
            <w:tcW w:w="60" w:type="dxa"/>
            <w:tcBorders>
              <w:top w:val="single" w:sz="8" w:space="0" w:color="95B3D7"/>
            </w:tcBorders>
            <w:tcMar>
              <w:top w:w="28" w:type="dxa"/>
            </w:tcMar>
            <w:vAlign w:val="center"/>
          </w:tcPr>
          <w:p>
            <w:pPr>
              <w:pStyle w:val="TableContents"/>
              <w:bidi w:val="0"/>
              <w:spacing w:before="0" w:after="283"/>
              <w:jc w:val="left"/>
              <w:rPr/>
            </w:pPr>
            <w:r>
              <w:rPr/>
              <w:t> </w:t>
            </w:r>
          </w:p>
        </w:tc>
        <w:tc>
          <w:tcPr>
            <w:tcW w:w="120" w:type="dxa"/>
            <w:tcBorders>
              <w:top w:val="single" w:sz="8" w:space="0" w:color="95B3D7"/>
            </w:tcBorders>
            <w:tcMar>
              <w:top w:w="28" w:type="dxa"/>
            </w:tcMar>
            <w:vAlign w:val="center"/>
          </w:tcPr>
          <w:p>
            <w:pPr>
              <w:pStyle w:val="TableContents"/>
              <w:bidi w:val="0"/>
              <w:spacing w:before="0" w:after="283"/>
              <w:jc w:val="left"/>
              <w:rPr/>
            </w:pPr>
            <w:r>
              <w:rPr/>
              <w:t>  </w:t>
            </w:r>
          </w:p>
        </w:tc>
        <w:tc>
          <w:tcPr>
            <w:tcW w:w="123" w:type="dxa"/>
            <w:tcBorders>
              <w:top w:val="single" w:sz="8" w:space="0" w:color="95B3D7"/>
            </w:tcBorders>
            <w:tcMar>
              <w:top w:w="28" w:type="dxa"/>
            </w:tcMar>
            <w:vAlign w:val="center"/>
          </w:tcPr>
          <w:p>
            <w:pPr>
              <w:pStyle w:val="TableContents"/>
              <w:bidi w:val="0"/>
              <w:spacing w:before="0" w:after="283"/>
              <w:jc w:val="left"/>
              <w:rPr/>
            </w:pPr>
            <w:r>
              <w:rPr/>
              <w:t> </w:t>
            </w:r>
          </w:p>
        </w:tc>
        <w:tc>
          <w:tcPr>
            <w:tcW w:w="1652" w:type="dxa"/>
            <w:tcBorders>
              <w:top w:val="single" w:sz="8" w:space="0" w:color="95B3D7"/>
            </w:tcBorders>
            <w:tcMar>
              <w:top w:w="28" w:type="dxa"/>
            </w:tcMar>
            <w:vAlign w:val="center"/>
          </w:tcPr>
          <w:p>
            <w:pPr>
              <w:pStyle w:val="TableContents"/>
              <w:bidi w:val="0"/>
              <w:spacing w:before="0" w:after="283"/>
              <w:jc w:val="right"/>
              <w:rPr/>
            </w:pPr>
            <w:r>
              <w:rPr/>
              <w:t>—</w:t>
            </w:r>
          </w:p>
        </w:tc>
        <w:tc>
          <w:tcPr>
            <w:tcW w:w="60" w:type="dxa"/>
            <w:tcBorders>
              <w:top w:val="single" w:sz="8" w:space="0" w:color="95B3D7"/>
            </w:tcBorders>
            <w:tcMar>
              <w:top w:w="28" w:type="dxa"/>
            </w:tcMar>
            <w:vAlign w:val="center"/>
          </w:tcPr>
          <w:p>
            <w:pPr>
              <w:pStyle w:val="TableContents"/>
              <w:bidi w:val="0"/>
              <w:spacing w:before="0" w:after="283"/>
              <w:jc w:val="left"/>
              <w:rPr/>
            </w:pPr>
            <w:r>
              <w:rPr/>
              <w:t> </w:t>
            </w:r>
          </w:p>
        </w:tc>
        <w:tc>
          <w:tcPr>
            <w:tcW w:w="120" w:type="dxa"/>
            <w:tcBorders>
              <w:top w:val="single" w:sz="8" w:space="0" w:color="95B3D7"/>
            </w:tcBorders>
            <w:tcMar>
              <w:top w:w="28" w:type="dxa"/>
            </w:tcMar>
            <w:vAlign w:val="center"/>
          </w:tcPr>
          <w:p>
            <w:pPr>
              <w:pStyle w:val="TableContents"/>
              <w:bidi w:val="0"/>
              <w:spacing w:before="0" w:after="283"/>
              <w:jc w:val="left"/>
              <w:rPr/>
            </w:pPr>
            <w:r>
              <w:rPr/>
              <w:t>  </w:t>
            </w:r>
          </w:p>
        </w:tc>
        <w:tc>
          <w:tcPr>
            <w:tcW w:w="237" w:type="dxa"/>
            <w:tcBorders>
              <w:top w:val="single" w:sz="8" w:space="0" w:color="95B3D7"/>
            </w:tcBorders>
            <w:tcMar>
              <w:top w:w="28" w:type="dxa"/>
            </w:tcMar>
            <w:vAlign w:val="center"/>
          </w:tcPr>
          <w:p>
            <w:pPr>
              <w:pStyle w:val="TableContents"/>
              <w:bidi w:val="0"/>
              <w:spacing w:before="0" w:after="283"/>
              <w:jc w:val="left"/>
              <w:rPr/>
            </w:pPr>
            <w:r>
              <w:rPr/>
              <w:t> </w:t>
            </w:r>
          </w:p>
        </w:tc>
        <w:tc>
          <w:tcPr>
            <w:tcW w:w="1028" w:type="dxa"/>
            <w:tcBorders>
              <w:top w:val="single" w:sz="8" w:space="0" w:color="95B3D7"/>
            </w:tcBorders>
            <w:tcMar>
              <w:top w:w="28" w:type="dxa"/>
            </w:tcMar>
            <w:vAlign w:val="center"/>
          </w:tcPr>
          <w:p>
            <w:pPr>
              <w:pStyle w:val="TableContents"/>
              <w:bidi w:val="0"/>
              <w:spacing w:before="0" w:after="283"/>
              <w:jc w:val="right"/>
              <w:rPr/>
            </w:pPr>
            <w:r>
              <w:rPr/>
              <w:t>—</w:t>
            </w:r>
          </w:p>
        </w:tc>
        <w:tc>
          <w:tcPr>
            <w:tcW w:w="60" w:type="dxa"/>
            <w:tcBorders>
              <w:top w:val="single" w:sz="8" w:space="0" w:color="95B3D7"/>
            </w:tcBorders>
            <w:tcMar>
              <w:top w:w="28" w:type="dxa"/>
            </w:tcMar>
            <w:vAlign w:val="center"/>
          </w:tcPr>
          <w:p>
            <w:pPr>
              <w:pStyle w:val="TableContents"/>
              <w:bidi w:val="0"/>
              <w:spacing w:before="0" w:after="283"/>
              <w:jc w:val="left"/>
              <w:rPr/>
            </w:pPr>
            <w:r>
              <w:rPr/>
              <w:t> </w:t>
            </w:r>
          </w:p>
        </w:tc>
        <w:tc>
          <w:tcPr>
            <w:tcW w:w="120" w:type="dxa"/>
            <w:tcBorders>
              <w:top w:val="single" w:sz="8" w:space="0" w:color="95B3D7"/>
            </w:tcBorders>
            <w:tcMar>
              <w:top w:w="28" w:type="dxa"/>
            </w:tcMar>
            <w:vAlign w:val="center"/>
          </w:tcPr>
          <w:p>
            <w:pPr>
              <w:pStyle w:val="TableContents"/>
              <w:bidi w:val="0"/>
              <w:spacing w:before="0" w:after="283"/>
              <w:jc w:val="left"/>
              <w:rPr/>
            </w:pPr>
            <w:r>
              <w:rPr/>
              <w:t>  </w:t>
            </w:r>
          </w:p>
        </w:tc>
        <w:tc>
          <w:tcPr>
            <w:tcW w:w="84" w:type="dxa"/>
            <w:tcBorders>
              <w:top w:val="single" w:sz="8" w:space="0" w:color="95B3D7"/>
            </w:tcBorders>
            <w:tcMar>
              <w:top w:w="28" w:type="dxa"/>
            </w:tcMar>
            <w:vAlign w:val="center"/>
          </w:tcPr>
          <w:p>
            <w:pPr>
              <w:pStyle w:val="TableContents"/>
              <w:bidi w:val="0"/>
              <w:spacing w:before="0" w:after="283"/>
              <w:jc w:val="left"/>
              <w:rPr/>
            </w:pPr>
            <w:r>
              <w:rPr/>
              <w:t> </w:t>
            </w:r>
          </w:p>
        </w:tc>
        <w:tc>
          <w:tcPr>
            <w:tcW w:w="791" w:type="dxa"/>
            <w:tcBorders>
              <w:top w:val="single" w:sz="8" w:space="0" w:color="95B3D7"/>
            </w:tcBorders>
            <w:tcMar>
              <w:top w:w="28" w:type="dxa"/>
            </w:tcMar>
            <w:vAlign w:val="center"/>
          </w:tcPr>
          <w:p>
            <w:pPr>
              <w:pStyle w:val="TableContents"/>
              <w:bidi w:val="0"/>
              <w:spacing w:before="0" w:after="283"/>
              <w:jc w:val="right"/>
              <w:rPr/>
            </w:pPr>
            <w:r>
              <w:rPr/>
              <w:t>—</w:t>
            </w:r>
          </w:p>
        </w:tc>
        <w:tc>
          <w:tcPr>
            <w:tcW w:w="60" w:type="dxa"/>
            <w:tcBorders>
              <w:top w:val="single" w:sz="8" w:space="0" w:color="95B3D7"/>
            </w:tcBorders>
            <w:tcMar>
              <w:top w:w="28" w:type="dxa"/>
            </w:tcMar>
            <w:vAlign w:val="center"/>
          </w:tcPr>
          <w:p>
            <w:pPr>
              <w:pStyle w:val="TableContents"/>
              <w:bidi w:val="0"/>
              <w:spacing w:before="0" w:after="283"/>
              <w:jc w:val="left"/>
              <w:rPr/>
            </w:pPr>
            <w:r>
              <w:rPr/>
              <w:t> </w:t>
            </w:r>
          </w:p>
        </w:tc>
        <w:tc>
          <w:tcPr>
            <w:tcW w:w="120" w:type="dxa"/>
            <w:tcBorders>
              <w:top w:val="single" w:sz="8" w:space="0" w:color="95B3D7"/>
            </w:tcBorders>
            <w:tcMar>
              <w:top w:w="28" w:type="dxa"/>
            </w:tcMar>
            <w:vAlign w:val="center"/>
          </w:tcPr>
          <w:p>
            <w:pPr>
              <w:pStyle w:val="TableContents"/>
              <w:bidi w:val="0"/>
              <w:spacing w:before="0" w:after="283"/>
              <w:jc w:val="left"/>
              <w:rPr/>
            </w:pPr>
            <w:r>
              <w:rPr/>
              <w:t>  </w:t>
            </w:r>
          </w:p>
        </w:tc>
        <w:tc>
          <w:tcPr>
            <w:tcW w:w="119" w:type="dxa"/>
            <w:tcBorders>
              <w:top w:val="single" w:sz="8" w:space="0" w:color="95B3D7"/>
            </w:tcBorders>
            <w:tcMar>
              <w:top w:w="28" w:type="dxa"/>
            </w:tcMar>
            <w:vAlign w:val="center"/>
          </w:tcPr>
          <w:p>
            <w:pPr>
              <w:pStyle w:val="TableContents"/>
              <w:bidi w:val="0"/>
              <w:spacing w:before="0" w:after="283"/>
              <w:jc w:val="left"/>
              <w:rPr/>
            </w:pPr>
            <w:r>
              <w:rPr/>
              <w:t> </w:t>
            </w:r>
          </w:p>
        </w:tc>
        <w:tc>
          <w:tcPr>
            <w:tcW w:w="996" w:type="dxa"/>
            <w:tcBorders>
              <w:top w:val="single" w:sz="8" w:space="0" w:color="95B3D7"/>
            </w:tcBorders>
            <w:tcMar>
              <w:top w:w="28" w:type="dxa"/>
            </w:tcMar>
            <w:vAlign w:val="center"/>
          </w:tcPr>
          <w:p>
            <w:pPr>
              <w:pStyle w:val="TableContents"/>
              <w:bidi w:val="0"/>
              <w:spacing w:before="0" w:after="283"/>
              <w:jc w:val="right"/>
              <w:rPr/>
            </w:pPr>
            <w:r>
              <w:rPr/>
              <w:t>—</w:t>
            </w:r>
          </w:p>
        </w:tc>
        <w:tc>
          <w:tcPr>
            <w:tcW w:w="60" w:type="dxa"/>
            <w:tcBorders>
              <w:top w:val="single" w:sz="8" w:space="0" w:color="95B3D7"/>
            </w:tcBorders>
            <w:tcMar>
              <w:top w:w="28" w:type="dxa"/>
            </w:tcMar>
            <w:vAlign w:val="center"/>
          </w:tcPr>
          <w:p>
            <w:pPr>
              <w:pStyle w:val="TableContents"/>
              <w:bidi w:val="0"/>
              <w:spacing w:before="0" w:after="283"/>
              <w:jc w:val="left"/>
              <w:rPr/>
            </w:pPr>
            <w:r>
              <w:rPr/>
              <w:t> </w:t>
            </w:r>
          </w:p>
        </w:tc>
        <w:tc>
          <w:tcPr>
            <w:tcW w:w="120" w:type="dxa"/>
            <w:tcBorders>
              <w:top w:val="single" w:sz="8" w:space="0" w:color="95B3D7"/>
            </w:tcBorders>
            <w:tcMar>
              <w:top w:w="28" w:type="dxa"/>
            </w:tcMar>
            <w:vAlign w:val="center"/>
          </w:tcPr>
          <w:p>
            <w:pPr>
              <w:pStyle w:val="TableContents"/>
              <w:bidi w:val="0"/>
              <w:spacing w:before="0" w:after="283"/>
              <w:jc w:val="left"/>
              <w:rPr/>
            </w:pPr>
            <w:r>
              <w:rPr/>
              <w:t>  </w:t>
            </w:r>
          </w:p>
        </w:tc>
        <w:tc>
          <w:tcPr>
            <w:tcW w:w="107" w:type="dxa"/>
            <w:tcBorders>
              <w:top w:val="single" w:sz="8" w:space="0" w:color="95B3D7"/>
            </w:tcBorders>
            <w:tcMar>
              <w:top w:w="28" w:type="dxa"/>
            </w:tcMar>
            <w:vAlign w:val="center"/>
          </w:tcPr>
          <w:p>
            <w:pPr>
              <w:pStyle w:val="TableContents"/>
              <w:bidi w:val="0"/>
              <w:spacing w:before="0" w:after="283"/>
              <w:jc w:val="left"/>
              <w:rPr/>
            </w:pPr>
            <w:r>
              <w:rPr/>
              <w:t> </w:t>
            </w:r>
          </w:p>
        </w:tc>
        <w:tc>
          <w:tcPr>
            <w:tcW w:w="1428" w:type="dxa"/>
            <w:tcBorders>
              <w:top w:val="single" w:sz="8" w:space="0" w:color="95B3D7"/>
            </w:tcBorders>
            <w:tcMar>
              <w:top w:w="28" w:type="dxa"/>
            </w:tcMar>
            <w:vAlign w:val="center"/>
          </w:tcPr>
          <w:p>
            <w:pPr>
              <w:pStyle w:val="TableContents"/>
              <w:bidi w:val="0"/>
              <w:spacing w:before="0" w:after="283"/>
              <w:jc w:val="right"/>
              <w:rPr/>
            </w:pPr>
            <w:r>
              <w:rPr/>
              <w:t>406,000</w:t>
            </w:r>
          </w:p>
        </w:tc>
        <w:tc>
          <w:tcPr>
            <w:tcW w:w="60" w:type="dxa"/>
            <w:tcBorders>
              <w:top w:val="single" w:sz="8" w:space="0" w:color="95B3D7"/>
            </w:tcBorders>
            <w:tcMar>
              <w:top w:w="28" w:type="dxa"/>
            </w:tcMar>
            <w:vAlign w:val="center"/>
          </w:tcPr>
          <w:p>
            <w:pPr>
              <w:pStyle w:val="TableContents"/>
              <w:bidi w:val="0"/>
              <w:spacing w:before="0" w:after="283"/>
              <w:jc w:val="left"/>
              <w:rPr/>
            </w:pPr>
            <w:r>
              <w:rPr/>
              <w:t> </w:t>
            </w:r>
          </w:p>
        </w:tc>
        <w:tc>
          <w:tcPr>
            <w:tcW w:w="120" w:type="dxa"/>
            <w:tcBorders>
              <w:top w:val="single" w:sz="8" w:space="0" w:color="95B3D7"/>
            </w:tcBorders>
            <w:tcMar>
              <w:top w:w="28" w:type="dxa"/>
            </w:tcMar>
            <w:vAlign w:val="center"/>
          </w:tcPr>
          <w:p>
            <w:pPr>
              <w:pStyle w:val="TableContents"/>
              <w:bidi w:val="0"/>
              <w:spacing w:before="0" w:after="283"/>
              <w:jc w:val="left"/>
              <w:rPr/>
            </w:pPr>
            <w:r>
              <w:rPr/>
              <w:t>  </w:t>
            </w:r>
          </w:p>
        </w:tc>
        <w:tc>
          <w:tcPr>
            <w:tcW w:w="106" w:type="dxa"/>
            <w:tcBorders>
              <w:top w:val="single" w:sz="8" w:space="0" w:color="95B3D7"/>
            </w:tcBorders>
            <w:tcMar>
              <w:top w:w="28" w:type="dxa"/>
            </w:tcMar>
            <w:vAlign w:val="center"/>
          </w:tcPr>
          <w:p>
            <w:pPr>
              <w:pStyle w:val="TableContents"/>
              <w:bidi w:val="0"/>
              <w:spacing w:before="0" w:after="283"/>
              <w:jc w:val="left"/>
              <w:rPr/>
            </w:pPr>
            <w:r>
              <w:rPr/>
              <w:t> </w:t>
            </w:r>
          </w:p>
        </w:tc>
        <w:tc>
          <w:tcPr>
            <w:tcW w:w="1744" w:type="dxa"/>
            <w:tcBorders>
              <w:top w:val="single" w:sz="8" w:space="0" w:color="95B3D7"/>
            </w:tcBorders>
            <w:tcMar>
              <w:top w:w="28" w:type="dxa"/>
            </w:tcMar>
            <w:vAlign w:val="center"/>
          </w:tcPr>
          <w:p>
            <w:pPr>
              <w:pStyle w:val="TableContents"/>
              <w:bidi w:val="0"/>
              <w:spacing w:before="0" w:after="283"/>
              <w:jc w:val="right"/>
              <w:rPr/>
            </w:pPr>
            <w:r>
              <w:rPr/>
              <w:t>3,495,660</w:t>
            </w:r>
          </w:p>
        </w:tc>
        <w:tc>
          <w:tcPr>
            <w:tcW w:w="75" w:type="dxa"/>
            <w:tcBorders>
              <w:top w:val="single" w:sz="8" w:space="0" w:color="95B3D7"/>
            </w:tcBorders>
            <w:tcMar>
              <w:top w:w="28" w:type="dxa"/>
            </w:tcMar>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9/12/2022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44,482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right"/>
              <w:rPr/>
            </w:pPr>
            <w:r>
              <w:rPr/>
              <w:t>382,990</w:t>
            </w:r>
          </w:p>
        </w:tc>
        <w:tc>
          <w:tcPr>
            <w:tcW w:w="7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3/8/2022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9,124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right"/>
              <w:rPr/>
            </w:pPr>
            <w:r>
              <w:rPr/>
              <w:t>27,372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9.06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3/8/2032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3/8/2022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37,251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right"/>
              <w:rPr/>
            </w:pPr>
            <w:r>
              <w:rPr/>
              <w:t>320,731</w:t>
            </w:r>
          </w:p>
        </w:tc>
        <w:tc>
          <w:tcPr>
            <w:tcW w:w="7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4/9/2021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33,000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right"/>
              <w:rPr/>
            </w:pPr>
            <w:r>
              <w:rPr/>
              <w:t>284,130</w:t>
            </w:r>
          </w:p>
        </w:tc>
        <w:tc>
          <w:tcPr>
            <w:tcW w:w="7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3/25/2021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34,630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right"/>
              <w:rPr/>
            </w:pPr>
            <w:r>
              <w:rPr/>
              <w:t>34,629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18.00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3/25/2031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3/25/2021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2,750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right"/>
              <w:rPr/>
            </w:pPr>
            <w:r>
              <w:rPr/>
              <w:t>23,678</w:t>
            </w:r>
          </w:p>
        </w:tc>
        <w:tc>
          <w:tcPr>
            <w:tcW w:w="7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9/25/2020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65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10,188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744" w:type="dxa"/>
            <w:tcBorders/>
            <w:vAlign w:val="center"/>
          </w:tcPr>
          <w:p>
            <w:pPr>
              <w:pStyle w:val="TableContents"/>
              <w:bidi w:val="0"/>
              <w:spacing w:before="0" w:after="283"/>
              <w:jc w:val="right"/>
              <w:rPr/>
            </w:pPr>
            <w:r>
              <w:rPr/>
              <w:t>87,719</w:t>
            </w:r>
          </w:p>
        </w:tc>
        <w:tc>
          <w:tcPr>
            <w:tcW w:w="75" w:type="dxa"/>
            <w:tcBorders/>
            <w:vAlign w:val="center"/>
          </w:tcPr>
          <w:p>
            <w:pPr>
              <w:pStyle w:val="TableContents"/>
              <w:bidi w:val="0"/>
              <w:spacing w:before="0" w:after="283"/>
              <w:jc w:val="left"/>
              <w:rPr/>
            </w:pPr>
            <w:r>
              <w:rPr/>
              <w:t> </w:t>
            </w:r>
          </w:p>
        </w:tc>
      </w:tr>
      <w:tr>
        <w:trPr/>
        <w:tc>
          <w:tcPr>
            <w:tcW w:w="500" w:type="dxa"/>
            <w:tcBorders>
              <w:top w:val="single" w:sz="8" w:space="0" w:color="95B3D7"/>
            </w:tcBorders>
            <w:shd w:fill="DBE5F1" w:val="clear"/>
            <w:tcMar>
              <w:top w:w="28" w:type="dxa"/>
            </w:tcMar>
            <w:vAlign w:val="center"/>
          </w:tcPr>
          <w:p>
            <w:pPr>
              <w:pStyle w:val="TableContents"/>
              <w:bidi w:val="0"/>
              <w:spacing w:before="0" w:after="0"/>
              <w:jc w:val="left"/>
              <w:rPr>
                <w:rFonts w:ascii="ARIAL" w:hAnsi="ARIAL"/>
                <w:sz w:val="12"/>
              </w:rPr>
            </w:pPr>
            <w:r>
              <w:rPr>
                <w:rFonts w:ascii="ARIAL" w:hAnsi="ARIAL"/>
                <w:sz w:val="12"/>
              </w:rPr>
              <w:t>Hyong (Ken) Kim, M.D.</w:t>
            </w:r>
          </w:p>
        </w:tc>
        <w:tc>
          <w:tcPr>
            <w:tcW w:w="12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6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575" w:type="dxa"/>
            <w:tcBorders>
              <w:top w:val="single" w:sz="8" w:space="0" w:color="95B3D7"/>
            </w:tcBorders>
            <w:shd w:fill="DBE5F1" w:val="clear"/>
            <w:tcMar>
              <w:top w:w="28" w:type="dxa"/>
            </w:tcMar>
            <w:vAlign w:val="center"/>
          </w:tcPr>
          <w:p>
            <w:pPr>
              <w:pStyle w:val="TableContents"/>
              <w:bidi w:val="0"/>
              <w:spacing w:before="0" w:after="283"/>
              <w:jc w:val="right"/>
              <w:rPr/>
            </w:pPr>
            <w:r>
              <w:rPr/>
              <w:t>10/4/2023</w:t>
            </w:r>
          </w:p>
        </w:tc>
        <w:tc>
          <w:tcPr>
            <w:tcW w:w="6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2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05"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415" w:type="dxa"/>
            <w:tcBorders>
              <w:top w:val="single" w:sz="8" w:space="0" w:color="95B3D7"/>
            </w:tcBorders>
            <w:shd w:fill="DBE5F1" w:val="clear"/>
            <w:tcMar>
              <w:top w:w="28" w:type="dxa"/>
            </w:tcMar>
            <w:vAlign w:val="center"/>
          </w:tcPr>
          <w:p>
            <w:pPr>
              <w:pStyle w:val="TableContents"/>
              <w:bidi w:val="0"/>
              <w:spacing w:before="0" w:after="283"/>
              <w:jc w:val="right"/>
              <w:rPr/>
            </w:pPr>
            <w:r>
              <w:rPr/>
              <w:t>—</w:t>
            </w:r>
          </w:p>
        </w:tc>
        <w:tc>
          <w:tcPr>
            <w:tcW w:w="6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2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23"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652" w:type="dxa"/>
            <w:tcBorders>
              <w:top w:val="single" w:sz="8" w:space="0" w:color="95B3D7"/>
            </w:tcBorders>
            <w:shd w:fill="DBE5F1" w:val="clear"/>
            <w:tcMar>
              <w:top w:w="28" w:type="dxa"/>
            </w:tcMar>
            <w:vAlign w:val="center"/>
          </w:tcPr>
          <w:p>
            <w:pPr>
              <w:pStyle w:val="TableContents"/>
              <w:bidi w:val="0"/>
              <w:spacing w:before="0" w:after="283"/>
              <w:jc w:val="right"/>
              <w:rPr/>
            </w:pPr>
            <w:r>
              <w:rPr/>
              <w:t>—</w:t>
            </w:r>
          </w:p>
        </w:tc>
        <w:tc>
          <w:tcPr>
            <w:tcW w:w="6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2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237"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028" w:type="dxa"/>
            <w:tcBorders>
              <w:top w:val="single" w:sz="8" w:space="0" w:color="95B3D7"/>
            </w:tcBorders>
            <w:shd w:fill="DBE5F1" w:val="clear"/>
            <w:tcMar>
              <w:top w:w="28" w:type="dxa"/>
            </w:tcMar>
            <w:vAlign w:val="center"/>
          </w:tcPr>
          <w:p>
            <w:pPr>
              <w:pStyle w:val="TableContents"/>
              <w:bidi w:val="0"/>
              <w:spacing w:before="0" w:after="283"/>
              <w:jc w:val="right"/>
              <w:rPr/>
            </w:pPr>
            <w:r>
              <w:rPr/>
              <w:t>—</w:t>
            </w:r>
          </w:p>
        </w:tc>
        <w:tc>
          <w:tcPr>
            <w:tcW w:w="6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2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84"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791" w:type="dxa"/>
            <w:tcBorders>
              <w:top w:val="single" w:sz="8" w:space="0" w:color="95B3D7"/>
            </w:tcBorders>
            <w:shd w:fill="DBE5F1" w:val="clear"/>
            <w:tcMar>
              <w:top w:w="28" w:type="dxa"/>
            </w:tcMar>
            <w:vAlign w:val="center"/>
          </w:tcPr>
          <w:p>
            <w:pPr>
              <w:pStyle w:val="TableContents"/>
              <w:bidi w:val="0"/>
              <w:spacing w:before="0" w:after="283"/>
              <w:jc w:val="right"/>
              <w:rPr/>
            </w:pPr>
            <w:r>
              <w:rPr/>
              <w:t>—</w:t>
            </w:r>
          </w:p>
        </w:tc>
        <w:tc>
          <w:tcPr>
            <w:tcW w:w="6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2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19"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996" w:type="dxa"/>
            <w:tcBorders>
              <w:top w:val="single" w:sz="8" w:space="0" w:color="95B3D7"/>
            </w:tcBorders>
            <w:shd w:fill="DBE5F1" w:val="clear"/>
            <w:tcMar>
              <w:top w:w="28" w:type="dxa"/>
            </w:tcMar>
            <w:vAlign w:val="center"/>
          </w:tcPr>
          <w:p>
            <w:pPr>
              <w:pStyle w:val="TableContents"/>
              <w:bidi w:val="0"/>
              <w:spacing w:before="0" w:after="283"/>
              <w:jc w:val="right"/>
              <w:rPr/>
            </w:pPr>
            <w:r>
              <w:rPr/>
              <w:t>—</w:t>
            </w:r>
          </w:p>
        </w:tc>
        <w:tc>
          <w:tcPr>
            <w:tcW w:w="6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2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07"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428" w:type="dxa"/>
            <w:tcBorders>
              <w:top w:val="single" w:sz="8" w:space="0" w:color="95B3D7"/>
            </w:tcBorders>
            <w:shd w:fill="DBE5F1" w:val="clear"/>
            <w:tcMar>
              <w:top w:w="28" w:type="dxa"/>
            </w:tcMar>
            <w:vAlign w:val="center"/>
          </w:tcPr>
          <w:p>
            <w:pPr>
              <w:pStyle w:val="TableContents"/>
              <w:bidi w:val="0"/>
              <w:spacing w:before="0" w:after="283"/>
              <w:jc w:val="right"/>
              <w:rPr/>
            </w:pPr>
            <w:r>
              <w:rPr/>
              <w:t>340,136</w:t>
            </w:r>
          </w:p>
        </w:tc>
        <w:tc>
          <w:tcPr>
            <w:tcW w:w="6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20"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06"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c>
          <w:tcPr>
            <w:tcW w:w="1744" w:type="dxa"/>
            <w:tcBorders>
              <w:top w:val="single" w:sz="8" w:space="0" w:color="95B3D7"/>
            </w:tcBorders>
            <w:shd w:fill="DBE5F1" w:val="clear"/>
            <w:tcMar>
              <w:top w:w="28" w:type="dxa"/>
            </w:tcMar>
            <w:vAlign w:val="center"/>
          </w:tcPr>
          <w:p>
            <w:pPr>
              <w:pStyle w:val="TableContents"/>
              <w:bidi w:val="0"/>
              <w:spacing w:before="0" w:after="283"/>
              <w:jc w:val="right"/>
              <w:rPr/>
            </w:pPr>
            <w:r>
              <w:rPr/>
              <w:t>2,928,571</w:t>
            </w:r>
          </w:p>
        </w:tc>
        <w:tc>
          <w:tcPr>
            <w:tcW w:w="75" w:type="dxa"/>
            <w:tcBorders>
              <w:top w:val="single" w:sz="8" w:space="0" w:color="95B3D7"/>
            </w:tcBorders>
            <w:shd w:fill="DBE5F1" w:val="clear"/>
            <w:tcMar>
              <w:top w:w="28" w:type="dxa"/>
            </w:tcMar>
            <w:vAlign w:val="center"/>
          </w:tcPr>
          <w:p>
            <w:pPr>
              <w:pStyle w:val="TableContents"/>
              <w:bidi w:val="0"/>
              <w:spacing w:before="0" w:after="283"/>
              <w:jc w:val="left"/>
              <w:rPr/>
            </w:pPr>
            <w:r>
              <w:rPr/>
              <w:t> </w:t>
            </w:r>
          </w:p>
        </w:tc>
      </w:tr>
      <w:tr>
        <w:trPr/>
        <w:tc>
          <w:tcPr>
            <w:tcW w:w="50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575" w:type="dxa"/>
            <w:tcBorders>
              <w:bottom w:val="single" w:sz="8" w:space="0" w:color="95B3D7"/>
            </w:tcBorders>
            <w:shd w:fill="DBE5F1" w:val="clear"/>
            <w:tcMar>
              <w:bottom w:w="28" w:type="dxa"/>
            </w:tcMar>
            <w:vAlign w:val="center"/>
          </w:tcPr>
          <w:p>
            <w:pPr>
              <w:pStyle w:val="TableContents"/>
              <w:bidi w:val="0"/>
              <w:spacing w:before="0" w:after="283"/>
              <w:jc w:val="right"/>
              <w:rPr/>
            </w:pPr>
            <w:r>
              <w:rPr/>
              <w:t>9/14/2023</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05"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415"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23"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652"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237"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028"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84"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791"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19"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996" w:type="dxa"/>
            <w:tcBorders>
              <w:bottom w:val="single" w:sz="8"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07"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428" w:type="dxa"/>
            <w:tcBorders>
              <w:bottom w:val="single" w:sz="8" w:space="0" w:color="95B3D7"/>
            </w:tcBorders>
            <w:shd w:fill="DBE5F1" w:val="clear"/>
            <w:tcMar>
              <w:bottom w:w="28" w:type="dxa"/>
            </w:tcMar>
            <w:vAlign w:val="center"/>
          </w:tcPr>
          <w:p>
            <w:pPr>
              <w:pStyle w:val="TableContents"/>
              <w:bidi w:val="0"/>
              <w:spacing w:before="0" w:after="283"/>
              <w:jc w:val="right"/>
              <w:rPr/>
            </w:pPr>
            <w:r>
              <w:rPr/>
              <w:t>50,000</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06"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744" w:type="dxa"/>
            <w:tcBorders>
              <w:bottom w:val="single" w:sz="8" w:space="0" w:color="95B3D7"/>
            </w:tcBorders>
            <w:shd w:fill="DBE5F1" w:val="clear"/>
            <w:tcMar>
              <w:bottom w:w="28" w:type="dxa"/>
            </w:tcMar>
            <w:vAlign w:val="center"/>
          </w:tcPr>
          <w:p>
            <w:pPr>
              <w:pStyle w:val="TableContents"/>
              <w:bidi w:val="0"/>
              <w:spacing w:before="0" w:after="283"/>
              <w:jc w:val="right"/>
              <w:rPr/>
            </w:pPr>
            <w:r>
              <w:rPr/>
              <w:t>430,500</w:t>
            </w:r>
          </w:p>
        </w:tc>
        <w:tc>
          <w:tcPr>
            <w:tcW w:w="75"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(1)</w:t>
            </w:r>
          </w:p>
        </w:tc>
        <w:tc>
          <w:tcPr>
            <w:tcW w:w="9909" w:type="dxa"/>
            <w:tcBorders/>
            <w:vAlign w:val="center"/>
          </w:tcPr>
          <w:p>
            <w:pPr>
              <w:pStyle w:val="TableContents"/>
              <w:bidi w:val="0"/>
              <w:spacing w:before="0" w:after="0"/>
              <w:jc w:val="left"/>
              <w:rPr>
                <w:rFonts w:ascii="ARIAL" w:hAnsi="ARIAL"/>
                <w:sz w:val="20"/>
              </w:rPr>
            </w:pPr>
            <w:r>
              <w:rPr>
                <w:rFonts w:ascii="ARIAL" w:hAnsi="ARIAL"/>
                <w:sz w:val="20"/>
              </w:rPr>
              <w:t xml:space="preserve">Represents unvested options, RSUs, PSUs, restricted shares converted from service-based incentive units and SARs (which remain subject to the same vesting schedules as in effect prior to our IPO) and restricted shares converted from performance-based incentive units and SARs (which vest (i) 50% on the later of (x) the fourth anniversary of the initial vesting date and (y) the first anniversary of our IPO and (ii) 50% on the later of (x) the fourth anniversary of the initial vesting date and (y) the second anniversary of our IPO, in each case, subject to continued employment or service on each such vesting date). PSUs disclosed above assume target-level achievement. Actual shares delivered under PSU awards are subject to performance conditions in respect of fiscal year 2024 and therefore may vary from the target units reported here. The vesting schedules of the options, RSUs, PSUs and restricted shares are as follows (subject to the named executive officer’s continued employment through each applicable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96"/>
        <w:gridCol w:w="60"/>
        <w:gridCol w:w="817"/>
        <w:gridCol w:w="120"/>
        <w:gridCol w:w="965"/>
        <w:gridCol w:w="60"/>
        <w:gridCol w:w="6887"/>
      </w:tblGrid>
      <w:tr>
        <w:trPr/>
        <w:tc>
          <w:tcPr>
            <w:tcW w:w="1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87" w:type="dxa"/>
            <w:tcBorders/>
            <w:vAlign w:val="center"/>
          </w:tcPr>
          <w:p>
            <w:pPr>
              <w:pStyle w:val="TableContents"/>
              <w:bidi w:val="0"/>
              <w:spacing w:before="0" w:after="283"/>
              <w:jc w:val="left"/>
              <w:rPr>
                <w:sz w:val="4"/>
                <w:szCs w:val="4"/>
              </w:rPr>
            </w:pPr>
            <w:r>
              <w:rPr>
                <w:sz w:val="4"/>
                <w:szCs w:val="4"/>
              </w:rPr>
            </w:r>
          </w:p>
        </w:tc>
      </w:tr>
      <w:tr>
        <w:trPr/>
        <w:tc>
          <w:tcPr>
            <w:tcW w:w="1296" w:type="dxa"/>
            <w:tcBorders>
              <w:bottom w:val="single" w:sz="8" w:space="0" w:color="95B3D7"/>
            </w:tcBorders>
            <w:tcMar>
              <w:bottom w:w="28" w:type="dxa"/>
            </w:tcMar>
            <w:vAlign w:val="center"/>
          </w:tcPr>
          <w:p>
            <w:pPr>
              <w:pStyle w:val="TableContents"/>
              <w:bidi w:val="0"/>
              <w:spacing w:before="0" w:after="283"/>
              <w:jc w:val="left"/>
              <w:rPr>
                <w:b/>
              </w:rPr>
            </w:pPr>
            <w:r>
              <w:rPr>
                <w:b/>
              </w:rPr>
              <w:t>Name</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817" w:type="dxa"/>
            <w:tcBorders>
              <w:bottom w:val="single" w:sz="8" w:space="0" w:color="95B3D7"/>
            </w:tcBorders>
            <w:tcMar>
              <w:bottom w:w="28" w:type="dxa"/>
            </w:tcMar>
            <w:vAlign w:val="center"/>
          </w:tcPr>
          <w:p>
            <w:pPr>
              <w:pStyle w:val="TableContents"/>
              <w:bidi w:val="0"/>
              <w:spacing w:before="0" w:after="283"/>
              <w:jc w:val="left"/>
              <w:rPr>
                <w:b/>
              </w:rPr>
            </w:pPr>
            <w:r>
              <w:rPr>
                <w:b/>
              </w:rPr>
              <w:t>Grant</w:t>
              <w:br/>
              <w:t>Date</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965" w:type="dxa"/>
            <w:tcBorders>
              <w:bottom w:val="single" w:sz="8" w:space="0" w:color="95B3D7"/>
            </w:tcBorders>
            <w:tcMar>
              <w:bottom w:w="28" w:type="dxa"/>
            </w:tcMar>
            <w:vAlign w:val="center"/>
          </w:tcPr>
          <w:p>
            <w:pPr>
              <w:pStyle w:val="TableContents"/>
              <w:bidi w:val="0"/>
              <w:spacing w:before="0" w:after="0"/>
              <w:jc w:val="left"/>
              <w:rPr>
                <w:rFonts w:ascii="ARIAL" w:hAnsi="ARIAL"/>
                <w:b/>
                <w:sz w:val="12"/>
              </w:rPr>
            </w:pPr>
            <w:r>
              <w:rPr>
                <w:rFonts w:ascii="ARIAL" w:hAnsi="ARIAL"/>
                <w:b/>
                <w:sz w:val="12"/>
              </w:rPr>
              <w:t>Grant</w:t>
            </w:r>
          </w:p>
          <w:p>
            <w:pPr>
              <w:pStyle w:val="TableContents"/>
              <w:bidi w:val="0"/>
              <w:spacing w:before="0" w:after="20"/>
              <w:jc w:val="left"/>
              <w:rPr>
                <w:rFonts w:ascii="ARIAL" w:hAnsi="ARIAL"/>
                <w:b/>
                <w:sz w:val="12"/>
              </w:rPr>
            </w:pPr>
            <w:r>
              <w:rPr>
                <w:rFonts w:ascii="ARIAL" w:hAnsi="ARIAL"/>
                <w:b/>
                <w:sz w:val="12"/>
              </w:rPr>
              <w:t>Type</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6887" w:type="dxa"/>
            <w:tcBorders>
              <w:bottom w:val="single" w:sz="8" w:space="0" w:color="95B3D7"/>
            </w:tcBorders>
            <w:tcMar>
              <w:bottom w:w="28" w:type="dxa"/>
            </w:tcMar>
            <w:vAlign w:val="center"/>
          </w:tcPr>
          <w:p>
            <w:pPr>
              <w:pStyle w:val="TableContents"/>
              <w:bidi w:val="0"/>
              <w:spacing w:before="0" w:after="283"/>
              <w:jc w:val="left"/>
              <w:rPr>
                <w:b/>
              </w:rPr>
            </w:pPr>
            <w:r>
              <w:rPr>
                <w:b/>
              </w:rPr>
              <w:t>Service-based Vesting Schedule</w:t>
            </w:r>
          </w:p>
        </w:tc>
      </w:tr>
      <w:tr>
        <w:trPr/>
        <w:tc>
          <w:tcPr>
            <w:tcW w:w="1296" w:type="dxa"/>
            <w:tcBorders/>
            <w:shd w:fill="DBE5F1" w:val="clear"/>
            <w:vAlign w:val="center"/>
          </w:tcPr>
          <w:p>
            <w:pPr>
              <w:pStyle w:val="TableContents"/>
              <w:bidi w:val="0"/>
              <w:spacing w:before="0" w:after="0"/>
              <w:jc w:val="left"/>
              <w:rPr>
                <w:rFonts w:ascii="ARIAL" w:hAnsi="ARIAL"/>
                <w:sz w:val="12"/>
              </w:rPr>
            </w:pPr>
            <w:r>
              <w:rPr>
                <w:rFonts w:ascii="ARIAL" w:hAnsi="ARIAL"/>
                <w:sz w:val="12"/>
              </w:rPr>
              <w:t>John Kao</w:t>
            </w:r>
          </w:p>
        </w:tc>
        <w:tc>
          <w:tcPr>
            <w:tcW w:w="60" w:type="dxa"/>
            <w:tcBorders/>
            <w:shd w:fill="DBE5F1" w:val="clear"/>
            <w:vAlign w:val="center"/>
          </w:tcPr>
          <w:p>
            <w:pPr>
              <w:pStyle w:val="TableContents"/>
              <w:bidi w:val="0"/>
              <w:spacing w:before="0" w:after="283"/>
              <w:jc w:val="left"/>
              <w:rPr/>
            </w:pPr>
            <w:r>
              <w:rPr/>
              <w:t> </w:t>
            </w:r>
          </w:p>
        </w:tc>
        <w:tc>
          <w:tcPr>
            <w:tcW w:w="817" w:type="dxa"/>
            <w:tcBorders/>
            <w:shd w:fill="DBE5F1" w:val="clear"/>
            <w:vAlign w:val="center"/>
          </w:tcPr>
          <w:p>
            <w:pPr>
              <w:pStyle w:val="TableContents"/>
              <w:bidi w:val="0"/>
              <w:spacing w:before="0" w:after="283"/>
              <w:jc w:val="left"/>
              <w:rPr/>
            </w:pPr>
            <w:r>
              <w:rPr/>
              <w:t>9/14/2023</w:t>
            </w:r>
          </w:p>
        </w:tc>
        <w:tc>
          <w:tcPr>
            <w:tcW w:w="120" w:type="dxa"/>
            <w:tcBorders/>
            <w:shd w:fill="DBE5F1" w:val="clear"/>
            <w:vAlign w:val="center"/>
          </w:tcPr>
          <w:p>
            <w:pPr>
              <w:pStyle w:val="TableContents"/>
              <w:bidi w:val="0"/>
              <w:spacing w:before="0" w:after="283"/>
              <w:jc w:val="left"/>
              <w:rPr/>
            </w:pPr>
            <w:r>
              <w:rPr/>
              <w:t>  </w:t>
            </w:r>
          </w:p>
        </w:tc>
        <w:tc>
          <w:tcPr>
            <w:tcW w:w="965" w:type="dxa"/>
            <w:tcBorders/>
            <w:shd w:fill="DBE5F1" w:val="clear"/>
            <w:vAlign w:val="center"/>
          </w:tcPr>
          <w:p>
            <w:pPr>
              <w:pStyle w:val="TableContents"/>
              <w:bidi w:val="0"/>
              <w:spacing w:before="0" w:after="283"/>
              <w:jc w:val="left"/>
              <w:rPr/>
            </w:pPr>
            <w:r>
              <w:rPr/>
              <w:t>PSUs</w:t>
            </w:r>
          </w:p>
        </w:tc>
        <w:tc>
          <w:tcPr>
            <w:tcW w:w="60" w:type="dxa"/>
            <w:tcBorders/>
            <w:shd w:fill="DBE5F1" w:val="clear"/>
            <w:vAlign w:val="center"/>
          </w:tcPr>
          <w:p>
            <w:pPr>
              <w:pStyle w:val="TableContents"/>
              <w:bidi w:val="0"/>
              <w:spacing w:before="0" w:after="283"/>
              <w:jc w:val="left"/>
              <w:rPr/>
            </w:pPr>
            <w:r>
              <w:rPr/>
              <w:t> </w:t>
            </w:r>
          </w:p>
        </w:tc>
        <w:tc>
          <w:tcPr>
            <w:tcW w:w="6887" w:type="dxa"/>
            <w:tcBorders/>
            <w:shd w:fill="DBE5F1" w:val="clear"/>
            <w:vAlign w:val="center"/>
          </w:tcPr>
          <w:p>
            <w:pPr>
              <w:pStyle w:val="TableContents"/>
              <w:bidi w:val="0"/>
              <w:spacing w:before="0" w:after="283"/>
              <w:jc w:val="left"/>
              <w:rPr/>
            </w:pPr>
            <w:r>
              <w:rPr/>
              <w:t>Vests, if earned, 50% on the performance certification date and 50% on 12/31/25</w:t>
            </w:r>
          </w:p>
        </w:tc>
      </w:tr>
      <w:tr>
        <w:trPr/>
        <w:tc>
          <w:tcPr>
            <w:tcW w:w="1296"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817" w:type="dxa"/>
            <w:tcBorders/>
            <w:shd w:fill="DBE5F1" w:val="clear"/>
            <w:vAlign w:val="center"/>
          </w:tcPr>
          <w:p>
            <w:pPr>
              <w:pStyle w:val="TableContents"/>
              <w:bidi w:val="0"/>
              <w:spacing w:before="0" w:after="283"/>
              <w:jc w:val="left"/>
              <w:rPr/>
            </w:pPr>
            <w:r>
              <w:rPr/>
              <w:t>9/12/2022</w:t>
            </w:r>
          </w:p>
        </w:tc>
        <w:tc>
          <w:tcPr>
            <w:tcW w:w="120" w:type="dxa"/>
            <w:tcBorders/>
            <w:shd w:fill="DBE5F1" w:val="clear"/>
            <w:vAlign w:val="center"/>
          </w:tcPr>
          <w:p>
            <w:pPr>
              <w:pStyle w:val="TableContents"/>
              <w:bidi w:val="0"/>
              <w:spacing w:before="0" w:after="283"/>
              <w:jc w:val="left"/>
              <w:rPr/>
            </w:pPr>
            <w:r>
              <w:rPr/>
              <w:t>  </w:t>
            </w:r>
          </w:p>
        </w:tc>
        <w:tc>
          <w:tcPr>
            <w:tcW w:w="965" w:type="dxa"/>
            <w:tcBorders/>
            <w:shd w:fill="DBE5F1" w:val="clear"/>
            <w:vAlign w:val="center"/>
          </w:tcPr>
          <w:p>
            <w:pPr>
              <w:pStyle w:val="TableContents"/>
              <w:bidi w:val="0"/>
              <w:spacing w:before="0" w:after="283"/>
              <w:jc w:val="left"/>
              <w:rPr/>
            </w:pPr>
            <w:r>
              <w:rPr/>
              <w:t>RSUs</w:t>
            </w:r>
          </w:p>
        </w:tc>
        <w:tc>
          <w:tcPr>
            <w:tcW w:w="60" w:type="dxa"/>
            <w:tcBorders/>
            <w:shd w:fill="DBE5F1" w:val="clear"/>
            <w:vAlign w:val="center"/>
          </w:tcPr>
          <w:p>
            <w:pPr>
              <w:pStyle w:val="TableContents"/>
              <w:bidi w:val="0"/>
              <w:spacing w:before="0" w:after="283"/>
              <w:jc w:val="left"/>
              <w:rPr/>
            </w:pPr>
            <w:r>
              <w:rPr/>
              <w:t> </w:t>
            </w:r>
          </w:p>
        </w:tc>
        <w:tc>
          <w:tcPr>
            <w:tcW w:w="6887" w:type="dxa"/>
            <w:tcBorders/>
            <w:shd w:fill="DBE5F1" w:val="clear"/>
            <w:vAlign w:val="center"/>
          </w:tcPr>
          <w:p>
            <w:pPr>
              <w:pStyle w:val="TableContents"/>
              <w:bidi w:val="0"/>
              <w:spacing w:before="0" w:after="283"/>
              <w:jc w:val="left"/>
              <w:rPr/>
            </w:pPr>
            <w:r>
              <w:rPr/>
              <w:t>Vests 819,514 shares on 9/7/2025 and 819,513 shares on 9/7/2026</w:t>
            </w:r>
          </w:p>
        </w:tc>
      </w:tr>
      <w:tr>
        <w:trPr/>
        <w:tc>
          <w:tcPr>
            <w:tcW w:w="1296"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817" w:type="dxa"/>
            <w:tcBorders/>
            <w:shd w:fill="DBE5F1" w:val="clear"/>
            <w:vAlign w:val="center"/>
          </w:tcPr>
          <w:p>
            <w:pPr>
              <w:pStyle w:val="TableContents"/>
              <w:bidi w:val="0"/>
              <w:spacing w:before="0" w:after="283"/>
              <w:jc w:val="left"/>
              <w:rPr/>
            </w:pPr>
            <w:r>
              <w:rPr/>
              <w:t>3/8/2022</w:t>
            </w:r>
          </w:p>
        </w:tc>
        <w:tc>
          <w:tcPr>
            <w:tcW w:w="120" w:type="dxa"/>
            <w:tcBorders/>
            <w:shd w:fill="DBE5F1" w:val="clear"/>
            <w:vAlign w:val="center"/>
          </w:tcPr>
          <w:p>
            <w:pPr>
              <w:pStyle w:val="TableContents"/>
              <w:bidi w:val="0"/>
              <w:spacing w:before="0" w:after="283"/>
              <w:jc w:val="left"/>
              <w:rPr/>
            </w:pPr>
            <w:r>
              <w:rPr/>
              <w:t>  </w:t>
            </w:r>
          </w:p>
        </w:tc>
        <w:tc>
          <w:tcPr>
            <w:tcW w:w="965" w:type="dxa"/>
            <w:tcBorders/>
            <w:shd w:fill="DBE5F1" w:val="clear"/>
            <w:vAlign w:val="center"/>
          </w:tcPr>
          <w:p>
            <w:pPr>
              <w:pStyle w:val="TableContents"/>
              <w:bidi w:val="0"/>
              <w:spacing w:before="0" w:after="283"/>
              <w:jc w:val="left"/>
              <w:rPr/>
            </w:pPr>
            <w:r>
              <w:rPr/>
              <w:t>RSUs</w:t>
            </w:r>
          </w:p>
        </w:tc>
        <w:tc>
          <w:tcPr>
            <w:tcW w:w="60" w:type="dxa"/>
            <w:tcBorders/>
            <w:shd w:fill="DBE5F1" w:val="clear"/>
            <w:vAlign w:val="center"/>
          </w:tcPr>
          <w:p>
            <w:pPr>
              <w:pStyle w:val="TableContents"/>
              <w:bidi w:val="0"/>
              <w:spacing w:before="0" w:after="283"/>
              <w:jc w:val="left"/>
              <w:rPr/>
            </w:pPr>
            <w:r>
              <w:rPr/>
              <w:t> </w:t>
            </w:r>
          </w:p>
        </w:tc>
        <w:tc>
          <w:tcPr>
            <w:tcW w:w="6887" w:type="dxa"/>
            <w:tcBorders/>
            <w:shd w:fill="DBE5F1" w:val="clear"/>
            <w:vAlign w:val="center"/>
          </w:tcPr>
          <w:p>
            <w:pPr>
              <w:pStyle w:val="TableContents"/>
              <w:bidi w:val="0"/>
              <w:spacing w:before="0" w:after="283"/>
              <w:jc w:val="left"/>
              <w:rPr/>
            </w:pPr>
            <w:r>
              <w:rPr/>
              <w:t>Vests 25% per year over 4 years with approximately 124,172 vesting on each of 3/8/2023, 3/8/2024, 3/8/2025 and 3/8/2026</w:t>
            </w:r>
          </w:p>
        </w:tc>
      </w:tr>
      <w:tr>
        <w:trPr/>
        <w:tc>
          <w:tcPr>
            <w:tcW w:w="1296"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817" w:type="dxa"/>
            <w:tcBorders/>
            <w:shd w:fill="DBE5F1" w:val="clear"/>
            <w:vAlign w:val="center"/>
          </w:tcPr>
          <w:p>
            <w:pPr>
              <w:pStyle w:val="TableContents"/>
              <w:bidi w:val="0"/>
              <w:spacing w:before="0" w:after="283"/>
              <w:jc w:val="left"/>
              <w:rPr/>
            </w:pPr>
            <w:r>
              <w:rPr/>
              <w:t>3/8/2022</w:t>
            </w:r>
          </w:p>
        </w:tc>
        <w:tc>
          <w:tcPr>
            <w:tcW w:w="120" w:type="dxa"/>
            <w:tcBorders/>
            <w:shd w:fill="DBE5F1" w:val="clear"/>
            <w:vAlign w:val="center"/>
          </w:tcPr>
          <w:p>
            <w:pPr>
              <w:pStyle w:val="TableContents"/>
              <w:bidi w:val="0"/>
              <w:spacing w:before="0" w:after="283"/>
              <w:jc w:val="left"/>
              <w:rPr/>
            </w:pPr>
            <w:r>
              <w:rPr/>
              <w:t>  </w:t>
            </w:r>
          </w:p>
        </w:tc>
        <w:tc>
          <w:tcPr>
            <w:tcW w:w="965" w:type="dxa"/>
            <w:tcBorders/>
            <w:shd w:fill="DBE5F1" w:val="clear"/>
            <w:vAlign w:val="center"/>
          </w:tcPr>
          <w:p>
            <w:pPr>
              <w:pStyle w:val="TableContents"/>
              <w:bidi w:val="0"/>
              <w:spacing w:before="0" w:after="283"/>
              <w:jc w:val="left"/>
              <w:rPr/>
            </w:pPr>
            <w:r>
              <w:rPr/>
              <w:t>Options</w:t>
            </w:r>
          </w:p>
        </w:tc>
        <w:tc>
          <w:tcPr>
            <w:tcW w:w="60" w:type="dxa"/>
            <w:tcBorders/>
            <w:shd w:fill="DBE5F1" w:val="clear"/>
            <w:vAlign w:val="center"/>
          </w:tcPr>
          <w:p>
            <w:pPr>
              <w:pStyle w:val="TableContents"/>
              <w:bidi w:val="0"/>
              <w:spacing w:before="0" w:after="283"/>
              <w:jc w:val="left"/>
              <w:rPr/>
            </w:pPr>
            <w:r>
              <w:rPr/>
              <w:t> </w:t>
            </w:r>
          </w:p>
        </w:tc>
        <w:tc>
          <w:tcPr>
            <w:tcW w:w="6887" w:type="dxa"/>
            <w:tcBorders/>
            <w:shd w:fill="DBE5F1" w:val="clear"/>
            <w:vAlign w:val="center"/>
          </w:tcPr>
          <w:p>
            <w:pPr>
              <w:pStyle w:val="TableContents"/>
              <w:bidi w:val="0"/>
              <w:spacing w:before="0" w:after="283"/>
              <w:jc w:val="left"/>
              <w:rPr/>
            </w:pPr>
            <w:r>
              <w:rPr/>
              <w:t>Vests 25% per year over 4 years with 91,241 vesting on each of 3/8/2023, 3/8/2024, 3/8/2025 and 3/8/2026</w:t>
            </w:r>
          </w:p>
        </w:tc>
      </w:tr>
      <w:tr>
        <w:trPr/>
        <w:tc>
          <w:tcPr>
            <w:tcW w:w="1296"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817" w:type="dxa"/>
            <w:tcBorders/>
            <w:shd w:fill="DBE5F1" w:val="clear"/>
            <w:vAlign w:val="center"/>
          </w:tcPr>
          <w:p>
            <w:pPr>
              <w:pStyle w:val="TableContents"/>
              <w:bidi w:val="0"/>
              <w:spacing w:before="0" w:after="283"/>
              <w:jc w:val="left"/>
              <w:rPr/>
            </w:pPr>
            <w:r>
              <w:rPr/>
              <w:t>3/25/2021</w:t>
            </w:r>
          </w:p>
        </w:tc>
        <w:tc>
          <w:tcPr>
            <w:tcW w:w="120" w:type="dxa"/>
            <w:tcBorders/>
            <w:shd w:fill="DBE5F1" w:val="clear"/>
            <w:vAlign w:val="center"/>
          </w:tcPr>
          <w:p>
            <w:pPr>
              <w:pStyle w:val="TableContents"/>
              <w:bidi w:val="0"/>
              <w:spacing w:before="0" w:after="283"/>
              <w:jc w:val="left"/>
              <w:rPr/>
            </w:pPr>
            <w:r>
              <w:rPr/>
              <w:t>  </w:t>
            </w:r>
          </w:p>
        </w:tc>
        <w:tc>
          <w:tcPr>
            <w:tcW w:w="965" w:type="dxa"/>
            <w:tcBorders/>
            <w:shd w:fill="DBE5F1" w:val="clear"/>
            <w:vAlign w:val="center"/>
          </w:tcPr>
          <w:p>
            <w:pPr>
              <w:pStyle w:val="TableContents"/>
              <w:bidi w:val="0"/>
              <w:spacing w:before="0" w:after="283"/>
              <w:jc w:val="left"/>
              <w:rPr/>
            </w:pPr>
            <w:r>
              <w:rPr/>
              <w:t>Options</w:t>
            </w:r>
          </w:p>
        </w:tc>
        <w:tc>
          <w:tcPr>
            <w:tcW w:w="60" w:type="dxa"/>
            <w:tcBorders/>
            <w:shd w:fill="DBE5F1" w:val="clear"/>
            <w:vAlign w:val="center"/>
          </w:tcPr>
          <w:p>
            <w:pPr>
              <w:pStyle w:val="TableContents"/>
              <w:bidi w:val="0"/>
              <w:spacing w:before="0" w:after="283"/>
              <w:jc w:val="left"/>
              <w:rPr/>
            </w:pPr>
            <w:r>
              <w:rPr/>
              <w:t> </w:t>
            </w:r>
          </w:p>
        </w:tc>
        <w:tc>
          <w:tcPr>
            <w:tcW w:w="6887" w:type="dxa"/>
            <w:tcBorders/>
            <w:shd w:fill="DBE5F1" w:val="clear"/>
            <w:vAlign w:val="center"/>
          </w:tcPr>
          <w:p>
            <w:pPr>
              <w:pStyle w:val="TableContents"/>
              <w:bidi w:val="0"/>
              <w:spacing w:before="0" w:after="283"/>
              <w:jc w:val="left"/>
              <w:rPr/>
            </w:pPr>
            <w:r>
              <w:rPr/>
              <w:t>Vests 25% per year over 4 years with 979,167 vesting on each of 3/25/2022, 2023, 2024, and 2025</w:t>
            </w:r>
          </w:p>
        </w:tc>
      </w:tr>
      <w:tr>
        <w:trPr/>
        <w:tc>
          <w:tcPr>
            <w:tcW w:w="1296"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817" w:type="dxa"/>
            <w:tcBorders/>
            <w:shd w:fill="DBE5F1" w:val="clear"/>
            <w:vAlign w:val="center"/>
          </w:tcPr>
          <w:p>
            <w:pPr>
              <w:pStyle w:val="TableContents"/>
              <w:bidi w:val="0"/>
              <w:spacing w:before="0" w:after="283"/>
              <w:jc w:val="left"/>
              <w:rPr/>
            </w:pPr>
            <w:r>
              <w:rPr/>
              <w:t>3/25/2021</w:t>
            </w:r>
          </w:p>
        </w:tc>
        <w:tc>
          <w:tcPr>
            <w:tcW w:w="120" w:type="dxa"/>
            <w:tcBorders/>
            <w:shd w:fill="DBE5F1" w:val="clear"/>
            <w:vAlign w:val="center"/>
          </w:tcPr>
          <w:p>
            <w:pPr>
              <w:pStyle w:val="TableContents"/>
              <w:bidi w:val="0"/>
              <w:spacing w:before="0" w:after="283"/>
              <w:jc w:val="left"/>
              <w:rPr/>
            </w:pPr>
            <w:r>
              <w:rPr/>
              <w:t>  </w:t>
            </w:r>
          </w:p>
        </w:tc>
        <w:tc>
          <w:tcPr>
            <w:tcW w:w="965" w:type="dxa"/>
            <w:tcBorders/>
            <w:shd w:fill="DBE5F1" w:val="clear"/>
            <w:vAlign w:val="center"/>
          </w:tcPr>
          <w:p>
            <w:pPr>
              <w:pStyle w:val="TableContents"/>
              <w:bidi w:val="0"/>
              <w:spacing w:before="0" w:after="283"/>
              <w:jc w:val="left"/>
              <w:rPr/>
            </w:pPr>
            <w:r>
              <w:rPr/>
              <w:t>RSUs</w:t>
            </w:r>
          </w:p>
        </w:tc>
        <w:tc>
          <w:tcPr>
            <w:tcW w:w="60" w:type="dxa"/>
            <w:tcBorders/>
            <w:shd w:fill="DBE5F1" w:val="clear"/>
            <w:vAlign w:val="center"/>
          </w:tcPr>
          <w:p>
            <w:pPr>
              <w:pStyle w:val="TableContents"/>
              <w:bidi w:val="0"/>
              <w:spacing w:before="0" w:after="283"/>
              <w:jc w:val="left"/>
              <w:rPr/>
            </w:pPr>
            <w:r>
              <w:rPr/>
              <w:t> </w:t>
            </w:r>
          </w:p>
        </w:tc>
        <w:tc>
          <w:tcPr>
            <w:tcW w:w="6887" w:type="dxa"/>
            <w:tcBorders/>
            <w:shd w:fill="DBE5F1" w:val="clear"/>
            <w:vAlign w:val="center"/>
          </w:tcPr>
          <w:p>
            <w:pPr>
              <w:pStyle w:val="TableContents"/>
              <w:bidi w:val="0"/>
              <w:spacing w:before="0" w:after="283"/>
              <w:jc w:val="left"/>
              <w:rPr/>
            </w:pPr>
            <w:r>
              <w:rPr/>
              <w:t>Vests 25% per year over 4 years with approximately 77,758 vesting on each of 3/25/2022, 2023, 2024, and 2025</w:t>
            </w:r>
          </w:p>
        </w:tc>
      </w:tr>
      <w:tr>
        <w:trPr/>
        <w:tc>
          <w:tcPr>
            <w:tcW w:w="1296"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817" w:type="dxa"/>
            <w:tcBorders>
              <w:bottom w:val="single" w:sz="8" w:space="0" w:color="95B3D7"/>
            </w:tcBorders>
            <w:shd w:fill="DBE5F1" w:val="clear"/>
            <w:tcMar>
              <w:bottom w:w="28" w:type="dxa"/>
            </w:tcMar>
            <w:vAlign w:val="center"/>
          </w:tcPr>
          <w:p>
            <w:pPr>
              <w:pStyle w:val="TableContents"/>
              <w:bidi w:val="0"/>
              <w:spacing w:before="0" w:after="283"/>
              <w:jc w:val="left"/>
              <w:rPr/>
            </w:pPr>
            <w:r>
              <w:rPr/>
              <w:t>9/25/2020</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965" w:type="dxa"/>
            <w:tcBorders>
              <w:bottom w:val="single" w:sz="8" w:space="0" w:color="95B3D7"/>
            </w:tcBorders>
            <w:shd w:fill="DBE5F1" w:val="clear"/>
            <w:tcMar>
              <w:bottom w:w="28" w:type="dxa"/>
            </w:tcMar>
            <w:vAlign w:val="center"/>
          </w:tcPr>
          <w:p>
            <w:pPr>
              <w:pStyle w:val="TableContents"/>
              <w:bidi w:val="0"/>
              <w:spacing w:before="0" w:after="283"/>
              <w:jc w:val="left"/>
              <w:rPr/>
            </w:pPr>
            <w:r>
              <w:rPr/>
              <w:t>Restricted</w:t>
              <w:br/>
              <w:t>Shares</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6887" w:type="dxa"/>
            <w:tcBorders>
              <w:bottom w:val="single" w:sz="8" w:space="0" w:color="95B3D7"/>
            </w:tcBorders>
            <w:shd w:fill="DBE5F1" w:val="clear"/>
            <w:tcMar>
              <w:bottom w:w="28" w:type="dxa"/>
            </w:tcMar>
            <w:vAlign w:val="center"/>
          </w:tcPr>
          <w:p>
            <w:pPr>
              <w:pStyle w:val="TableContents"/>
              <w:bidi w:val="0"/>
              <w:spacing w:before="0" w:after="283"/>
              <w:jc w:val="left"/>
              <w:rPr/>
            </w:pPr>
            <w:r>
              <w:rPr/>
              <w:t>Vests over 3 years with approximately 227,143 vesting on each of 8/1/2022, 2023, and 2024</w:t>
            </w:r>
          </w:p>
        </w:tc>
      </w:tr>
      <w:tr>
        <w:trPr/>
        <w:tc>
          <w:tcPr>
            <w:tcW w:w="1296" w:type="dxa"/>
            <w:tcBorders/>
            <w:vAlign w:val="center"/>
          </w:tcPr>
          <w:p>
            <w:pPr>
              <w:pStyle w:val="TableContents"/>
              <w:bidi w:val="0"/>
              <w:spacing w:before="0" w:after="283"/>
              <w:jc w:val="left"/>
              <w:rPr/>
            </w:pPr>
            <w:r>
              <w:rPr/>
              <w:t>Thomas Freeman</w:t>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9/14/2023</w:t>
            </w:r>
          </w:p>
        </w:tc>
        <w:tc>
          <w:tcPr>
            <w:tcW w:w="12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PSUs</w:t>
            </w:r>
          </w:p>
        </w:tc>
        <w:tc>
          <w:tcPr>
            <w:tcW w:w="60" w:type="dxa"/>
            <w:tcBorders/>
            <w:vAlign w:val="center"/>
          </w:tcPr>
          <w:p>
            <w:pPr>
              <w:pStyle w:val="TableContents"/>
              <w:bidi w:val="0"/>
              <w:spacing w:before="0" w:after="283"/>
              <w:jc w:val="left"/>
              <w:rPr/>
            </w:pPr>
            <w:r>
              <w:rPr/>
              <w:t> </w:t>
            </w:r>
          </w:p>
        </w:tc>
        <w:tc>
          <w:tcPr>
            <w:tcW w:w="6887" w:type="dxa"/>
            <w:tcBorders/>
            <w:vAlign w:val="center"/>
          </w:tcPr>
          <w:p>
            <w:pPr>
              <w:pStyle w:val="TableContents"/>
              <w:bidi w:val="0"/>
              <w:spacing w:before="0" w:after="283"/>
              <w:jc w:val="left"/>
              <w:rPr/>
            </w:pPr>
            <w:r>
              <w:rPr/>
              <w:t>Vests, if earned, 50% on the performance certification date and 50% on 12/31/25</w:t>
            </w:r>
          </w:p>
        </w:tc>
      </w:tr>
      <w:tr>
        <w:trPr/>
        <w:tc>
          <w:tcPr>
            <w:tcW w:w="1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9/12/2022</w:t>
            </w:r>
          </w:p>
        </w:tc>
        <w:tc>
          <w:tcPr>
            <w:tcW w:w="12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RSUs</w:t>
            </w:r>
          </w:p>
        </w:tc>
        <w:tc>
          <w:tcPr>
            <w:tcW w:w="60" w:type="dxa"/>
            <w:tcBorders/>
            <w:vAlign w:val="center"/>
          </w:tcPr>
          <w:p>
            <w:pPr>
              <w:pStyle w:val="TableContents"/>
              <w:bidi w:val="0"/>
              <w:spacing w:before="0" w:after="283"/>
              <w:jc w:val="left"/>
              <w:rPr/>
            </w:pPr>
            <w:r>
              <w:rPr/>
              <w:t> </w:t>
            </w:r>
          </w:p>
        </w:tc>
        <w:tc>
          <w:tcPr>
            <w:tcW w:w="6887" w:type="dxa"/>
            <w:tcBorders/>
            <w:vAlign w:val="center"/>
          </w:tcPr>
          <w:p>
            <w:pPr>
              <w:pStyle w:val="TableContents"/>
              <w:bidi w:val="0"/>
              <w:spacing w:before="0" w:after="283"/>
              <w:jc w:val="left"/>
              <w:rPr/>
            </w:pPr>
            <w:r>
              <w:rPr/>
              <w:t>Vests 159,590 shares on 9/7/2025 and 159,589 shares on 9/7/2026.</w:t>
            </w:r>
          </w:p>
        </w:tc>
      </w:tr>
      <w:tr>
        <w:trPr/>
        <w:tc>
          <w:tcPr>
            <w:tcW w:w="1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3/8/2022</w:t>
            </w:r>
          </w:p>
        </w:tc>
        <w:tc>
          <w:tcPr>
            <w:tcW w:w="12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RSUs</w:t>
            </w:r>
          </w:p>
        </w:tc>
        <w:tc>
          <w:tcPr>
            <w:tcW w:w="60" w:type="dxa"/>
            <w:tcBorders/>
            <w:vAlign w:val="center"/>
          </w:tcPr>
          <w:p>
            <w:pPr>
              <w:pStyle w:val="TableContents"/>
              <w:bidi w:val="0"/>
              <w:spacing w:before="0" w:after="283"/>
              <w:jc w:val="left"/>
              <w:rPr/>
            </w:pPr>
            <w:r>
              <w:rPr/>
              <w:t> </w:t>
            </w:r>
          </w:p>
        </w:tc>
        <w:tc>
          <w:tcPr>
            <w:tcW w:w="6887" w:type="dxa"/>
            <w:tcBorders/>
            <w:vAlign w:val="center"/>
          </w:tcPr>
          <w:p>
            <w:pPr>
              <w:pStyle w:val="TableContents"/>
              <w:bidi w:val="0"/>
              <w:spacing w:before="0" w:after="283"/>
              <w:jc w:val="left"/>
              <w:rPr/>
            </w:pPr>
            <w:r>
              <w:rPr/>
              <w:t>Vests 25% per year over 4 years with approximately 34,147 vesting on each of 3/8/2023, 3/8/2024, 3/8/2025 and 3/8/2026</w:t>
            </w:r>
          </w:p>
        </w:tc>
      </w:tr>
      <w:tr>
        <w:trPr/>
        <w:tc>
          <w:tcPr>
            <w:tcW w:w="1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3/8/2022</w:t>
            </w:r>
          </w:p>
        </w:tc>
        <w:tc>
          <w:tcPr>
            <w:tcW w:w="12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Options</w:t>
            </w:r>
          </w:p>
        </w:tc>
        <w:tc>
          <w:tcPr>
            <w:tcW w:w="60" w:type="dxa"/>
            <w:tcBorders/>
            <w:vAlign w:val="center"/>
          </w:tcPr>
          <w:p>
            <w:pPr>
              <w:pStyle w:val="TableContents"/>
              <w:bidi w:val="0"/>
              <w:spacing w:before="0" w:after="283"/>
              <w:jc w:val="left"/>
              <w:rPr/>
            </w:pPr>
            <w:r>
              <w:rPr/>
              <w:t> </w:t>
            </w:r>
          </w:p>
        </w:tc>
        <w:tc>
          <w:tcPr>
            <w:tcW w:w="6887" w:type="dxa"/>
            <w:tcBorders/>
            <w:vAlign w:val="center"/>
          </w:tcPr>
          <w:p>
            <w:pPr>
              <w:pStyle w:val="TableContents"/>
              <w:bidi w:val="0"/>
              <w:spacing w:before="0" w:after="283"/>
              <w:jc w:val="left"/>
              <w:rPr/>
            </w:pPr>
            <w:r>
              <w:rPr/>
              <w:t>Vests 25% per year over 4 years with approximately 25,091 vesting on each of 3/8/2023, 3/8/2024, 3/8/2025 and 3/8/2026.</w:t>
            </w:r>
          </w:p>
        </w:tc>
      </w:tr>
      <w:tr>
        <w:trPr/>
        <w:tc>
          <w:tcPr>
            <w:tcW w:w="1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3/25/2021</w:t>
            </w:r>
          </w:p>
        </w:tc>
        <w:tc>
          <w:tcPr>
            <w:tcW w:w="12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Options</w:t>
            </w:r>
          </w:p>
        </w:tc>
        <w:tc>
          <w:tcPr>
            <w:tcW w:w="60" w:type="dxa"/>
            <w:tcBorders/>
            <w:vAlign w:val="center"/>
          </w:tcPr>
          <w:p>
            <w:pPr>
              <w:pStyle w:val="TableContents"/>
              <w:bidi w:val="0"/>
              <w:spacing w:before="0" w:after="283"/>
              <w:jc w:val="left"/>
              <w:rPr/>
            </w:pPr>
            <w:r>
              <w:rPr/>
              <w:t> </w:t>
            </w:r>
          </w:p>
        </w:tc>
        <w:tc>
          <w:tcPr>
            <w:tcW w:w="6887" w:type="dxa"/>
            <w:tcBorders/>
            <w:vAlign w:val="center"/>
          </w:tcPr>
          <w:p>
            <w:pPr>
              <w:pStyle w:val="TableContents"/>
              <w:bidi w:val="0"/>
              <w:spacing w:before="0" w:after="283"/>
              <w:jc w:val="left"/>
              <w:rPr/>
            </w:pPr>
            <w:r>
              <w:rPr/>
              <w:t>Vests 25% per year over 4 years with 190,680 vesting on each of 3/25/2022, 2023, 2024, and 2025</w:t>
            </w:r>
          </w:p>
        </w:tc>
      </w:tr>
      <w:tr>
        <w:trPr/>
        <w:tc>
          <w:tcPr>
            <w:tcW w:w="12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3/25/2021</w:t>
            </w:r>
          </w:p>
        </w:tc>
        <w:tc>
          <w:tcPr>
            <w:tcW w:w="12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RSUs</w:t>
            </w:r>
          </w:p>
        </w:tc>
        <w:tc>
          <w:tcPr>
            <w:tcW w:w="60" w:type="dxa"/>
            <w:tcBorders/>
            <w:vAlign w:val="center"/>
          </w:tcPr>
          <w:p>
            <w:pPr>
              <w:pStyle w:val="TableContents"/>
              <w:bidi w:val="0"/>
              <w:spacing w:before="0" w:after="283"/>
              <w:jc w:val="left"/>
              <w:rPr/>
            </w:pPr>
            <w:r>
              <w:rPr/>
              <w:t> </w:t>
            </w:r>
          </w:p>
        </w:tc>
        <w:tc>
          <w:tcPr>
            <w:tcW w:w="6887" w:type="dxa"/>
            <w:tcBorders/>
            <w:vAlign w:val="center"/>
          </w:tcPr>
          <w:p>
            <w:pPr>
              <w:pStyle w:val="TableContents"/>
              <w:bidi w:val="0"/>
              <w:spacing w:before="0" w:after="283"/>
              <w:jc w:val="left"/>
              <w:rPr/>
            </w:pPr>
            <w:r>
              <w:rPr/>
              <w:t>Vests 25% per year over 4 years with approximately 15,143 vesting on each of 3/25/2022, 2023, 2024, and 2025</w:t>
            </w:r>
          </w:p>
        </w:tc>
      </w:tr>
      <w:tr>
        <w:trPr/>
        <w:tc>
          <w:tcPr>
            <w:tcW w:w="1296" w:type="dxa"/>
            <w:tcBorders>
              <w:bottom w:val="single" w:sz="8" w:space="0" w:color="95B3D7"/>
            </w:tcBorders>
            <w:tcMar>
              <w:bottom w:w="28" w:type="dxa"/>
            </w:tcMar>
            <w:vAlign w:val="center"/>
          </w:tcPr>
          <w:p>
            <w:pPr>
              <w:pStyle w:val="TableContents"/>
              <w:bidi w:val="0"/>
              <w:spacing w:before="0" w:after="283"/>
              <w:jc w:val="left"/>
              <w:rPr/>
            </w:pPr>
            <w:r>
              <w:rPr/>
              <w:t> </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817" w:type="dxa"/>
            <w:tcBorders>
              <w:bottom w:val="single" w:sz="8" w:space="0" w:color="95B3D7"/>
            </w:tcBorders>
            <w:tcMar>
              <w:bottom w:w="28" w:type="dxa"/>
            </w:tcMar>
            <w:vAlign w:val="center"/>
          </w:tcPr>
          <w:p>
            <w:pPr>
              <w:pStyle w:val="TableContents"/>
              <w:bidi w:val="0"/>
              <w:spacing w:before="0" w:after="283"/>
              <w:jc w:val="left"/>
              <w:rPr/>
            </w:pPr>
            <w:r>
              <w:rPr/>
              <w:t>9/25/2020</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965" w:type="dxa"/>
            <w:tcBorders>
              <w:bottom w:val="single" w:sz="8" w:space="0" w:color="95B3D7"/>
            </w:tcBorders>
            <w:tcMar>
              <w:bottom w:w="28" w:type="dxa"/>
            </w:tcMar>
            <w:vAlign w:val="center"/>
          </w:tcPr>
          <w:p>
            <w:pPr>
              <w:pStyle w:val="TableContents"/>
              <w:bidi w:val="0"/>
              <w:spacing w:before="0" w:after="283"/>
              <w:jc w:val="left"/>
              <w:rPr/>
            </w:pPr>
            <w:r>
              <w:rPr/>
              <w:t>Restricted</w:t>
              <w:br/>
              <w:t>Shares</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6887" w:type="dxa"/>
            <w:tcBorders>
              <w:bottom w:val="single" w:sz="8" w:space="0" w:color="95B3D7"/>
            </w:tcBorders>
            <w:tcMar>
              <w:bottom w:w="28" w:type="dxa"/>
            </w:tcMar>
            <w:vAlign w:val="center"/>
          </w:tcPr>
          <w:p>
            <w:pPr>
              <w:pStyle w:val="TableContents"/>
              <w:bidi w:val="0"/>
              <w:spacing w:before="0" w:after="283"/>
              <w:jc w:val="left"/>
              <w:rPr/>
            </w:pPr>
            <w:r>
              <w:rPr/>
              <w:t>Vests over 3 years with 61,127 vesting on each of 8/1/2022, 2023, and 2024</w:t>
            </w:r>
          </w:p>
        </w:tc>
      </w:tr>
      <w:tr>
        <w:trPr/>
        <w:tc>
          <w:tcPr>
            <w:tcW w:w="1296" w:type="dxa"/>
            <w:tcBorders/>
            <w:shd w:fill="DBE5F1" w:val="clear"/>
            <w:vAlign w:val="center"/>
          </w:tcPr>
          <w:p>
            <w:pPr>
              <w:pStyle w:val="TableContents"/>
              <w:bidi w:val="0"/>
              <w:spacing w:before="0" w:after="0"/>
              <w:jc w:val="left"/>
              <w:rPr>
                <w:rFonts w:ascii="ARIAL" w:hAnsi="ARIAL"/>
                <w:sz w:val="12"/>
              </w:rPr>
            </w:pPr>
            <w:r>
              <w:rPr>
                <w:rFonts w:ascii="ARIAL" w:hAnsi="ARIAL"/>
                <w:sz w:val="12"/>
              </w:rPr>
              <w:t>Dawn</w:t>
            </w:r>
          </w:p>
          <w:p>
            <w:pPr>
              <w:pStyle w:val="TableContents"/>
              <w:bidi w:val="0"/>
              <w:spacing w:before="0" w:after="20"/>
              <w:jc w:val="left"/>
              <w:rPr>
                <w:rFonts w:ascii="ARIAL" w:hAnsi="ARIAL"/>
                <w:sz w:val="12"/>
              </w:rPr>
            </w:pPr>
            <w:r>
              <w:rPr>
                <w:rFonts w:ascii="ARIAL" w:hAnsi="ARIAL"/>
                <w:sz w:val="12"/>
              </w:rPr>
              <w:t>Maroney</w:t>
            </w:r>
          </w:p>
        </w:tc>
        <w:tc>
          <w:tcPr>
            <w:tcW w:w="60" w:type="dxa"/>
            <w:tcBorders/>
            <w:shd w:fill="DBE5F1" w:val="clear"/>
            <w:vAlign w:val="center"/>
          </w:tcPr>
          <w:p>
            <w:pPr>
              <w:pStyle w:val="TableContents"/>
              <w:bidi w:val="0"/>
              <w:spacing w:before="0" w:after="283"/>
              <w:jc w:val="left"/>
              <w:rPr/>
            </w:pPr>
            <w:r>
              <w:rPr/>
              <w:t> </w:t>
            </w:r>
          </w:p>
        </w:tc>
        <w:tc>
          <w:tcPr>
            <w:tcW w:w="817" w:type="dxa"/>
            <w:tcBorders/>
            <w:shd w:fill="DBE5F1" w:val="clear"/>
            <w:vAlign w:val="center"/>
          </w:tcPr>
          <w:p>
            <w:pPr>
              <w:pStyle w:val="TableContents"/>
              <w:bidi w:val="0"/>
              <w:spacing w:before="0" w:after="283"/>
              <w:jc w:val="left"/>
              <w:rPr/>
            </w:pPr>
            <w:r>
              <w:rPr/>
              <w:t>9/14/2023</w:t>
            </w:r>
          </w:p>
        </w:tc>
        <w:tc>
          <w:tcPr>
            <w:tcW w:w="120" w:type="dxa"/>
            <w:tcBorders/>
            <w:shd w:fill="DBE5F1" w:val="clear"/>
            <w:vAlign w:val="center"/>
          </w:tcPr>
          <w:p>
            <w:pPr>
              <w:pStyle w:val="TableContents"/>
              <w:bidi w:val="0"/>
              <w:spacing w:before="0" w:after="283"/>
              <w:jc w:val="left"/>
              <w:rPr/>
            </w:pPr>
            <w:r>
              <w:rPr/>
              <w:t>  </w:t>
            </w:r>
          </w:p>
        </w:tc>
        <w:tc>
          <w:tcPr>
            <w:tcW w:w="965" w:type="dxa"/>
            <w:tcBorders/>
            <w:shd w:fill="DBE5F1" w:val="clear"/>
            <w:vAlign w:val="center"/>
          </w:tcPr>
          <w:p>
            <w:pPr>
              <w:pStyle w:val="TableContents"/>
              <w:bidi w:val="0"/>
              <w:spacing w:before="0" w:after="283"/>
              <w:jc w:val="left"/>
              <w:rPr/>
            </w:pPr>
            <w:r>
              <w:rPr/>
              <w:t>PSUs</w:t>
            </w:r>
          </w:p>
        </w:tc>
        <w:tc>
          <w:tcPr>
            <w:tcW w:w="60" w:type="dxa"/>
            <w:tcBorders/>
            <w:shd w:fill="DBE5F1" w:val="clear"/>
            <w:vAlign w:val="center"/>
          </w:tcPr>
          <w:p>
            <w:pPr>
              <w:pStyle w:val="TableContents"/>
              <w:bidi w:val="0"/>
              <w:spacing w:before="0" w:after="283"/>
              <w:jc w:val="left"/>
              <w:rPr/>
            </w:pPr>
            <w:r>
              <w:rPr/>
              <w:t> </w:t>
            </w:r>
          </w:p>
        </w:tc>
        <w:tc>
          <w:tcPr>
            <w:tcW w:w="6887" w:type="dxa"/>
            <w:tcBorders/>
            <w:shd w:fill="DBE5F1" w:val="clear"/>
            <w:vAlign w:val="center"/>
          </w:tcPr>
          <w:p>
            <w:pPr>
              <w:pStyle w:val="TableContents"/>
              <w:bidi w:val="0"/>
              <w:spacing w:before="0" w:after="283"/>
              <w:jc w:val="left"/>
              <w:rPr/>
            </w:pPr>
            <w:r>
              <w:rPr/>
              <w:t>Vests, if earned, 50% on the performance certification date and 50% on 12/31/25</w:t>
            </w:r>
          </w:p>
        </w:tc>
      </w:tr>
      <w:tr>
        <w:trPr/>
        <w:tc>
          <w:tcPr>
            <w:tcW w:w="1296"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817" w:type="dxa"/>
            <w:tcBorders/>
            <w:shd w:fill="DBE5F1" w:val="clear"/>
            <w:vAlign w:val="center"/>
          </w:tcPr>
          <w:p>
            <w:pPr>
              <w:pStyle w:val="TableContents"/>
              <w:bidi w:val="0"/>
              <w:spacing w:before="0" w:after="283"/>
              <w:jc w:val="left"/>
              <w:rPr/>
            </w:pPr>
            <w:r>
              <w:rPr/>
              <w:t>9/12/2022</w:t>
            </w:r>
          </w:p>
        </w:tc>
        <w:tc>
          <w:tcPr>
            <w:tcW w:w="120" w:type="dxa"/>
            <w:tcBorders/>
            <w:shd w:fill="DBE5F1" w:val="clear"/>
            <w:vAlign w:val="center"/>
          </w:tcPr>
          <w:p>
            <w:pPr>
              <w:pStyle w:val="TableContents"/>
              <w:bidi w:val="0"/>
              <w:spacing w:before="0" w:after="283"/>
              <w:jc w:val="left"/>
              <w:rPr/>
            </w:pPr>
            <w:r>
              <w:rPr/>
              <w:t>  </w:t>
            </w:r>
          </w:p>
        </w:tc>
        <w:tc>
          <w:tcPr>
            <w:tcW w:w="965" w:type="dxa"/>
            <w:tcBorders/>
            <w:shd w:fill="DBE5F1" w:val="clear"/>
            <w:vAlign w:val="center"/>
          </w:tcPr>
          <w:p>
            <w:pPr>
              <w:pStyle w:val="TableContents"/>
              <w:bidi w:val="0"/>
              <w:spacing w:before="0" w:after="283"/>
              <w:jc w:val="left"/>
              <w:rPr/>
            </w:pPr>
            <w:r>
              <w:rPr/>
              <w:t>RSUs</w:t>
            </w:r>
          </w:p>
        </w:tc>
        <w:tc>
          <w:tcPr>
            <w:tcW w:w="60" w:type="dxa"/>
            <w:tcBorders/>
            <w:shd w:fill="DBE5F1" w:val="clear"/>
            <w:vAlign w:val="center"/>
          </w:tcPr>
          <w:p>
            <w:pPr>
              <w:pStyle w:val="TableContents"/>
              <w:bidi w:val="0"/>
              <w:spacing w:before="0" w:after="283"/>
              <w:jc w:val="left"/>
              <w:rPr/>
            </w:pPr>
            <w:r>
              <w:rPr/>
              <w:t> </w:t>
            </w:r>
          </w:p>
        </w:tc>
        <w:tc>
          <w:tcPr>
            <w:tcW w:w="6887" w:type="dxa"/>
            <w:tcBorders/>
            <w:shd w:fill="DBE5F1" w:val="clear"/>
            <w:vAlign w:val="center"/>
          </w:tcPr>
          <w:p>
            <w:pPr>
              <w:pStyle w:val="TableContents"/>
              <w:bidi w:val="0"/>
              <w:spacing w:before="0" w:after="283"/>
              <w:jc w:val="left"/>
              <w:rPr/>
            </w:pPr>
            <w:r>
              <w:rPr/>
              <w:t>Vests 215,662 shares on 9/7/2025 and 215,661 shares on 9/7/2026</w:t>
            </w:r>
          </w:p>
        </w:tc>
      </w:tr>
      <w:tr>
        <w:trPr/>
        <w:tc>
          <w:tcPr>
            <w:tcW w:w="1296"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817" w:type="dxa"/>
            <w:tcBorders/>
            <w:shd w:fill="DBE5F1" w:val="clear"/>
            <w:vAlign w:val="center"/>
          </w:tcPr>
          <w:p>
            <w:pPr>
              <w:pStyle w:val="TableContents"/>
              <w:bidi w:val="0"/>
              <w:spacing w:before="0" w:after="283"/>
              <w:jc w:val="left"/>
              <w:rPr/>
            </w:pPr>
            <w:r>
              <w:rPr/>
              <w:t>3/8/2022</w:t>
            </w:r>
          </w:p>
        </w:tc>
        <w:tc>
          <w:tcPr>
            <w:tcW w:w="120" w:type="dxa"/>
            <w:tcBorders/>
            <w:shd w:fill="DBE5F1" w:val="clear"/>
            <w:vAlign w:val="center"/>
          </w:tcPr>
          <w:p>
            <w:pPr>
              <w:pStyle w:val="TableContents"/>
              <w:bidi w:val="0"/>
              <w:spacing w:before="0" w:after="283"/>
              <w:jc w:val="left"/>
              <w:rPr/>
            </w:pPr>
            <w:r>
              <w:rPr/>
              <w:t>  </w:t>
            </w:r>
          </w:p>
        </w:tc>
        <w:tc>
          <w:tcPr>
            <w:tcW w:w="965" w:type="dxa"/>
            <w:tcBorders/>
            <w:shd w:fill="DBE5F1" w:val="clear"/>
            <w:vAlign w:val="center"/>
          </w:tcPr>
          <w:p>
            <w:pPr>
              <w:pStyle w:val="TableContents"/>
              <w:bidi w:val="0"/>
              <w:spacing w:before="0" w:after="283"/>
              <w:jc w:val="left"/>
              <w:rPr/>
            </w:pPr>
            <w:r>
              <w:rPr/>
              <w:t>RSUs</w:t>
            </w:r>
          </w:p>
        </w:tc>
        <w:tc>
          <w:tcPr>
            <w:tcW w:w="60" w:type="dxa"/>
            <w:tcBorders/>
            <w:shd w:fill="DBE5F1" w:val="clear"/>
            <w:vAlign w:val="center"/>
          </w:tcPr>
          <w:p>
            <w:pPr>
              <w:pStyle w:val="TableContents"/>
              <w:bidi w:val="0"/>
              <w:spacing w:before="0" w:after="283"/>
              <w:jc w:val="left"/>
              <w:rPr/>
            </w:pPr>
            <w:r>
              <w:rPr/>
              <w:t> </w:t>
            </w:r>
          </w:p>
        </w:tc>
        <w:tc>
          <w:tcPr>
            <w:tcW w:w="6887" w:type="dxa"/>
            <w:tcBorders/>
            <w:shd w:fill="DBE5F1" w:val="clear"/>
            <w:vAlign w:val="center"/>
          </w:tcPr>
          <w:p>
            <w:pPr>
              <w:pStyle w:val="TableContents"/>
              <w:bidi w:val="0"/>
              <w:spacing w:before="0" w:after="283"/>
              <w:jc w:val="left"/>
              <w:rPr/>
            </w:pPr>
            <w:r>
              <w:rPr/>
              <w:t>Vests 25% per year over 4 years with approximately 51,739 vesting on each of 3/8/2023, 3/8/2024, 3/8/2025 and 3/8/2026</w:t>
            </w:r>
          </w:p>
        </w:tc>
      </w:tr>
      <w:tr>
        <w:trPr/>
        <w:tc>
          <w:tcPr>
            <w:tcW w:w="1296"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817" w:type="dxa"/>
            <w:tcBorders/>
            <w:shd w:fill="DBE5F1" w:val="clear"/>
            <w:vAlign w:val="center"/>
          </w:tcPr>
          <w:p>
            <w:pPr>
              <w:pStyle w:val="TableContents"/>
              <w:bidi w:val="0"/>
              <w:spacing w:before="0" w:after="283"/>
              <w:jc w:val="left"/>
              <w:rPr/>
            </w:pPr>
            <w:r>
              <w:rPr/>
              <w:t>3/8/2022</w:t>
            </w:r>
          </w:p>
        </w:tc>
        <w:tc>
          <w:tcPr>
            <w:tcW w:w="120" w:type="dxa"/>
            <w:tcBorders/>
            <w:shd w:fill="DBE5F1" w:val="clear"/>
            <w:vAlign w:val="center"/>
          </w:tcPr>
          <w:p>
            <w:pPr>
              <w:pStyle w:val="TableContents"/>
              <w:bidi w:val="0"/>
              <w:spacing w:before="0" w:after="283"/>
              <w:jc w:val="left"/>
              <w:rPr/>
            </w:pPr>
            <w:r>
              <w:rPr/>
              <w:t>  </w:t>
            </w:r>
          </w:p>
        </w:tc>
        <w:tc>
          <w:tcPr>
            <w:tcW w:w="965" w:type="dxa"/>
            <w:tcBorders/>
            <w:shd w:fill="DBE5F1" w:val="clear"/>
            <w:vAlign w:val="center"/>
          </w:tcPr>
          <w:p>
            <w:pPr>
              <w:pStyle w:val="TableContents"/>
              <w:bidi w:val="0"/>
              <w:spacing w:before="0" w:after="283"/>
              <w:jc w:val="left"/>
              <w:rPr/>
            </w:pPr>
            <w:r>
              <w:rPr/>
              <w:t>Options</w:t>
            </w:r>
          </w:p>
        </w:tc>
        <w:tc>
          <w:tcPr>
            <w:tcW w:w="60" w:type="dxa"/>
            <w:tcBorders/>
            <w:shd w:fill="DBE5F1" w:val="clear"/>
            <w:vAlign w:val="center"/>
          </w:tcPr>
          <w:p>
            <w:pPr>
              <w:pStyle w:val="TableContents"/>
              <w:bidi w:val="0"/>
              <w:spacing w:before="0" w:after="283"/>
              <w:jc w:val="left"/>
              <w:rPr/>
            </w:pPr>
            <w:r>
              <w:rPr/>
              <w:t> </w:t>
            </w:r>
          </w:p>
        </w:tc>
        <w:tc>
          <w:tcPr>
            <w:tcW w:w="6887" w:type="dxa"/>
            <w:tcBorders/>
            <w:shd w:fill="DBE5F1" w:val="clear"/>
            <w:vAlign w:val="center"/>
          </w:tcPr>
          <w:p>
            <w:pPr>
              <w:pStyle w:val="TableContents"/>
              <w:bidi w:val="0"/>
              <w:spacing w:before="0" w:after="283"/>
              <w:jc w:val="left"/>
              <w:rPr/>
            </w:pPr>
            <w:r>
              <w:rPr/>
              <w:t>Vests 25% per year over 4 years with 38,017 vesting on each of 3/8/2023, 3/8/2024, 3/8/2025 and 3/8/2026</w:t>
            </w:r>
          </w:p>
        </w:tc>
      </w:tr>
      <w:tr>
        <w:trPr/>
        <w:tc>
          <w:tcPr>
            <w:tcW w:w="1296"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817" w:type="dxa"/>
            <w:tcBorders/>
            <w:shd w:fill="DBE5F1" w:val="clear"/>
            <w:vAlign w:val="center"/>
          </w:tcPr>
          <w:p>
            <w:pPr>
              <w:pStyle w:val="TableContents"/>
              <w:bidi w:val="0"/>
              <w:spacing w:before="0" w:after="283"/>
              <w:jc w:val="left"/>
              <w:rPr/>
            </w:pPr>
            <w:r>
              <w:rPr/>
              <w:t>3/25/2021</w:t>
            </w:r>
          </w:p>
        </w:tc>
        <w:tc>
          <w:tcPr>
            <w:tcW w:w="120" w:type="dxa"/>
            <w:tcBorders/>
            <w:shd w:fill="DBE5F1" w:val="clear"/>
            <w:vAlign w:val="center"/>
          </w:tcPr>
          <w:p>
            <w:pPr>
              <w:pStyle w:val="TableContents"/>
              <w:bidi w:val="0"/>
              <w:spacing w:before="0" w:after="283"/>
              <w:jc w:val="left"/>
              <w:rPr/>
            </w:pPr>
            <w:r>
              <w:rPr/>
              <w:t>  </w:t>
            </w:r>
          </w:p>
        </w:tc>
        <w:tc>
          <w:tcPr>
            <w:tcW w:w="965" w:type="dxa"/>
            <w:tcBorders/>
            <w:shd w:fill="DBE5F1" w:val="clear"/>
            <w:vAlign w:val="center"/>
          </w:tcPr>
          <w:p>
            <w:pPr>
              <w:pStyle w:val="TableContents"/>
              <w:bidi w:val="0"/>
              <w:spacing w:before="0" w:after="283"/>
              <w:jc w:val="left"/>
              <w:rPr/>
            </w:pPr>
            <w:r>
              <w:rPr/>
              <w:t>Options</w:t>
            </w:r>
          </w:p>
        </w:tc>
        <w:tc>
          <w:tcPr>
            <w:tcW w:w="60" w:type="dxa"/>
            <w:tcBorders/>
            <w:shd w:fill="DBE5F1" w:val="clear"/>
            <w:vAlign w:val="center"/>
          </w:tcPr>
          <w:p>
            <w:pPr>
              <w:pStyle w:val="TableContents"/>
              <w:bidi w:val="0"/>
              <w:spacing w:before="0" w:after="283"/>
              <w:jc w:val="left"/>
              <w:rPr/>
            </w:pPr>
            <w:r>
              <w:rPr/>
              <w:t> </w:t>
            </w:r>
          </w:p>
        </w:tc>
        <w:tc>
          <w:tcPr>
            <w:tcW w:w="6887" w:type="dxa"/>
            <w:tcBorders/>
            <w:shd w:fill="DBE5F1" w:val="clear"/>
            <w:vAlign w:val="center"/>
          </w:tcPr>
          <w:p>
            <w:pPr>
              <w:pStyle w:val="TableContents"/>
              <w:bidi w:val="0"/>
              <w:spacing w:before="0" w:after="283"/>
              <w:jc w:val="left"/>
              <w:rPr/>
            </w:pPr>
            <w:r>
              <w:rPr/>
              <w:t>Vests 25% per year over 4 years with approximately 257,676 vesting on each of 3/25/2022, 2023, 2024, and 2025</w:t>
            </w:r>
          </w:p>
        </w:tc>
      </w:tr>
      <w:tr>
        <w:trPr/>
        <w:tc>
          <w:tcPr>
            <w:tcW w:w="1296"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817" w:type="dxa"/>
            <w:tcBorders/>
            <w:shd w:fill="DBE5F1" w:val="clear"/>
            <w:vAlign w:val="center"/>
          </w:tcPr>
          <w:p>
            <w:pPr>
              <w:pStyle w:val="TableContents"/>
              <w:bidi w:val="0"/>
              <w:spacing w:before="0" w:after="283"/>
              <w:jc w:val="left"/>
              <w:rPr/>
            </w:pPr>
            <w:r>
              <w:rPr/>
              <w:t>3/25/2021</w:t>
            </w:r>
          </w:p>
        </w:tc>
        <w:tc>
          <w:tcPr>
            <w:tcW w:w="120" w:type="dxa"/>
            <w:tcBorders/>
            <w:shd w:fill="DBE5F1" w:val="clear"/>
            <w:vAlign w:val="center"/>
          </w:tcPr>
          <w:p>
            <w:pPr>
              <w:pStyle w:val="TableContents"/>
              <w:bidi w:val="0"/>
              <w:spacing w:before="0" w:after="283"/>
              <w:jc w:val="left"/>
              <w:rPr/>
            </w:pPr>
            <w:r>
              <w:rPr/>
              <w:t>  </w:t>
            </w:r>
          </w:p>
        </w:tc>
        <w:tc>
          <w:tcPr>
            <w:tcW w:w="965" w:type="dxa"/>
            <w:tcBorders/>
            <w:shd w:fill="DBE5F1" w:val="clear"/>
            <w:vAlign w:val="center"/>
          </w:tcPr>
          <w:p>
            <w:pPr>
              <w:pStyle w:val="TableContents"/>
              <w:bidi w:val="0"/>
              <w:spacing w:before="0" w:after="283"/>
              <w:jc w:val="left"/>
              <w:rPr/>
            </w:pPr>
            <w:r>
              <w:rPr/>
              <w:t>RSUs</w:t>
            </w:r>
          </w:p>
        </w:tc>
        <w:tc>
          <w:tcPr>
            <w:tcW w:w="60" w:type="dxa"/>
            <w:tcBorders/>
            <w:shd w:fill="DBE5F1" w:val="clear"/>
            <w:vAlign w:val="center"/>
          </w:tcPr>
          <w:p>
            <w:pPr>
              <w:pStyle w:val="TableContents"/>
              <w:bidi w:val="0"/>
              <w:spacing w:before="0" w:after="283"/>
              <w:jc w:val="left"/>
              <w:rPr/>
            </w:pPr>
            <w:r>
              <w:rPr/>
              <w:t> </w:t>
            </w:r>
          </w:p>
        </w:tc>
        <w:tc>
          <w:tcPr>
            <w:tcW w:w="6887" w:type="dxa"/>
            <w:tcBorders/>
            <w:shd w:fill="DBE5F1" w:val="clear"/>
            <w:vAlign w:val="center"/>
          </w:tcPr>
          <w:p>
            <w:pPr>
              <w:pStyle w:val="TableContents"/>
              <w:bidi w:val="0"/>
              <w:spacing w:before="0" w:after="283"/>
              <w:jc w:val="left"/>
              <w:rPr/>
            </w:pPr>
            <w:r>
              <w:rPr/>
              <w:t>Vests 25% per year over 4 years with approximately 20,463 vesting on each of 3/25/2022, 2023, 2024, and 2025</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59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1030"/>
        <w:gridCol w:w="120"/>
        <w:gridCol w:w="824"/>
        <w:gridCol w:w="120"/>
        <w:gridCol w:w="965"/>
        <w:gridCol w:w="120"/>
        <w:gridCol w:w="7026"/>
      </w:tblGrid>
      <w:tr>
        <w:trPr/>
        <w:tc>
          <w:tcPr>
            <w:tcW w:w="10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26" w:type="dxa"/>
            <w:tcBorders/>
            <w:vAlign w:val="center"/>
          </w:tcPr>
          <w:p>
            <w:pPr>
              <w:pStyle w:val="TableContents"/>
              <w:bidi w:val="0"/>
              <w:spacing w:before="0" w:after="283"/>
              <w:jc w:val="left"/>
              <w:rPr>
                <w:sz w:val="4"/>
                <w:szCs w:val="4"/>
              </w:rPr>
            </w:pPr>
            <w:r>
              <w:rPr>
                <w:sz w:val="4"/>
                <w:szCs w:val="4"/>
              </w:rPr>
            </w:r>
          </w:p>
        </w:tc>
      </w:tr>
      <w:tr>
        <w:trPr/>
        <w:tc>
          <w:tcPr>
            <w:tcW w:w="1030" w:type="dxa"/>
            <w:tcBorders>
              <w:bottom w:val="single" w:sz="6" w:space="0" w:color="95B3D7"/>
            </w:tcBorders>
            <w:tcMar>
              <w:bottom w:w="28" w:type="dxa"/>
            </w:tcMar>
            <w:vAlign w:val="center"/>
          </w:tcPr>
          <w:p>
            <w:pPr>
              <w:pStyle w:val="TableContents"/>
              <w:bidi w:val="0"/>
              <w:spacing w:before="0" w:after="283"/>
              <w:jc w:val="left"/>
              <w:rPr/>
            </w:pPr>
            <w:r>
              <w:rPr/>
              <w:t> </w:t>
            </w:r>
            <w:r>
              <w:rPr>
                <w:b/>
              </w:rPr>
              <w:t>Name</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824" w:type="dxa"/>
            <w:tcBorders>
              <w:bottom w:val="single" w:sz="6" w:space="0" w:color="95B3D7"/>
            </w:tcBorders>
            <w:tcMar>
              <w:bottom w:w="28" w:type="dxa"/>
            </w:tcMar>
            <w:vAlign w:val="center"/>
          </w:tcPr>
          <w:p>
            <w:pPr>
              <w:pStyle w:val="TableContents"/>
              <w:bidi w:val="0"/>
              <w:spacing w:before="0" w:after="283"/>
              <w:jc w:val="center"/>
              <w:rPr>
                <w:b/>
              </w:rPr>
            </w:pPr>
            <w:r>
              <w:rPr>
                <w:b/>
              </w:rPr>
              <w:t>Grant</w:t>
              <w:br/>
              <w:t>Date</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965" w:type="dxa"/>
            <w:tcBorders>
              <w:bottom w:val="single" w:sz="6" w:space="0" w:color="95B3D7"/>
            </w:tcBorders>
            <w:tcMar>
              <w:bottom w:w="28" w:type="dxa"/>
            </w:tcMar>
            <w:vAlign w:val="center"/>
          </w:tcPr>
          <w:p>
            <w:pPr>
              <w:pStyle w:val="TableContents"/>
              <w:bidi w:val="0"/>
              <w:spacing w:before="0" w:after="0"/>
              <w:jc w:val="center"/>
              <w:rPr>
                <w:rFonts w:ascii="ARIAL" w:hAnsi="ARIAL"/>
                <w:b/>
                <w:sz w:val="12"/>
              </w:rPr>
            </w:pPr>
            <w:r>
              <w:rPr>
                <w:rFonts w:ascii="ARIAL" w:hAnsi="ARIAL"/>
                <w:b/>
                <w:sz w:val="12"/>
              </w:rPr>
              <w:t>Grant</w:t>
            </w:r>
          </w:p>
          <w:p>
            <w:pPr>
              <w:pStyle w:val="TableContents"/>
              <w:bidi w:val="0"/>
              <w:spacing w:before="0" w:after="20"/>
              <w:jc w:val="center"/>
              <w:rPr>
                <w:rFonts w:ascii="ARIAL" w:hAnsi="ARIAL"/>
                <w:b/>
                <w:sz w:val="12"/>
              </w:rPr>
            </w:pPr>
            <w:r>
              <w:rPr>
                <w:rFonts w:ascii="ARIAL" w:hAnsi="ARIAL"/>
                <w:b/>
                <w:sz w:val="12"/>
              </w:rPr>
              <w:t>Type</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7026" w:type="dxa"/>
            <w:tcBorders>
              <w:bottom w:val="single" w:sz="6" w:space="0" w:color="95B3D7"/>
            </w:tcBorders>
            <w:tcMar>
              <w:bottom w:w="28" w:type="dxa"/>
            </w:tcMar>
            <w:vAlign w:val="center"/>
          </w:tcPr>
          <w:p>
            <w:pPr>
              <w:pStyle w:val="TableContents"/>
              <w:bidi w:val="0"/>
              <w:spacing w:before="0" w:after="283"/>
              <w:jc w:val="center"/>
              <w:rPr>
                <w:b/>
              </w:rPr>
            </w:pPr>
            <w:r>
              <w:rPr>
                <w:b/>
              </w:rPr>
              <w:t>Service-based Vesting Schedule</w:t>
            </w:r>
          </w:p>
        </w:tc>
      </w:tr>
      <w:tr>
        <w:trPr/>
        <w:tc>
          <w:tcPr>
            <w:tcW w:w="1030" w:type="dxa"/>
            <w:tcBorders/>
            <w:shd w:fill="DBE5F1" w:val="clear"/>
            <w:vAlign w:val="center"/>
          </w:tcPr>
          <w:p>
            <w:pPr>
              <w:pStyle w:val="TableContents"/>
              <w:bidi w:val="0"/>
              <w:spacing w:before="0" w:after="283"/>
              <w:jc w:val="left"/>
              <w:rPr>
                <w:sz w:val="4"/>
                <w:szCs w:val="4"/>
              </w:rPr>
            </w:pPr>
            <w:r>
              <w:rPr>
                <w:sz w:val="4"/>
                <w:szCs w:val="4"/>
              </w:rPr>
            </w:r>
          </w:p>
        </w:tc>
        <w:tc>
          <w:tcPr>
            <w:tcW w:w="944" w:type="dxa"/>
            <w:gridSpan w:val="2"/>
            <w:tcBorders/>
            <w:shd w:fill="DBE5F1" w:val="clear"/>
            <w:vAlign w:val="center"/>
          </w:tcPr>
          <w:p>
            <w:pPr>
              <w:pStyle w:val="TableContents"/>
              <w:bidi w:val="0"/>
              <w:spacing w:before="0" w:after="283"/>
              <w:jc w:val="left"/>
              <w:rPr>
                <w:sz w:val="4"/>
                <w:szCs w:val="4"/>
              </w:rPr>
            </w:pPr>
            <w:r>
              <w:rPr>
                <w:sz w:val="4"/>
                <w:szCs w:val="4"/>
              </w:rPr>
            </w:r>
          </w:p>
        </w:tc>
        <w:tc>
          <w:tcPr>
            <w:tcW w:w="1085" w:type="dxa"/>
            <w:gridSpan w:val="2"/>
            <w:tcBorders/>
            <w:shd w:fill="DBE5F1" w:val="clear"/>
            <w:vAlign w:val="center"/>
          </w:tcPr>
          <w:p>
            <w:pPr>
              <w:pStyle w:val="TableContents"/>
              <w:bidi w:val="0"/>
              <w:spacing w:before="0" w:after="283"/>
              <w:jc w:val="left"/>
              <w:rPr>
                <w:sz w:val="4"/>
                <w:szCs w:val="4"/>
              </w:rPr>
            </w:pPr>
            <w:r>
              <w:rPr>
                <w:sz w:val="4"/>
                <w:szCs w:val="4"/>
              </w:rPr>
            </w:r>
          </w:p>
        </w:tc>
        <w:tc>
          <w:tcPr>
            <w:tcW w:w="7146" w:type="dxa"/>
            <w:gridSpan w:val="2"/>
            <w:tcBorders/>
            <w:shd w:fill="DBE5F1" w:val="clear"/>
            <w:vAlign w:val="center"/>
          </w:tcPr>
          <w:p>
            <w:pPr>
              <w:pStyle w:val="TableContents"/>
              <w:bidi w:val="0"/>
              <w:spacing w:before="0" w:after="283"/>
              <w:jc w:val="left"/>
              <w:rPr>
                <w:sz w:val="4"/>
                <w:szCs w:val="4"/>
              </w:rPr>
            </w:pPr>
            <w:r>
              <w:rPr>
                <w:sz w:val="4"/>
                <w:szCs w:val="4"/>
              </w:rPr>
            </w:r>
          </w:p>
        </w:tc>
      </w:tr>
      <w:tr>
        <w:trPr/>
        <w:tc>
          <w:tcPr>
            <w:tcW w:w="103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824" w:type="dxa"/>
            <w:tcBorders>
              <w:bottom w:val="single" w:sz="6" w:space="0" w:color="95B3D7"/>
            </w:tcBorders>
            <w:shd w:fill="DBE5F1" w:val="clear"/>
            <w:tcMar>
              <w:bottom w:w="40" w:type="dxa"/>
            </w:tcMar>
            <w:vAlign w:val="center"/>
          </w:tcPr>
          <w:p>
            <w:pPr>
              <w:pStyle w:val="TableContents"/>
              <w:bidi w:val="0"/>
              <w:spacing w:before="0" w:after="283"/>
              <w:jc w:val="left"/>
              <w:rPr/>
            </w:pPr>
            <w:r>
              <w:rPr/>
              <w:t>9/25/2020</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965" w:type="dxa"/>
            <w:tcBorders>
              <w:bottom w:val="single" w:sz="6" w:space="0" w:color="95B3D7"/>
            </w:tcBorders>
            <w:shd w:fill="DBE5F1" w:val="clear"/>
            <w:tcMar>
              <w:bottom w:w="40" w:type="dxa"/>
            </w:tcMar>
            <w:vAlign w:val="center"/>
          </w:tcPr>
          <w:p>
            <w:pPr>
              <w:pStyle w:val="TableContents"/>
              <w:bidi w:val="0"/>
              <w:spacing w:before="0" w:after="283"/>
              <w:jc w:val="left"/>
              <w:rPr/>
            </w:pPr>
            <w:r>
              <w:rPr/>
              <w:t>Restricted</w:t>
              <w:br/>
              <w:t>Shares</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7026" w:type="dxa"/>
            <w:tcBorders>
              <w:bottom w:val="single" w:sz="6" w:space="0" w:color="95B3D7"/>
            </w:tcBorders>
            <w:shd w:fill="DBE5F1" w:val="clear"/>
            <w:tcMar>
              <w:bottom w:w="40" w:type="dxa"/>
            </w:tcMar>
            <w:vAlign w:val="center"/>
          </w:tcPr>
          <w:p>
            <w:pPr>
              <w:pStyle w:val="TableContents"/>
              <w:bidi w:val="0"/>
              <w:spacing w:before="0" w:after="283"/>
              <w:jc w:val="left"/>
              <w:rPr/>
            </w:pPr>
            <w:r>
              <w:rPr/>
              <w:t>Vests over 3 years with 81,503 vesting on each of 8/1/2022, 2023, and 2024</w:t>
            </w:r>
          </w:p>
        </w:tc>
      </w:tr>
      <w:tr>
        <w:trPr/>
        <w:tc>
          <w:tcPr>
            <w:tcW w:w="1030" w:type="dxa"/>
            <w:tcBorders/>
            <w:vAlign w:val="center"/>
          </w:tcPr>
          <w:p>
            <w:pPr>
              <w:pStyle w:val="TableContents"/>
              <w:bidi w:val="0"/>
              <w:spacing w:before="0" w:after="283"/>
              <w:jc w:val="left"/>
              <w:rPr>
                <w:sz w:val="4"/>
                <w:szCs w:val="4"/>
              </w:rPr>
            </w:pPr>
            <w:r>
              <w:rPr>
                <w:sz w:val="4"/>
                <w:szCs w:val="4"/>
              </w:rPr>
            </w:r>
          </w:p>
        </w:tc>
        <w:tc>
          <w:tcPr>
            <w:tcW w:w="944" w:type="dxa"/>
            <w:gridSpan w:val="2"/>
            <w:tcBorders/>
            <w:vAlign w:val="center"/>
          </w:tcPr>
          <w:p>
            <w:pPr>
              <w:pStyle w:val="TableContents"/>
              <w:bidi w:val="0"/>
              <w:spacing w:before="0" w:after="283"/>
              <w:jc w:val="left"/>
              <w:rPr>
                <w:sz w:val="4"/>
                <w:szCs w:val="4"/>
              </w:rPr>
            </w:pPr>
            <w:r>
              <w:rPr>
                <w:sz w:val="4"/>
                <w:szCs w:val="4"/>
              </w:rPr>
            </w:r>
          </w:p>
        </w:tc>
        <w:tc>
          <w:tcPr>
            <w:tcW w:w="1085" w:type="dxa"/>
            <w:gridSpan w:val="2"/>
            <w:tcBorders/>
            <w:vAlign w:val="center"/>
          </w:tcPr>
          <w:p>
            <w:pPr>
              <w:pStyle w:val="TableContents"/>
              <w:bidi w:val="0"/>
              <w:spacing w:before="0" w:after="283"/>
              <w:jc w:val="left"/>
              <w:rPr>
                <w:sz w:val="4"/>
                <w:szCs w:val="4"/>
              </w:rPr>
            </w:pPr>
            <w:r>
              <w:rPr>
                <w:sz w:val="4"/>
                <w:szCs w:val="4"/>
              </w:rPr>
            </w:r>
          </w:p>
        </w:tc>
        <w:tc>
          <w:tcPr>
            <w:tcW w:w="7146" w:type="dxa"/>
            <w:gridSpan w:val="2"/>
            <w:tcBorders/>
            <w:vAlign w:val="center"/>
          </w:tcPr>
          <w:p>
            <w:pPr>
              <w:pStyle w:val="TableContents"/>
              <w:bidi w:val="0"/>
              <w:spacing w:before="0" w:after="283"/>
              <w:jc w:val="left"/>
              <w:rPr>
                <w:sz w:val="4"/>
                <w:szCs w:val="4"/>
              </w:rPr>
            </w:pPr>
            <w:r>
              <w:rPr>
                <w:sz w:val="4"/>
                <w:szCs w:val="4"/>
              </w:rPr>
            </w:r>
          </w:p>
        </w:tc>
      </w:tr>
      <w:tr>
        <w:trPr/>
        <w:tc>
          <w:tcPr>
            <w:tcW w:w="1030" w:type="dxa"/>
            <w:tcBorders/>
            <w:vAlign w:val="center"/>
          </w:tcPr>
          <w:p>
            <w:pPr>
              <w:pStyle w:val="TableContents"/>
              <w:bidi w:val="0"/>
              <w:spacing w:before="0" w:after="0"/>
              <w:jc w:val="left"/>
              <w:rPr/>
            </w:pPr>
            <w:r>
              <w:rPr/>
              <w:t> </w:t>
            </w:r>
            <w:r>
              <w:rPr>
                <w:rFonts w:ascii="ARIAL" w:hAnsi="ARIAL"/>
                <w:sz w:val="12"/>
              </w:rPr>
              <w:t>Hakan Kardes</w:t>
            </w:r>
          </w:p>
        </w:tc>
        <w:tc>
          <w:tcPr>
            <w:tcW w:w="12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9/14/2023</w:t>
            </w:r>
          </w:p>
        </w:tc>
        <w:tc>
          <w:tcPr>
            <w:tcW w:w="12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PSUs</w:t>
            </w:r>
          </w:p>
        </w:tc>
        <w:tc>
          <w:tcPr>
            <w:tcW w:w="120" w:type="dxa"/>
            <w:tcBorders/>
            <w:vAlign w:val="center"/>
          </w:tcPr>
          <w:p>
            <w:pPr>
              <w:pStyle w:val="TableContents"/>
              <w:bidi w:val="0"/>
              <w:spacing w:before="0" w:after="283"/>
              <w:jc w:val="left"/>
              <w:rPr/>
            </w:pPr>
            <w:r>
              <w:rPr/>
              <w:t>  </w:t>
            </w:r>
          </w:p>
        </w:tc>
        <w:tc>
          <w:tcPr>
            <w:tcW w:w="7026" w:type="dxa"/>
            <w:tcBorders/>
            <w:vAlign w:val="center"/>
          </w:tcPr>
          <w:p>
            <w:pPr>
              <w:pStyle w:val="TableContents"/>
              <w:bidi w:val="0"/>
              <w:spacing w:before="0" w:after="283"/>
              <w:jc w:val="left"/>
              <w:rPr/>
            </w:pPr>
            <w:r>
              <w:rPr/>
              <w:t>Vests, if earned, 50% on the performance certification date and 50% on 12/31/25</w:t>
            </w:r>
          </w:p>
        </w:tc>
      </w:tr>
      <w:tr>
        <w:trPr/>
        <w:tc>
          <w:tcPr>
            <w:tcW w:w="10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9/12/2022</w:t>
            </w:r>
          </w:p>
        </w:tc>
        <w:tc>
          <w:tcPr>
            <w:tcW w:w="12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RSUs</w:t>
            </w:r>
          </w:p>
        </w:tc>
        <w:tc>
          <w:tcPr>
            <w:tcW w:w="120" w:type="dxa"/>
            <w:tcBorders/>
            <w:vAlign w:val="center"/>
          </w:tcPr>
          <w:p>
            <w:pPr>
              <w:pStyle w:val="TableContents"/>
              <w:bidi w:val="0"/>
              <w:spacing w:before="0" w:after="283"/>
              <w:jc w:val="left"/>
              <w:rPr/>
            </w:pPr>
            <w:r>
              <w:rPr/>
              <w:t>  </w:t>
            </w:r>
          </w:p>
        </w:tc>
        <w:tc>
          <w:tcPr>
            <w:tcW w:w="7026" w:type="dxa"/>
            <w:tcBorders/>
            <w:vAlign w:val="center"/>
          </w:tcPr>
          <w:p>
            <w:pPr>
              <w:pStyle w:val="TableContents"/>
              <w:bidi w:val="0"/>
              <w:spacing w:before="0" w:after="283"/>
              <w:jc w:val="left"/>
              <w:rPr/>
            </w:pPr>
            <w:r>
              <w:rPr/>
              <w:t>Vests 11,121 shares on each of 9/7/2025 and 9/7/2026</w:t>
            </w:r>
          </w:p>
        </w:tc>
      </w:tr>
      <w:tr>
        <w:trPr/>
        <w:tc>
          <w:tcPr>
            <w:tcW w:w="10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3/8/2022</w:t>
            </w:r>
          </w:p>
        </w:tc>
        <w:tc>
          <w:tcPr>
            <w:tcW w:w="12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Options</w:t>
            </w:r>
          </w:p>
        </w:tc>
        <w:tc>
          <w:tcPr>
            <w:tcW w:w="120" w:type="dxa"/>
            <w:tcBorders/>
            <w:vAlign w:val="center"/>
          </w:tcPr>
          <w:p>
            <w:pPr>
              <w:pStyle w:val="TableContents"/>
              <w:bidi w:val="0"/>
              <w:spacing w:before="0" w:after="283"/>
              <w:jc w:val="left"/>
              <w:rPr/>
            </w:pPr>
            <w:r>
              <w:rPr/>
              <w:t>  </w:t>
            </w:r>
          </w:p>
        </w:tc>
        <w:tc>
          <w:tcPr>
            <w:tcW w:w="7026" w:type="dxa"/>
            <w:tcBorders/>
            <w:vAlign w:val="center"/>
          </w:tcPr>
          <w:p>
            <w:pPr>
              <w:pStyle w:val="TableContents"/>
              <w:bidi w:val="0"/>
              <w:spacing w:before="0" w:after="283"/>
              <w:jc w:val="left"/>
              <w:rPr/>
            </w:pPr>
            <w:r>
              <w:rPr/>
              <w:t>Vests 25% per year over 4 years with 9,124 vesting on each of 3/8/2023, 3/8/2024, 3/8/2025 and 3/8/2026</w:t>
            </w:r>
          </w:p>
        </w:tc>
      </w:tr>
      <w:tr>
        <w:trPr/>
        <w:tc>
          <w:tcPr>
            <w:tcW w:w="10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3/8/2022</w:t>
            </w:r>
          </w:p>
        </w:tc>
        <w:tc>
          <w:tcPr>
            <w:tcW w:w="12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RSUs</w:t>
            </w:r>
          </w:p>
        </w:tc>
        <w:tc>
          <w:tcPr>
            <w:tcW w:w="120" w:type="dxa"/>
            <w:tcBorders/>
            <w:vAlign w:val="center"/>
          </w:tcPr>
          <w:p>
            <w:pPr>
              <w:pStyle w:val="TableContents"/>
              <w:bidi w:val="0"/>
              <w:spacing w:before="0" w:after="283"/>
              <w:jc w:val="left"/>
              <w:rPr/>
            </w:pPr>
            <w:r>
              <w:rPr/>
              <w:t>  </w:t>
            </w:r>
          </w:p>
        </w:tc>
        <w:tc>
          <w:tcPr>
            <w:tcW w:w="7026" w:type="dxa"/>
            <w:tcBorders/>
            <w:vAlign w:val="center"/>
          </w:tcPr>
          <w:p>
            <w:pPr>
              <w:pStyle w:val="TableContents"/>
              <w:bidi w:val="0"/>
              <w:spacing w:before="0" w:after="283"/>
              <w:jc w:val="left"/>
              <w:rPr/>
            </w:pPr>
            <w:r>
              <w:rPr/>
              <w:t>Vests 25% per year over 4 years with approximately 12,417 vesting on each of 3/8/2023, 3/8/2024, 3/8/2025 and 3/8/2026</w:t>
            </w:r>
          </w:p>
        </w:tc>
      </w:tr>
      <w:tr>
        <w:trPr/>
        <w:tc>
          <w:tcPr>
            <w:tcW w:w="10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3/25/2021</w:t>
            </w:r>
          </w:p>
        </w:tc>
        <w:tc>
          <w:tcPr>
            <w:tcW w:w="12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Options</w:t>
            </w:r>
          </w:p>
        </w:tc>
        <w:tc>
          <w:tcPr>
            <w:tcW w:w="120" w:type="dxa"/>
            <w:tcBorders/>
            <w:vAlign w:val="center"/>
          </w:tcPr>
          <w:p>
            <w:pPr>
              <w:pStyle w:val="TableContents"/>
              <w:bidi w:val="0"/>
              <w:spacing w:before="0" w:after="283"/>
              <w:jc w:val="left"/>
              <w:rPr/>
            </w:pPr>
            <w:r>
              <w:rPr/>
              <w:t>  </w:t>
            </w:r>
          </w:p>
        </w:tc>
        <w:tc>
          <w:tcPr>
            <w:tcW w:w="7026" w:type="dxa"/>
            <w:tcBorders/>
            <w:vAlign w:val="center"/>
          </w:tcPr>
          <w:p>
            <w:pPr>
              <w:pStyle w:val="TableContents"/>
              <w:bidi w:val="0"/>
              <w:spacing w:before="0" w:after="283"/>
              <w:jc w:val="left"/>
              <w:rPr/>
            </w:pPr>
            <w:r>
              <w:rPr/>
              <w:t>Vests 25% per year over 4 years with 17,315 vesting on each of 3/25/2022, 2023, 2024, and 2025</w:t>
            </w:r>
          </w:p>
        </w:tc>
      </w:tr>
      <w:tr>
        <w:trPr/>
        <w:tc>
          <w:tcPr>
            <w:tcW w:w="10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3/25/2021</w:t>
            </w:r>
          </w:p>
        </w:tc>
        <w:tc>
          <w:tcPr>
            <w:tcW w:w="12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RSUs</w:t>
            </w:r>
          </w:p>
        </w:tc>
        <w:tc>
          <w:tcPr>
            <w:tcW w:w="120" w:type="dxa"/>
            <w:tcBorders/>
            <w:vAlign w:val="center"/>
          </w:tcPr>
          <w:p>
            <w:pPr>
              <w:pStyle w:val="TableContents"/>
              <w:bidi w:val="0"/>
              <w:spacing w:before="0" w:after="283"/>
              <w:jc w:val="left"/>
              <w:rPr/>
            </w:pPr>
            <w:r>
              <w:rPr/>
              <w:t>  </w:t>
            </w:r>
          </w:p>
        </w:tc>
        <w:tc>
          <w:tcPr>
            <w:tcW w:w="7026" w:type="dxa"/>
            <w:tcBorders/>
            <w:vAlign w:val="center"/>
          </w:tcPr>
          <w:p>
            <w:pPr>
              <w:pStyle w:val="TableContents"/>
              <w:bidi w:val="0"/>
              <w:spacing w:before="0" w:after="283"/>
              <w:jc w:val="left"/>
              <w:rPr/>
            </w:pPr>
            <w:r>
              <w:rPr/>
              <w:t>Vests 25% per year over 4 years with approximately 1,375 vesting on each of 3/25/2022, 2023, 2024, and 2025</w:t>
            </w:r>
          </w:p>
        </w:tc>
      </w:tr>
      <w:tr>
        <w:trPr/>
        <w:tc>
          <w:tcPr>
            <w:tcW w:w="10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9/25/2020</w:t>
            </w:r>
          </w:p>
        </w:tc>
        <w:tc>
          <w:tcPr>
            <w:tcW w:w="12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Restricted</w:t>
              <w:br/>
              <w:t>Shares</w:t>
            </w:r>
          </w:p>
        </w:tc>
        <w:tc>
          <w:tcPr>
            <w:tcW w:w="120" w:type="dxa"/>
            <w:tcBorders/>
            <w:vAlign w:val="center"/>
          </w:tcPr>
          <w:p>
            <w:pPr>
              <w:pStyle w:val="TableContents"/>
              <w:bidi w:val="0"/>
              <w:spacing w:before="0" w:after="283"/>
              <w:jc w:val="left"/>
              <w:rPr/>
            </w:pPr>
            <w:r>
              <w:rPr/>
              <w:t>  </w:t>
            </w:r>
          </w:p>
        </w:tc>
        <w:tc>
          <w:tcPr>
            <w:tcW w:w="7026" w:type="dxa"/>
            <w:tcBorders/>
            <w:vAlign w:val="center"/>
          </w:tcPr>
          <w:p>
            <w:pPr>
              <w:pStyle w:val="TableContents"/>
              <w:bidi w:val="0"/>
              <w:spacing w:before="0" w:after="283"/>
              <w:jc w:val="left"/>
              <w:rPr/>
            </w:pPr>
            <w:r>
              <w:rPr/>
              <w:t>Vests over 3 years with 10,188 vesting on each of 8/1/2022, 2023, and 2024</w:t>
            </w:r>
          </w:p>
        </w:tc>
      </w:tr>
      <w:tr>
        <w:trPr/>
        <w:tc>
          <w:tcPr>
            <w:tcW w:w="10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9/30/2019</w:t>
            </w:r>
          </w:p>
        </w:tc>
        <w:tc>
          <w:tcPr>
            <w:tcW w:w="12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Restricted</w:t>
              <w:br/>
              <w:t>Shares</w:t>
            </w:r>
          </w:p>
        </w:tc>
        <w:tc>
          <w:tcPr>
            <w:tcW w:w="120" w:type="dxa"/>
            <w:tcBorders/>
            <w:vAlign w:val="center"/>
          </w:tcPr>
          <w:p>
            <w:pPr>
              <w:pStyle w:val="TableContents"/>
              <w:bidi w:val="0"/>
              <w:spacing w:before="0" w:after="283"/>
              <w:jc w:val="left"/>
              <w:rPr/>
            </w:pPr>
            <w:r>
              <w:rPr/>
              <w:t>  </w:t>
            </w:r>
          </w:p>
        </w:tc>
        <w:tc>
          <w:tcPr>
            <w:tcW w:w="7026" w:type="dxa"/>
            <w:tcBorders/>
            <w:vAlign w:val="center"/>
          </w:tcPr>
          <w:p>
            <w:pPr>
              <w:pStyle w:val="TableContents"/>
              <w:bidi w:val="0"/>
              <w:spacing w:before="0" w:after="283"/>
              <w:jc w:val="left"/>
              <w:rPr/>
            </w:pPr>
            <w:r>
              <w:rPr/>
              <w:t>Vests over 2 years with 40,928 vesting on 7/15/2022 and 82,268 vesting on 7/15/2023</w:t>
            </w:r>
          </w:p>
        </w:tc>
      </w:tr>
      <w:tr>
        <w:trPr/>
        <w:tc>
          <w:tcPr>
            <w:tcW w:w="10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left"/>
              <w:rPr/>
            </w:pPr>
            <w:r>
              <w:rPr/>
              <w:t>5/2/2019</w:t>
            </w:r>
          </w:p>
        </w:tc>
        <w:tc>
          <w:tcPr>
            <w:tcW w:w="12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Restricted</w:t>
              <w:br/>
              <w:t>Shares</w:t>
            </w:r>
          </w:p>
        </w:tc>
        <w:tc>
          <w:tcPr>
            <w:tcW w:w="120" w:type="dxa"/>
            <w:tcBorders/>
            <w:vAlign w:val="center"/>
          </w:tcPr>
          <w:p>
            <w:pPr>
              <w:pStyle w:val="TableContents"/>
              <w:bidi w:val="0"/>
              <w:spacing w:before="0" w:after="283"/>
              <w:jc w:val="left"/>
              <w:rPr/>
            </w:pPr>
            <w:r>
              <w:rPr/>
              <w:t>  </w:t>
            </w:r>
          </w:p>
        </w:tc>
        <w:tc>
          <w:tcPr>
            <w:tcW w:w="7026" w:type="dxa"/>
            <w:tcBorders/>
            <w:vAlign w:val="center"/>
          </w:tcPr>
          <w:p>
            <w:pPr>
              <w:pStyle w:val="TableContents"/>
              <w:bidi w:val="0"/>
              <w:spacing w:before="0" w:after="283"/>
              <w:jc w:val="left"/>
              <w:rPr/>
            </w:pPr>
            <w:r>
              <w:rPr/>
              <w:t>Vests over 2 years with 118,326 vesting on 1/21/2022 and 118,325 vesting on 1/21/2023</w:t>
            </w:r>
          </w:p>
        </w:tc>
      </w:tr>
      <w:tr>
        <w:trPr/>
        <w:tc>
          <w:tcPr>
            <w:tcW w:w="1030" w:type="dxa"/>
            <w:tcBorders>
              <w:bottom w:val="single" w:sz="6" w:space="0" w:color="95B3D7"/>
            </w:tcBorders>
            <w:tcMar>
              <w:bottom w:w="28" w:type="dxa"/>
            </w:tcMar>
            <w:vAlign w:val="center"/>
          </w:tcPr>
          <w:p>
            <w:pPr>
              <w:pStyle w:val="TableContents"/>
              <w:bidi w:val="0"/>
              <w:spacing w:before="0" w:after="283"/>
              <w:jc w:val="left"/>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824" w:type="dxa"/>
            <w:tcBorders>
              <w:bottom w:val="single" w:sz="6" w:space="0" w:color="95B3D7"/>
            </w:tcBorders>
            <w:tcMar>
              <w:bottom w:w="40" w:type="dxa"/>
            </w:tcMar>
            <w:vAlign w:val="center"/>
          </w:tcPr>
          <w:p>
            <w:pPr>
              <w:pStyle w:val="TableContents"/>
              <w:bidi w:val="0"/>
              <w:spacing w:before="0" w:after="283"/>
              <w:jc w:val="left"/>
              <w:rPr/>
            </w:pPr>
            <w:r>
              <w:rPr/>
              <w:t>1/21/2019</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965" w:type="dxa"/>
            <w:tcBorders>
              <w:bottom w:val="single" w:sz="6" w:space="0" w:color="95B3D7"/>
            </w:tcBorders>
            <w:tcMar>
              <w:bottom w:w="40" w:type="dxa"/>
            </w:tcMar>
            <w:vAlign w:val="center"/>
          </w:tcPr>
          <w:p>
            <w:pPr>
              <w:pStyle w:val="TableContents"/>
              <w:bidi w:val="0"/>
              <w:spacing w:before="0" w:after="283"/>
              <w:jc w:val="left"/>
              <w:rPr/>
            </w:pPr>
            <w:r>
              <w:rPr/>
              <w:t>Restricted</w:t>
              <w:br/>
              <w:t>Shares</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7026" w:type="dxa"/>
            <w:tcBorders>
              <w:bottom w:val="single" w:sz="6" w:space="0" w:color="95B3D7"/>
            </w:tcBorders>
            <w:tcMar>
              <w:bottom w:w="40" w:type="dxa"/>
            </w:tcMar>
            <w:vAlign w:val="center"/>
          </w:tcPr>
          <w:p>
            <w:pPr>
              <w:pStyle w:val="TableContents"/>
              <w:bidi w:val="0"/>
              <w:spacing w:before="0" w:after="283"/>
              <w:jc w:val="left"/>
              <w:rPr/>
            </w:pPr>
            <w:r>
              <w:rPr/>
              <w:t>Vests over 2 years with 59,164 vesting on 3/30/2022 and 59,162 vesting on 3/30/2023</w:t>
            </w:r>
          </w:p>
        </w:tc>
      </w:tr>
      <w:tr>
        <w:trPr/>
        <w:tc>
          <w:tcPr>
            <w:tcW w:w="1030" w:type="dxa"/>
            <w:tcBorders/>
            <w:shd w:fill="DBE5F1" w:val="clear"/>
            <w:vAlign w:val="center"/>
          </w:tcPr>
          <w:p>
            <w:pPr>
              <w:pStyle w:val="TableContents"/>
              <w:bidi w:val="0"/>
              <w:spacing w:before="0" w:after="283"/>
              <w:jc w:val="left"/>
              <w:rPr>
                <w:sz w:val="4"/>
                <w:szCs w:val="4"/>
              </w:rPr>
            </w:pPr>
            <w:r>
              <w:rPr>
                <w:sz w:val="4"/>
                <w:szCs w:val="4"/>
              </w:rPr>
            </w:r>
          </w:p>
        </w:tc>
        <w:tc>
          <w:tcPr>
            <w:tcW w:w="944" w:type="dxa"/>
            <w:gridSpan w:val="2"/>
            <w:tcBorders/>
            <w:shd w:fill="DBE5F1" w:val="clear"/>
            <w:vAlign w:val="center"/>
          </w:tcPr>
          <w:p>
            <w:pPr>
              <w:pStyle w:val="TableContents"/>
              <w:bidi w:val="0"/>
              <w:spacing w:before="0" w:after="283"/>
              <w:jc w:val="left"/>
              <w:rPr>
                <w:sz w:val="4"/>
                <w:szCs w:val="4"/>
              </w:rPr>
            </w:pPr>
            <w:r>
              <w:rPr>
                <w:sz w:val="4"/>
                <w:szCs w:val="4"/>
              </w:rPr>
            </w:r>
          </w:p>
        </w:tc>
        <w:tc>
          <w:tcPr>
            <w:tcW w:w="1085" w:type="dxa"/>
            <w:gridSpan w:val="2"/>
            <w:tcBorders/>
            <w:shd w:fill="DBE5F1" w:val="clear"/>
            <w:vAlign w:val="center"/>
          </w:tcPr>
          <w:p>
            <w:pPr>
              <w:pStyle w:val="TableContents"/>
              <w:bidi w:val="0"/>
              <w:spacing w:before="0" w:after="283"/>
              <w:jc w:val="left"/>
              <w:rPr>
                <w:sz w:val="4"/>
                <w:szCs w:val="4"/>
              </w:rPr>
            </w:pPr>
            <w:r>
              <w:rPr>
                <w:sz w:val="4"/>
                <w:szCs w:val="4"/>
              </w:rPr>
            </w:r>
          </w:p>
        </w:tc>
        <w:tc>
          <w:tcPr>
            <w:tcW w:w="7146" w:type="dxa"/>
            <w:gridSpan w:val="2"/>
            <w:tcBorders/>
            <w:shd w:fill="DBE5F1" w:val="clear"/>
            <w:vAlign w:val="center"/>
          </w:tcPr>
          <w:p>
            <w:pPr>
              <w:pStyle w:val="TableContents"/>
              <w:bidi w:val="0"/>
              <w:spacing w:before="0" w:after="283"/>
              <w:jc w:val="left"/>
              <w:rPr>
                <w:sz w:val="4"/>
                <w:szCs w:val="4"/>
              </w:rPr>
            </w:pPr>
            <w:r>
              <w:rPr>
                <w:sz w:val="4"/>
                <w:szCs w:val="4"/>
              </w:rPr>
            </w:r>
          </w:p>
        </w:tc>
      </w:tr>
      <w:tr>
        <w:trPr/>
        <w:tc>
          <w:tcPr>
            <w:tcW w:w="1030" w:type="dxa"/>
            <w:tcBorders/>
            <w:shd w:fill="DBE5F1" w:val="clear"/>
            <w:vAlign w:val="center"/>
          </w:tcPr>
          <w:p>
            <w:pPr>
              <w:pStyle w:val="TableContents"/>
              <w:bidi w:val="0"/>
              <w:spacing w:before="0" w:after="0"/>
              <w:jc w:val="left"/>
              <w:rPr/>
            </w:pPr>
            <w:r>
              <w:rPr/>
              <w:t> </w:t>
            </w:r>
            <w:r>
              <w:rPr>
                <w:rFonts w:ascii="ARIAL" w:hAnsi="ARIAL"/>
                <w:sz w:val="12"/>
              </w:rPr>
              <w:t>Hyong (Ken) Kim, M.D.</w:t>
            </w:r>
          </w:p>
        </w:tc>
        <w:tc>
          <w:tcPr>
            <w:tcW w:w="120" w:type="dxa"/>
            <w:tcBorders/>
            <w:shd w:fill="DBE5F1" w:val="clear"/>
            <w:vAlign w:val="center"/>
          </w:tcPr>
          <w:p>
            <w:pPr>
              <w:pStyle w:val="TableContents"/>
              <w:bidi w:val="0"/>
              <w:spacing w:before="0" w:after="283"/>
              <w:jc w:val="left"/>
              <w:rPr/>
            </w:pPr>
            <w:r>
              <w:rPr/>
              <w:t>  </w:t>
            </w:r>
          </w:p>
        </w:tc>
        <w:tc>
          <w:tcPr>
            <w:tcW w:w="824" w:type="dxa"/>
            <w:tcBorders/>
            <w:shd w:fill="DBE5F1" w:val="clear"/>
            <w:vAlign w:val="center"/>
          </w:tcPr>
          <w:p>
            <w:pPr>
              <w:pStyle w:val="TableContents"/>
              <w:bidi w:val="0"/>
              <w:spacing w:before="0" w:after="283"/>
              <w:jc w:val="left"/>
              <w:rPr/>
            </w:pPr>
            <w:r>
              <w:rPr/>
              <w:t>10/4/23</w:t>
            </w:r>
          </w:p>
        </w:tc>
        <w:tc>
          <w:tcPr>
            <w:tcW w:w="120" w:type="dxa"/>
            <w:tcBorders/>
            <w:shd w:fill="DBE5F1" w:val="clear"/>
            <w:vAlign w:val="center"/>
          </w:tcPr>
          <w:p>
            <w:pPr>
              <w:pStyle w:val="TableContents"/>
              <w:bidi w:val="0"/>
              <w:spacing w:before="0" w:after="283"/>
              <w:jc w:val="left"/>
              <w:rPr/>
            </w:pPr>
            <w:r>
              <w:rPr/>
              <w:t>  </w:t>
            </w:r>
          </w:p>
        </w:tc>
        <w:tc>
          <w:tcPr>
            <w:tcW w:w="965" w:type="dxa"/>
            <w:tcBorders/>
            <w:shd w:fill="DBE5F1" w:val="clear"/>
            <w:vAlign w:val="center"/>
          </w:tcPr>
          <w:p>
            <w:pPr>
              <w:pStyle w:val="TableContents"/>
              <w:bidi w:val="0"/>
              <w:spacing w:before="0" w:after="283"/>
              <w:jc w:val="left"/>
              <w:rPr/>
            </w:pPr>
            <w:r>
              <w:rPr/>
              <w:t>RSUs</w:t>
            </w:r>
          </w:p>
        </w:tc>
        <w:tc>
          <w:tcPr>
            <w:tcW w:w="120" w:type="dxa"/>
            <w:tcBorders/>
            <w:shd w:fill="DBE5F1" w:val="clear"/>
            <w:vAlign w:val="center"/>
          </w:tcPr>
          <w:p>
            <w:pPr>
              <w:pStyle w:val="TableContents"/>
              <w:bidi w:val="0"/>
              <w:spacing w:before="0" w:after="283"/>
              <w:jc w:val="left"/>
              <w:rPr/>
            </w:pPr>
            <w:r>
              <w:rPr/>
              <w:t>  </w:t>
            </w:r>
          </w:p>
        </w:tc>
        <w:tc>
          <w:tcPr>
            <w:tcW w:w="7026" w:type="dxa"/>
            <w:tcBorders/>
            <w:shd w:fill="DBE5F1" w:val="clear"/>
            <w:vAlign w:val="center"/>
          </w:tcPr>
          <w:p>
            <w:pPr>
              <w:pStyle w:val="TableContents"/>
              <w:bidi w:val="0"/>
              <w:spacing w:before="0" w:after="283"/>
              <w:jc w:val="left"/>
              <w:rPr/>
            </w:pPr>
            <w:r>
              <w:rPr/>
              <w:t>Vests 25% per year over 4 years with 70,090 vesting on each of 10/4/24, 2025, 2026, and 2027</w:t>
            </w:r>
          </w:p>
        </w:tc>
      </w:tr>
      <w:tr>
        <w:trPr/>
        <w:tc>
          <w:tcPr>
            <w:tcW w:w="103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824" w:type="dxa"/>
            <w:tcBorders>
              <w:bottom w:val="single" w:sz="6" w:space="0" w:color="95B3D7"/>
            </w:tcBorders>
            <w:shd w:fill="DBE5F1" w:val="clear"/>
            <w:tcMar>
              <w:bottom w:w="40" w:type="dxa"/>
            </w:tcMar>
            <w:vAlign w:val="center"/>
          </w:tcPr>
          <w:p>
            <w:pPr>
              <w:pStyle w:val="TableContents"/>
              <w:bidi w:val="0"/>
              <w:spacing w:before="0" w:after="283"/>
              <w:jc w:val="left"/>
              <w:rPr/>
            </w:pPr>
            <w:r>
              <w:rPr/>
              <w:t>9/14/2023</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965" w:type="dxa"/>
            <w:tcBorders>
              <w:bottom w:val="single" w:sz="6" w:space="0" w:color="95B3D7"/>
            </w:tcBorders>
            <w:shd w:fill="DBE5F1" w:val="clear"/>
            <w:tcMar>
              <w:bottom w:w="40" w:type="dxa"/>
            </w:tcMar>
            <w:vAlign w:val="center"/>
          </w:tcPr>
          <w:p>
            <w:pPr>
              <w:pStyle w:val="TableContents"/>
              <w:bidi w:val="0"/>
              <w:spacing w:before="0" w:after="283"/>
              <w:jc w:val="left"/>
              <w:rPr/>
            </w:pPr>
            <w:r>
              <w:rPr/>
              <w:t>PSUs</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7026" w:type="dxa"/>
            <w:tcBorders>
              <w:bottom w:val="single" w:sz="6" w:space="0" w:color="95B3D7"/>
            </w:tcBorders>
            <w:shd w:fill="DBE5F1" w:val="clear"/>
            <w:tcMar>
              <w:bottom w:w="40" w:type="dxa"/>
            </w:tcMar>
            <w:vAlign w:val="center"/>
          </w:tcPr>
          <w:p>
            <w:pPr>
              <w:pStyle w:val="TableContents"/>
              <w:bidi w:val="0"/>
              <w:spacing w:before="0" w:after="283"/>
              <w:jc w:val="left"/>
              <w:rPr/>
            </w:pPr>
            <w:r>
              <w:rPr/>
              <w:t>Vests, if earned, 50% on the performance certification date and 50% on 12/31/25</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1"/>
        <w:gridCol w:w="9879"/>
      </w:tblGrid>
      <w:tr>
        <w:trPr/>
        <w:tc>
          <w:tcPr>
            <w:tcW w:w="7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(2)</w:t>
            </w:r>
          </w:p>
        </w:tc>
        <w:tc>
          <w:tcPr>
            <w:tcW w:w="9879" w:type="dxa"/>
            <w:tcBorders/>
            <w:vAlign w:val="center"/>
          </w:tcPr>
          <w:p>
            <w:pPr>
              <w:pStyle w:val="TableContents"/>
              <w:bidi w:val="0"/>
              <w:spacing w:before="0" w:after="0"/>
              <w:jc w:val="left"/>
              <w:rPr>
                <w:rFonts w:ascii="ARIAL" w:hAnsi="ARIAL"/>
                <w:sz w:val="16"/>
              </w:rPr>
            </w:pPr>
            <w:r>
              <w:rPr>
                <w:rFonts w:ascii="ARIAL" w:hAnsi="ARIAL"/>
                <w:sz w:val="16"/>
              </w:rPr>
              <w:t xml:space="preserve">The dollar amounts shown in this column are determined by multiplying the number of shares or units reported in the “Number of Shares or Units of Stock That Have Not Vested” column by $8.61, the closing price of our common stock on the last trading day of 2023. </w:t>
            </w:r>
          </w:p>
        </w:tc>
      </w:tr>
    </w:tbl>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75"/>
        <w:gridCol w:w="290"/>
        <w:gridCol w:w="555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(3)</w:t>
            </w:r>
          </w:p>
        </w:tc>
        <w:tc>
          <w:tcPr>
            <w:tcW w:w="5555" w:type="dxa"/>
            <w:tcBorders/>
            <w:vAlign w:val="center"/>
          </w:tcPr>
          <w:p>
            <w:pPr>
              <w:pStyle w:val="TableContents"/>
              <w:bidi w:val="0"/>
              <w:spacing w:before="0" w:after="0"/>
              <w:jc w:val="left"/>
              <w:rPr>
                <w:rFonts w:ascii="ARIAL" w:hAnsi="ARIAL"/>
                <w:sz w:val="16"/>
              </w:rPr>
            </w:pPr>
            <w:r>
              <w:rPr>
                <w:rFonts w:ascii="ARIAL" w:hAnsi="ARIAL"/>
                <w:sz w:val="16"/>
              </w:rPr>
              <w:t xml:space="preserve">Held by JEK Trust, dated February 8, 2021, of which Mr. Kao is the trustee.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(4)</w:t>
            </w:r>
          </w:p>
        </w:tc>
        <w:tc>
          <w:tcPr>
            <w:tcW w:w="9863" w:type="dxa"/>
            <w:tcBorders/>
            <w:vAlign w:val="center"/>
          </w:tcPr>
          <w:p>
            <w:pPr>
              <w:pStyle w:val="TableContents"/>
              <w:bidi w:val="0"/>
              <w:spacing w:before="0" w:after="0"/>
              <w:jc w:val="left"/>
              <w:rPr>
                <w:rFonts w:ascii="ARIAL" w:hAnsi="ARIAL"/>
                <w:sz w:val="16"/>
              </w:rPr>
            </w:pPr>
            <w:r>
              <w:rPr>
                <w:rFonts w:ascii="ARIAL" w:hAnsi="ARIAL"/>
                <w:sz w:val="16"/>
              </w:rPr>
              <w:t xml:space="preserve">15% of each grant is held by Mr. Freeman directly and 85% of each grant is held by FCO Holdings LLC, a limited liability company owned by FCO Holdings Trust One, an irrevocable trust. </w:t>
            </w:r>
          </w:p>
        </w:tc>
      </w:tr>
    </w:tbl>
    <w:p>
      <w:pPr>
        <w:pStyle w:val="TextBody"/>
        <w:bidi w:val="0"/>
        <w:spacing w:before="360" w:after="0"/>
        <w:jc w:val="left"/>
        <w:rPr>
          <w:rFonts w:ascii="ARIAL" w:hAnsi="ARIAL"/>
          <w:b/>
          <w:color w:val="1F497D"/>
          <w:sz w:val="20"/>
        </w:rPr>
      </w:pPr>
      <w:r>
        <w:rPr>
          <w:rFonts w:ascii="ARIAL" w:hAnsi="ARIAL"/>
          <w:b/>
          <w:color w:val="1F497D"/>
          <w:sz w:val="20"/>
        </w:rPr>
        <w:t xml:space="preserve">Exercises and Stock Vested During Fiscal Year 2023 </w:t>
      </w:r>
    </w:p>
    <w:p>
      <w:pPr>
        <w:pStyle w:val="TextBody"/>
        <w:bidi w:val="0"/>
        <w:spacing w:before="120" w:after="0"/>
        <w:jc w:val="left"/>
        <w:rPr>
          <w:rFonts w:ascii="ARIAL" w:hAnsi="ARIAL"/>
          <w:sz w:val="20"/>
        </w:rPr>
      </w:pPr>
      <w:r>
        <w:rPr>
          <w:rFonts w:ascii="ARIAL" w:hAnsi="ARIAL"/>
          <w:sz w:val="20"/>
        </w:rPr>
        <w:t xml:space="preserve">The following table shows information about exercises and vesting of RSUs, restricted shares and stock options during fiscal year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75"/>
        <w:gridCol w:w="120"/>
        <w:gridCol w:w="1720"/>
        <w:gridCol w:w="120"/>
        <w:gridCol w:w="2265"/>
        <w:gridCol w:w="120"/>
        <w:gridCol w:w="147"/>
        <w:gridCol w:w="1973"/>
        <w:gridCol w:w="305"/>
        <w:gridCol w:w="120"/>
        <w:gridCol w:w="107"/>
        <w:gridCol w:w="1758"/>
        <w:gridCol w:w="75"/>
      </w:tblGrid>
      <w:tr>
        <w:trPr/>
        <w:tc>
          <w:tcPr>
            <w:tcW w:w="1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05" w:type="dxa"/>
            <w:gridSpan w:val="3"/>
            <w:tcBorders/>
            <w:vAlign w:val="center"/>
          </w:tcPr>
          <w:p>
            <w:pPr>
              <w:pStyle w:val="TableContents"/>
              <w:bidi w:val="0"/>
              <w:spacing w:before="0" w:after="283"/>
              <w:jc w:val="center"/>
              <w:rPr>
                <w:b/>
              </w:rPr>
            </w:pPr>
            <w:r>
              <w:rPr>
                <w:b/>
              </w:rPr>
              <w:t>Option Awards</w:t>
            </w:r>
          </w:p>
        </w:tc>
        <w:tc>
          <w:tcPr>
            <w:tcW w:w="120" w:type="dxa"/>
            <w:tcBorders/>
            <w:vAlign w:val="center"/>
          </w:tcPr>
          <w:p>
            <w:pPr>
              <w:pStyle w:val="TableContents"/>
              <w:bidi w:val="0"/>
              <w:spacing w:before="0" w:after="283"/>
              <w:jc w:val="left"/>
              <w:rPr/>
            </w:pPr>
            <w:r>
              <w:rPr/>
              <w:t>  </w:t>
            </w:r>
          </w:p>
        </w:tc>
        <w:tc>
          <w:tcPr>
            <w:tcW w:w="4410" w:type="dxa"/>
            <w:gridSpan w:val="6"/>
            <w:tcBorders/>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1375" w:type="dxa"/>
            <w:tcBorders>
              <w:top w:val="single" w:sz="8" w:space="0" w:color="95B3D7"/>
              <w:bottom w:val="single" w:sz="6" w:space="0" w:color="95B3D7"/>
              <w:right w:val="single" w:sz="6" w:space="0" w:color="95B3D7"/>
            </w:tcBorders>
            <w:shd w:fill="DBE5F1" w:val="clear"/>
            <w:tcMar>
              <w:top w:w="28" w:type="dxa"/>
              <w:bottom w:w="28" w:type="dxa"/>
              <w:right w:w="28" w:type="dxa"/>
            </w:tcMar>
            <w:vAlign w:val="center"/>
          </w:tcPr>
          <w:p>
            <w:pPr>
              <w:pStyle w:val="TableContents"/>
              <w:bidi w:val="0"/>
              <w:spacing w:before="0" w:after="0"/>
              <w:jc w:val="left"/>
              <w:rPr>
                <w:rFonts w:ascii="ARIAL" w:hAnsi="ARIAL"/>
                <w:b/>
                <w:sz w:val="16"/>
              </w:rPr>
            </w:pPr>
            <w:r>
              <w:rPr>
                <w:rFonts w:ascii="ARIAL" w:hAnsi="ARIAL"/>
                <w:b/>
                <w:sz w:val="16"/>
              </w:rPr>
              <w:t>Name</w:t>
            </w:r>
          </w:p>
          <w:p>
            <w:pPr>
              <w:pStyle w:val="TableContents"/>
              <w:bidi w:val="0"/>
              <w:spacing w:before="0" w:after="20"/>
              <w:jc w:val="left"/>
              <w:rPr/>
            </w:pPr>
            <w:r>
              <w:rPr/>
              <w:t> </w:t>
            </w:r>
          </w:p>
        </w:tc>
        <w:tc>
          <w:tcPr>
            <w:tcW w:w="120" w:type="dxa"/>
            <w:tcBorders>
              <w:top w:val="single" w:sz="8" w:space="0" w:color="95B3D7"/>
              <w:bottom w:val="single" w:sz="6" w:space="0" w:color="95B3D7"/>
            </w:tcBorders>
            <w:shd w:fill="DBE5F1" w:val="clear"/>
            <w:tcMar>
              <w:top w:w="28" w:type="dxa"/>
              <w:bottom w:w="28" w:type="dxa"/>
            </w:tcMar>
            <w:vAlign w:val="center"/>
          </w:tcPr>
          <w:p>
            <w:pPr>
              <w:pStyle w:val="TableContents"/>
              <w:bidi w:val="0"/>
              <w:spacing w:before="0" w:after="283"/>
              <w:jc w:val="left"/>
              <w:rPr/>
            </w:pPr>
            <w:r>
              <w:rPr/>
              <w:t>  </w:t>
            </w:r>
          </w:p>
        </w:tc>
        <w:tc>
          <w:tcPr>
            <w:tcW w:w="1720" w:type="dxa"/>
            <w:tcBorders>
              <w:top w:val="single" w:sz="8" w:space="0" w:color="95B3D7"/>
              <w:bottom w:val="single" w:sz="6" w:space="0" w:color="95B3D7"/>
              <w:right w:val="single" w:sz="6" w:space="0" w:color="95B3D7"/>
            </w:tcBorders>
            <w:shd w:fill="DBE5F1" w:val="clear"/>
            <w:tcMar>
              <w:top w:w="28" w:type="dxa"/>
              <w:bottom w:w="28" w:type="dxa"/>
              <w:right w:w="28" w:type="dxa"/>
            </w:tcMar>
            <w:vAlign w:val="center"/>
          </w:tcPr>
          <w:p>
            <w:pPr>
              <w:pStyle w:val="TableContents"/>
              <w:bidi w:val="0"/>
              <w:spacing w:before="0" w:after="0"/>
              <w:jc w:val="center"/>
              <w:rPr>
                <w:rFonts w:ascii="ARIAL" w:hAnsi="ARIAL"/>
                <w:b/>
                <w:sz w:val="16"/>
              </w:rPr>
            </w:pPr>
            <w:r>
              <w:rPr>
                <w:rFonts w:ascii="ARIAL" w:hAnsi="ARIAL"/>
                <w:b/>
                <w:sz w:val="16"/>
              </w:rPr>
              <w:t>Number of Shares  </w:t>
              <w:br/>
              <w:t>Acquired on  </w:t>
            </w:r>
          </w:p>
          <w:p>
            <w:pPr>
              <w:pStyle w:val="TableContents"/>
              <w:bidi w:val="0"/>
              <w:spacing w:before="0" w:after="20"/>
              <w:jc w:val="center"/>
              <w:rPr>
                <w:rFonts w:ascii="ARIAL" w:hAnsi="ARIAL"/>
                <w:b/>
                <w:sz w:val="16"/>
              </w:rPr>
            </w:pPr>
            <w:r>
              <w:rPr>
                <w:rFonts w:ascii="ARIAL" w:hAnsi="ARIAL"/>
                <w:b/>
                <w:sz w:val="16"/>
              </w:rPr>
              <w:t>Exercise (#)  </w:t>
            </w:r>
          </w:p>
        </w:tc>
        <w:tc>
          <w:tcPr>
            <w:tcW w:w="120" w:type="dxa"/>
            <w:tcBorders>
              <w:top w:val="single" w:sz="8" w:space="0" w:color="95B3D7"/>
              <w:bottom w:val="single" w:sz="6" w:space="0" w:color="95B3D7"/>
            </w:tcBorders>
            <w:shd w:fill="DBE5F1" w:val="clear"/>
            <w:tcMar>
              <w:top w:w="28" w:type="dxa"/>
              <w:bottom w:w="28" w:type="dxa"/>
            </w:tcMar>
            <w:vAlign w:val="center"/>
          </w:tcPr>
          <w:p>
            <w:pPr>
              <w:pStyle w:val="TableContents"/>
              <w:bidi w:val="0"/>
              <w:spacing w:before="0" w:after="283"/>
              <w:jc w:val="left"/>
              <w:rPr/>
            </w:pPr>
            <w:r>
              <w:rPr/>
              <w:t>  </w:t>
            </w:r>
          </w:p>
        </w:tc>
        <w:tc>
          <w:tcPr>
            <w:tcW w:w="2265" w:type="dxa"/>
            <w:tcBorders>
              <w:top w:val="single" w:sz="8" w:space="0" w:color="95B3D7"/>
              <w:bottom w:val="single" w:sz="6" w:space="0" w:color="95B3D7"/>
              <w:right w:val="single" w:sz="6" w:space="0" w:color="95B3D7"/>
            </w:tcBorders>
            <w:shd w:fill="DBE5F1" w:val="clear"/>
            <w:tcMar>
              <w:top w:w="28" w:type="dxa"/>
              <w:bottom w:w="28" w:type="dxa"/>
              <w:right w:w="28" w:type="dxa"/>
            </w:tcMar>
            <w:vAlign w:val="center"/>
          </w:tcPr>
          <w:p>
            <w:pPr>
              <w:pStyle w:val="TableContents"/>
              <w:bidi w:val="0"/>
              <w:spacing w:before="0" w:after="283"/>
              <w:jc w:val="center"/>
              <w:rPr>
                <w:b/>
              </w:rPr>
            </w:pPr>
            <w:r>
              <w:rPr>
                <w:b/>
              </w:rPr>
              <w:t>Value Realized on  </w:t>
              <w:br/>
              <w:t>Exercise ($)  </w:t>
            </w:r>
          </w:p>
        </w:tc>
        <w:tc>
          <w:tcPr>
            <w:tcW w:w="120" w:type="dxa"/>
            <w:tcBorders>
              <w:top w:val="single" w:sz="8" w:space="0" w:color="95B3D7"/>
              <w:bottom w:val="single" w:sz="6" w:space="0" w:color="95B3D7"/>
            </w:tcBorders>
            <w:shd w:fill="DBE5F1" w:val="clear"/>
            <w:tcMar>
              <w:top w:w="28" w:type="dxa"/>
              <w:bottom w:w="28" w:type="dxa"/>
            </w:tcMar>
            <w:vAlign w:val="center"/>
          </w:tcPr>
          <w:p>
            <w:pPr>
              <w:pStyle w:val="TableContents"/>
              <w:bidi w:val="0"/>
              <w:spacing w:before="0" w:after="283"/>
              <w:jc w:val="left"/>
              <w:rPr/>
            </w:pPr>
            <w:r>
              <w:rPr/>
              <w:t>  </w:t>
            </w:r>
          </w:p>
        </w:tc>
        <w:tc>
          <w:tcPr>
            <w:tcW w:w="2120" w:type="dxa"/>
            <w:gridSpan w:val="2"/>
            <w:tcBorders>
              <w:top w:val="single" w:sz="8" w:space="0" w:color="95B3D7"/>
              <w:bottom w:val="single" w:sz="6" w:space="0" w:color="95B3D7"/>
            </w:tcBorders>
            <w:shd w:fill="DBE5F1" w:val="clear"/>
            <w:tcMar>
              <w:top w:w="28" w:type="dxa"/>
              <w:bottom w:w="28" w:type="dxa"/>
            </w:tcMar>
            <w:vAlign w:val="center"/>
          </w:tcPr>
          <w:p>
            <w:pPr>
              <w:pStyle w:val="TableContents"/>
              <w:bidi w:val="0"/>
              <w:spacing w:before="0" w:after="283"/>
              <w:jc w:val="center"/>
              <w:rPr>
                <w:b/>
              </w:rPr>
            </w:pPr>
            <w:r>
              <w:rPr>
                <w:b/>
              </w:rPr>
              <w:t>Number of Shares</w:t>
              <w:br/>
              <w:t>Acquired on Vesting</w:t>
              <w:br/>
              <w:t>(#)</w:t>
            </w:r>
          </w:p>
        </w:tc>
        <w:tc>
          <w:tcPr>
            <w:tcW w:w="305" w:type="dxa"/>
            <w:tcBorders>
              <w:top w:val="single" w:sz="8" w:space="0" w:color="95B3D7"/>
              <w:bottom w:val="single" w:sz="6" w:space="0" w:color="95B3D7"/>
              <w:right w:val="single" w:sz="6" w:space="0" w:color="95B3D7"/>
            </w:tcBorders>
            <w:shd w:fill="DBE5F1" w:val="clear"/>
            <w:tcMar>
              <w:top w:w="28" w:type="dxa"/>
              <w:bottom w:w="28" w:type="dxa"/>
              <w:right w:w="28" w:type="dxa"/>
            </w:tcMar>
            <w:vAlign w:val="center"/>
          </w:tcPr>
          <w:p>
            <w:pPr>
              <w:pStyle w:val="TableContents"/>
              <w:bidi w:val="0"/>
              <w:spacing w:before="0" w:after="283"/>
              <w:jc w:val="left"/>
              <w:rPr/>
            </w:pPr>
            <w:r>
              <w:rPr/>
              <w:t> </w:t>
            </w:r>
          </w:p>
        </w:tc>
        <w:tc>
          <w:tcPr>
            <w:tcW w:w="120" w:type="dxa"/>
            <w:tcBorders>
              <w:top w:val="single" w:sz="8" w:space="0" w:color="95B3D7"/>
              <w:bottom w:val="single" w:sz="6" w:space="0" w:color="95B3D7"/>
            </w:tcBorders>
            <w:shd w:fill="DBE5F1" w:val="clear"/>
            <w:tcMar>
              <w:top w:w="28" w:type="dxa"/>
              <w:bottom w:w="28" w:type="dxa"/>
            </w:tcMar>
            <w:vAlign w:val="center"/>
          </w:tcPr>
          <w:p>
            <w:pPr>
              <w:pStyle w:val="TableContents"/>
              <w:bidi w:val="0"/>
              <w:spacing w:before="0" w:after="283"/>
              <w:jc w:val="left"/>
              <w:rPr/>
            </w:pPr>
            <w:r>
              <w:rPr/>
              <w:t>  </w:t>
            </w:r>
          </w:p>
        </w:tc>
        <w:tc>
          <w:tcPr>
            <w:tcW w:w="1865" w:type="dxa"/>
            <w:gridSpan w:val="2"/>
            <w:tcBorders>
              <w:top w:val="single" w:sz="8" w:space="0" w:color="95B3D7"/>
              <w:bottom w:val="single" w:sz="6" w:space="0" w:color="95B3D7"/>
            </w:tcBorders>
            <w:shd w:fill="DBE5F1" w:val="clear"/>
            <w:tcMar>
              <w:top w:w="28" w:type="dxa"/>
              <w:bottom w:w="28" w:type="dxa"/>
            </w:tcMar>
            <w:vAlign w:val="center"/>
          </w:tcPr>
          <w:p>
            <w:pPr>
              <w:pStyle w:val="TableContents"/>
              <w:bidi w:val="0"/>
              <w:spacing w:before="0" w:after="283"/>
              <w:jc w:val="center"/>
              <w:rPr>
                <w:b/>
              </w:rPr>
            </w:pPr>
            <w:r>
              <w:rPr>
                <w:b/>
              </w:rPr>
              <w:t>Value Realized on</w:t>
              <w:br/>
              <w:t>Vesting(1)</w:t>
              <w:br/>
              <w:t>($)</w:t>
            </w:r>
          </w:p>
        </w:tc>
        <w:tc>
          <w:tcPr>
            <w:tcW w:w="75" w:type="dxa"/>
            <w:tcBorders>
              <w:top w:val="single" w:sz="8" w:space="0" w:color="95B3D7"/>
              <w:bottom w:val="single" w:sz="6" w:space="0" w:color="95B3D7"/>
            </w:tcBorders>
            <w:shd w:fill="DBE5F1" w:val="clear"/>
            <w:tcMar>
              <w:top w:w="28" w:type="dxa"/>
              <w:bottom w:w="28" w:type="dxa"/>
            </w:tcMar>
            <w:vAlign w:val="center"/>
          </w:tcPr>
          <w:p>
            <w:pPr>
              <w:pStyle w:val="TableContents"/>
              <w:bidi w:val="0"/>
              <w:spacing w:before="0" w:after="283"/>
              <w:jc w:val="left"/>
              <w:rPr/>
            </w:pPr>
            <w:r>
              <w:rPr/>
              <w:t> </w:t>
            </w:r>
          </w:p>
        </w:tc>
      </w:tr>
      <w:tr>
        <w:trPr/>
        <w:tc>
          <w:tcPr>
            <w:tcW w:w="1375" w:type="dxa"/>
            <w:tcBorders>
              <w:bottom w:val="single" w:sz="6" w:space="0" w:color="95B3D7"/>
              <w:right w:val="single" w:sz="6" w:space="0" w:color="95B3D7"/>
            </w:tcBorders>
            <w:tcMar>
              <w:bottom w:w="28" w:type="dxa"/>
              <w:right w:w="28" w:type="dxa"/>
            </w:tcMar>
            <w:vAlign w:val="center"/>
          </w:tcPr>
          <w:p>
            <w:pPr>
              <w:pStyle w:val="TableContents"/>
              <w:bidi w:val="0"/>
              <w:spacing w:before="0" w:after="0"/>
              <w:jc w:val="left"/>
              <w:rPr>
                <w:rFonts w:ascii="ARIAL" w:hAnsi="ARIAL"/>
                <w:sz w:val="16"/>
              </w:rPr>
            </w:pPr>
            <w:r>
              <w:rPr>
                <w:rFonts w:ascii="ARIAL" w:hAnsi="ARIAL"/>
                <w:sz w:val="16"/>
              </w:rPr>
              <w:t>John Kao</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72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2265"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47" w:type="dxa"/>
            <w:tcBorders>
              <w:bottom w:val="single" w:sz="6" w:space="0" w:color="95B3D7"/>
            </w:tcBorders>
            <w:tcMar>
              <w:bottom w:w="28" w:type="dxa"/>
            </w:tcMar>
            <w:vAlign w:val="center"/>
          </w:tcPr>
          <w:p>
            <w:pPr>
              <w:pStyle w:val="TableContents"/>
              <w:bidi w:val="0"/>
              <w:spacing w:before="0" w:after="283"/>
              <w:jc w:val="left"/>
              <w:rPr/>
            </w:pPr>
            <w:r>
              <w:rPr/>
              <w:t> </w:t>
            </w:r>
          </w:p>
        </w:tc>
        <w:tc>
          <w:tcPr>
            <w:tcW w:w="1973" w:type="dxa"/>
            <w:tcBorders>
              <w:bottom w:val="single" w:sz="6" w:space="0" w:color="95B3D7"/>
            </w:tcBorders>
            <w:tcMar>
              <w:bottom w:w="28" w:type="dxa"/>
            </w:tcMar>
            <w:vAlign w:val="center"/>
          </w:tcPr>
          <w:p>
            <w:pPr>
              <w:pStyle w:val="TableContents"/>
              <w:bidi w:val="0"/>
              <w:spacing w:before="0" w:after="283"/>
              <w:jc w:val="right"/>
              <w:rPr/>
            </w:pPr>
            <w:r>
              <w:rPr/>
              <w:t>718,265</w:t>
            </w:r>
          </w:p>
        </w:tc>
        <w:tc>
          <w:tcPr>
            <w:tcW w:w="305"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(2)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07" w:type="dxa"/>
            <w:tcBorders>
              <w:bottom w:val="single" w:sz="6" w:space="0" w:color="95B3D7"/>
            </w:tcBorders>
            <w:tcMar>
              <w:bottom w:w="28" w:type="dxa"/>
            </w:tcMar>
            <w:vAlign w:val="center"/>
          </w:tcPr>
          <w:p>
            <w:pPr>
              <w:pStyle w:val="TableContents"/>
              <w:bidi w:val="0"/>
              <w:spacing w:before="0" w:after="283"/>
              <w:jc w:val="left"/>
              <w:rPr/>
            </w:pPr>
            <w:r>
              <w:rPr/>
              <w:t> </w:t>
            </w:r>
          </w:p>
        </w:tc>
        <w:tc>
          <w:tcPr>
            <w:tcW w:w="1758" w:type="dxa"/>
            <w:tcBorders>
              <w:bottom w:val="single" w:sz="6" w:space="0" w:color="95B3D7"/>
            </w:tcBorders>
            <w:tcMar>
              <w:bottom w:w="28" w:type="dxa"/>
            </w:tcMar>
            <w:vAlign w:val="center"/>
          </w:tcPr>
          <w:p>
            <w:pPr>
              <w:pStyle w:val="TableContents"/>
              <w:bidi w:val="0"/>
              <w:spacing w:before="0" w:after="283"/>
              <w:jc w:val="right"/>
              <w:rPr/>
            </w:pPr>
            <w:r>
              <w:rPr/>
              <w:t>4,435,357</w:t>
            </w:r>
          </w:p>
        </w:tc>
        <w:tc>
          <w:tcPr>
            <w:tcW w:w="75" w:type="dxa"/>
            <w:tcBorders>
              <w:bottom w:val="single" w:sz="6" w:space="0" w:color="95B3D7"/>
            </w:tcBorders>
            <w:tcMar>
              <w:bottom w:w="28" w:type="dxa"/>
            </w:tcMar>
            <w:vAlign w:val="center"/>
          </w:tcPr>
          <w:p>
            <w:pPr>
              <w:pStyle w:val="TableContents"/>
              <w:bidi w:val="0"/>
              <w:spacing w:before="0" w:after="283"/>
              <w:jc w:val="left"/>
              <w:rPr/>
            </w:pPr>
            <w:r>
              <w:rPr/>
              <w:t> </w:t>
            </w:r>
          </w:p>
        </w:tc>
      </w:tr>
      <w:tr>
        <w:trPr/>
        <w:tc>
          <w:tcPr>
            <w:tcW w:w="137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0"/>
              <w:jc w:val="left"/>
              <w:rPr>
                <w:rFonts w:ascii="ARIAL" w:hAnsi="ARIAL"/>
                <w:sz w:val="16"/>
              </w:rPr>
            </w:pPr>
            <w:r>
              <w:rPr>
                <w:rFonts w:ascii="ARIAL" w:hAnsi="ARIAL"/>
                <w:sz w:val="16"/>
              </w:rPr>
              <w:t>Thomas Freeman</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72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226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47"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973" w:type="dxa"/>
            <w:tcBorders>
              <w:bottom w:val="single" w:sz="6" w:space="0" w:color="95B3D7"/>
            </w:tcBorders>
            <w:shd w:fill="DBE5F1" w:val="clear"/>
            <w:tcMar>
              <w:bottom w:w="28" w:type="dxa"/>
            </w:tcMar>
            <w:vAlign w:val="center"/>
          </w:tcPr>
          <w:p>
            <w:pPr>
              <w:pStyle w:val="TableContents"/>
              <w:bidi w:val="0"/>
              <w:spacing w:before="0" w:after="283"/>
              <w:jc w:val="right"/>
              <w:rPr/>
            </w:pPr>
            <w:r>
              <w:rPr/>
              <w:t>274,749</w:t>
            </w:r>
          </w:p>
        </w:tc>
        <w:tc>
          <w:tcPr>
            <w:tcW w:w="30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(3)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07"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758" w:type="dxa"/>
            <w:tcBorders>
              <w:bottom w:val="single" w:sz="6" w:space="0" w:color="95B3D7"/>
            </w:tcBorders>
            <w:shd w:fill="DBE5F1" w:val="clear"/>
            <w:tcMar>
              <w:bottom w:w="28" w:type="dxa"/>
            </w:tcMar>
            <w:vAlign w:val="center"/>
          </w:tcPr>
          <w:p>
            <w:pPr>
              <w:pStyle w:val="TableContents"/>
              <w:bidi w:val="0"/>
              <w:spacing w:before="0" w:after="283"/>
              <w:jc w:val="right"/>
              <w:rPr/>
            </w:pPr>
            <w:r>
              <w:rPr/>
              <w:t>1,622,893</w:t>
            </w:r>
          </w:p>
        </w:tc>
        <w:tc>
          <w:tcPr>
            <w:tcW w:w="75"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r>
      <w:tr>
        <w:trPr/>
        <w:tc>
          <w:tcPr>
            <w:tcW w:w="1375" w:type="dxa"/>
            <w:tcBorders>
              <w:bottom w:val="single" w:sz="6" w:space="0" w:color="95B3D7"/>
              <w:right w:val="single" w:sz="6" w:space="0" w:color="95B3D7"/>
            </w:tcBorders>
            <w:tcMar>
              <w:bottom w:w="28" w:type="dxa"/>
              <w:right w:w="28" w:type="dxa"/>
            </w:tcMar>
            <w:vAlign w:val="center"/>
          </w:tcPr>
          <w:p>
            <w:pPr>
              <w:pStyle w:val="TableContents"/>
              <w:bidi w:val="0"/>
              <w:spacing w:before="0" w:after="0"/>
              <w:jc w:val="left"/>
              <w:rPr>
                <w:rFonts w:ascii="ARIAL" w:hAnsi="ARIAL"/>
                <w:sz w:val="16"/>
              </w:rPr>
            </w:pPr>
            <w:r>
              <w:rPr>
                <w:rFonts w:ascii="ARIAL" w:hAnsi="ARIAL"/>
                <w:sz w:val="16"/>
              </w:rPr>
              <w:t>Dawn Maroney</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72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2265"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47" w:type="dxa"/>
            <w:tcBorders>
              <w:bottom w:val="single" w:sz="6" w:space="0" w:color="95B3D7"/>
            </w:tcBorders>
            <w:tcMar>
              <w:bottom w:w="28" w:type="dxa"/>
            </w:tcMar>
            <w:vAlign w:val="center"/>
          </w:tcPr>
          <w:p>
            <w:pPr>
              <w:pStyle w:val="TableContents"/>
              <w:bidi w:val="0"/>
              <w:spacing w:before="0" w:after="283"/>
              <w:jc w:val="left"/>
              <w:rPr/>
            </w:pPr>
            <w:r>
              <w:rPr/>
              <w:t> </w:t>
            </w:r>
          </w:p>
        </w:tc>
        <w:tc>
          <w:tcPr>
            <w:tcW w:w="1973" w:type="dxa"/>
            <w:tcBorders>
              <w:bottom w:val="single" w:sz="6" w:space="0" w:color="95B3D7"/>
            </w:tcBorders>
            <w:tcMar>
              <w:bottom w:w="28" w:type="dxa"/>
            </w:tcMar>
            <w:vAlign w:val="center"/>
          </w:tcPr>
          <w:p>
            <w:pPr>
              <w:pStyle w:val="TableContents"/>
              <w:bidi w:val="0"/>
              <w:spacing w:before="0" w:after="283"/>
              <w:jc w:val="right"/>
              <w:rPr/>
            </w:pPr>
            <w:r>
              <w:rPr/>
              <w:t>362,376</w:t>
            </w:r>
          </w:p>
        </w:tc>
        <w:tc>
          <w:tcPr>
            <w:tcW w:w="305"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(4)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07" w:type="dxa"/>
            <w:tcBorders>
              <w:bottom w:val="single" w:sz="6" w:space="0" w:color="95B3D7"/>
            </w:tcBorders>
            <w:tcMar>
              <w:bottom w:w="28" w:type="dxa"/>
            </w:tcMar>
            <w:vAlign w:val="center"/>
          </w:tcPr>
          <w:p>
            <w:pPr>
              <w:pStyle w:val="TableContents"/>
              <w:bidi w:val="0"/>
              <w:spacing w:before="0" w:after="283"/>
              <w:jc w:val="left"/>
              <w:rPr/>
            </w:pPr>
            <w:r>
              <w:rPr/>
              <w:t> </w:t>
            </w:r>
          </w:p>
        </w:tc>
        <w:tc>
          <w:tcPr>
            <w:tcW w:w="1758" w:type="dxa"/>
            <w:tcBorders>
              <w:bottom w:val="single" w:sz="6" w:space="0" w:color="95B3D7"/>
            </w:tcBorders>
            <w:tcMar>
              <w:bottom w:w="28" w:type="dxa"/>
            </w:tcMar>
            <w:vAlign w:val="center"/>
          </w:tcPr>
          <w:p>
            <w:pPr>
              <w:pStyle w:val="TableContents"/>
              <w:bidi w:val="0"/>
              <w:spacing w:before="0" w:after="283"/>
              <w:jc w:val="right"/>
              <w:rPr/>
            </w:pPr>
            <w:r>
              <w:rPr/>
              <w:t>2,136,752</w:t>
            </w:r>
          </w:p>
        </w:tc>
        <w:tc>
          <w:tcPr>
            <w:tcW w:w="75" w:type="dxa"/>
            <w:tcBorders>
              <w:bottom w:val="single" w:sz="6" w:space="0" w:color="95B3D7"/>
            </w:tcBorders>
            <w:tcMar>
              <w:bottom w:w="28" w:type="dxa"/>
            </w:tcMar>
            <w:vAlign w:val="center"/>
          </w:tcPr>
          <w:p>
            <w:pPr>
              <w:pStyle w:val="TableContents"/>
              <w:bidi w:val="0"/>
              <w:spacing w:before="0" w:after="283"/>
              <w:jc w:val="left"/>
              <w:rPr/>
            </w:pPr>
            <w:r>
              <w:rPr/>
              <w:t> </w:t>
            </w:r>
          </w:p>
        </w:tc>
      </w:tr>
      <w:tr>
        <w:trPr/>
        <w:tc>
          <w:tcPr>
            <w:tcW w:w="137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0"/>
              <w:jc w:val="left"/>
              <w:rPr>
                <w:rFonts w:ascii="ARIAL" w:hAnsi="ARIAL"/>
                <w:sz w:val="16"/>
              </w:rPr>
            </w:pPr>
            <w:r>
              <w:rPr>
                <w:rFonts w:ascii="ARIAL" w:hAnsi="ARIAL"/>
                <w:sz w:val="16"/>
              </w:rPr>
              <w:t>Hakan Kardes</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72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226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47"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973" w:type="dxa"/>
            <w:tcBorders>
              <w:bottom w:val="single" w:sz="6" w:space="0" w:color="95B3D7"/>
            </w:tcBorders>
            <w:shd w:fill="DBE5F1" w:val="clear"/>
            <w:tcMar>
              <w:bottom w:w="28" w:type="dxa"/>
            </w:tcMar>
            <w:vAlign w:val="center"/>
          </w:tcPr>
          <w:p>
            <w:pPr>
              <w:pStyle w:val="TableContents"/>
              <w:bidi w:val="0"/>
              <w:spacing w:before="0" w:after="283"/>
              <w:jc w:val="right"/>
              <w:rPr/>
            </w:pPr>
            <w:r>
              <w:rPr/>
              <w:t>132,482</w:t>
            </w:r>
          </w:p>
        </w:tc>
        <w:tc>
          <w:tcPr>
            <w:tcW w:w="30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(5)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07"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758" w:type="dxa"/>
            <w:tcBorders>
              <w:bottom w:val="single" w:sz="6" w:space="0" w:color="95B3D7"/>
            </w:tcBorders>
            <w:shd w:fill="DBE5F1" w:val="clear"/>
            <w:tcMar>
              <w:bottom w:w="28" w:type="dxa"/>
            </w:tcMar>
            <w:vAlign w:val="center"/>
          </w:tcPr>
          <w:p>
            <w:pPr>
              <w:pStyle w:val="TableContents"/>
              <w:bidi w:val="0"/>
              <w:spacing w:before="0" w:after="283"/>
              <w:jc w:val="right"/>
              <w:rPr/>
            </w:pPr>
            <w:r>
              <w:rPr/>
              <w:t>1,010,924</w:t>
            </w:r>
          </w:p>
        </w:tc>
        <w:tc>
          <w:tcPr>
            <w:tcW w:w="75"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r>
      <w:tr>
        <w:trPr/>
        <w:tc>
          <w:tcPr>
            <w:tcW w:w="1375" w:type="dxa"/>
            <w:tcBorders>
              <w:bottom w:val="single" w:sz="6" w:space="0" w:color="95B3D7"/>
              <w:right w:val="single" w:sz="6" w:space="0" w:color="95B3D7"/>
            </w:tcBorders>
            <w:tcMar>
              <w:bottom w:w="28" w:type="dxa"/>
              <w:right w:w="28" w:type="dxa"/>
            </w:tcMar>
            <w:vAlign w:val="center"/>
          </w:tcPr>
          <w:p>
            <w:pPr>
              <w:pStyle w:val="TableContents"/>
              <w:bidi w:val="0"/>
              <w:spacing w:before="0" w:after="0"/>
              <w:jc w:val="left"/>
              <w:rPr>
                <w:rFonts w:ascii="ARIAL" w:hAnsi="ARIAL"/>
                <w:sz w:val="16"/>
              </w:rPr>
            </w:pPr>
            <w:r>
              <w:rPr>
                <w:rFonts w:ascii="ARIAL" w:hAnsi="ARIAL"/>
                <w:sz w:val="16"/>
              </w:rPr>
              <w:t>Hyong (Ken) Kim, M.D.</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72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2265"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47" w:type="dxa"/>
            <w:tcBorders>
              <w:bottom w:val="single" w:sz="6" w:space="0" w:color="95B3D7"/>
            </w:tcBorders>
            <w:tcMar>
              <w:bottom w:w="28" w:type="dxa"/>
            </w:tcMar>
            <w:vAlign w:val="center"/>
          </w:tcPr>
          <w:p>
            <w:pPr>
              <w:pStyle w:val="TableContents"/>
              <w:bidi w:val="0"/>
              <w:spacing w:before="0" w:after="283"/>
              <w:jc w:val="left"/>
              <w:rPr/>
            </w:pPr>
            <w:r>
              <w:rPr/>
              <w:t> </w:t>
            </w:r>
          </w:p>
        </w:tc>
        <w:tc>
          <w:tcPr>
            <w:tcW w:w="1973" w:type="dxa"/>
            <w:tcBorders>
              <w:bottom w:val="single" w:sz="6" w:space="0" w:color="95B3D7"/>
            </w:tcBorders>
            <w:tcMar>
              <w:bottom w:w="28" w:type="dxa"/>
            </w:tcMar>
            <w:vAlign w:val="center"/>
          </w:tcPr>
          <w:p>
            <w:pPr>
              <w:pStyle w:val="TableContents"/>
              <w:bidi w:val="0"/>
              <w:spacing w:before="0" w:after="283"/>
              <w:jc w:val="center"/>
              <w:rPr/>
            </w:pPr>
            <w:r>
              <w:rPr/>
              <w:t>—</w:t>
            </w:r>
          </w:p>
        </w:tc>
        <w:tc>
          <w:tcPr>
            <w:tcW w:w="305"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07" w:type="dxa"/>
            <w:tcBorders>
              <w:bottom w:val="single" w:sz="6" w:space="0" w:color="95B3D7"/>
            </w:tcBorders>
            <w:tcMar>
              <w:bottom w:w="28" w:type="dxa"/>
            </w:tcMar>
            <w:vAlign w:val="center"/>
          </w:tcPr>
          <w:p>
            <w:pPr>
              <w:pStyle w:val="TableContents"/>
              <w:bidi w:val="0"/>
              <w:spacing w:before="0" w:after="283"/>
              <w:jc w:val="left"/>
              <w:rPr/>
            </w:pPr>
            <w:r>
              <w:rPr/>
              <w:t> </w:t>
            </w:r>
          </w:p>
        </w:tc>
        <w:tc>
          <w:tcPr>
            <w:tcW w:w="1758" w:type="dxa"/>
            <w:tcBorders>
              <w:bottom w:val="single" w:sz="6" w:space="0" w:color="95B3D7"/>
            </w:tcBorders>
            <w:tcMar>
              <w:bottom w:w="28" w:type="dxa"/>
            </w:tcMar>
            <w:vAlign w:val="center"/>
          </w:tcPr>
          <w:p>
            <w:pPr>
              <w:pStyle w:val="TableContents"/>
              <w:bidi w:val="0"/>
              <w:spacing w:before="0" w:after="283"/>
              <w:jc w:val="center"/>
              <w:rPr/>
            </w:pPr>
            <w:r>
              <w:rPr/>
              <w:t>—</w:t>
            </w:r>
          </w:p>
        </w:tc>
        <w:tc>
          <w:tcPr>
            <w:tcW w:w="75" w:type="dxa"/>
            <w:tcBorders>
              <w:bottom w:val="single" w:sz="6" w:space="0" w:color="95B3D7"/>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9"/>
        <w:gridCol w:w="9871"/>
      </w:tblGrid>
      <w:tr>
        <w:trPr/>
        <w:tc>
          <w:tcPr>
            <w:tcW w:w="75"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(1)</w:t>
            </w:r>
          </w:p>
        </w:tc>
        <w:tc>
          <w:tcPr>
            <w:tcW w:w="9871" w:type="dxa"/>
            <w:tcBorders/>
            <w:vAlign w:val="center"/>
          </w:tcPr>
          <w:p>
            <w:pPr>
              <w:pStyle w:val="TableContents"/>
              <w:bidi w:val="0"/>
              <w:spacing w:before="0" w:after="0"/>
              <w:jc w:val="left"/>
              <w:rPr>
                <w:rFonts w:ascii="ARIAL" w:hAnsi="ARIAL"/>
                <w:sz w:val="16"/>
              </w:rPr>
            </w:pPr>
            <w:r>
              <w:rPr>
                <w:rFonts w:ascii="ARIAL" w:hAnsi="ARIAL"/>
                <w:sz w:val="16"/>
              </w:rPr>
              <w:t xml:space="preserve">The dollar amounts shown in the “Value Realized on Vesting” column are determined by multiplying (i) the number of shares that vested, by (ii) the per-share closing market price of our common stock on the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0"/>
              <w:jc w:val="left"/>
              <w:rPr>
                <w:rFonts w:ascii="ARIAL" w:hAnsi="ARIAL"/>
                <w:sz w:val="16"/>
              </w:rPr>
            </w:pPr>
            <w:r>
              <w:rPr>
                <w:rFonts w:ascii="ARIAL" w:hAnsi="ARIAL"/>
                <w:sz w:val="16"/>
              </w:rPr>
              <w:t xml:space="preserve">Represents (a) 77,758 shares issued upon vesting of RSUs with a value realized on vesting based on a per-share closing market price of $6.20; (b) 124,173 shares issued upon vesting of RSUs with a value realized on vesting based on a per-share closing market price of $6.88; (c) 245,653 restricted shares with a value realized on vesting based on a per-share closing market price of $6.23; (d) 43,539 restricted shares with a value realized on vesting based on a per-share closing market price of $5.35; and (e) 227,142 restricted shares with a value realized on vesting based on a per-share closing market price of $5.88.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(3)</w:t>
            </w:r>
          </w:p>
        </w:tc>
        <w:tc>
          <w:tcPr>
            <w:tcW w:w="9903" w:type="dxa"/>
            <w:tcBorders/>
            <w:vAlign w:val="center"/>
          </w:tcPr>
          <w:p>
            <w:pPr>
              <w:pStyle w:val="TableContents"/>
              <w:bidi w:val="0"/>
              <w:spacing w:before="0" w:after="0"/>
              <w:jc w:val="left"/>
              <w:rPr>
                <w:rFonts w:ascii="ARIAL" w:hAnsi="ARIAL"/>
                <w:sz w:val="16"/>
              </w:rPr>
            </w:pPr>
            <w:r>
              <w:rPr>
                <w:rFonts w:ascii="ARIAL" w:hAnsi="ARIAL"/>
                <w:sz w:val="16"/>
              </w:rPr>
              <w:t xml:space="preserve">Represents (a) 15,143 shares issued upon vesting of RSUs with a value realized on vesting based on a per-share closing market price of $6.20; (b) 34,148 shares issued upon vesting of RSUs with a value realized on vesting based on a per-share closing market price of $6.88; (c) 63,035 restricted shares with a value realized on vesting based on a per-share closing market price of $6.23; (d) 101,296 restricted shares with a value realized on vesting based on a per-share closing market price of $5.35; and (e) 61,127 restricted shares with a value realized on vesting based on a per-share closing market price of $5.88. 183,555 restricted shares which vested are held by FCO Holdings LLC, a limited liability company owned by FCO Holdings Trust One, an irrevocable trust.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(4)</w:t>
            </w:r>
          </w:p>
        </w:tc>
        <w:tc>
          <w:tcPr>
            <w:tcW w:w="9900" w:type="dxa"/>
            <w:tcBorders/>
            <w:vAlign w:val="center"/>
          </w:tcPr>
          <w:p>
            <w:pPr>
              <w:pStyle w:val="TableContents"/>
              <w:bidi w:val="0"/>
              <w:spacing w:before="0" w:after="0"/>
              <w:jc w:val="left"/>
              <w:rPr>
                <w:rFonts w:ascii="ARIAL" w:hAnsi="ARIAL"/>
                <w:sz w:val="16"/>
              </w:rPr>
            </w:pPr>
            <w:r>
              <w:rPr>
                <w:rFonts w:ascii="ARIAL" w:hAnsi="ARIAL"/>
                <w:sz w:val="16"/>
              </w:rPr>
              <w:t xml:space="preserve">Represents (a) 20,463 shares issued upon vesting of RSUs with a value realized on vesting based on a per-share closing market price of $6.20; (b) 51,739 shares issued upon vesting of RSUs with a value realized on vesting based on a per-share closing market price of $6.88; (c) 66,238 restricted shares with a value realized on vesting based on a per-share closing market price of $6.23; (d) 142,433 restricted shares with a value realized on vesting based on a per-share closing market price of $5.35; and (e) 81,503 restricted shares with a value realized on vesting based on a per-share closing market price of $5.88.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60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(5)</w:t>
            </w:r>
          </w:p>
        </w:tc>
        <w:tc>
          <w:tcPr>
            <w:tcW w:w="9904" w:type="dxa"/>
            <w:tcBorders/>
            <w:vAlign w:val="center"/>
          </w:tcPr>
          <w:p>
            <w:pPr>
              <w:pStyle w:val="TableContents"/>
              <w:bidi w:val="0"/>
              <w:spacing w:before="0" w:after="0"/>
              <w:jc w:val="left"/>
              <w:rPr>
                <w:rFonts w:ascii="ARIAL" w:hAnsi="ARIAL"/>
                <w:sz w:val="16"/>
              </w:rPr>
            </w:pPr>
            <w:r>
              <w:rPr>
                <w:rFonts w:ascii="ARIAL" w:hAnsi="ARIAL"/>
                <w:sz w:val="16"/>
              </w:rPr>
              <w:t xml:space="preserve">Represents (a) 17,875 shares issued upon vesting of RSUs with a value realized on vesting based on a per-share closing market price of $6.20; (b) 12,418 shares issued upon vesting of RSUs with a value realized on vesting based on a per-share closing market price of $6.88; (c) 40,768 restricted shares with a value realized on vesting based on a per-share closing market price of $11.05; (d) 20,384 restricted shares with a value realized on vesting based on a per-share closing market price of $6.23; (e) 20,566 restricted shares with a value realized on vesting based on a per-share closing market price of $5.45; (f) 10,188 restricted shares with a value realized on vesting based on a per-share closing market price of $5.88; and (g) 10,283 restricted shares with a value realized on vesting based on a per-share closing market price of $6.54. </w:t>
            </w:r>
          </w:p>
        </w:tc>
      </w:tr>
    </w:tbl>
    <w:p>
      <w:pPr>
        <w:pStyle w:val="TextBody"/>
        <w:bidi w:val="0"/>
        <w:spacing w:before="360" w:after="0"/>
        <w:jc w:val="left"/>
        <w:rPr>
          <w:rFonts w:ascii="ARIAL" w:hAnsi="ARIAL"/>
          <w:b/>
          <w:color w:val="1F497D"/>
          <w:sz w:val="20"/>
        </w:rPr>
      </w:pPr>
      <w:r>
        <w:rPr>
          <w:rFonts w:ascii="ARIAL" w:hAnsi="ARIAL"/>
          <w:b/>
          <w:color w:val="1F497D"/>
          <w:sz w:val="20"/>
        </w:rPr>
        <w:t xml:space="preserve">Potential Payments Upon Termination or Change in Control </w:t>
      </w:r>
    </w:p>
    <w:p>
      <w:pPr>
        <w:pStyle w:val="TextBody"/>
        <w:bidi w:val="0"/>
        <w:spacing w:before="240" w:after="0"/>
        <w:jc w:val="left"/>
        <w:rPr>
          <w:rFonts w:ascii="ARIAL" w:hAnsi="ARIAL"/>
          <w:b/>
          <w:i/>
          <w:color w:val="1F497D"/>
          <w:sz w:val="20"/>
        </w:rPr>
      </w:pPr>
      <w:r>
        <w:rPr>
          <w:rFonts w:ascii="ARIAL" w:hAnsi="ARIAL"/>
          <w:b/>
          <w:i/>
          <w:color w:val="1F497D"/>
          <w:sz w:val="20"/>
        </w:rPr>
        <w:t xml:space="preserve">Severance Payments and Benefits </w:t>
      </w:r>
    </w:p>
    <w:p>
      <w:pPr>
        <w:pStyle w:val="TextBody"/>
        <w:bidi w:val="0"/>
        <w:spacing w:before="240" w:after="0"/>
        <w:jc w:val="left"/>
        <w:rPr>
          <w:rFonts w:ascii="ARIAL" w:hAnsi="ARIAL"/>
          <w:sz w:val="20"/>
        </w:rPr>
      </w:pPr>
      <w:r>
        <w:rPr>
          <w:rFonts w:ascii="ARIAL" w:hAnsi="ARIAL"/>
          <w:sz w:val="20"/>
        </w:rPr>
        <w:t xml:space="preserve">Under each of the NEO Employment Agreements, upon a termination of employment for any reason, the Named Executive Officer would receive (i) the unpaid portion of any accrued base salary and paid-time-off through the termination date, (ii) reimbursement of expenses not previously reimbursed and (iii) continuation of health insurance coverage as required under applicable law (“Accrued Benefits”). </w:t>
      </w:r>
    </w:p>
    <w:p>
      <w:pPr>
        <w:pStyle w:val="TextBody"/>
        <w:bidi w:val="0"/>
        <w:spacing w:before="240" w:after="0"/>
        <w:jc w:val="left"/>
        <w:rPr>
          <w:rFonts w:ascii="ARIAL" w:hAnsi="ARIAL"/>
          <w:sz w:val="20"/>
        </w:rPr>
      </w:pPr>
      <w:r>
        <w:rPr>
          <w:rFonts w:ascii="ARIAL" w:hAnsi="ARIAL"/>
          <w:sz w:val="20"/>
        </w:rPr>
        <w:t xml:space="preserve">In the event of the Named Executive Officer’s death, disability, or delivery by the Named Executive Officer of a notice of non-renewal, in addition to the Accrued Benefits, the Named Executive Officer would receive his or her accrued but unpaid bonus for the calendar year preceding the year of termination, payable at the time bonuses for such calendar year are otherwise payable to other senior executives. </w:t>
      </w:r>
    </w:p>
    <w:p>
      <w:pPr>
        <w:pStyle w:val="TextBody"/>
        <w:bidi w:val="0"/>
        <w:spacing w:before="240" w:after="0"/>
        <w:jc w:val="left"/>
        <w:rPr>
          <w:rFonts w:ascii="ARIAL" w:hAnsi="ARIAL"/>
          <w:sz w:val="20"/>
        </w:rPr>
      </w:pPr>
      <w:r>
        <w:rPr>
          <w:rFonts w:ascii="ARIAL" w:hAnsi="ARIAL"/>
          <w:sz w:val="20"/>
        </w:rPr>
        <w:t xml:space="preserve">Upon a termination of employment by the Company without “cause,” a resignation by the Named Executive Officer for “good reason,” or a termination of employment due to the delivery of a notice of non-renewal by the Company to the Named Executive Officer, subject to the execution and delivery of a release of claims and the Named Executive Officer’s continued compliance with restrictive covenants (as described below), each of our Named Executive Officers would receive the following severance payments and benefits (in addition to the Accrued Benefits): (i) cash payment equal to one times (two times for Mr. Kao) the sum of the Named Executive Officer’s (A) base salary and (B) target annual cash incentive bonus, paid in substantially equal installments over the 12-month (24-month for Mr. Kao) period following termination in accordance with the Company’s normal payroll practices; (ii) prorated portion of the Named Executive Officer’s annual cash incentive bonus for the year of termination (except for Mr. Kao, whose annual cash incentive bonus for the year of termination would not be prorated), determined after the end of the year of termination and based on the amount the Named Executive Officer would have been paid had his or her employment not been terminated; and (iii) if the Named Executive Officer timely elects for COBRA benefits, payment or reimbursement of the Named Executive Officer’s share of COBRA premiums until the earlier of (A) the first annual anniversary of termination or (B) the date that the Named Executive Officer is eligible to receive health benefits through a new employer. The foregoing severance benefits are payable in lieu of any other benefits the Named Executive Officer may be entitled to under a separate severance agreement or executive severance plan. </w:t>
      </w:r>
    </w:p>
    <w:p>
      <w:pPr>
        <w:pStyle w:val="TextBody"/>
        <w:bidi w:val="0"/>
        <w:spacing w:before="240" w:after="0"/>
        <w:jc w:val="left"/>
        <w:rPr>
          <w:rFonts w:ascii="ARIAL" w:hAnsi="ARIAL"/>
          <w:sz w:val="20"/>
        </w:rPr>
      </w:pPr>
      <w:r>
        <w:rPr>
          <w:rFonts w:ascii="ARIAL" w:hAnsi="ARIAL"/>
          <w:sz w:val="20"/>
        </w:rPr>
        <w:t xml:space="preserve">Each Named Executive Officer is subject to the following restrictive covenants: (i) non-competition during employment, (ii) non-solicitation of employees or customers during employment and for one year following termination, (iii) perpetual non-disparagement and (iv) perpetual confidentiality. </w:t>
      </w:r>
    </w:p>
    <w:p>
      <w:pPr>
        <w:pStyle w:val="TextBody"/>
        <w:bidi w:val="0"/>
        <w:spacing w:before="240" w:after="0"/>
        <w:jc w:val="left"/>
        <w:rPr/>
      </w:pPr>
      <w:r>
        <w:rPr/>
        <w:t>“</w:t>
      </w:r>
      <w:r>
        <w:rPr>
          <w:rFonts w:ascii="ARIAL" w:hAnsi="ARIAL"/>
          <w:sz w:val="20"/>
        </w:rPr>
        <w:t xml:space="preserve">Cause” for purposes of the NEO Employment Agreements generally means the employee’s: (i) failure to devote substantially all of the employee’s working time to the business of the employer and its affiliates; (ii) willful disregard of the employee’s duties, or the employee’s intentional failure to act where the taking of such action would be in the ordinary course of the employee’s duties, provided that the employee is first given 30 days prior written notice of such conduct in order for the employee to cure such alleged conduct during such period of time; (iii) violation or breach of certain provisions, representations or covenants provided in the NEO Employment Agreements; (iv) gross negligence or willful misconduct in the performance of the employee’s duties; (v) commission of any act of fraud, theft or financial dishonesty, or any felony or criminal act involving moral turpitude; or (vi) unlawful use (including being under the influence) of alcohol or drugs or possession of illegal drugs on the premises of the employer or any of its affiliates or while performing duties and responsibilities to the employer and its affiliates.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61 </w:t>
      </w:r>
      <w:r>
        <w:br w:type="page"/>
      </w:r>
    </w:p>
    <w:p>
      <w:pPr>
        <w:pStyle w:val="HorizontalLine"/>
        <w:bidi w:val="0"/>
        <w:jc w:val="left"/>
        <w:rPr/>
      </w:pPr>
      <w:r>
        <w:rPr/>
      </w:r>
    </w:p>
    <w:p>
      <w:pPr>
        <w:pStyle w:val="TextBody"/>
        <w:bidi w:val="0"/>
        <w:spacing w:before="0" w:after="0"/>
        <w:jc w:val="left"/>
        <w:rPr/>
      </w:pPr>
      <w:r>
        <w:rPr/>
        <w:t>“</w:t>
      </w:r>
      <w:r>
        <w:rPr>
          <w:rFonts w:ascii="ARIAL" w:hAnsi="ARIAL"/>
          <w:sz w:val="20"/>
        </w:rPr>
        <w:t>Good reason” for purposes of the NEO Employment Agreements generally means: (i) a material reduction during any 24 consecutive month period in base salary or in the employee’s annual total cash compensation opportunity (</w:t>
      </w:r>
      <w:r>
        <w:rPr>
          <w:rFonts w:ascii="ARIAL" w:hAnsi="ARIAL"/>
          <w:i/>
          <w:sz w:val="20"/>
        </w:rPr>
        <w:t>i.e.</w:t>
      </w:r>
      <w:r>
        <w:rPr>
          <w:rFonts w:ascii="ARIAL" w:hAnsi="ARIAL"/>
          <w:sz w:val="20"/>
        </w:rPr>
        <w:t xml:space="preserve">, base salary and target bonus), but excluding any reduction applicable to management employees generally; (ii) a material breach of the NEO Employment Agreement by the employer; or (iii) for all NEOs except Mr. Kao, a change in the employee’s principal work location to a location more than 50 miles from the employee’s prior work location and more than 50 miles from the employee’s principal residence as of the date of such change in work location. Notwithstanding the foregoing, “good reason” will not exist (A) if the employee has in his or her sole discretion agreed in writing that such event will not constitute “good reason,” or (B) unless, (I) within 60 days of the occurrence of the events claimed to be “good reason” the employee notifies the employer in writing of the reasons why the employee believes that “good reason” exists, (II) the employer has failed to correct the circumstance that would otherwise be “good reason” within 30 days of receipt of such notice and (III) the employee terminates his or her employment within 60 days of such 30-day period. </w:t>
      </w:r>
    </w:p>
    <w:p>
      <w:pPr>
        <w:pStyle w:val="TextBody"/>
        <w:bidi w:val="0"/>
        <w:spacing w:before="240" w:after="0"/>
        <w:jc w:val="left"/>
        <w:rPr>
          <w:rFonts w:ascii="ARIAL" w:hAnsi="ARIAL"/>
          <w:i/>
          <w:color w:val="1F497D"/>
          <w:sz w:val="20"/>
        </w:rPr>
      </w:pPr>
      <w:r>
        <w:rPr>
          <w:rFonts w:ascii="ARIAL" w:hAnsi="ARIAL"/>
          <w:i/>
          <w:color w:val="1F497D"/>
          <w:sz w:val="20"/>
        </w:rPr>
        <w:t xml:space="preserve">Treatment of Equity Incentive Awards </w:t>
      </w:r>
    </w:p>
    <w:p>
      <w:pPr>
        <w:pStyle w:val="TextBody"/>
        <w:bidi w:val="0"/>
        <w:spacing w:before="240" w:after="0"/>
        <w:jc w:val="left"/>
        <w:rPr>
          <w:rFonts w:ascii="ARIAL" w:hAnsi="ARIAL"/>
          <w:sz w:val="20"/>
        </w:rPr>
      </w:pPr>
      <w:r>
        <w:rPr>
          <w:rFonts w:ascii="ARIAL" w:hAnsi="ARIAL"/>
          <w:sz w:val="20"/>
        </w:rPr>
        <w:t xml:space="preserve">Pursuant to the terms of our 2021 Plan, generally, upon a termination of employment for any reason, all unvested equity awards would terminate and be forfeited for no consideration. In the event of a termination for “cause,” vested options also terminate for no consideration. Upon a termination of employment due to death or disability, vested options may be exercised by the participant at any time within the one-year period following termination, but in no event beyond the expiration of the stated term of the options. Upon an involuntary termination without “cause” or voluntary resignation, vested options may be exercised by the participant at any time within the 90-day period following termination, but in no event beyond the expiration of the stated term of the options. </w:t>
      </w:r>
    </w:p>
    <w:p>
      <w:pPr>
        <w:pStyle w:val="TextBody"/>
        <w:bidi w:val="0"/>
        <w:spacing w:before="240" w:after="0"/>
        <w:jc w:val="left"/>
        <w:rPr>
          <w:rFonts w:ascii="ARIAL" w:hAnsi="ARIAL"/>
          <w:sz w:val="20"/>
        </w:rPr>
      </w:pPr>
      <w:r>
        <w:rPr>
          <w:rFonts w:ascii="ARIAL" w:hAnsi="ARIAL"/>
          <w:sz w:val="20"/>
        </w:rPr>
        <w:t xml:space="preserve">Under the 2021 Plan, upon a termination by the Company without “cause” (other than as a result of death or disability) on or within 12 months following a “change in control,” any outstanding, unvested awards held by the participant would accelerate and vest on the date of such termination. Notwithstanding the foregoing, the 2021 Plan provides that the Board (or designated committee) may provide for (i) continuation, assumption or substitution for awards with substantially the same terms and value, (ii) acceleration of vesting immediately prior to or as of the date of such “change in control,” or (iii) in the case of an option or SAR, cancellation in consideration of a payment in cash or other consideration equal to the excess of the applicable stock price over the applicable exercise price. </w:t>
      </w:r>
    </w:p>
    <w:p>
      <w:pPr>
        <w:pStyle w:val="TextBody"/>
        <w:bidi w:val="0"/>
        <w:spacing w:before="240" w:after="0"/>
        <w:jc w:val="left"/>
        <w:rPr>
          <w:rFonts w:ascii="ARIAL" w:hAnsi="ARIAL"/>
          <w:sz w:val="20"/>
        </w:rPr>
      </w:pPr>
      <w:r>
        <w:rPr>
          <w:rFonts w:ascii="ARIAL" w:hAnsi="ARIAL"/>
          <w:sz w:val="20"/>
        </w:rPr>
        <w:t xml:space="preserve">Pursuant the terms of each NEO’s option and restricted stock unit award agreements under the 2021 Plan, upon a termination by the Company without “cause” (other than as a result of death or disability) or a resignation by the participant for “good reason,” in each case, on or following a “change in control,” any outstanding, unvested options or restricted stock units held by the executive would accelerate and vest on the date of such termination. </w:t>
      </w:r>
    </w:p>
    <w:p>
      <w:pPr>
        <w:pStyle w:val="TextBody"/>
        <w:bidi w:val="0"/>
        <w:spacing w:before="240" w:after="0"/>
        <w:jc w:val="left"/>
        <w:rPr>
          <w:rFonts w:ascii="ARIAL" w:hAnsi="ARIAL"/>
          <w:sz w:val="20"/>
        </w:rPr>
      </w:pPr>
      <w:r>
        <w:rPr>
          <w:rFonts w:ascii="ARIAL" w:hAnsi="ARIAL"/>
          <w:sz w:val="20"/>
        </w:rPr>
        <w:t xml:space="preserve">Under each NEO’s PSU award agreement, upon a change in control, all outstanding PSUs would be deemed earned on the date of such change in control based on actual performance through (x) the date of the change in control if the change in control occurs prior to the end of the measurement period (subject to any pro rata or other adjustments determined by the Board (or designated committee)), or (y) through the last day of the measurement period if the change in control occurs on or following such date; provided, in each case, that in no event will the PSUs be deemed earned at less than target; provided further that the Board (or designated committee) may in its discretion determine that the PSUs are deemed earned at maximum performance (irrespective of the applicable performance metrics). Any earned PSUs as a result of such change in control will vest (x) 50% on March 1, 2025 and (y) 50% on December 31, 2025, subject to the NEO’s continued service through the applicable vesting date; provided that upon a termination by the Company without cause (other than as a result of death or disability) or a resignation by the NEO for good reason on or following a change in control, any earned PSUs that have not yet vested will accelerate and vest as of the date of such termination or resignation.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62 </w:t>
      </w:r>
      <w:r>
        <w:br w:type="page"/>
      </w:r>
    </w:p>
    <w:p>
      <w:pPr>
        <w:pStyle w:val="HorizontalLine"/>
        <w:bidi w:val="0"/>
        <w:jc w:val="left"/>
        <w:rPr/>
      </w:pPr>
      <w:r>
        <w:rPr/>
      </w:r>
    </w:p>
    <w:p>
      <w:pPr>
        <w:pStyle w:val="TextBody"/>
        <w:bidi w:val="0"/>
        <w:spacing w:before="0" w:after="0"/>
        <w:jc w:val="left"/>
        <w:rPr>
          <w:rFonts w:ascii="ARIAL" w:hAnsi="ARIAL"/>
          <w:sz w:val="20"/>
        </w:rPr>
      </w:pPr>
      <w:r>
        <w:rPr>
          <w:rFonts w:ascii="ARIAL" w:hAnsi="ARIAL"/>
          <w:sz w:val="20"/>
        </w:rPr>
        <w:t>Restricted shares which were converted from incentive units and SARs, as discussed in further detail above in “</w:t>
      </w:r>
      <w:r>
        <w:rPr>
          <w:rFonts w:ascii="ARIAL" w:hAnsi="ARIAL"/>
          <w:i/>
          <w:sz w:val="20"/>
        </w:rPr>
        <w:t>Compensation Discussion and Analysis—2022 Executive Compensation Program in Detail—Long-Term Equity Incentives</w:t>
      </w:r>
      <w:r>
        <w:rPr>
          <w:rFonts w:ascii="ARIAL" w:hAnsi="ARIAL"/>
          <w:sz w:val="20"/>
        </w:rPr>
        <w:t xml:space="preserve">,” will accelerate and fully vest upon a change of control. </w:t>
      </w:r>
    </w:p>
    <w:p>
      <w:pPr>
        <w:pStyle w:val="TextBody"/>
        <w:bidi w:val="0"/>
        <w:spacing w:before="240" w:after="0"/>
        <w:jc w:val="left"/>
        <w:rPr>
          <w:rFonts w:ascii="ARIAL" w:hAnsi="ARIAL"/>
          <w:sz w:val="20"/>
        </w:rPr>
      </w:pPr>
      <w:r>
        <w:rPr>
          <w:rFonts w:ascii="ARIAL" w:hAnsi="ARIAL"/>
          <w:sz w:val="20"/>
        </w:rPr>
        <w:t xml:space="preserve">For the Chief Executive Officer, “good reason” for purposes of the option and restricted stock unit award agreements under the 2021 Plan generally means the following, without the executive’s express written consent: (i) a reduction in annual base salary or annual target bonus opportunity; (ii) a diminution in status, authority, title, duties or responsibilities (including a change which results in the Company no longer being a publicly traded entity or the executive no longer being the Chief Executive Officer of a publicly traded entity) or (iii) a failure of the Company’s successor to assume and perform the award agreement; provided that any such termination by the executive will only be deemed “good reason” if: (1) the executive gives the Company written notice within 60 days following initial awareness of the occurrence of the condition constituting “good reason,” which notice will describe such condition and intent to terminate for “good reason”; (2) the Company fails to remedy such condition to the executive’s satisfaction within 30 days following receipt of the written notice; and (3) the executive voluntarily terminates employment within 30 days following the end of the 30-day cure period. </w:t>
      </w:r>
    </w:p>
    <w:p>
      <w:pPr>
        <w:pStyle w:val="TextBody"/>
        <w:bidi w:val="0"/>
        <w:spacing w:before="240" w:after="0"/>
        <w:jc w:val="left"/>
        <w:rPr>
          <w:rFonts w:ascii="ARIAL" w:hAnsi="ARIAL"/>
          <w:sz w:val="20"/>
        </w:rPr>
      </w:pPr>
      <w:r>
        <w:rPr>
          <w:rFonts w:ascii="ARIAL" w:hAnsi="ARIAL"/>
          <w:sz w:val="20"/>
        </w:rPr>
        <w:t xml:space="preserve">For other senior executives of the Company, “good reason” for purposes of the option and restricted stock unit award agreements under the 2021 Plan generally means, without the executive’s express written consent, reduction in annual base salary or annual target bonus opportunity; provided that any such termination by the executive will only be deemed “good reason” if: (1) the executive gives the Company written notice within 30 days following initial awareness of the occurrence of the condition constituting “good reason,” which notice will describe such condition and intent to terminate for “good reason”; (2) the Company fails to remedy such condition to the executive’s satisfaction within 30 days following receipt of the written notice; and (3) the executive voluntarily terminates employment within 30 days following the end of the 30-day cure period. </w:t>
      </w:r>
    </w:p>
    <w:p>
      <w:pPr>
        <w:pStyle w:val="TextBody"/>
        <w:bidi w:val="0"/>
        <w:spacing w:before="240" w:after="0"/>
        <w:jc w:val="left"/>
        <w:rPr/>
      </w:pPr>
      <w:r>
        <w:rPr/>
        <w:t>“</w:t>
      </w:r>
      <w:r>
        <w:rPr>
          <w:rFonts w:ascii="ARIAL" w:hAnsi="ARIAL"/>
          <w:sz w:val="20"/>
        </w:rPr>
        <w:t xml:space="preserve">Cause” for purposes of the 2021 Plan has the same meaning as provided under the NEO Employment Agreements. </w:t>
      </w:r>
    </w:p>
    <w:p>
      <w:pPr>
        <w:pStyle w:val="TextBody"/>
        <w:bidi w:val="0"/>
        <w:spacing w:before="240" w:after="0"/>
        <w:jc w:val="left"/>
        <w:rPr/>
      </w:pPr>
      <w:r>
        <w:rPr/>
        <w:t>“</w:t>
      </w:r>
      <w:r>
        <w:rPr>
          <w:rFonts w:ascii="ARIAL" w:hAnsi="ARIAL"/>
          <w:sz w:val="20"/>
        </w:rPr>
        <w:t xml:space="preserve">Change in Control” for purposes of the 2021 Plan generally means: (a) any “person,” as that term is used in Sections 13(d) and 14(d) of the Securities Exchange Act of 1934 (the “Exchange Act”) (other than the Company, any trustee or other fiduciary holding securities under any employee benefit plan of the Company, or any company owned, directly or indirectly, by the stockholders in substantially the same proportions as their ownership of common stock), becomes the beneficial owner (as defined in Rule 13d-3 under the Exchange Act), directly or indirectly, of securities of the Company representing 50% or more of the combined voting power of the Company’s then outstanding securities; (b) during any period of 12 consecutive calendar months, individuals who were directors serving on the Board on the first day of such period (the “Incumbent Directors”) cease for any reason to constitute a majority of the Board; provided, however, that any individual becoming a director after the first day of such period whose election, or nomination for election, by the stockholders was approved by a vote of at least 2/3 of the Incumbent Directors will be considered as though such individual were an Incumbent Director, but excluding, for purposes of this proviso, any such individual whose initial assumption of office occurs as a result of an actual or threatened proxy contest with respect to election or removal of directors or other actual or threatened solicitation of proxies or consents by or on behalf of a “person” (as used in Section 13(d) of the Exchange Act), in each case other than the Board; (c) consummation of a reorganization, merger, consolidation, or other business combination (any of the foregoing, a “Business Combination”) of the Company or any direct or indirect subsidiary of the Company with any other corporation, in any case with respect to which the Company voting securities outstanding immediately before such Business Combination do not, immediately after such Business Combination, continue to represent (either by remaining outstanding or being converted into voting securities of the Company or any ultimate parent thereof) more than 50% of the then outstanding voting securities entitled to vote generally in the election of directors of the Company (or its successor) or any ultimate parent thereof after the Business Combination; or (d) a complete liquidation or dissolution of the Company or the consummation of a sale or disposition by the Company of all or substantially all of the Company’s assets other than the sale or disposition of all or substantially all of the assets of the Company to a person or persons who beneficially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63 </w:t>
      </w:r>
      <w:r>
        <w:br w:type="page"/>
      </w:r>
    </w:p>
    <w:p>
      <w:pPr>
        <w:pStyle w:val="HorizontalLine"/>
        <w:bidi w:val="0"/>
        <w:jc w:val="left"/>
        <w:rPr/>
      </w:pPr>
      <w:r>
        <w:rPr/>
      </w:r>
    </w:p>
    <w:p>
      <w:pPr>
        <w:pStyle w:val="TextBody"/>
        <w:bidi w:val="0"/>
        <w:spacing w:before="0" w:after="0"/>
        <w:jc w:val="left"/>
        <w:rPr>
          <w:rFonts w:ascii="ARIAL" w:hAnsi="ARIAL"/>
          <w:sz w:val="20"/>
        </w:rPr>
      </w:pPr>
      <w:r>
        <w:rPr>
          <w:rFonts w:ascii="ARIAL" w:hAnsi="ARIAL"/>
          <w:sz w:val="20"/>
        </w:rPr>
        <w:t xml:space="preserve">own, directly or indirectly, 50% or more of the combined voting power of the outstanding voting securities of the Company at the time of the sale. Notwithstanding the foregoing terms and conditions of this definition, with respect to any award that is characterized as “nonqualified deferred compensation” within the meaning of Section 409A, an event will not be considered to be a “change in control” under the 2021 Plan for purposes of payment of such award unless such event is also a “change in control event” within the meaning of Section 409A. Notwithstanding the foregoing, a “change in control” will not be deemed to have occurred if immediately after the occurrence of any of the events described in clauses (a) – (d) above, a designated holder or designated holders are the beneficial owners, directly or indirectly, of more than 35% of the combined voting power of the Company or any successor. </w:t>
      </w:r>
    </w:p>
    <w:p>
      <w:pPr>
        <w:pStyle w:val="TextBody"/>
        <w:bidi w:val="0"/>
        <w:spacing w:before="240" w:after="0"/>
        <w:jc w:val="left"/>
        <w:rPr/>
      </w:pPr>
      <w:r>
        <w:rPr/>
        <w:t>“</w:t>
      </w:r>
      <w:r>
        <w:rPr>
          <w:rFonts w:ascii="ARIAL" w:hAnsi="ARIAL"/>
          <w:sz w:val="20"/>
        </w:rPr>
        <w:t xml:space="preserve">Change of Control” for purposes of the restricted shares converted from incentive units and SARs generally means the first to occur of any of the following: (i) the sale, lease, transfer, conveyance or other disposition (other than by way of merger or consolidation), in one or a series of related transactions in which the consideration received by the Company is cash or Marketable Securities (as defined below), of all or substantially all of the assets of the Company to any “person” (as such term is defined in Section 13(d)(3) of the Exchange Act) other than our private equity sponsor and its affiliates; (ii) the adoption of a plan relating to the liquidation or dissolution of the Company; and (iii) the consummation of any transaction (including, without limitation, any merger or consolidation) the result of which is that any person, other than our private equity sponsor and its affiliates, becomes the “beneficial owner” (as such term is defined in Rule 13d-3 and Rule 13d-5 under the Exchange Act, as amended), directly or indirectly, of more than 50% of the voting interests of the Company. “Marketable Securities” means securities that (A) can be immediately sold to the general public without the necessity of any federal, state or local government consent, approval or filing (other than any notice filings such as those required pursuant to Rule 144 under the Securities Act of 1933) and without violation of federal or state securities laws and (B) are listed on a national securities exchange or a recognized foreign securities exchange, carried on an established quotation service for over-the-counter securities or for which market quotations are readily available in either a domestic or recognized foreign over-the-counter market. A security shall not be a Marketable Security if it is subject to material restrictions on transfer as a result of contractual provisions. </w:t>
      </w:r>
    </w:p>
    <w:p>
      <w:pPr>
        <w:pStyle w:val="TextBody"/>
        <w:bidi w:val="0"/>
        <w:spacing w:before="360" w:after="0"/>
        <w:jc w:val="left"/>
        <w:rPr>
          <w:rFonts w:ascii="ARIAL" w:hAnsi="ARIAL"/>
          <w:i/>
          <w:color w:val="1F497D"/>
          <w:sz w:val="20"/>
        </w:rPr>
      </w:pPr>
      <w:r>
        <w:rPr>
          <w:rFonts w:ascii="ARIAL" w:hAnsi="ARIAL"/>
          <w:i/>
          <w:color w:val="1F497D"/>
          <w:sz w:val="20"/>
        </w:rPr>
        <w:t xml:space="preserve">Table Showing Estimated Payments and Benefits </w:t>
      </w:r>
    </w:p>
    <w:p>
      <w:pPr>
        <w:pStyle w:val="TextBody"/>
        <w:bidi w:val="0"/>
        <w:spacing w:before="240" w:after="0"/>
        <w:jc w:val="left"/>
        <w:rPr>
          <w:rFonts w:ascii="ARIAL" w:hAnsi="ARIAL"/>
          <w:sz w:val="20"/>
        </w:rPr>
      </w:pPr>
      <w:r>
        <w:rPr>
          <w:rFonts w:ascii="ARIAL" w:hAnsi="ARIAL"/>
          <w:sz w:val="20"/>
        </w:rPr>
        <w:t xml:space="preserve">The following table presents information concerning estimated payments and benefits (other than the Accrued Benefits) that would be provided in certain circumstances for each of the NEOs serving as of the end of the fiscal year ending December 31, 2023. Unless otherwise stated, the payments and benefits set forth below are estimated assuming that the termination of employment or change in control event occurred on the last business day of our fiscal year ending December 31, 2023 using the closing market price of $8.61 per share of our Common Stock on that date. Actual payments and benefits could be different if such events were to occur on any other date or at any other price or if any other assumptions are used to estimate potential payments and benefits.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61"/>
        <w:gridCol w:w="120"/>
        <w:gridCol w:w="60"/>
        <w:gridCol w:w="995"/>
        <w:gridCol w:w="60"/>
        <w:gridCol w:w="120"/>
        <w:gridCol w:w="62"/>
        <w:gridCol w:w="835"/>
        <w:gridCol w:w="60"/>
        <w:gridCol w:w="120"/>
        <w:gridCol w:w="60"/>
        <w:gridCol w:w="1100"/>
        <w:gridCol w:w="60"/>
        <w:gridCol w:w="120"/>
        <w:gridCol w:w="85"/>
        <w:gridCol w:w="970"/>
        <w:gridCol w:w="60"/>
        <w:gridCol w:w="120"/>
        <w:gridCol w:w="60"/>
        <w:gridCol w:w="1100"/>
        <w:gridCol w:w="77"/>
      </w:tblGrid>
      <w:tr>
        <w:trPr/>
        <w:tc>
          <w:tcPr>
            <w:tcW w:w="39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961" w:type="dxa"/>
            <w:tcBorders>
              <w:bottom w:val="single" w:sz="8" w:space="0" w:color="95B3D7"/>
            </w:tcBorders>
            <w:tcMar>
              <w:bottom w:w="28" w:type="dxa"/>
            </w:tcMar>
            <w:vAlign w:val="center"/>
          </w:tcPr>
          <w:p>
            <w:pPr>
              <w:pStyle w:val="TableContents"/>
              <w:bidi w:val="0"/>
              <w:spacing w:before="0" w:after="283"/>
              <w:jc w:val="left"/>
              <w:rPr>
                <w:b/>
              </w:rPr>
            </w:pPr>
            <w:r>
              <w:rPr>
                <w:b/>
              </w:rPr>
              <w:t>Name</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055" w:type="dxa"/>
            <w:gridSpan w:val="2"/>
            <w:tcBorders>
              <w:bottom w:val="single" w:sz="8" w:space="0" w:color="95B3D7"/>
            </w:tcBorders>
            <w:tcMar>
              <w:bottom w:w="28" w:type="dxa"/>
            </w:tcMar>
            <w:vAlign w:val="center"/>
          </w:tcPr>
          <w:p>
            <w:pPr>
              <w:pStyle w:val="TableContents"/>
              <w:bidi w:val="0"/>
              <w:spacing w:before="0" w:after="283"/>
              <w:jc w:val="center"/>
              <w:rPr>
                <w:b/>
              </w:rPr>
            </w:pPr>
            <w:r>
              <w:rPr>
                <w:b/>
              </w:rPr>
              <w:t>Cash</w:t>
              <w:br/>
              <w:t>Severance</w:t>
              <w:br/>
              <w:t>($)</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897" w:type="dxa"/>
            <w:gridSpan w:val="2"/>
            <w:tcBorders>
              <w:bottom w:val="single" w:sz="8" w:space="0" w:color="95B3D7"/>
            </w:tcBorders>
            <w:tcMar>
              <w:bottom w:w="28" w:type="dxa"/>
            </w:tcMar>
            <w:vAlign w:val="center"/>
          </w:tcPr>
          <w:p>
            <w:pPr>
              <w:pStyle w:val="TableContents"/>
              <w:bidi w:val="0"/>
              <w:spacing w:before="0" w:after="283"/>
              <w:jc w:val="center"/>
              <w:rPr>
                <w:b/>
              </w:rPr>
            </w:pPr>
            <w:r>
              <w:rPr>
                <w:b/>
              </w:rPr>
              <w:t>Annual</w:t>
              <w:br/>
              <w:t>Bonus(1)</w:t>
              <w:br/>
              <w:t>($)</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95B3D7"/>
            </w:tcBorders>
            <w:tcMar>
              <w:bottom w:w="28" w:type="dxa"/>
            </w:tcMar>
            <w:vAlign w:val="center"/>
          </w:tcPr>
          <w:p>
            <w:pPr>
              <w:pStyle w:val="TableContents"/>
              <w:bidi w:val="0"/>
              <w:spacing w:before="0" w:after="283"/>
              <w:jc w:val="center"/>
              <w:rPr>
                <w:b/>
              </w:rPr>
            </w:pPr>
            <w:r>
              <w:rPr>
                <w:b/>
              </w:rPr>
              <w:t>Stock</w:t>
              <w:br/>
              <w:t>Award(2)</w:t>
              <w:br/>
              <w:t>($)</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055" w:type="dxa"/>
            <w:gridSpan w:val="2"/>
            <w:tcBorders>
              <w:bottom w:val="single" w:sz="8" w:space="0" w:color="95B3D7"/>
            </w:tcBorders>
            <w:tcMar>
              <w:bottom w:w="28" w:type="dxa"/>
            </w:tcMar>
            <w:vAlign w:val="center"/>
          </w:tcPr>
          <w:p>
            <w:pPr>
              <w:pStyle w:val="TableContents"/>
              <w:bidi w:val="0"/>
              <w:spacing w:before="0" w:after="283"/>
              <w:jc w:val="center"/>
              <w:rPr>
                <w:b/>
              </w:rPr>
            </w:pPr>
            <w:r>
              <w:rPr>
                <w:b/>
              </w:rPr>
              <w:t>COBRA</w:t>
              <w:br/>
              <w:t>Premiums</w:t>
              <w:br/>
              <w:t>($)</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95B3D7"/>
            </w:tcBorders>
            <w:tcMar>
              <w:bottom w:w="28" w:type="dxa"/>
            </w:tcMar>
            <w:vAlign w:val="center"/>
          </w:tcPr>
          <w:p>
            <w:pPr>
              <w:pStyle w:val="TableContents"/>
              <w:bidi w:val="0"/>
              <w:spacing w:before="0" w:after="283"/>
              <w:jc w:val="center"/>
              <w:rPr>
                <w:b/>
              </w:rPr>
            </w:pPr>
            <w:r>
              <w:rPr>
                <w:b/>
              </w:rPr>
              <w:t>Total</w:t>
              <w:br/>
              <w:t>($)</w:t>
            </w:r>
          </w:p>
        </w:tc>
        <w:tc>
          <w:tcPr>
            <w:tcW w:w="77" w:type="dxa"/>
            <w:tcBorders>
              <w:bottom w:val="single" w:sz="8" w:space="0" w:color="95B3D7"/>
            </w:tcBorders>
            <w:tcMar>
              <w:bottom w:w="28" w:type="dxa"/>
            </w:tcMar>
            <w:vAlign w:val="center"/>
          </w:tcPr>
          <w:p>
            <w:pPr>
              <w:pStyle w:val="TableContents"/>
              <w:bidi w:val="0"/>
              <w:spacing w:before="0" w:after="283"/>
              <w:jc w:val="left"/>
              <w:rPr/>
            </w:pPr>
            <w:r>
              <w:rPr/>
              <w:t> </w:t>
            </w:r>
          </w:p>
        </w:tc>
      </w:tr>
      <w:tr>
        <w:trPr/>
        <w:tc>
          <w:tcPr>
            <w:tcW w:w="3961" w:type="dxa"/>
            <w:tcBorders/>
            <w:shd w:fill="DBE5F1" w:val="clear"/>
            <w:vAlign w:val="center"/>
          </w:tcPr>
          <w:p>
            <w:pPr>
              <w:pStyle w:val="TableContents"/>
              <w:bidi w:val="0"/>
              <w:spacing w:before="0" w:after="283"/>
              <w:jc w:val="left"/>
              <w:rPr>
                <w:sz w:val="4"/>
                <w:szCs w:val="4"/>
              </w:rPr>
            </w:pPr>
            <w:r>
              <w:rPr>
                <w:sz w:val="4"/>
                <w:szCs w:val="4"/>
              </w:rPr>
            </w:r>
          </w:p>
        </w:tc>
        <w:tc>
          <w:tcPr>
            <w:tcW w:w="1235" w:type="dxa"/>
            <w:gridSpan w:val="4"/>
            <w:tcBorders/>
            <w:shd w:fill="DBE5F1" w:val="clear"/>
            <w:vAlign w:val="center"/>
          </w:tcPr>
          <w:p>
            <w:pPr>
              <w:pStyle w:val="TableContents"/>
              <w:bidi w:val="0"/>
              <w:spacing w:before="0" w:after="283"/>
              <w:jc w:val="left"/>
              <w:rPr>
                <w:sz w:val="4"/>
                <w:szCs w:val="4"/>
              </w:rPr>
            </w:pPr>
            <w:r>
              <w:rPr>
                <w:sz w:val="4"/>
                <w:szCs w:val="4"/>
              </w:rPr>
            </w:r>
          </w:p>
        </w:tc>
        <w:tc>
          <w:tcPr>
            <w:tcW w:w="1077" w:type="dxa"/>
            <w:gridSpan w:val="4"/>
            <w:tcBorders/>
            <w:shd w:fill="DBE5F1" w:val="clear"/>
            <w:vAlign w:val="center"/>
          </w:tcPr>
          <w:p>
            <w:pPr>
              <w:pStyle w:val="TableContents"/>
              <w:bidi w:val="0"/>
              <w:spacing w:before="0" w:after="283"/>
              <w:jc w:val="left"/>
              <w:rPr>
                <w:sz w:val="4"/>
                <w:szCs w:val="4"/>
              </w:rPr>
            </w:pPr>
            <w:r>
              <w:rPr>
                <w:sz w:val="4"/>
                <w:szCs w:val="4"/>
              </w:rPr>
            </w:r>
          </w:p>
        </w:tc>
        <w:tc>
          <w:tcPr>
            <w:tcW w:w="1340" w:type="dxa"/>
            <w:gridSpan w:val="4"/>
            <w:tcBorders/>
            <w:shd w:fill="DBE5F1" w:val="clear"/>
            <w:vAlign w:val="center"/>
          </w:tcPr>
          <w:p>
            <w:pPr>
              <w:pStyle w:val="TableContents"/>
              <w:bidi w:val="0"/>
              <w:spacing w:before="0" w:after="283"/>
              <w:jc w:val="left"/>
              <w:rPr>
                <w:sz w:val="4"/>
                <w:szCs w:val="4"/>
              </w:rPr>
            </w:pPr>
            <w:r>
              <w:rPr>
                <w:sz w:val="4"/>
                <w:szCs w:val="4"/>
              </w:rPr>
            </w:r>
          </w:p>
        </w:tc>
        <w:tc>
          <w:tcPr>
            <w:tcW w:w="1235" w:type="dxa"/>
            <w:gridSpan w:val="4"/>
            <w:tcBorders/>
            <w:shd w:fill="DBE5F1" w:val="clear"/>
            <w:vAlign w:val="center"/>
          </w:tcPr>
          <w:p>
            <w:pPr>
              <w:pStyle w:val="TableContents"/>
              <w:bidi w:val="0"/>
              <w:spacing w:before="0" w:after="283"/>
              <w:jc w:val="left"/>
              <w:rPr>
                <w:sz w:val="4"/>
                <w:szCs w:val="4"/>
              </w:rPr>
            </w:pPr>
            <w:r>
              <w:rPr>
                <w:sz w:val="4"/>
                <w:szCs w:val="4"/>
              </w:rPr>
            </w:r>
          </w:p>
        </w:tc>
        <w:tc>
          <w:tcPr>
            <w:tcW w:w="1357" w:type="dxa"/>
            <w:gridSpan w:val="4"/>
            <w:tcBorders/>
            <w:shd w:fill="DBE5F1" w:val="clear"/>
            <w:vAlign w:val="center"/>
          </w:tcPr>
          <w:p>
            <w:pPr>
              <w:pStyle w:val="TableContents"/>
              <w:bidi w:val="0"/>
              <w:spacing w:before="0" w:after="283"/>
              <w:jc w:val="left"/>
              <w:rPr>
                <w:sz w:val="4"/>
                <w:szCs w:val="4"/>
              </w:rPr>
            </w:pPr>
            <w:r>
              <w:rPr>
                <w:sz w:val="4"/>
                <w:szCs w:val="4"/>
              </w:rPr>
            </w:r>
          </w:p>
        </w:tc>
      </w:tr>
      <w:tr>
        <w:trPr/>
        <w:tc>
          <w:tcPr>
            <w:tcW w:w="3961" w:type="dxa"/>
            <w:tcBorders/>
            <w:shd w:fill="DBE5F1" w:val="clear"/>
            <w:vAlign w:val="center"/>
          </w:tcPr>
          <w:p>
            <w:pPr>
              <w:pStyle w:val="TableContents"/>
              <w:bidi w:val="0"/>
              <w:spacing w:before="0" w:after="0"/>
              <w:jc w:val="left"/>
              <w:rPr>
                <w:rFonts w:ascii="ARIAL" w:hAnsi="ARIAL"/>
                <w:b/>
                <w:sz w:val="16"/>
              </w:rPr>
            </w:pPr>
            <w:r>
              <w:rPr>
                <w:rFonts w:ascii="ARIAL" w:hAnsi="ARIAL"/>
                <w:b/>
                <w:sz w:val="16"/>
              </w:rPr>
              <w:t>John Kao</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995"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62" w:type="dxa"/>
            <w:tcBorders/>
            <w:shd w:fill="DBE5F1" w:val="clear"/>
            <w:vAlign w:val="center"/>
          </w:tcPr>
          <w:p>
            <w:pPr>
              <w:pStyle w:val="TableContents"/>
              <w:bidi w:val="0"/>
              <w:spacing w:before="0" w:after="283"/>
              <w:jc w:val="left"/>
              <w:rPr>
                <w:sz w:val="4"/>
                <w:szCs w:val="4"/>
              </w:rPr>
            </w:pPr>
            <w:r>
              <w:rPr>
                <w:sz w:val="4"/>
                <w:szCs w:val="4"/>
              </w:rPr>
            </w:r>
          </w:p>
        </w:tc>
        <w:tc>
          <w:tcPr>
            <w:tcW w:w="835"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110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85" w:type="dxa"/>
            <w:tcBorders/>
            <w:shd w:fill="DBE5F1" w:val="clear"/>
            <w:vAlign w:val="center"/>
          </w:tcPr>
          <w:p>
            <w:pPr>
              <w:pStyle w:val="TableContents"/>
              <w:bidi w:val="0"/>
              <w:spacing w:before="0" w:after="283"/>
              <w:jc w:val="left"/>
              <w:rPr>
                <w:sz w:val="4"/>
                <w:szCs w:val="4"/>
              </w:rPr>
            </w:pPr>
            <w:r>
              <w:rPr>
                <w:sz w:val="4"/>
                <w:szCs w:val="4"/>
              </w:rPr>
            </w:r>
          </w:p>
        </w:tc>
        <w:tc>
          <w:tcPr>
            <w:tcW w:w="97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1100" w:type="dxa"/>
            <w:tcBorders/>
            <w:shd w:fill="DBE5F1" w:val="clear"/>
            <w:vAlign w:val="center"/>
          </w:tcPr>
          <w:p>
            <w:pPr>
              <w:pStyle w:val="TableContents"/>
              <w:bidi w:val="0"/>
              <w:spacing w:before="0" w:after="283"/>
              <w:jc w:val="left"/>
              <w:rPr>
                <w:sz w:val="4"/>
                <w:szCs w:val="4"/>
              </w:rPr>
            </w:pPr>
            <w:r>
              <w:rPr>
                <w:sz w:val="4"/>
                <w:szCs w:val="4"/>
              </w:rPr>
            </w:r>
          </w:p>
        </w:tc>
        <w:tc>
          <w:tcPr>
            <w:tcW w:w="77" w:type="dxa"/>
            <w:tcBorders/>
            <w:shd w:fill="DBE5F1" w:val="clear"/>
            <w:vAlign w:val="center"/>
          </w:tcPr>
          <w:p>
            <w:pPr>
              <w:pStyle w:val="TableContents"/>
              <w:bidi w:val="0"/>
              <w:spacing w:before="0" w:after="283"/>
              <w:jc w:val="left"/>
              <w:rPr>
                <w:sz w:val="4"/>
                <w:szCs w:val="4"/>
              </w:rPr>
            </w:pPr>
            <w:r>
              <w:rPr>
                <w:sz w:val="4"/>
                <w:szCs w:val="4"/>
              </w:rPr>
            </w:r>
          </w:p>
        </w:tc>
      </w:tr>
      <w:tr>
        <w:trPr/>
        <w:tc>
          <w:tcPr>
            <w:tcW w:w="3961" w:type="dxa"/>
            <w:tcBorders/>
            <w:shd w:fill="DBE5F1" w:val="clear"/>
            <w:vAlign w:val="center"/>
          </w:tcPr>
          <w:p>
            <w:pPr>
              <w:pStyle w:val="TableContents"/>
              <w:bidi w:val="0"/>
              <w:spacing w:before="0" w:after="0"/>
              <w:jc w:val="left"/>
              <w:rPr>
                <w:rFonts w:ascii="ARIAL" w:hAnsi="ARIAL"/>
                <w:sz w:val="16"/>
              </w:rPr>
            </w:pPr>
            <w:r>
              <w:rPr>
                <w:rFonts w:ascii="ARIAL" w:hAnsi="ARIAL"/>
                <w:sz w:val="16"/>
              </w:rPr>
              <w:t>Termination without Cause / Resignation for Good Reason / Non-Renewal by the Company</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995" w:type="dxa"/>
            <w:tcBorders/>
            <w:shd w:fill="DBE5F1" w:val="clear"/>
            <w:vAlign w:val="center"/>
          </w:tcPr>
          <w:p>
            <w:pPr>
              <w:pStyle w:val="TableContents"/>
              <w:bidi w:val="0"/>
              <w:spacing w:before="0" w:after="283"/>
              <w:jc w:val="right"/>
              <w:rPr/>
            </w:pPr>
            <w:r>
              <w:rPr/>
              <w:t>3,200,000</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2" w:type="dxa"/>
            <w:tcBorders/>
            <w:shd w:fill="DBE5F1" w:val="clear"/>
            <w:vAlign w:val="center"/>
          </w:tcPr>
          <w:p>
            <w:pPr>
              <w:pStyle w:val="TableContents"/>
              <w:bidi w:val="0"/>
              <w:spacing w:before="0" w:after="283"/>
              <w:jc w:val="left"/>
              <w:rPr/>
            </w:pPr>
            <w:r>
              <w:rPr/>
              <w:t> </w:t>
            </w:r>
          </w:p>
        </w:tc>
        <w:tc>
          <w:tcPr>
            <w:tcW w:w="835" w:type="dxa"/>
            <w:tcBorders/>
            <w:shd w:fill="DBE5F1" w:val="clear"/>
            <w:vAlign w:val="center"/>
          </w:tcPr>
          <w:p>
            <w:pPr>
              <w:pStyle w:val="TableContents"/>
              <w:bidi w:val="0"/>
              <w:spacing w:before="0" w:after="283"/>
              <w:jc w:val="right"/>
              <w:rPr/>
            </w:pPr>
            <w:r>
              <w:rPr/>
              <w:t>800,000</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85" w:type="dxa"/>
            <w:tcBorders/>
            <w:shd w:fill="DBE5F1" w:val="clear"/>
            <w:vAlign w:val="center"/>
          </w:tcPr>
          <w:p>
            <w:pPr>
              <w:pStyle w:val="TableContents"/>
              <w:bidi w:val="0"/>
              <w:spacing w:before="0" w:after="283"/>
              <w:jc w:val="left"/>
              <w:rPr/>
            </w:pPr>
            <w:r>
              <w:rPr/>
              <w:t> </w:t>
            </w:r>
          </w:p>
        </w:tc>
        <w:tc>
          <w:tcPr>
            <w:tcW w:w="970" w:type="dxa"/>
            <w:tcBorders/>
            <w:shd w:fill="DBE5F1" w:val="clear"/>
            <w:vAlign w:val="center"/>
          </w:tcPr>
          <w:p>
            <w:pPr>
              <w:pStyle w:val="TableContents"/>
              <w:bidi w:val="0"/>
              <w:spacing w:before="0" w:after="283"/>
              <w:jc w:val="right"/>
              <w:rPr/>
            </w:pPr>
            <w:r>
              <w:rPr/>
              <w:t>37,198</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4,037,198</w:t>
            </w:r>
          </w:p>
        </w:tc>
        <w:tc>
          <w:tcPr>
            <w:tcW w:w="77" w:type="dxa"/>
            <w:tcBorders/>
            <w:shd w:fill="DBE5F1" w:val="clear"/>
            <w:vAlign w:val="center"/>
          </w:tcPr>
          <w:p>
            <w:pPr>
              <w:pStyle w:val="TableContents"/>
              <w:bidi w:val="0"/>
              <w:spacing w:before="0" w:after="283"/>
              <w:jc w:val="left"/>
              <w:rPr/>
            </w:pPr>
            <w:r>
              <w:rPr/>
              <w:t> </w:t>
            </w:r>
          </w:p>
        </w:tc>
      </w:tr>
      <w:tr>
        <w:trPr/>
        <w:tc>
          <w:tcPr>
            <w:tcW w:w="3961" w:type="dxa"/>
            <w:tcBorders/>
            <w:shd w:fill="DBE5F1" w:val="clear"/>
            <w:vAlign w:val="center"/>
          </w:tcPr>
          <w:p>
            <w:pPr>
              <w:pStyle w:val="TableContents"/>
              <w:bidi w:val="0"/>
              <w:spacing w:before="0" w:after="0"/>
              <w:jc w:val="left"/>
              <w:rPr>
                <w:rFonts w:ascii="ARIAL" w:hAnsi="ARIAL"/>
                <w:sz w:val="16"/>
              </w:rPr>
            </w:pPr>
            <w:r>
              <w:rPr>
                <w:rFonts w:ascii="ARIAL" w:hAnsi="ARIAL"/>
                <w:sz w:val="16"/>
              </w:rPr>
              <w:t>Termination with Cause / Resignation without Good Reason</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995"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2" w:type="dxa"/>
            <w:tcBorders/>
            <w:shd w:fill="DBE5F1" w:val="clear"/>
            <w:vAlign w:val="center"/>
          </w:tcPr>
          <w:p>
            <w:pPr>
              <w:pStyle w:val="TableContents"/>
              <w:bidi w:val="0"/>
              <w:spacing w:before="0" w:after="283"/>
              <w:jc w:val="left"/>
              <w:rPr/>
            </w:pPr>
            <w:r>
              <w:rPr/>
              <w:t> </w:t>
            </w:r>
          </w:p>
        </w:tc>
        <w:tc>
          <w:tcPr>
            <w:tcW w:w="835"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85" w:type="dxa"/>
            <w:tcBorders/>
            <w:shd w:fill="DBE5F1" w:val="clear"/>
            <w:vAlign w:val="center"/>
          </w:tcPr>
          <w:p>
            <w:pPr>
              <w:pStyle w:val="TableContents"/>
              <w:bidi w:val="0"/>
              <w:spacing w:before="0" w:after="283"/>
              <w:jc w:val="left"/>
              <w:rPr/>
            </w:pPr>
            <w:r>
              <w:rPr/>
              <w:t> </w:t>
            </w:r>
          </w:p>
        </w:tc>
        <w:tc>
          <w:tcPr>
            <w:tcW w:w="970"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w:t>
            </w:r>
          </w:p>
        </w:tc>
        <w:tc>
          <w:tcPr>
            <w:tcW w:w="77" w:type="dxa"/>
            <w:tcBorders/>
            <w:shd w:fill="DBE5F1" w:val="clear"/>
            <w:vAlign w:val="center"/>
          </w:tcPr>
          <w:p>
            <w:pPr>
              <w:pStyle w:val="TableContents"/>
              <w:bidi w:val="0"/>
              <w:spacing w:before="0" w:after="283"/>
              <w:jc w:val="left"/>
              <w:rPr/>
            </w:pPr>
            <w:r>
              <w:rPr/>
              <w:t> </w:t>
            </w:r>
          </w:p>
        </w:tc>
      </w:tr>
      <w:tr>
        <w:trPr/>
        <w:tc>
          <w:tcPr>
            <w:tcW w:w="3961" w:type="dxa"/>
            <w:tcBorders/>
            <w:shd w:fill="DBE5F1" w:val="clear"/>
            <w:vAlign w:val="center"/>
          </w:tcPr>
          <w:p>
            <w:pPr>
              <w:pStyle w:val="TableContents"/>
              <w:bidi w:val="0"/>
              <w:spacing w:before="0" w:after="0"/>
              <w:jc w:val="left"/>
              <w:rPr>
                <w:rFonts w:ascii="ARIAL" w:hAnsi="ARIAL"/>
                <w:sz w:val="16"/>
              </w:rPr>
            </w:pPr>
            <w:r>
              <w:rPr>
                <w:rFonts w:ascii="ARIAL" w:hAnsi="ARIAL"/>
                <w:sz w:val="16"/>
              </w:rPr>
              <w:t>Change in Control without Termination</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995"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2" w:type="dxa"/>
            <w:tcBorders/>
            <w:shd w:fill="DBE5F1" w:val="clear"/>
            <w:vAlign w:val="center"/>
          </w:tcPr>
          <w:p>
            <w:pPr>
              <w:pStyle w:val="TableContents"/>
              <w:bidi w:val="0"/>
              <w:spacing w:before="0" w:after="283"/>
              <w:jc w:val="left"/>
              <w:rPr/>
            </w:pPr>
            <w:r>
              <w:rPr/>
              <w:t> </w:t>
            </w:r>
          </w:p>
        </w:tc>
        <w:tc>
          <w:tcPr>
            <w:tcW w:w="835"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1,955,693</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85" w:type="dxa"/>
            <w:tcBorders/>
            <w:shd w:fill="DBE5F1" w:val="clear"/>
            <w:vAlign w:val="center"/>
          </w:tcPr>
          <w:p>
            <w:pPr>
              <w:pStyle w:val="TableContents"/>
              <w:bidi w:val="0"/>
              <w:spacing w:before="0" w:after="283"/>
              <w:jc w:val="left"/>
              <w:rPr/>
            </w:pPr>
            <w:r>
              <w:rPr/>
              <w:t> </w:t>
            </w:r>
          </w:p>
        </w:tc>
        <w:tc>
          <w:tcPr>
            <w:tcW w:w="970"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1,955,693</w:t>
            </w:r>
          </w:p>
        </w:tc>
        <w:tc>
          <w:tcPr>
            <w:tcW w:w="77" w:type="dxa"/>
            <w:tcBorders/>
            <w:shd w:fill="DBE5F1" w:val="clear"/>
            <w:vAlign w:val="center"/>
          </w:tcPr>
          <w:p>
            <w:pPr>
              <w:pStyle w:val="TableContents"/>
              <w:bidi w:val="0"/>
              <w:spacing w:before="0" w:after="283"/>
              <w:jc w:val="left"/>
              <w:rPr/>
            </w:pPr>
            <w:r>
              <w:rPr/>
              <w:t> </w:t>
            </w:r>
          </w:p>
        </w:tc>
      </w:tr>
      <w:tr>
        <w:trPr/>
        <w:tc>
          <w:tcPr>
            <w:tcW w:w="3961" w:type="dxa"/>
            <w:tcBorders/>
            <w:shd w:fill="DBE5F1" w:val="clear"/>
            <w:vAlign w:val="center"/>
          </w:tcPr>
          <w:p>
            <w:pPr>
              <w:pStyle w:val="TableContents"/>
              <w:bidi w:val="0"/>
              <w:spacing w:before="0" w:after="0"/>
              <w:jc w:val="left"/>
              <w:rPr>
                <w:rFonts w:ascii="ARIAL" w:hAnsi="ARIAL"/>
                <w:sz w:val="16"/>
              </w:rPr>
            </w:pPr>
            <w:r>
              <w:rPr>
                <w:rFonts w:ascii="ARIAL" w:hAnsi="ARIAL"/>
                <w:sz w:val="16"/>
              </w:rPr>
              <w:t>Change in Control with Qualifying Termination</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995" w:type="dxa"/>
            <w:tcBorders/>
            <w:shd w:fill="DBE5F1" w:val="clear"/>
            <w:vAlign w:val="center"/>
          </w:tcPr>
          <w:p>
            <w:pPr>
              <w:pStyle w:val="TableContents"/>
              <w:bidi w:val="0"/>
              <w:spacing w:before="0" w:after="283"/>
              <w:jc w:val="right"/>
              <w:rPr/>
            </w:pPr>
            <w:r>
              <w:rPr/>
              <w:t>3,200,000</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2" w:type="dxa"/>
            <w:tcBorders/>
            <w:shd w:fill="DBE5F1" w:val="clear"/>
            <w:vAlign w:val="center"/>
          </w:tcPr>
          <w:p>
            <w:pPr>
              <w:pStyle w:val="TableContents"/>
              <w:bidi w:val="0"/>
              <w:spacing w:before="0" w:after="283"/>
              <w:jc w:val="left"/>
              <w:rPr/>
            </w:pPr>
            <w:r>
              <w:rPr/>
              <w:t> </w:t>
            </w:r>
          </w:p>
        </w:tc>
        <w:tc>
          <w:tcPr>
            <w:tcW w:w="835" w:type="dxa"/>
            <w:tcBorders/>
            <w:shd w:fill="DBE5F1" w:val="clear"/>
            <w:vAlign w:val="center"/>
          </w:tcPr>
          <w:p>
            <w:pPr>
              <w:pStyle w:val="TableContents"/>
              <w:bidi w:val="0"/>
              <w:spacing w:before="0" w:after="283"/>
              <w:jc w:val="right"/>
              <w:rPr/>
            </w:pPr>
            <w:r>
              <w:rPr/>
              <w:t>800,000</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39,360,891</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85" w:type="dxa"/>
            <w:tcBorders/>
            <w:shd w:fill="DBE5F1" w:val="clear"/>
            <w:vAlign w:val="center"/>
          </w:tcPr>
          <w:p>
            <w:pPr>
              <w:pStyle w:val="TableContents"/>
              <w:bidi w:val="0"/>
              <w:spacing w:before="0" w:after="283"/>
              <w:jc w:val="left"/>
              <w:rPr/>
            </w:pPr>
            <w:r>
              <w:rPr/>
              <w:t> </w:t>
            </w:r>
          </w:p>
        </w:tc>
        <w:tc>
          <w:tcPr>
            <w:tcW w:w="970" w:type="dxa"/>
            <w:tcBorders/>
            <w:shd w:fill="DBE5F1" w:val="clear"/>
            <w:vAlign w:val="center"/>
          </w:tcPr>
          <w:p>
            <w:pPr>
              <w:pStyle w:val="TableContents"/>
              <w:bidi w:val="0"/>
              <w:spacing w:before="0" w:after="283"/>
              <w:jc w:val="right"/>
              <w:rPr/>
            </w:pPr>
            <w:r>
              <w:rPr/>
              <w:t>37,198</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43,398,088</w:t>
            </w:r>
          </w:p>
        </w:tc>
        <w:tc>
          <w:tcPr>
            <w:tcW w:w="77" w:type="dxa"/>
            <w:tcBorders/>
            <w:shd w:fill="DBE5F1" w:val="clear"/>
            <w:vAlign w:val="center"/>
          </w:tcPr>
          <w:p>
            <w:pPr>
              <w:pStyle w:val="TableContents"/>
              <w:bidi w:val="0"/>
              <w:spacing w:before="0" w:after="283"/>
              <w:jc w:val="left"/>
              <w:rPr/>
            </w:pPr>
            <w:r>
              <w:rPr/>
              <w:t> </w:t>
            </w:r>
          </w:p>
        </w:tc>
      </w:tr>
      <w:tr>
        <w:trPr/>
        <w:tc>
          <w:tcPr>
            <w:tcW w:w="3961" w:type="dxa"/>
            <w:tcBorders>
              <w:bottom w:val="single" w:sz="6" w:space="0" w:color="95B3D7"/>
            </w:tcBorders>
            <w:shd w:fill="DBE5F1" w:val="clear"/>
            <w:tcMar>
              <w:bottom w:w="28" w:type="dxa"/>
            </w:tcMar>
            <w:vAlign w:val="center"/>
          </w:tcPr>
          <w:p>
            <w:pPr>
              <w:pStyle w:val="TableContents"/>
              <w:bidi w:val="0"/>
              <w:spacing w:before="0" w:after="0"/>
              <w:jc w:val="left"/>
              <w:rPr>
                <w:rFonts w:ascii="ARIAL" w:hAnsi="ARIAL"/>
                <w:sz w:val="16"/>
              </w:rPr>
            </w:pPr>
            <w:r>
              <w:rPr>
                <w:rFonts w:ascii="ARIAL" w:hAnsi="ARIAL"/>
                <w:sz w:val="16"/>
              </w:rPr>
              <w:t>Death, Disability or Non-Renewal by the NEO</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995" w:type="dxa"/>
            <w:tcBorders>
              <w:bottom w:val="single" w:sz="6"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62"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835" w:type="dxa"/>
            <w:tcBorders>
              <w:bottom w:val="single" w:sz="6"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100" w:type="dxa"/>
            <w:tcBorders>
              <w:bottom w:val="single" w:sz="6"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85"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970" w:type="dxa"/>
            <w:tcBorders>
              <w:bottom w:val="single" w:sz="6"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100" w:type="dxa"/>
            <w:tcBorders>
              <w:bottom w:val="single" w:sz="6" w:space="0" w:color="95B3D7"/>
            </w:tcBorders>
            <w:shd w:fill="DBE5F1" w:val="clear"/>
            <w:tcMar>
              <w:bottom w:w="28" w:type="dxa"/>
            </w:tcMar>
            <w:vAlign w:val="center"/>
          </w:tcPr>
          <w:p>
            <w:pPr>
              <w:pStyle w:val="TableContents"/>
              <w:bidi w:val="0"/>
              <w:spacing w:before="0" w:after="283"/>
              <w:jc w:val="right"/>
              <w:rPr/>
            </w:pPr>
            <w:r>
              <w:rPr/>
              <w:t>—</w:t>
            </w:r>
          </w:p>
        </w:tc>
        <w:tc>
          <w:tcPr>
            <w:tcW w:w="77"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3961"/>
        <w:gridCol w:w="120"/>
        <w:gridCol w:w="60"/>
        <w:gridCol w:w="995"/>
        <w:gridCol w:w="60"/>
        <w:gridCol w:w="120"/>
        <w:gridCol w:w="62"/>
        <w:gridCol w:w="835"/>
        <w:gridCol w:w="60"/>
        <w:gridCol w:w="120"/>
        <w:gridCol w:w="60"/>
        <w:gridCol w:w="1100"/>
        <w:gridCol w:w="60"/>
        <w:gridCol w:w="120"/>
        <w:gridCol w:w="85"/>
        <w:gridCol w:w="970"/>
        <w:gridCol w:w="60"/>
        <w:gridCol w:w="120"/>
        <w:gridCol w:w="60"/>
        <w:gridCol w:w="1100"/>
        <w:gridCol w:w="77"/>
      </w:tblGrid>
      <w:tr>
        <w:trPr/>
        <w:tc>
          <w:tcPr>
            <w:tcW w:w="39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961" w:type="dxa"/>
            <w:tcBorders>
              <w:bottom w:val="single" w:sz="8" w:space="0" w:color="95B3D7"/>
            </w:tcBorders>
            <w:tcMar>
              <w:bottom w:w="28" w:type="dxa"/>
            </w:tcMar>
            <w:vAlign w:val="center"/>
          </w:tcPr>
          <w:p>
            <w:pPr>
              <w:pStyle w:val="TableContents"/>
              <w:bidi w:val="0"/>
              <w:spacing w:before="0" w:after="283"/>
              <w:jc w:val="left"/>
              <w:rPr>
                <w:b/>
              </w:rPr>
            </w:pPr>
            <w:r>
              <w:rPr>
                <w:b/>
              </w:rPr>
              <w:t>Name</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055" w:type="dxa"/>
            <w:gridSpan w:val="2"/>
            <w:tcBorders>
              <w:bottom w:val="single" w:sz="8" w:space="0" w:color="95B3D7"/>
            </w:tcBorders>
            <w:tcMar>
              <w:bottom w:w="28" w:type="dxa"/>
            </w:tcMar>
            <w:vAlign w:val="center"/>
          </w:tcPr>
          <w:p>
            <w:pPr>
              <w:pStyle w:val="TableContents"/>
              <w:bidi w:val="0"/>
              <w:spacing w:before="0" w:after="283"/>
              <w:jc w:val="center"/>
              <w:rPr>
                <w:b/>
              </w:rPr>
            </w:pPr>
            <w:r>
              <w:rPr>
                <w:b/>
              </w:rPr>
              <w:t>Cash</w:t>
              <w:br/>
              <w:t>Severance</w:t>
              <w:br/>
              <w:t>($)</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897" w:type="dxa"/>
            <w:gridSpan w:val="2"/>
            <w:tcBorders>
              <w:bottom w:val="single" w:sz="8" w:space="0" w:color="95B3D7"/>
            </w:tcBorders>
            <w:tcMar>
              <w:bottom w:w="28" w:type="dxa"/>
            </w:tcMar>
            <w:vAlign w:val="center"/>
          </w:tcPr>
          <w:p>
            <w:pPr>
              <w:pStyle w:val="TableContents"/>
              <w:bidi w:val="0"/>
              <w:spacing w:before="0" w:after="283"/>
              <w:jc w:val="center"/>
              <w:rPr>
                <w:b/>
              </w:rPr>
            </w:pPr>
            <w:r>
              <w:rPr>
                <w:b/>
              </w:rPr>
              <w:t>Annual</w:t>
              <w:br/>
              <w:t>Bonus(1)</w:t>
              <w:br/>
              <w:t>($)</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95B3D7"/>
            </w:tcBorders>
            <w:tcMar>
              <w:bottom w:w="28" w:type="dxa"/>
            </w:tcMar>
            <w:vAlign w:val="center"/>
          </w:tcPr>
          <w:p>
            <w:pPr>
              <w:pStyle w:val="TableContents"/>
              <w:bidi w:val="0"/>
              <w:spacing w:before="0" w:after="283"/>
              <w:jc w:val="center"/>
              <w:rPr>
                <w:b/>
              </w:rPr>
            </w:pPr>
            <w:r>
              <w:rPr>
                <w:b/>
              </w:rPr>
              <w:t>Stock</w:t>
              <w:br/>
              <w:t>Award(2)</w:t>
              <w:br/>
              <w:t>($)</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055" w:type="dxa"/>
            <w:gridSpan w:val="2"/>
            <w:tcBorders>
              <w:bottom w:val="single" w:sz="8" w:space="0" w:color="95B3D7"/>
            </w:tcBorders>
            <w:tcMar>
              <w:bottom w:w="28" w:type="dxa"/>
            </w:tcMar>
            <w:vAlign w:val="center"/>
          </w:tcPr>
          <w:p>
            <w:pPr>
              <w:pStyle w:val="TableContents"/>
              <w:bidi w:val="0"/>
              <w:spacing w:before="0" w:after="283"/>
              <w:jc w:val="center"/>
              <w:rPr>
                <w:b/>
              </w:rPr>
            </w:pPr>
            <w:r>
              <w:rPr>
                <w:b/>
              </w:rPr>
              <w:t>COBRA</w:t>
              <w:br/>
              <w:t>Premiums</w:t>
              <w:br/>
              <w:t>($)</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160" w:type="dxa"/>
            <w:gridSpan w:val="2"/>
            <w:tcBorders>
              <w:bottom w:val="single" w:sz="8" w:space="0" w:color="95B3D7"/>
            </w:tcBorders>
            <w:tcMar>
              <w:bottom w:w="28" w:type="dxa"/>
            </w:tcMar>
            <w:vAlign w:val="center"/>
          </w:tcPr>
          <w:p>
            <w:pPr>
              <w:pStyle w:val="TableContents"/>
              <w:bidi w:val="0"/>
              <w:spacing w:before="0" w:after="283"/>
              <w:jc w:val="center"/>
              <w:rPr>
                <w:b/>
              </w:rPr>
            </w:pPr>
            <w:r>
              <w:rPr>
                <w:b/>
              </w:rPr>
              <w:t>Total</w:t>
              <w:br/>
              <w:t>($)</w:t>
            </w:r>
          </w:p>
        </w:tc>
        <w:tc>
          <w:tcPr>
            <w:tcW w:w="77" w:type="dxa"/>
            <w:tcBorders>
              <w:bottom w:val="single" w:sz="8" w:space="0" w:color="95B3D7"/>
            </w:tcBorders>
            <w:tcMar>
              <w:bottom w:w="28" w:type="dxa"/>
            </w:tcMar>
            <w:vAlign w:val="center"/>
          </w:tcPr>
          <w:p>
            <w:pPr>
              <w:pStyle w:val="TableContents"/>
              <w:bidi w:val="0"/>
              <w:spacing w:before="0" w:after="283"/>
              <w:jc w:val="left"/>
              <w:rPr/>
            </w:pPr>
            <w:r>
              <w:rPr/>
              <w:t> </w:t>
            </w:r>
          </w:p>
        </w:tc>
      </w:tr>
      <w:tr>
        <w:trPr/>
        <w:tc>
          <w:tcPr>
            <w:tcW w:w="3961" w:type="dxa"/>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077"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357" w:type="dxa"/>
            <w:gridSpan w:val="4"/>
            <w:tcBorders/>
            <w:vAlign w:val="center"/>
          </w:tcPr>
          <w:p>
            <w:pPr>
              <w:pStyle w:val="TableContents"/>
              <w:bidi w:val="0"/>
              <w:spacing w:before="0" w:after="283"/>
              <w:jc w:val="left"/>
              <w:rPr>
                <w:sz w:val="4"/>
                <w:szCs w:val="4"/>
              </w:rPr>
            </w:pPr>
            <w:r>
              <w:rPr>
                <w:sz w:val="4"/>
                <w:szCs w:val="4"/>
              </w:rPr>
            </w:r>
          </w:p>
        </w:tc>
      </w:tr>
      <w:tr>
        <w:trPr/>
        <w:tc>
          <w:tcPr>
            <w:tcW w:w="3961" w:type="dxa"/>
            <w:tcBorders/>
            <w:vAlign w:val="center"/>
          </w:tcPr>
          <w:p>
            <w:pPr>
              <w:pStyle w:val="TableContents"/>
              <w:bidi w:val="0"/>
              <w:spacing w:before="0" w:after="0"/>
              <w:jc w:val="left"/>
              <w:rPr>
                <w:rFonts w:ascii="ARIAL" w:hAnsi="ARIAL"/>
                <w:b/>
                <w:sz w:val="16"/>
              </w:rPr>
            </w:pPr>
            <w:r>
              <w:rPr>
                <w:rFonts w:ascii="ARIAL" w:hAnsi="ARIAL"/>
                <w:b/>
                <w:sz w:val="16"/>
              </w:rPr>
              <w:t>Thomas Freeman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961" w:type="dxa"/>
            <w:tcBorders/>
            <w:vAlign w:val="center"/>
          </w:tcPr>
          <w:p>
            <w:pPr>
              <w:pStyle w:val="TableContents"/>
              <w:bidi w:val="0"/>
              <w:spacing w:before="0" w:after="0"/>
              <w:jc w:val="left"/>
              <w:rPr>
                <w:rFonts w:ascii="ARIAL" w:hAnsi="ARIAL"/>
                <w:sz w:val="16"/>
              </w:rPr>
            </w:pPr>
            <w:r>
              <w:rPr>
                <w:rFonts w:ascii="ARIAL" w:hAnsi="ARIAL"/>
                <w:sz w:val="16"/>
              </w:rPr>
              <w:t>Termination without Cause / Resignation for Good Reason / Non-Renewal by the Company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1,036,000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476,000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28,013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1,540,013</w:t>
            </w:r>
          </w:p>
        </w:tc>
        <w:tc>
          <w:tcPr>
            <w:tcW w:w="77" w:type="dxa"/>
            <w:tcBorders/>
            <w:vAlign w:val="center"/>
          </w:tcPr>
          <w:p>
            <w:pPr>
              <w:pStyle w:val="TableContents"/>
              <w:bidi w:val="0"/>
              <w:spacing w:before="0" w:after="283"/>
              <w:jc w:val="left"/>
              <w:rPr/>
            </w:pPr>
            <w:r>
              <w:rPr/>
              <w:t> </w:t>
            </w:r>
          </w:p>
        </w:tc>
      </w:tr>
      <w:tr>
        <w:trPr/>
        <w:tc>
          <w:tcPr>
            <w:tcW w:w="3961" w:type="dxa"/>
            <w:tcBorders/>
            <w:vAlign w:val="center"/>
          </w:tcPr>
          <w:p>
            <w:pPr>
              <w:pStyle w:val="TableContents"/>
              <w:bidi w:val="0"/>
              <w:spacing w:before="0" w:after="0"/>
              <w:jc w:val="left"/>
              <w:rPr>
                <w:rFonts w:ascii="ARIAL" w:hAnsi="ARIAL"/>
                <w:sz w:val="16"/>
              </w:rPr>
            </w:pPr>
            <w:r>
              <w:rPr>
                <w:rFonts w:ascii="ARIAL" w:hAnsi="ARIAL"/>
                <w:sz w:val="16"/>
              </w:rPr>
              <w:t>Termination with Cause / Resignation without Good Reason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jc w:val="left"/>
              <w:rPr/>
            </w:pPr>
            <w:r>
              <w:rPr/>
              <w:t> </w:t>
            </w:r>
          </w:p>
        </w:tc>
      </w:tr>
      <w:tr>
        <w:trPr/>
        <w:tc>
          <w:tcPr>
            <w:tcW w:w="3961" w:type="dxa"/>
            <w:tcBorders/>
            <w:vAlign w:val="center"/>
          </w:tcPr>
          <w:p>
            <w:pPr>
              <w:pStyle w:val="TableContents"/>
              <w:bidi w:val="0"/>
              <w:spacing w:before="0" w:after="0"/>
              <w:jc w:val="left"/>
              <w:rPr>
                <w:rFonts w:ascii="ARIAL" w:hAnsi="ARIAL"/>
                <w:sz w:val="16"/>
              </w:rPr>
            </w:pPr>
            <w:r>
              <w:rPr>
                <w:rFonts w:ascii="ARIAL" w:hAnsi="ARIAL"/>
                <w:sz w:val="16"/>
              </w:rPr>
              <w:t>Change in Control without Termination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526,303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526,303</w:t>
            </w:r>
          </w:p>
        </w:tc>
        <w:tc>
          <w:tcPr>
            <w:tcW w:w="77" w:type="dxa"/>
            <w:tcBorders/>
            <w:vAlign w:val="center"/>
          </w:tcPr>
          <w:p>
            <w:pPr>
              <w:pStyle w:val="TableContents"/>
              <w:bidi w:val="0"/>
              <w:spacing w:before="0" w:after="283"/>
              <w:jc w:val="left"/>
              <w:rPr/>
            </w:pPr>
            <w:r>
              <w:rPr/>
              <w:t> </w:t>
            </w:r>
          </w:p>
        </w:tc>
      </w:tr>
      <w:tr>
        <w:trPr/>
        <w:tc>
          <w:tcPr>
            <w:tcW w:w="3961" w:type="dxa"/>
            <w:tcBorders/>
            <w:vAlign w:val="center"/>
          </w:tcPr>
          <w:p>
            <w:pPr>
              <w:pStyle w:val="TableContents"/>
              <w:bidi w:val="0"/>
              <w:spacing w:before="0" w:after="0"/>
              <w:jc w:val="left"/>
              <w:rPr>
                <w:rFonts w:ascii="ARIAL" w:hAnsi="ARIAL"/>
                <w:sz w:val="16"/>
              </w:rPr>
            </w:pPr>
            <w:r>
              <w:rPr>
                <w:rFonts w:ascii="ARIAL" w:hAnsi="ARIAL"/>
                <w:sz w:val="16"/>
              </w:rPr>
              <w:t>Change in Control with Qualifying Termination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1,036,000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476,000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11,939,461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28,013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13,479,474</w:t>
            </w:r>
          </w:p>
        </w:tc>
        <w:tc>
          <w:tcPr>
            <w:tcW w:w="77" w:type="dxa"/>
            <w:tcBorders/>
            <w:vAlign w:val="center"/>
          </w:tcPr>
          <w:p>
            <w:pPr>
              <w:pStyle w:val="TableContents"/>
              <w:bidi w:val="0"/>
              <w:spacing w:before="0" w:after="283"/>
              <w:jc w:val="left"/>
              <w:rPr/>
            </w:pPr>
            <w:r>
              <w:rPr/>
              <w:t> </w:t>
            </w:r>
          </w:p>
        </w:tc>
      </w:tr>
      <w:tr>
        <w:trPr/>
        <w:tc>
          <w:tcPr>
            <w:tcW w:w="3961" w:type="dxa"/>
            <w:tcBorders>
              <w:bottom w:val="single" w:sz="6" w:space="0" w:color="95B3D7"/>
            </w:tcBorders>
            <w:tcMar>
              <w:bottom w:w="28" w:type="dxa"/>
            </w:tcMar>
            <w:vAlign w:val="center"/>
          </w:tcPr>
          <w:p>
            <w:pPr>
              <w:pStyle w:val="TableContents"/>
              <w:bidi w:val="0"/>
              <w:spacing w:before="0" w:after="0"/>
              <w:jc w:val="left"/>
              <w:rPr>
                <w:rFonts w:ascii="ARIAL" w:hAnsi="ARIAL"/>
                <w:sz w:val="16"/>
              </w:rPr>
            </w:pPr>
            <w:r>
              <w:rPr>
                <w:rFonts w:ascii="ARIAL" w:hAnsi="ARIAL"/>
                <w:sz w:val="16"/>
              </w:rPr>
              <w:t>Death, Disability or Non-Renewal by the NEO</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995" w:type="dxa"/>
            <w:tcBorders>
              <w:bottom w:val="single" w:sz="6" w:space="0" w:color="95B3D7"/>
            </w:tcBorders>
            <w:tcMar>
              <w:bottom w:w="28" w:type="dxa"/>
            </w:tcMar>
            <w:vAlign w:val="center"/>
          </w:tcPr>
          <w:p>
            <w:pPr>
              <w:pStyle w:val="TableContents"/>
              <w:bidi w:val="0"/>
              <w:spacing w:before="0" w:after="283"/>
              <w:jc w:val="right"/>
              <w:rPr/>
            </w:pPr>
            <w:r>
              <w:rPr/>
              <w:t>—</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62" w:type="dxa"/>
            <w:tcBorders>
              <w:bottom w:val="single" w:sz="6" w:space="0" w:color="95B3D7"/>
            </w:tcBorders>
            <w:tcMar>
              <w:bottom w:w="28" w:type="dxa"/>
            </w:tcMar>
            <w:vAlign w:val="center"/>
          </w:tcPr>
          <w:p>
            <w:pPr>
              <w:pStyle w:val="TableContents"/>
              <w:bidi w:val="0"/>
              <w:spacing w:before="0" w:after="283"/>
              <w:jc w:val="left"/>
              <w:rPr/>
            </w:pPr>
            <w:r>
              <w:rPr/>
              <w:t> </w:t>
            </w:r>
          </w:p>
        </w:tc>
        <w:tc>
          <w:tcPr>
            <w:tcW w:w="835" w:type="dxa"/>
            <w:tcBorders>
              <w:bottom w:val="single" w:sz="6" w:space="0" w:color="95B3D7"/>
            </w:tcBorders>
            <w:tcMar>
              <w:bottom w:w="28" w:type="dxa"/>
            </w:tcMar>
            <w:vAlign w:val="center"/>
          </w:tcPr>
          <w:p>
            <w:pPr>
              <w:pStyle w:val="TableContents"/>
              <w:bidi w:val="0"/>
              <w:spacing w:before="0" w:after="283"/>
              <w:jc w:val="right"/>
              <w:rPr/>
            </w:pPr>
            <w:r>
              <w:rPr/>
              <w:t>—</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1100" w:type="dxa"/>
            <w:tcBorders>
              <w:bottom w:val="single" w:sz="6" w:space="0" w:color="95B3D7"/>
            </w:tcBorders>
            <w:tcMar>
              <w:bottom w:w="28" w:type="dxa"/>
            </w:tcMar>
            <w:vAlign w:val="center"/>
          </w:tcPr>
          <w:p>
            <w:pPr>
              <w:pStyle w:val="TableContents"/>
              <w:bidi w:val="0"/>
              <w:spacing w:before="0" w:after="283"/>
              <w:jc w:val="right"/>
              <w:rPr/>
            </w:pPr>
            <w:r>
              <w:rPr/>
              <w:t>—</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85" w:type="dxa"/>
            <w:tcBorders>
              <w:bottom w:val="single" w:sz="6" w:space="0" w:color="95B3D7"/>
            </w:tcBorders>
            <w:tcMar>
              <w:bottom w:w="28" w:type="dxa"/>
            </w:tcMar>
            <w:vAlign w:val="center"/>
          </w:tcPr>
          <w:p>
            <w:pPr>
              <w:pStyle w:val="TableContents"/>
              <w:bidi w:val="0"/>
              <w:spacing w:before="0" w:after="283"/>
              <w:jc w:val="left"/>
              <w:rPr/>
            </w:pPr>
            <w:r>
              <w:rPr/>
              <w:t> </w:t>
            </w:r>
          </w:p>
        </w:tc>
        <w:tc>
          <w:tcPr>
            <w:tcW w:w="970" w:type="dxa"/>
            <w:tcBorders>
              <w:bottom w:val="single" w:sz="6" w:space="0" w:color="95B3D7"/>
            </w:tcBorders>
            <w:tcMar>
              <w:bottom w:w="28" w:type="dxa"/>
            </w:tcMar>
            <w:vAlign w:val="center"/>
          </w:tcPr>
          <w:p>
            <w:pPr>
              <w:pStyle w:val="TableContents"/>
              <w:bidi w:val="0"/>
              <w:spacing w:before="0" w:after="283"/>
              <w:jc w:val="right"/>
              <w:rPr/>
            </w:pPr>
            <w:r>
              <w:rPr/>
              <w:t>—</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1100" w:type="dxa"/>
            <w:tcBorders>
              <w:bottom w:val="single" w:sz="6" w:space="0" w:color="95B3D7"/>
            </w:tcBorders>
            <w:tcMar>
              <w:bottom w:w="28" w:type="dxa"/>
            </w:tcMar>
            <w:vAlign w:val="center"/>
          </w:tcPr>
          <w:p>
            <w:pPr>
              <w:pStyle w:val="TableContents"/>
              <w:bidi w:val="0"/>
              <w:spacing w:before="0" w:after="283"/>
              <w:jc w:val="right"/>
              <w:rPr/>
            </w:pPr>
            <w:r>
              <w:rPr/>
              <w:t>—</w:t>
            </w:r>
          </w:p>
        </w:tc>
        <w:tc>
          <w:tcPr>
            <w:tcW w:w="77" w:type="dxa"/>
            <w:tcBorders>
              <w:bottom w:val="single" w:sz="6" w:space="0" w:color="95B3D7"/>
            </w:tcBorders>
            <w:tcMar>
              <w:bottom w:w="28" w:type="dxa"/>
            </w:tcMar>
            <w:vAlign w:val="center"/>
          </w:tcPr>
          <w:p>
            <w:pPr>
              <w:pStyle w:val="TableContents"/>
              <w:bidi w:val="0"/>
              <w:spacing w:before="0" w:after="283"/>
              <w:jc w:val="left"/>
              <w:rPr/>
            </w:pPr>
            <w:r>
              <w:rPr/>
              <w:t> </w:t>
            </w:r>
          </w:p>
        </w:tc>
      </w:tr>
      <w:tr>
        <w:trPr/>
        <w:tc>
          <w:tcPr>
            <w:tcW w:w="3961" w:type="dxa"/>
            <w:tcBorders/>
            <w:shd w:fill="DBE5F1" w:val="clear"/>
            <w:vAlign w:val="center"/>
          </w:tcPr>
          <w:p>
            <w:pPr>
              <w:pStyle w:val="TableContents"/>
              <w:bidi w:val="0"/>
              <w:spacing w:before="0" w:after="283"/>
              <w:jc w:val="left"/>
              <w:rPr>
                <w:sz w:val="4"/>
                <w:szCs w:val="4"/>
              </w:rPr>
            </w:pPr>
            <w:r>
              <w:rPr>
                <w:sz w:val="4"/>
                <w:szCs w:val="4"/>
              </w:rPr>
            </w:r>
          </w:p>
        </w:tc>
        <w:tc>
          <w:tcPr>
            <w:tcW w:w="1235" w:type="dxa"/>
            <w:gridSpan w:val="4"/>
            <w:tcBorders/>
            <w:shd w:fill="DBE5F1" w:val="clear"/>
            <w:vAlign w:val="center"/>
          </w:tcPr>
          <w:p>
            <w:pPr>
              <w:pStyle w:val="TableContents"/>
              <w:bidi w:val="0"/>
              <w:spacing w:before="0" w:after="283"/>
              <w:jc w:val="left"/>
              <w:rPr>
                <w:sz w:val="4"/>
                <w:szCs w:val="4"/>
              </w:rPr>
            </w:pPr>
            <w:r>
              <w:rPr>
                <w:sz w:val="4"/>
                <w:szCs w:val="4"/>
              </w:rPr>
            </w:r>
          </w:p>
        </w:tc>
        <w:tc>
          <w:tcPr>
            <w:tcW w:w="1077" w:type="dxa"/>
            <w:gridSpan w:val="4"/>
            <w:tcBorders/>
            <w:shd w:fill="DBE5F1" w:val="clear"/>
            <w:vAlign w:val="center"/>
          </w:tcPr>
          <w:p>
            <w:pPr>
              <w:pStyle w:val="TableContents"/>
              <w:bidi w:val="0"/>
              <w:spacing w:before="0" w:after="283"/>
              <w:jc w:val="left"/>
              <w:rPr>
                <w:sz w:val="4"/>
                <w:szCs w:val="4"/>
              </w:rPr>
            </w:pPr>
            <w:r>
              <w:rPr>
                <w:sz w:val="4"/>
                <w:szCs w:val="4"/>
              </w:rPr>
            </w:r>
          </w:p>
        </w:tc>
        <w:tc>
          <w:tcPr>
            <w:tcW w:w="1340" w:type="dxa"/>
            <w:gridSpan w:val="4"/>
            <w:tcBorders/>
            <w:shd w:fill="DBE5F1" w:val="clear"/>
            <w:vAlign w:val="center"/>
          </w:tcPr>
          <w:p>
            <w:pPr>
              <w:pStyle w:val="TableContents"/>
              <w:bidi w:val="0"/>
              <w:spacing w:before="0" w:after="283"/>
              <w:jc w:val="left"/>
              <w:rPr>
                <w:sz w:val="4"/>
                <w:szCs w:val="4"/>
              </w:rPr>
            </w:pPr>
            <w:r>
              <w:rPr>
                <w:sz w:val="4"/>
                <w:szCs w:val="4"/>
              </w:rPr>
            </w:r>
          </w:p>
        </w:tc>
        <w:tc>
          <w:tcPr>
            <w:tcW w:w="1235" w:type="dxa"/>
            <w:gridSpan w:val="4"/>
            <w:tcBorders/>
            <w:shd w:fill="DBE5F1" w:val="clear"/>
            <w:vAlign w:val="center"/>
          </w:tcPr>
          <w:p>
            <w:pPr>
              <w:pStyle w:val="TableContents"/>
              <w:bidi w:val="0"/>
              <w:spacing w:before="0" w:after="283"/>
              <w:jc w:val="left"/>
              <w:rPr>
                <w:sz w:val="4"/>
                <w:szCs w:val="4"/>
              </w:rPr>
            </w:pPr>
            <w:r>
              <w:rPr>
                <w:sz w:val="4"/>
                <w:szCs w:val="4"/>
              </w:rPr>
            </w:r>
          </w:p>
        </w:tc>
        <w:tc>
          <w:tcPr>
            <w:tcW w:w="1357" w:type="dxa"/>
            <w:gridSpan w:val="4"/>
            <w:tcBorders/>
            <w:shd w:fill="DBE5F1" w:val="clear"/>
            <w:vAlign w:val="center"/>
          </w:tcPr>
          <w:p>
            <w:pPr>
              <w:pStyle w:val="TableContents"/>
              <w:bidi w:val="0"/>
              <w:spacing w:before="0" w:after="283"/>
              <w:jc w:val="left"/>
              <w:rPr>
                <w:sz w:val="4"/>
                <w:szCs w:val="4"/>
              </w:rPr>
            </w:pPr>
            <w:r>
              <w:rPr>
                <w:sz w:val="4"/>
                <w:szCs w:val="4"/>
              </w:rPr>
            </w:r>
          </w:p>
        </w:tc>
      </w:tr>
      <w:tr>
        <w:trPr/>
        <w:tc>
          <w:tcPr>
            <w:tcW w:w="3961" w:type="dxa"/>
            <w:tcBorders/>
            <w:shd w:fill="DBE5F1" w:val="clear"/>
            <w:vAlign w:val="center"/>
          </w:tcPr>
          <w:p>
            <w:pPr>
              <w:pStyle w:val="TableContents"/>
              <w:bidi w:val="0"/>
              <w:spacing w:before="0" w:after="0"/>
              <w:jc w:val="left"/>
              <w:rPr>
                <w:rFonts w:ascii="ARIAL" w:hAnsi="ARIAL"/>
                <w:b/>
                <w:sz w:val="16"/>
              </w:rPr>
            </w:pPr>
            <w:r>
              <w:rPr>
                <w:rFonts w:ascii="ARIAL" w:hAnsi="ARIAL"/>
                <w:b/>
                <w:sz w:val="16"/>
              </w:rPr>
              <w:t>Dawn Maroney</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995"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62" w:type="dxa"/>
            <w:tcBorders/>
            <w:shd w:fill="DBE5F1" w:val="clear"/>
            <w:vAlign w:val="center"/>
          </w:tcPr>
          <w:p>
            <w:pPr>
              <w:pStyle w:val="TableContents"/>
              <w:bidi w:val="0"/>
              <w:spacing w:before="0" w:after="283"/>
              <w:jc w:val="left"/>
              <w:rPr>
                <w:sz w:val="4"/>
                <w:szCs w:val="4"/>
              </w:rPr>
            </w:pPr>
            <w:r>
              <w:rPr>
                <w:sz w:val="4"/>
                <w:szCs w:val="4"/>
              </w:rPr>
            </w:r>
          </w:p>
        </w:tc>
        <w:tc>
          <w:tcPr>
            <w:tcW w:w="835"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110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85" w:type="dxa"/>
            <w:tcBorders/>
            <w:shd w:fill="DBE5F1" w:val="clear"/>
            <w:vAlign w:val="center"/>
          </w:tcPr>
          <w:p>
            <w:pPr>
              <w:pStyle w:val="TableContents"/>
              <w:bidi w:val="0"/>
              <w:spacing w:before="0" w:after="283"/>
              <w:jc w:val="left"/>
              <w:rPr>
                <w:sz w:val="4"/>
                <w:szCs w:val="4"/>
              </w:rPr>
            </w:pPr>
            <w:r>
              <w:rPr>
                <w:sz w:val="4"/>
                <w:szCs w:val="4"/>
              </w:rPr>
            </w:r>
          </w:p>
        </w:tc>
        <w:tc>
          <w:tcPr>
            <w:tcW w:w="97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1100" w:type="dxa"/>
            <w:tcBorders/>
            <w:shd w:fill="DBE5F1" w:val="clear"/>
            <w:vAlign w:val="center"/>
          </w:tcPr>
          <w:p>
            <w:pPr>
              <w:pStyle w:val="TableContents"/>
              <w:bidi w:val="0"/>
              <w:spacing w:before="0" w:after="283"/>
              <w:jc w:val="left"/>
              <w:rPr>
                <w:sz w:val="4"/>
                <w:szCs w:val="4"/>
              </w:rPr>
            </w:pPr>
            <w:r>
              <w:rPr>
                <w:sz w:val="4"/>
                <w:szCs w:val="4"/>
              </w:rPr>
            </w:r>
          </w:p>
        </w:tc>
        <w:tc>
          <w:tcPr>
            <w:tcW w:w="77" w:type="dxa"/>
            <w:tcBorders/>
            <w:shd w:fill="DBE5F1" w:val="clear"/>
            <w:vAlign w:val="center"/>
          </w:tcPr>
          <w:p>
            <w:pPr>
              <w:pStyle w:val="TableContents"/>
              <w:bidi w:val="0"/>
              <w:spacing w:before="0" w:after="283"/>
              <w:jc w:val="left"/>
              <w:rPr>
                <w:sz w:val="4"/>
                <w:szCs w:val="4"/>
              </w:rPr>
            </w:pPr>
            <w:r>
              <w:rPr>
                <w:sz w:val="4"/>
                <w:szCs w:val="4"/>
              </w:rPr>
            </w:r>
          </w:p>
        </w:tc>
      </w:tr>
      <w:tr>
        <w:trPr/>
        <w:tc>
          <w:tcPr>
            <w:tcW w:w="3961" w:type="dxa"/>
            <w:tcBorders/>
            <w:shd w:fill="DBE5F1" w:val="clear"/>
            <w:vAlign w:val="center"/>
          </w:tcPr>
          <w:p>
            <w:pPr>
              <w:pStyle w:val="TableContents"/>
              <w:bidi w:val="0"/>
              <w:spacing w:before="0" w:after="0"/>
              <w:jc w:val="left"/>
              <w:rPr>
                <w:rFonts w:ascii="ARIAL" w:hAnsi="ARIAL"/>
                <w:sz w:val="16"/>
              </w:rPr>
            </w:pPr>
            <w:r>
              <w:rPr>
                <w:rFonts w:ascii="ARIAL" w:hAnsi="ARIAL"/>
                <w:sz w:val="16"/>
              </w:rPr>
              <w:t>Termination without Cause / Resignation for Good Reason / Non-Renewal by the Company</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995" w:type="dxa"/>
            <w:tcBorders/>
            <w:shd w:fill="DBE5F1" w:val="clear"/>
            <w:vAlign w:val="center"/>
          </w:tcPr>
          <w:p>
            <w:pPr>
              <w:pStyle w:val="TableContents"/>
              <w:bidi w:val="0"/>
              <w:spacing w:before="0" w:after="283"/>
              <w:jc w:val="right"/>
              <w:rPr/>
            </w:pPr>
            <w:r>
              <w:rPr/>
              <w:t>1,036,000</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2" w:type="dxa"/>
            <w:tcBorders/>
            <w:shd w:fill="DBE5F1" w:val="clear"/>
            <w:vAlign w:val="center"/>
          </w:tcPr>
          <w:p>
            <w:pPr>
              <w:pStyle w:val="TableContents"/>
              <w:bidi w:val="0"/>
              <w:spacing w:before="0" w:after="283"/>
              <w:jc w:val="left"/>
              <w:rPr/>
            </w:pPr>
            <w:r>
              <w:rPr/>
              <w:t> </w:t>
            </w:r>
          </w:p>
        </w:tc>
        <w:tc>
          <w:tcPr>
            <w:tcW w:w="835" w:type="dxa"/>
            <w:tcBorders/>
            <w:shd w:fill="DBE5F1" w:val="clear"/>
            <w:vAlign w:val="center"/>
          </w:tcPr>
          <w:p>
            <w:pPr>
              <w:pStyle w:val="TableContents"/>
              <w:bidi w:val="0"/>
              <w:spacing w:before="0" w:after="283"/>
              <w:jc w:val="right"/>
              <w:rPr/>
            </w:pPr>
            <w:r>
              <w:rPr/>
              <w:t>476,000</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85" w:type="dxa"/>
            <w:tcBorders/>
            <w:shd w:fill="DBE5F1" w:val="clear"/>
            <w:vAlign w:val="center"/>
          </w:tcPr>
          <w:p>
            <w:pPr>
              <w:pStyle w:val="TableContents"/>
              <w:bidi w:val="0"/>
              <w:spacing w:before="0" w:after="283"/>
              <w:jc w:val="left"/>
              <w:rPr/>
            </w:pPr>
            <w:r>
              <w:rPr/>
              <w:t> </w:t>
            </w:r>
          </w:p>
        </w:tc>
        <w:tc>
          <w:tcPr>
            <w:tcW w:w="970" w:type="dxa"/>
            <w:tcBorders/>
            <w:shd w:fill="DBE5F1" w:val="clear"/>
            <w:vAlign w:val="center"/>
          </w:tcPr>
          <w:p>
            <w:pPr>
              <w:pStyle w:val="TableContents"/>
              <w:bidi w:val="0"/>
              <w:spacing w:before="0" w:after="283"/>
              <w:jc w:val="right"/>
              <w:rPr/>
            </w:pPr>
            <w:r>
              <w:rPr/>
              <w:t>11,969</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1,523,969</w:t>
            </w:r>
          </w:p>
        </w:tc>
        <w:tc>
          <w:tcPr>
            <w:tcW w:w="77" w:type="dxa"/>
            <w:tcBorders/>
            <w:shd w:fill="DBE5F1" w:val="clear"/>
            <w:vAlign w:val="center"/>
          </w:tcPr>
          <w:p>
            <w:pPr>
              <w:pStyle w:val="TableContents"/>
              <w:bidi w:val="0"/>
              <w:spacing w:before="0" w:after="283"/>
              <w:jc w:val="left"/>
              <w:rPr/>
            </w:pPr>
            <w:r>
              <w:rPr/>
              <w:t> </w:t>
            </w:r>
          </w:p>
        </w:tc>
      </w:tr>
      <w:tr>
        <w:trPr/>
        <w:tc>
          <w:tcPr>
            <w:tcW w:w="3961" w:type="dxa"/>
            <w:tcBorders/>
            <w:shd w:fill="DBE5F1" w:val="clear"/>
            <w:vAlign w:val="center"/>
          </w:tcPr>
          <w:p>
            <w:pPr>
              <w:pStyle w:val="TableContents"/>
              <w:bidi w:val="0"/>
              <w:spacing w:before="0" w:after="0"/>
              <w:jc w:val="left"/>
              <w:rPr>
                <w:rFonts w:ascii="ARIAL" w:hAnsi="ARIAL"/>
                <w:sz w:val="16"/>
              </w:rPr>
            </w:pPr>
            <w:r>
              <w:rPr>
                <w:rFonts w:ascii="ARIAL" w:hAnsi="ARIAL"/>
                <w:sz w:val="16"/>
              </w:rPr>
              <w:t>Termination with Cause / Resignation without Good Reason</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995"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2" w:type="dxa"/>
            <w:tcBorders/>
            <w:shd w:fill="DBE5F1" w:val="clear"/>
            <w:vAlign w:val="center"/>
          </w:tcPr>
          <w:p>
            <w:pPr>
              <w:pStyle w:val="TableContents"/>
              <w:bidi w:val="0"/>
              <w:spacing w:before="0" w:after="283"/>
              <w:jc w:val="left"/>
              <w:rPr/>
            </w:pPr>
            <w:r>
              <w:rPr/>
              <w:t> </w:t>
            </w:r>
          </w:p>
        </w:tc>
        <w:tc>
          <w:tcPr>
            <w:tcW w:w="835"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85" w:type="dxa"/>
            <w:tcBorders/>
            <w:shd w:fill="DBE5F1" w:val="clear"/>
            <w:vAlign w:val="center"/>
          </w:tcPr>
          <w:p>
            <w:pPr>
              <w:pStyle w:val="TableContents"/>
              <w:bidi w:val="0"/>
              <w:spacing w:before="0" w:after="283"/>
              <w:jc w:val="left"/>
              <w:rPr/>
            </w:pPr>
            <w:r>
              <w:rPr/>
              <w:t> </w:t>
            </w:r>
          </w:p>
        </w:tc>
        <w:tc>
          <w:tcPr>
            <w:tcW w:w="970"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w:t>
            </w:r>
          </w:p>
        </w:tc>
        <w:tc>
          <w:tcPr>
            <w:tcW w:w="77" w:type="dxa"/>
            <w:tcBorders/>
            <w:shd w:fill="DBE5F1" w:val="clear"/>
            <w:vAlign w:val="center"/>
          </w:tcPr>
          <w:p>
            <w:pPr>
              <w:pStyle w:val="TableContents"/>
              <w:bidi w:val="0"/>
              <w:spacing w:before="0" w:after="283"/>
              <w:jc w:val="left"/>
              <w:rPr/>
            </w:pPr>
            <w:r>
              <w:rPr/>
              <w:t> </w:t>
            </w:r>
          </w:p>
        </w:tc>
      </w:tr>
      <w:tr>
        <w:trPr/>
        <w:tc>
          <w:tcPr>
            <w:tcW w:w="3961" w:type="dxa"/>
            <w:tcBorders/>
            <w:shd w:fill="DBE5F1" w:val="clear"/>
            <w:vAlign w:val="center"/>
          </w:tcPr>
          <w:p>
            <w:pPr>
              <w:pStyle w:val="TableContents"/>
              <w:bidi w:val="0"/>
              <w:spacing w:before="0" w:after="0"/>
              <w:jc w:val="left"/>
              <w:rPr>
                <w:rFonts w:ascii="ARIAL" w:hAnsi="ARIAL"/>
                <w:sz w:val="16"/>
              </w:rPr>
            </w:pPr>
            <w:r>
              <w:rPr>
                <w:rFonts w:ascii="ARIAL" w:hAnsi="ARIAL"/>
                <w:sz w:val="16"/>
              </w:rPr>
              <w:t>Change in Control without Termination</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995"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2" w:type="dxa"/>
            <w:tcBorders/>
            <w:shd w:fill="DBE5F1" w:val="clear"/>
            <w:vAlign w:val="center"/>
          </w:tcPr>
          <w:p>
            <w:pPr>
              <w:pStyle w:val="TableContents"/>
              <w:bidi w:val="0"/>
              <w:spacing w:before="0" w:after="283"/>
              <w:jc w:val="left"/>
              <w:rPr/>
            </w:pPr>
            <w:r>
              <w:rPr/>
              <w:t> </w:t>
            </w:r>
          </w:p>
        </w:tc>
        <w:tc>
          <w:tcPr>
            <w:tcW w:w="835"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701,741</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85" w:type="dxa"/>
            <w:tcBorders/>
            <w:shd w:fill="DBE5F1" w:val="clear"/>
            <w:vAlign w:val="center"/>
          </w:tcPr>
          <w:p>
            <w:pPr>
              <w:pStyle w:val="TableContents"/>
              <w:bidi w:val="0"/>
              <w:spacing w:before="0" w:after="283"/>
              <w:jc w:val="left"/>
              <w:rPr/>
            </w:pPr>
            <w:r>
              <w:rPr/>
              <w:t> </w:t>
            </w:r>
          </w:p>
        </w:tc>
        <w:tc>
          <w:tcPr>
            <w:tcW w:w="970"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701,741</w:t>
            </w:r>
          </w:p>
        </w:tc>
        <w:tc>
          <w:tcPr>
            <w:tcW w:w="77" w:type="dxa"/>
            <w:tcBorders/>
            <w:shd w:fill="DBE5F1" w:val="clear"/>
            <w:vAlign w:val="center"/>
          </w:tcPr>
          <w:p>
            <w:pPr>
              <w:pStyle w:val="TableContents"/>
              <w:bidi w:val="0"/>
              <w:spacing w:before="0" w:after="283"/>
              <w:jc w:val="left"/>
              <w:rPr/>
            </w:pPr>
            <w:r>
              <w:rPr/>
              <w:t> </w:t>
            </w:r>
          </w:p>
        </w:tc>
      </w:tr>
      <w:tr>
        <w:trPr/>
        <w:tc>
          <w:tcPr>
            <w:tcW w:w="3961" w:type="dxa"/>
            <w:tcBorders/>
            <w:shd w:fill="DBE5F1" w:val="clear"/>
            <w:vAlign w:val="center"/>
          </w:tcPr>
          <w:p>
            <w:pPr>
              <w:pStyle w:val="TableContents"/>
              <w:bidi w:val="0"/>
              <w:spacing w:before="0" w:after="0"/>
              <w:jc w:val="left"/>
              <w:rPr>
                <w:rFonts w:ascii="ARIAL" w:hAnsi="ARIAL"/>
                <w:sz w:val="16"/>
              </w:rPr>
            </w:pPr>
            <w:r>
              <w:rPr>
                <w:rFonts w:ascii="ARIAL" w:hAnsi="ARIAL"/>
                <w:sz w:val="16"/>
              </w:rPr>
              <w:t>Change in Control with Qualifying Termination</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995" w:type="dxa"/>
            <w:tcBorders/>
            <w:shd w:fill="DBE5F1" w:val="clear"/>
            <w:vAlign w:val="center"/>
          </w:tcPr>
          <w:p>
            <w:pPr>
              <w:pStyle w:val="TableContents"/>
              <w:bidi w:val="0"/>
              <w:spacing w:before="0" w:after="283"/>
              <w:jc w:val="right"/>
              <w:rPr/>
            </w:pPr>
            <w:r>
              <w:rPr/>
              <w:t>1,036,000</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2" w:type="dxa"/>
            <w:tcBorders/>
            <w:shd w:fill="DBE5F1" w:val="clear"/>
            <w:vAlign w:val="center"/>
          </w:tcPr>
          <w:p>
            <w:pPr>
              <w:pStyle w:val="TableContents"/>
              <w:bidi w:val="0"/>
              <w:spacing w:before="0" w:after="283"/>
              <w:jc w:val="left"/>
              <w:rPr/>
            </w:pPr>
            <w:r>
              <w:rPr/>
              <w:t> </w:t>
            </w:r>
          </w:p>
        </w:tc>
        <w:tc>
          <w:tcPr>
            <w:tcW w:w="835" w:type="dxa"/>
            <w:tcBorders/>
            <w:shd w:fill="DBE5F1" w:val="clear"/>
            <w:vAlign w:val="center"/>
          </w:tcPr>
          <w:p>
            <w:pPr>
              <w:pStyle w:val="TableContents"/>
              <w:bidi w:val="0"/>
              <w:spacing w:before="0" w:after="283"/>
              <w:jc w:val="right"/>
              <w:rPr/>
            </w:pPr>
            <w:r>
              <w:rPr/>
              <w:t>476,000</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13,626,462</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85" w:type="dxa"/>
            <w:tcBorders/>
            <w:shd w:fill="DBE5F1" w:val="clear"/>
            <w:vAlign w:val="center"/>
          </w:tcPr>
          <w:p>
            <w:pPr>
              <w:pStyle w:val="TableContents"/>
              <w:bidi w:val="0"/>
              <w:spacing w:before="0" w:after="283"/>
              <w:jc w:val="left"/>
              <w:rPr/>
            </w:pPr>
            <w:r>
              <w:rPr/>
              <w:t> </w:t>
            </w:r>
          </w:p>
        </w:tc>
        <w:tc>
          <w:tcPr>
            <w:tcW w:w="970" w:type="dxa"/>
            <w:tcBorders/>
            <w:shd w:fill="DBE5F1" w:val="clear"/>
            <w:vAlign w:val="center"/>
          </w:tcPr>
          <w:p>
            <w:pPr>
              <w:pStyle w:val="TableContents"/>
              <w:bidi w:val="0"/>
              <w:spacing w:before="0" w:after="283"/>
              <w:jc w:val="right"/>
              <w:rPr/>
            </w:pPr>
            <w:r>
              <w:rPr/>
              <w:t>11,969</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15,150,430</w:t>
            </w:r>
          </w:p>
        </w:tc>
        <w:tc>
          <w:tcPr>
            <w:tcW w:w="77" w:type="dxa"/>
            <w:tcBorders/>
            <w:shd w:fill="DBE5F1" w:val="clear"/>
            <w:vAlign w:val="center"/>
          </w:tcPr>
          <w:p>
            <w:pPr>
              <w:pStyle w:val="TableContents"/>
              <w:bidi w:val="0"/>
              <w:spacing w:before="0" w:after="283"/>
              <w:jc w:val="left"/>
              <w:rPr/>
            </w:pPr>
            <w:r>
              <w:rPr/>
              <w:t> </w:t>
            </w:r>
          </w:p>
        </w:tc>
      </w:tr>
      <w:tr>
        <w:trPr/>
        <w:tc>
          <w:tcPr>
            <w:tcW w:w="3961" w:type="dxa"/>
            <w:tcBorders>
              <w:bottom w:val="single" w:sz="6" w:space="0" w:color="95B3D7"/>
            </w:tcBorders>
            <w:shd w:fill="DBE5F1" w:val="clear"/>
            <w:tcMar>
              <w:bottom w:w="28" w:type="dxa"/>
            </w:tcMar>
            <w:vAlign w:val="center"/>
          </w:tcPr>
          <w:p>
            <w:pPr>
              <w:pStyle w:val="TableContents"/>
              <w:bidi w:val="0"/>
              <w:spacing w:before="0" w:after="0"/>
              <w:jc w:val="left"/>
              <w:rPr>
                <w:rFonts w:ascii="ARIAL" w:hAnsi="ARIAL"/>
                <w:sz w:val="16"/>
              </w:rPr>
            </w:pPr>
            <w:r>
              <w:rPr>
                <w:rFonts w:ascii="ARIAL" w:hAnsi="ARIAL"/>
                <w:sz w:val="16"/>
              </w:rPr>
              <w:t>Death, Disability or Non-Renewal by the NEO</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995" w:type="dxa"/>
            <w:tcBorders>
              <w:bottom w:val="single" w:sz="6"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62"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835" w:type="dxa"/>
            <w:tcBorders>
              <w:bottom w:val="single" w:sz="6"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100" w:type="dxa"/>
            <w:tcBorders>
              <w:bottom w:val="single" w:sz="6"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85"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970" w:type="dxa"/>
            <w:tcBorders>
              <w:bottom w:val="single" w:sz="6"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100" w:type="dxa"/>
            <w:tcBorders>
              <w:bottom w:val="single" w:sz="6" w:space="0" w:color="95B3D7"/>
            </w:tcBorders>
            <w:shd w:fill="DBE5F1" w:val="clear"/>
            <w:tcMar>
              <w:bottom w:w="28" w:type="dxa"/>
            </w:tcMar>
            <w:vAlign w:val="center"/>
          </w:tcPr>
          <w:p>
            <w:pPr>
              <w:pStyle w:val="TableContents"/>
              <w:bidi w:val="0"/>
              <w:spacing w:before="0" w:after="283"/>
              <w:jc w:val="right"/>
              <w:rPr/>
            </w:pPr>
            <w:r>
              <w:rPr/>
              <w:t>—</w:t>
            </w:r>
          </w:p>
        </w:tc>
        <w:tc>
          <w:tcPr>
            <w:tcW w:w="77"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r>
      <w:tr>
        <w:trPr/>
        <w:tc>
          <w:tcPr>
            <w:tcW w:w="3961" w:type="dxa"/>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077"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357" w:type="dxa"/>
            <w:gridSpan w:val="4"/>
            <w:tcBorders/>
            <w:vAlign w:val="center"/>
          </w:tcPr>
          <w:p>
            <w:pPr>
              <w:pStyle w:val="TableContents"/>
              <w:bidi w:val="0"/>
              <w:spacing w:before="0" w:after="283"/>
              <w:jc w:val="left"/>
              <w:rPr>
                <w:sz w:val="4"/>
                <w:szCs w:val="4"/>
              </w:rPr>
            </w:pPr>
            <w:r>
              <w:rPr>
                <w:sz w:val="4"/>
                <w:szCs w:val="4"/>
              </w:rPr>
            </w:r>
          </w:p>
        </w:tc>
      </w:tr>
      <w:tr>
        <w:trPr/>
        <w:tc>
          <w:tcPr>
            <w:tcW w:w="3961" w:type="dxa"/>
            <w:tcBorders/>
            <w:vAlign w:val="center"/>
          </w:tcPr>
          <w:p>
            <w:pPr>
              <w:pStyle w:val="TableContents"/>
              <w:bidi w:val="0"/>
              <w:spacing w:before="0" w:after="0"/>
              <w:jc w:val="left"/>
              <w:rPr>
                <w:rFonts w:ascii="ARIAL" w:hAnsi="ARIAL"/>
                <w:b/>
                <w:sz w:val="16"/>
              </w:rPr>
            </w:pPr>
            <w:r>
              <w:rPr>
                <w:rFonts w:ascii="ARIAL" w:hAnsi="ARIAL"/>
                <w:b/>
                <w:sz w:val="16"/>
              </w:rPr>
              <w:t>Hakan Kardes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961" w:type="dxa"/>
            <w:tcBorders/>
            <w:vAlign w:val="center"/>
          </w:tcPr>
          <w:p>
            <w:pPr>
              <w:pStyle w:val="TableContents"/>
              <w:bidi w:val="0"/>
              <w:spacing w:before="0" w:after="0"/>
              <w:jc w:val="left"/>
              <w:rPr>
                <w:rFonts w:ascii="ARIAL" w:hAnsi="ARIAL"/>
                <w:sz w:val="16"/>
              </w:rPr>
            </w:pPr>
            <w:r>
              <w:rPr>
                <w:rFonts w:ascii="ARIAL" w:hAnsi="ARIAL"/>
                <w:sz w:val="16"/>
              </w:rPr>
              <w:t>Termination without Cause / Resignation for Good Reason / Non-Renewal by the Company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786,250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361,250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17,796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1,165,296</w:t>
            </w:r>
          </w:p>
        </w:tc>
        <w:tc>
          <w:tcPr>
            <w:tcW w:w="77" w:type="dxa"/>
            <w:tcBorders/>
            <w:vAlign w:val="center"/>
          </w:tcPr>
          <w:p>
            <w:pPr>
              <w:pStyle w:val="TableContents"/>
              <w:bidi w:val="0"/>
              <w:spacing w:before="0" w:after="283"/>
              <w:jc w:val="left"/>
              <w:rPr/>
            </w:pPr>
            <w:r>
              <w:rPr/>
              <w:t> </w:t>
            </w:r>
          </w:p>
        </w:tc>
      </w:tr>
      <w:tr>
        <w:trPr/>
        <w:tc>
          <w:tcPr>
            <w:tcW w:w="3961" w:type="dxa"/>
            <w:tcBorders/>
            <w:vAlign w:val="center"/>
          </w:tcPr>
          <w:p>
            <w:pPr>
              <w:pStyle w:val="TableContents"/>
              <w:bidi w:val="0"/>
              <w:spacing w:before="0" w:after="0"/>
              <w:jc w:val="left"/>
              <w:rPr>
                <w:rFonts w:ascii="ARIAL" w:hAnsi="ARIAL"/>
                <w:sz w:val="16"/>
              </w:rPr>
            </w:pPr>
            <w:r>
              <w:rPr>
                <w:rFonts w:ascii="ARIAL" w:hAnsi="ARIAL"/>
                <w:sz w:val="16"/>
              </w:rPr>
              <w:t>Termination with Cause / Resignation without Good Reason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jc w:val="left"/>
              <w:rPr/>
            </w:pPr>
            <w:r>
              <w:rPr/>
              <w:t> </w:t>
            </w:r>
          </w:p>
        </w:tc>
      </w:tr>
      <w:tr>
        <w:trPr/>
        <w:tc>
          <w:tcPr>
            <w:tcW w:w="3961" w:type="dxa"/>
            <w:tcBorders/>
            <w:vAlign w:val="center"/>
          </w:tcPr>
          <w:p>
            <w:pPr>
              <w:pStyle w:val="TableContents"/>
              <w:bidi w:val="0"/>
              <w:spacing w:before="0" w:after="0"/>
              <w:jc w:val="left"/>
              <w:rPr>
                <w:rFonts w:ascii="ARIAL" w:hAnsi="ARIAL"/>
                <w:sz w:val="16"/>
              </w:rPr>
            </w:pPr>
            <w:r>
              <w:rPr>
                <w:rFonts w:ascii="ARIAL" w:hAnsi="ARIAL"/>
                <w:sz w:val="16"/>
              </w:rPr>
              <w:t>Change in Control without Termination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jc w:val="left"/>
              <w:rPr/>
            </w:pPr>
            <w:r>
              <w:rPr/>
              <w:t> </w:t>
            </w:r>
          </w:p>
        </w:tc>
      </w:tr>
      <w:tr>
        <w:trPr/>
        <w:tc>
          <w:tcPr>
            <w:tcW w:w="3961" w:type="dxa"/>
            <w:tcBorders/>
            <w:vAlign w:val="center"/>
          </w:tcPr>
          <w:p>
            <w:pPr>
              <w:pStyle w:val="TableContents"/>
              <w:bidi w:val="0"/>
              <w:spacing w:before="0" w:after="0"/>
              <w:jc w:val="left"/>
              <w:rPr>
                <w:rFonts w:ascii="ARIAL" w:hAnsi="ARIAL"/>
                <w:sz w:val="16"/>
              </w:rPr>
            </w:pPr>
            <w:r>
              <w:rPr>
                <w:rFonts w:ascii="ARIAL" w:hAnsi="ARIAL"/>
                <w:sz w:val="16"/>
              </w:rPr>
              <w:t>Change in Control with Qualifying Termination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786,250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5" w:type="dxa"/>
            <w:tcBorders/>
            <w:vAlign w:val="center"/>
          </w:tcPr>
          <w:p>
            <w:pPr>
              <w:pStyle w:val="TableContents"/>
              <w:bidi w:val="0"/>
              <w:spacing w:before="0" w:after="283"/>
              <w:jc w:val="right"/>
              <w:rPr/>
            </w:pPr>
            <w:r>
              <w:rPr/>
              <w:t>361,250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4,571,230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17,796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5,736,526</w:t>
            </w:r>
          </w:p>
        </w:tc>
        <w:tc>
          <w:tcPr>
            <w:tcW w:w="77" w:type="dxa"/>
            <w:tcBorders/>
            <w:vAlign w:val="center"/>
          </w:tcPr>
          <w:p>
            <w:pPr>
              <w:pStyle w:val="TableContents"/>
              <w:bidi w:val="0"/>
              <w:spacing w:before="0" w:after="283"/>
              <w:jc w:val="left"/>
              <w:rPr/>
            </w:pPr>
            <w:r>
              <w:rPr/>
              <w:t> </w:t>
            </w:r>
          </w:p>
        </w:tc>
      </w:tr>
      <w:tr>
        <w:trPr/>
        <w:tc>
          <w:tcPr>
            <w:tcW w:w="3961" w:type="dxa"/>
            <w:tcBorders>
              <w:bottom w:val="single" w:sz="6" w:space="0" w:color="95B3D7"/>
            </w:tcBorders>
            <w:tcMar>
              <w:bottom w:w="28" w:type="dxa"/>
            </w:tcMar>
            <w:vAlign w:val="center"/>
          </w:tcPr>
          <w:p>
            <w:pPr>
              <w:pStyle w:val="TableContents"/>
              <w:bidi w:val="0"/>
              <w:spacing w:before="0" w:after="0"/>
              <w:jc w:val="left"/>
              <w:rPr>
                <w:rFonts w:ascii="ARIAL" w:hAnsi="ARIAL"/>
                <w:sz w:val="16"/>
              </w:rPr>
            </w:pPr>
            <w:r>
              <w:rPr>
                <w:rFonts w:ascii="ARIAL" w:hAnsi="ARIAL"/>
                <w:sz w:val="16"/>
              </w:rPr>
              <w:t>Death, Disability or Non-Renewal by the NEO</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995" w:type="dxa"/>
            <w:tcBorders>
              <w:bottom w:val="single" w:sz="6" w:space="0" w:color="95B3D7"/>
            </w:tcBorders>
            <w:tcMar>
              <w:bottom w:w="28" w:type="dxa"/>
            </w:tcMar>
            <w:vAlign w:val="center"/>
          </w:tcPr>
          <w:p>
            <w:pPr>
              <w:pStyle w:val="TableContents"/>
              <w:bidi w:val="0"/>
              <w:spacing w:before="0" w:after="283"/>
              <w:jc w:val="right"/>
              <w:rPr/>
            </w:pPr>
            <w:r>
              <w:rPr/>
              <w:t>—</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62" w:type="dxa"/>
            <w:tcBorders>
              <w:bottom w:val="single" w:sz="6" w:space="0" w:color="95B3D7"/>
            </w:tcBorders>
            <w:tcMar>
              <w:bottom w:w="28" w:type="dxa"/>
            </w:tcMar>
            <w:vAlign w:val="center"/>
          </w:tcPr>
          <w:p>
            <w:pPr>
              <w:pStyle w:val="TableContents"/>
              <w:bidi w:val="0"/>
              <w:spacing w:before="0" w:after="283"/>
              <w:jc w:val="left"/>
              <w:rPr/>
            </w:pPr>
            <w:r>
              <w:rPr/>
              <w:t> </w:t>
            </w:r>
          </w:p>
        </w:tc>
        <w:tc>
          <w:tcPr>
            <w:tcW w:w="835" w:type="dxa"/>
            <w:tcBorders>
              <w:bottom w:val="single" w:sz="6" w:space="0" w:color="95B3D7"/>
            </w:tcBorders>
            <w:tcMar>
              <w:bottom w:w="28" w:type="dxa"/>
            </w:tcMar>
            <w:vAlign w:val="center"/>
          </w:tcPr>
          <w:p>
            <w:pPr>
              <w:pStyle w:val="TableContents"/>
              <w:bidi w:val="0"/>
              <w:spacing w:before="0" w:after="283"/>
              <w:jc w:val="right"/>
              <w:rPr/>
            </w:pPr>
            <w:r>
              <w:rPr/>
              <w:t>—</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1100" w:type="dxa"/>
            <w:tcBorders>
              <w:bottom w:val="single" w:sz="6" w:space="0" w:color="95B3D7"/>
            </w:tcBorders>
            <w:tcMar>
              <w:bottom w:w="28" w:type="dxa"/>
            </w:tcMar>
            <w:vAlign w:val="center"/>
          </w:tcPr>
          <w:p>
            <w:pPr>
              <w:pStyle w:val="TableContents"/>
              <w:bidi w:val="0"/>
              <w:spacing w:before="0" w:after="283"/>
              <w:jc w:val="right"/>
              <w:rPr/>
            </w:pPr>
            <w:r>
              <w:rPr/>
              <w:t>—</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85" w:type="dxa"/>
            <w:tcBorders>
              <w:bottom w:val="single" w:sz="6" w:space="0" w:color="95B3D7"/>
            </w:tcBorders>
            <w:tcMar>
              <w:bottom w:w="28" w:type="dxa"/>
            </w:tcMar>
            <w:vAlign w:val="center"/>
          </w:tcPr>
          <w:p>
            <w:pPr>
              <w:pStyle w:val="TableContents"/>
              <w:bidi w:val="0"/>
              <w:spacing w:before="0" w:after="283"/>
              <w:jc w:val="left"/>
              <w:rPr/>
            </w:pPr>
            <w:r>
              <w:rPr/>
              <w:t> </w:t>
            </w:r>
          </w:p>
        </w:tc>
        <w:tc>
          <w:tcPr>
            <w:tcW w:w="970" w:type="dxa"/>
            <w:tcBorders>
              <w:bottom w:val="single" w:sz="6" w:space="0" w:color="95B3D7"/>
            </w:tcBorders>
            <w:tcMar>
              <w:bottom w:w="28" w:type="dxa"/>
            </w:tcMar>
            <w:vAlign w:val="center"/>
          </w:tcPr>
          <w:p>
            <w:pPr>
              <w:pStyle w:val="TableContents"/>
              <w:bidi w:val="0"/>
              <w:spacing w:before="0" w:after="283"/>
              <w:jc w:val="right"/>
              <w:rPr/>
            </w:pPr>
            <w:r>
              <w:rPr/>
              <w:t>—</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1100" w:type="dxa"/>
            <w:tcBorders>
              <w:bottom w:val="single" w:sz="6" w:space="0" w:color="95B3D7"/>
            </w:tcBorders>
            <w:tcMar>
              <w:bottom w:w="28" w:type="dxa"/>
            </w:tcMar>
            <w:vAlign w:val="center"/>
          </w:tcPr>
          <w:p>
            <w:pPr>
              <w:pStyle w:val="TableContents"/>
              <w:bidi w:val="0"/>
              <w:spacing w:before="0" w:after="283"/>
              <w:jc w:val="right"/>
              <w:rPr/>
            </w:pPr>
            <w:r>
              <w:rPr/>
              <w:t>—</w:t>
            </w:r>
          </w:p>
        </w:tc>
        <w:tc>
          <w:tcPr>
            <w:tcW w:w="77" w:type="dxa"/>
            <w:tcBorders>
              <w:bottom w:val="single" w:sz="6" w:space="0" w:color="95B3D7"/>
            </w:tcBorders>
            <w:tcMar>
              <w:bottom w:w="28" w:type="dxa"/>
            </w:tcMar>
            <w:vAlign w:val="center"/>
          </w:tcPr>
          <w:p>
            <w:pPr>
              <w:pStyle w:val="TableContents"/>
              <w:bidi w:val="0"/>
              <w:spacing w:before="0" w:after="283"/>
              <w:jc w:val="left"/>
              <w:rPr/>
            </w:pPr>
            <w:r>
              <w:rPr/>
              <w:t> </w:t>
            </w:r>
          </w:p>
        </w:tc>
      </w:tr>
      <w:tr>
        <w:trPr/>
        <w:tc>
          <w:tcPr>
            <w:tcW w:w="3961" w:type="dxa"/>
            <w:tcBorders/>
            <w:shd w:fill="DBE5F1" w:val="clear"/>
            <w:vAlign w:val="center"/>
          </w:tcPr>
          <w:p>
            <w:pPr>
              <w:pStyle w:val="TableContents"/>
              <w:bidi w:val="0"/>
              <w:spacing w:before="0" w:after="283"/>
              <w:jc w:val="left"/>
              <w:rPr>
                <w:sz w:val="4"/>
                <w:szCs w:val="4"/>
              </w:rPr>
            </w:pPr>
            <w:r>
              <w:rPr>
                <w:sz w:val="4"/>
                <w:szCs w:val="4"/>
              </w:rPr>
            </w:r>
          </w:p>
        </w:tc>
        <w:tc>
          <w:tcPr>
            <w:tcW w:w="1235" w:type="dxa"/>
            <w:gridSpan w:val="4"/>
            <w:tcBorders/>
            <w:shd w:fill="DBE5F1" w:val="clear"/>
            <w:vAlign w:val="center"/>
          </w:tcPr>
          <w:p>
            <w:pPr>
              <w:pStyle w:val="TableContents"/>
              <w:bidi w:val="0"/>
              <w:spacing w:before="0" w:after="283"/>
              <w:jc w:val="left"/>
              <w:rPr>
                <w:sz w:val="4"/>
                <w:szCs w:val="4"/>
              </w:rPr>
            </w:pPr>
            <w:r>
              <w:rPr>
                <w:sz w:val="4"/>
                <w:szCs w:val="4"/>
              </w:rPr>
            </w:r>
          </w:p>
        </w:tc>
        <w:tc>
          <w:tcPr>
            <w:tcW w:w="1077" w:type="dxa"/>
            <w:gridSpan w:val="4"/>
            <w:tcBorders/>
            <w:shd w:fill="DBE5F1" w:val="clear"/>
            <w:vAlign w:val="center"/>
          </w:tcPr>
          <w:p>
            <w:pPr>
              <w:pStyle w:val="TableContents"/>
              <w:bidi w:val="0"/>
              <w:spacing w:before="0" w:after="283"/>
              <w:jc w:val="left"/>
              <w:rPr>
                <w:sz w:val="4"/>
                <w:szCs w:val="4"/>
              </w:rPr>
            </w:pPr>
            <w:r>
              <w:rPr>
                <w:sz w:val="4"/>
                <w:szCs w:val="4"/>
              </w:rPr>
            </w:r>
          </w:p>
        </w:tc>
        <w:tc>
          <w:tcPr>
            <w:tcW w:w="1340" w:type="dxa"/>
            <w:gridSpan w:val="4"/>
            <w:tcBorders/>
            <w:shd w:fill="DBE5F1" w:val="clear"/>
            <w:vAlign w:val="center"/>
          </w:tcPr>
          <w:p>
            <w:pPr>
              <w:pStyle w:val="TableContents"/>
              <w:bidi w:val="0"/>
              <w:spacing w:before="0" w:after="283"/>
              <w:jc w:val="left"/>
              <w:rPr>
                <w:sz w:val="4"/>
                <w:szCs w:val="4"/>
              </w:rPr>
            </w:pPr>
            <w:r>
              <w:rPr>
                <w:sz w:val="4"/>
                <w:szCs w:val="4"/>
              </w:rPr>
            </w:r>
          </w:p>
        </w:tc>
        <w:tc>
          <w:tcPr>
            <w:tcW w:w="1235" w:type="dxa"/>
            <w:gridSpan w:val="4"/>
            <w:tcBorders/>
            <w:shd w:fill="DBE5F1" w:val="clear"/>
            <w:vAlign w:val="center"/>
          </w:tcPr>
          <w:p>
            <w:pPr>
              <w:pStyle w:val="TableContents"/>
              <w:bidi w:val="0"/>
              <w:spacing w:before="0" w:after="283"/>
              <w:jc w:val="left"/>
              <w:rPr>
                <w:sz w:val="4"/>
                <w:szCs w:val="4"/>
              </w:rPr>
            </w:pPr>
            <w:r>
              <w:rPr>
                <w:sz w:val="4"/>
                <w:szCs w:val="4"/>
              </w:rPr>
            </w:r>
          </w:p>
        </w:tc>
        <w:tc>
          <w:tcPr>
            <w:tcW w:w="1357" w:type="dxa"/>
            <w:gridSpan w:val="4"/>
            <w:tcBorders/>
            <w:shd w:fill="DBE5F1" w:val="clear"/>
            <w:vAlign w:val="center"/>
          </w:tcPr>
          <w:p>
            <w:pPr>
              <w:pStyle w:val="TableContents"/>
              <w:bidi w:val="0"/>
              <w:spacing w:before="0" w:after="283"/>
              <w:jc w:val="left"/>
              <w:rPr>
                <w:sz w:val="4"/>
                <w:szCs w:val="4"/>
              </w:rPr>
            </w:pPr>
            <w:r>
              <w:rPr>
                <w:sz w:val="4"/>
                <w:szCs w:val="4"/>
              </w:rPr>
            </w:r>
          </w:p>
        </w:tc>
      </w:tr>
      <w:tr>
        <w:trPr/>
        <w:tc>
          <w:tcPr>
            <w:tcW w:w="3961" w:type="dxa"/>
            <w:tcBorders/>
            <w:shd w:fill="DBE5F1" w:val="clear"/>
            <w:vAlign w:val="center"/>
          </w:tcPr>
          <w:p>
            <w:pPr>
              <w:pStyle w:val="TableContents"/>
              <w:bidi w:val="0"/>
              <w:spacing w:before="0" w:after="0"/>
              <w:jc w:val="left"/>
              <w:rPr>
                <w:rFonts w:ascii="ARIAL" w:hAnsi="ARIAL"/>
                <w:b/>
                <w:sz w:val="16"/>
              </w:rPr>
            </w:pPr>
            <w:r>
              <w:rPr>
                <w:rFonts w:ascii="ARIAL" w:hAnsi="ARIAL"/>
                <w:b/>
                <w:sz w:val="16"/>
              </w:rPr>
              <w:t>Hyong (Ken) Kim, M.D.</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995"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62" w:type="dxa"/>
            <w:tcBorders/>
            <w:shd w:fill="DBE5F1" w:val="clear"/>
            <w:vAlign w:val="center"/>
          </w:tcPr>
          <w:p>
            <w:pPr>
              <w:pStyle w:val="TableContents"/>
              <w:bidi w:val="0"/>
              <w:spacing w:before="0" w:after="283"/>
              <w:jc w:val="left"/>
              <w:rPr>
                <w:sz w:val="4"/>
                <w:szCs w:val="4"/>
              </w:rPr>
            </w:pPr>
            <w:r>
              <w:rPr>
                <w:sz w:val="4"/>
                <w:szCs w:val="4"/>
              </w:rPr>
            </w:r>
          </w:p>
        </w:tc>
        <w:tc>
          <w:tcPr>
            <w:tcW w:w="835"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110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85" w:type="dxa"/>
            <w:tcBorders/>
            <w:shd w:fill="DBE5F1" w:val="clear"/>
            <w:vAlign w:val="center"/>
          </w:tcPr>
          <w:p>
            <w:pPr>
              <w:pStyle w:val="TableContents"/>
              <w:bidi w:val="0"/>
              <w:spacing w:before="0" w:after="283"/>
              <w:jc w:val="left"/>
              <w:rPr>
                <w:sz w:val="4"/>
                <w:szCs w:val="4"/>
              </w:rPr>
            </w:pPr>
            <w:r>
              <w:rPr>
                <w:sz w:val="4"/>
                <w:szCs w:val="4"/>
              </w:rPr>
            </w:r>
          </w:p>
        </w:tc>
        <w:tc>
          <w:tcPr>
            <w:tcW w:w="970"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sz w:val="4"/>
                <w:szCs w:val="4"/>
              </w:rPr>
            </w:pPr>
            <w:r>
              <w:rPr>
                <w:sz w:val="4"/>
                <w:szCs w:val="4"/>
              </w:rPr>
            </w:r>
          </w:p>
        </w:tc>
        <w:tc>
          <w:tcPr>
            <w:tcW w:w="1100" w:type="dxa"/>
            <w:tcBorders/>
            <w:shd w:fill="DBE5F1" w:val="clear"/>
            <w:vAlign w:val="center"/>
          </w:tcPr>
          <w:p>
            <w:pPr>
              <w:pStyle w:val="TableContents"/>
              <w:bidi w:val="0"/>
              <w:spacing w:before="0" w:after="283"/>
              <w:jc w:val="left"/>
              <w:rPr>
                <w:sz w:val="4"/>
                <w:szCs w:val="4"/>
              </w:rPr>
            </w:pPr>
            <w:r>
              <w:rPr>
                <w:sz w:val="4"/>
                <w:szCs w:val="4"/>
              </w:rPr>
            </w:r>
          </w:p>
        </w:tc>
        <w:tc>
          <w:tcPr>
            <w:tcW w:w="77" w:type="dxa"/>
            <w:tcBorders/>
            <w:shd w:fill="DBE5F1" w:val="clear"/>
            <w:vAlign w:val="center"/>
          </w:tcPr>
          <w:p>
            <w:pPr>
              <w:pStyle w:val="TableContents"/>
              <w:bidi w:val="0"/>
              <w:spacing w:before="0" w:after="283"/>
              <w:jc w:val="left"/>
              <w:rPr>
                <w:sz w:val="4"/>
                <w:szCs w:val="4"/>
              </w:rPr>
            </w:pPr>
            <w:r>
              <w:rPr>
                <w:sz w:val="4"/>
                <w:szCs w:val="4"/>
              </w:rPr>
            </w:r>
          </w:p>
        </w:tc>
      </w:tr>
      <w:tr>
        <w:trPr/>
        <w:tc>
          <w:tcPr>
            <w:tcW w:w="3961" w:type="dxa"/>
            <w:tcBorders/>
            <w:shd w:fill="DBE5F1" w:val="clear"/>
            <w:vAlign w:val="center"/>
          </w:tcPr>
          <w:p>
            <w:pPr>
              <w:pStyle w:val="TableContents"/>
              <w:bidi w:val="0"/>
              <w:spacing w:before="0" w:after="0"/>
              <w:jc w:val="left"/>
              <w:rPr>
                <w:rFonts w:ascii="ARIAL" w:hAnsi="ARIAL"/>
                <w:sz w:val="16"/>
              </w:rPr>
            </w:pPr>
            <w:r>
              <w:rPr>
                <w:rFonts w:ascii="ARIAL" w:hAnsi="ARIAL"/>
                <w:sz w:val="16"/>
              </w:rPr>
              <w:t>Termination without Cause / Resignation for Good Reason / Non-Renewal by the Company</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995" w:type="dxa"/>
            <w:tcBorders/>
            <w:shd w:fill="DBE5F1" w:val="clear"/>
            <w:vAlign w:val="center"/>
          </w:tcPr>
          <w:p>
            <w:pPr>
              <w:pStyle w:val="TableContents"/>
              <w:bidi w:val="0"/>
              <w:spacing w:before="0" w:after="283"/>
              <w:jc w:val="right"/>
              <w:rPr/>
            </w:pPr>
            <w:r>
              <w:rPr/>
              <w:t>1,036,000</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2" w:type="dxa"/>
            <w:tcBorders/>
            <w:shd w:fill="DBE5F1" w:val="clear"/>
            <w:vAlign w:val="center"/>
          </w:tcPr>
          <w:p>
            <w:pPr>
              <w:pStyle w:val="TableContents"/>
              <w:bidi w:val="0"/>
              <w:spacing w:before="0" w:after="283"/>
              <w:jc w:val="left"/>
              <w:rPr/>
            </w:pPr>
            <w:r>
              <w:rPr/>
              <w:t> </w:t>
            </w:r>
          </w:p>
        </w:tc>
        <w:tc>
          <w:tcPr>
            <w:tcW w:w="835" w:type="dxa"/>
            <w:tcBorders/>
            <w:shd w:fill="DBE5F1" w:val="clear"/>
            <w:vAlign w:val="center"/>
          </w:tcPr>
          <w:p>
            <w:pPr>
              <w:pStyle w:val="TableContents"/>
              <w:bidi w:val="0"/>
              <w:spacing w:before="0" w:after="283"/>
              <w:jc w:val="right"/>
              <w:rPr/>
            </w:pPr>
            <w:r>
              <w:rPr/>
              <w:t>476,000</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85" w:type="dxa"/>
            <w:tcBorders/>
            <w:shd w:fill="DBE5F1" w:val="clear"/>
            <w:vAlign w:val="center"/>
          </w:tcPr>
          <w:p>
            <w:pPr>
              <w:pStyle w:val="TableContents"/>
              <w:bidi w:val="0"/>
              <w:spacing w:before="0" w:after="283"/>
              <w:jc w:val="left"/>
              <w:rPr/>
            </w:pPr>
            <w:r>
              <w:rPr/>
              <w:t> </w:t>
            </w:r>
          </w:p>
        </w:tc>
        <w:tc>
          <w:tcPr>
            <w:tcW w:w="970" w:type="dxa"/>
            <w:tcBorders/>
            <w:shd w:fill="DBE5F1" w:val="clear"/>
            <w:vAlign w:val="center"/>
          </w:tcPr>
          <w:p>
            <w:pPr>
              <w:pStyle w:val="TableContents"/>
              <w:bidi w:val="0"/>
              <w:spacing w:before="0" w:after="283"/>
              <w:jc w:val="right"/>
              <w:rPr/>
            </w:pPr>
            <w:r>
              <w:rPr/>
              <w:t>19,596</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1,531,596</w:t>
            </w:r>
          </w:p>
        </w:tc>
        <w:tc>
          <w:tcPr>
            <w:tcW w:w="77" w:type="dxa"/>
            <w:tcBorders/>
            <w:shd w:fill="DBE5F1" w:val="clear"/>
            <w:vAlign w:val="center"/>
          </w:tcPr>
          <w:p>
            <w:pPr>
              <w:pStyle w:val="TableContents"/>
              <w:bidi w:val="0"/>
              <w:spacing w:before="0" w:after="283"/>
              <w:jc w:val="left"/>
              <w:rPr/>
            </w:pPr>
            <w:r>
              <w:rPr/>
              <w:t> </w:t>
            </w:r>
          </w:p>
        </w:tc>
      </w:tr>
      <w:tr>
        <w:trPr/>
        <w:tc>
          <w:tcPr>
            <w:tcW w:w="3961" w:type="dxa"/>
            <w:tcBorders/>
            <w:shd w:fill="DBE5F1" w:val="clear"/>
            <w:vAlign w:val="center"/>
          </w:tcPr>
          <w:p>
            <w:pPr>
              <w:pStyle w:val="TableContents"/>
              <w:bidi w:val="0"/>
              <w:spacing w:before="0" w:after="0"/>
              <w:jc w:val="left"/>
              <w:rPr>
                <w:rFonts w:ascii="ARIAL" w:hAnsi="ARIAL"/>
                <w:sz w:val="16"/>
              </w:rPr>
            </w:pPr>
            <w:r>
              <w:rPr>
                <w:rFonts w:ascii="ARIAL" w:hAnsi="ARIAL"/>
                <w:sz w:val="16"/>
              </w:rPr>
              <w:t>Termination with Cause / Resignation without Good Reason</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995"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2" w:type="dxa"/>
            <w:tcBorders/>
            <w:shd w:fill="DBE5F1" w:val="clear"/>
            <w:vAlign w:val="center"/>
          </w:tcPr>
          <w:p>
            <w:pPr>
              <w:pStyle w:val="TableContents"/>
              <w:bidi w:val="0"/>
              <w:spacing w:before="0" w:after="283"/>
              <w:jc w:val="left"/>
              <w:rPr/>
            </w:pPr>
            <w:r>
              <w:rPr/>
              <w:t> </w:t>
            </w:r>
          </w:p>
        </w:tc>
        <w:tc>
          <w:tcPr>
            <w:tcW w:w="835"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85" w:type="dxa"/>
            <w:tcBorders/>
            <w:shd w:fill="DBE5F1" w:val="clear"/>
            <w:vAlign w:val="center"/>
          </w:tcPr>
          <w:p>
            <w:pPr>
              <w:pStyle w:val="TableContents"/>
              <w:bidi w:val="0"/>
              <w:spacing w:before="0" w:after="283"/>
              <w:jc w:val="left"/>
              <w:rPr/>
            </w:pPr>
            <w:r>
              <w:rPr/>
              <w:t> </w:t>
            </w:r>
          </w:p>
        </w:tc>
        <w:tc>
          <w:tcPr>
            <w:tcW w:w="970"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w:t>
            </w:r>
          </w:p>
        </w:tc>
        <w:tc>
          <w:tcPr>
            <w:tcW w:w="77" w:type="dxa"/>
            <w:tcBorders/>
            <w:shd w:fill="DBE5F1" w:val="clear"/>
            <w:vAlign w:val="center"/>
          </w:tcPr>
          <w:p>
            <w:pPr>
              <w:pStyle w:val="TableContents"/>
              <w:bidi w:val="0"/>
              <w:spacing w:before="0" w:after="283"/>
              <w:jc w:val="left"/>
              <w:rPr/>
            </w:pPr>
            <w:r>
              <w:rPr/>
              <w:t> </w:t>
            </w:r>
          </w:p>
        </w:tc>
      </w:tr>
      <w:tr>
        <w:trPr/>
        <w:tc>
          <w:tcPr>
            <w:tcW w:w="3961" w:type="dxa"/>
            <w:tcBorders/>
            <w:shd w:fill="DBE5F1" w:val="clear"/>
            <w:vAlign w:val="center"/>
          </w:tcPr>
          <w:p>
            <w:pPr>
              <w:pStyle w:val="TableContents"/>
              <w:bidi w:val="0"/>
              <w:spacing w:before="0" w:after="0"/>
              <w:jc w:val="left"/>
              <w:rPr>
                <w:rFonts w:ascii="ARIAL" w:hAnsi="ARIAL"/>
                <w:sz w:val="16"/>
              </w:rPr>
            </w:pPr>
            <w:r>
              <w:rPr>
                <w:rFonts w:ascii="ARIAL" w:hAnsi="ARIAL"/>
                <w:sz w:val="16"/>
              </w:rPr>
              <w:t>Change in Control without Termination</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995"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2" w:type="dxa"/>
            <w:tcBorders/>
            <w:shd w:fill="DBE5F1" w:val="clear"/>
            <w:vAlign w:val="center"/>
          </w:tcPr>
          <w:p>
            <w:pPr>
              <w:pStyle w:val="TableContents"/>
              <w:bidi w:val="0"/>
              <w:spacing w:before="0" w:after="283"/>
              <w:jc w:val="left"/>
              <w:rPr/>
            </w:pPr>
            <w:r>
              <w:rPr/>
              <w:t> </w:t>
            </w:r>
          </w:p>
        </w:tc>
        <w:tc>
          <w:tcPr>
            <w:tcW w:w="835"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85" w:type="dxa"/>
            <w:tcBorders/>
            <w:shd w:fill="DBE5F1" w:val="clear"/>
            <w:vAlign w:val="center"/>
          </w:tcPr>
          <w:p>
            <w:pPr>
              <w:pStyle w:val="TableContents"/>
              <w:bidi w:val="0"/>
              <w:spacing w:before="0" w:after="283"/>
              <w:jc w:val="left"/>
              <w:rPr/>
            </w:pPr>
            <w:r>
              <w:rPr/>
              <w:t> </w:t>
            </w:r>
          </w:p>
        </w:tc>
        <w:tc>
          <w:tcPr>
            <w:tcW w:w="970" w:type="dxa"/>
            <w:tcBorders/>
            <w:shd w:fill="DBE5F1" w:val="clear"/>
            <w:vAlign w:val="center"/>
          </w:tcPr>
          <w:p>
            <w:pPr>
              <w:pStyle w:val="TableContents"/>
              <w:bidi w:val="0"/>
              <w:spacing w:before="0" w:after="283"/>
              <w:jc w:val="right"/>
              <w:rPr/>
            </w:pPr>
            <w:r>
              <w:rPr/>
              <w:t>—</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w:t>
            </w:r>
          </w:p>
        </w:tc>
        <w:tc>
          <w:tcPr>
            <w:tcW w:w="77" w:type="dxa"/>
            <w:tcBorders/>
            <w:shd w:fill="DBE5F1" w:val="clear"/>
            <w:vAlign w:val="center"/>
          </w:tcPr>
          <w:p>
            <w:pPr>
              <w:pStyle w:val="TableContents"/>
              <w:bidi w:val="0"/>
              <w:spacing w:before="0" w:after="283"/>
              <w:jc w:val="left"/>
              <w:rPr/>
            </w:pPr>
            <w:r>
              <w:rPr/>
              <w:t> </w:t>
            </w:r>
          </w:p>
        </w:tc>
      </w:tr>
      <w:tr>
        <w:trPr/>
        <w:tc>
          <w:tcPr>
            <w:tcW w:w="3961" w:type="dxa"/>
            <w:tcBorders/>
            <w:shd w:fill="DBE5F1" w:val="clear"/>
            <w:vAlign w:val="center"/>
          </w:tcPr>
          <w:p>
            <w:pPr>
              <w:pStyle w:val="TableContents"/>
              <w:bidi w:val="0"/>
              <w:spacing w:before="0" w:after="0"/>
              <w:jc w:val="left"/>
              <w:rPr>
                <w:rFonts w:ascii="ARIAL" w:hAnsi="ARIAL"/>
                <w:sz w:val="16"/>
              </w:rPr>
            </w:pPr>
            <w:r>
              <w:rPr>
                <w:rFonts w:ascii="ARIAL" w:hAnsi="ARIAL"/>
                <w:sz w:val="16"/>
              </w:rPr>
              <w:t>Change in Control with Qualifying Termination</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995" w:type="dxa"/>
            <w:tcBorders/>
            <w:shd w:fill="DBE5F1" w:val="clear"/>
            <w:vAlign w:val="center"/>
          </w:tcPr>
          <w:p>
            <w:pPr>
              <w:pStyle w:val="TableContents"/>
              <w:bidi w:val="0"/>
              <w:spacing w:before="0" w:after="283"/>
              <w:jc w:val="right"/>
              <w:rPr/>
            </w:pPr>
            <w:r>
              <w:rPr/>
              <w:t>1,036,000</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2" w:type="dxa"/>
            <w:tcBorders/>
            <w:shd w:fill="DBE5F1" w:val="clear"/>
            <w:vAlign w:val="center"/>
          </w:tcPr>
          <w:p>
            <w:pPr>
              <w:pStyle w:val="TableContents"/>
              <w:bidi w:val="0"/>
              <w:spacing w:before="0" w:after="283"/>
              <w:jc w:val="left"/>
              <w:rPr/>
            </w:pPr>
            <w:r>
              <w:rPr/>
              <w:t> </w:t>
            </w:r>
          </w:p>
        </w:tc>
        <w:tc>
          <w:tcPr>
            <w:tcW w:w="835" w:type="dxa"/>
            <w:tcBorders/>
            <w:shd w:fill="DBE5F1" w:val="clear"/>
            <w:vAlign w:val="center"/>
          </w:tcPr>
          <w:p>
            <w:pPr>
              <w:pStyle w:val="TableContents"/>
              <w:bidi w:val="0"/>
              <w:spacing w:before="0" w:after="283"/>
              <w:jc w:val="right"/>
              <w:rPr/>
            </w:pPr>
            <w:r>
              <w:rPr/>
              <w:t>476,000</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3,359,071</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85" w:type="dxa"/>
            <w:tcBorders/>
            <w:shd w:fill="DBE5F1" w:val="clear"/>
            <w:vAlign w:val="center"/>
          </w:tcPr>
          <w:p>
            <w:pPr>
              <w:pStyle w:val="TableContents"/>
              <w:bidi w:val="0"/>
              <w:spacing w:before="0" w:after="283"/>
              <w:jc w:val="left"/>
              <w:rPr/>
            </w:pPr>
            <w:r>
              <w:rPr/>
              <w:t> </w:t>
            </w:r>
          </w:p>
        </w:tc>
        <w:tc>
          <w:tcPr>
            <w:tcW w:w="970" w:type="dxa"/>
            <w:tcBorders/>
            <w:shd w:fill="DBE5F1" w:val="clear"/>
            <w:vAlign w:val="center"/>
          </w:tcPr>
          <w:p>
            <w:pPr>
              <w:pStyle w:val="TableContents"/>
              <w:bidi w:val="0"/>
              <w:spacing w:before="0" w:after="283"/>
              <w:jc w:val="right"/>
              <w:rPr/>
            </w:pPr>
            <w:r>
              <w:rPr/>
              <w:t>19,596</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283"/>
              <w:jc w:val="right"/>
              <w:rPr/>
            </w:pPr>
            <w:r>
              <w:rPr/>
              <w:t>4,890,667</w:t>
            </w:r>
          </w:p>
        </w:tc>
        <w:tc>
          <w:tcPr>
            <w:tcW w:w="77" w:type="dxa"/>
            <w:tcBorders/>
            <w:shd w:fill="DBE5F1" w:val="clear"/>
            <w:vAlign w:val="center"/>
          </w:tcPr>
          <w:p>
            <w:pPr>
              <w:pStyle w:val="TableContents"/>
              <w:bidi w:val="0"/>
              <w:spacing w:before="0" w:after="283"/>
              <w:jc w:val="left"/>
              <w:rPr/>
            </w:pPr>
            <w:r>
              <w:rPr/>
              <w:t> </w:t>
            </w:r>
          </w:p>
        </w:tc>
      </w:tr>
      <w:tr>
        <w:trPr/>
        <w:tc>
          <w:tcPr>
            <w:tcW w:w="3961" w:type="dxa"/>
            <w:tcBorders>
              <w:bottom w:val="single" w:sz="6" w:space="0" w:color="95B3D7"/>
            </w:tcBorders>
            <w:shd w:fill="DBE5F1" w:val="clear"/>
            <w:tcMar>
              <w:bottom w:w="28" w:type="dxa"/>
            </w:tcMar>
            <w:vAlign w:val="center"/>
          </w:tcPr>
          <w:p>
            <w:pPr>
              <w:pStyle w:val="TableContents"/>
              <w:bidi w:val="0"/>
              <w:spacing w:before="0" w:after="0"/>
              <w:jc w:val="left"/>
              <w:rPr>
                <w:rFonts w:ascii="ARIAL" w:hAnsi="ARIAL"/>
                <w:sz w:val="16"/>
              </w:rPr>
            </w:pPr>
            <w:r>
              <w:rPr>
                <w:rFonts w:ascii="ARIAL" w:hAnsi="ARIAL"/>
                <w:sz w:val="16"/>
              </w:rPr>
              <w:t>Death, Disability or Non-Renewal by the NEO</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995" w:type="dxa"/>
            <w:tcBorders>
              <w:bottom w:val="single" w:sz="6"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62"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835" w:type="dxa"/>
            <w:tcBorders>
              <w:bottom w:val="single" w:sz="6"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100" w:type="dxa"/>
            <w:tcBorders>
              <w:bottom w:val="single" w:sz="6"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85"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970" w:type="dxa"/>
            <w:tcBorders>
              <w:bottom w:val="single" w:sz="6"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100" w:type="dxa"/>
            <w:tcBorders>
              <w:bottom w:val="single" w:sz="6" w:space="0" w:color="95B3D7"/>
            </w:tcBorders>
            <w:shd w:fill="DBE5F1" w:val="clear"/>
            <w:tcMar>
              <w:bottom w:w="28" w:type="dxa"/>
            </w:tcMar>
            <w:vAlign w:val="center"/>
          </w:tcPr>
          <w:p>
            <w:pPr>
              <w:pStyle w:val="TableContents"/>
              <w:bidi w:val="0"/>
              <w:spacing w:before="0" w:after="283"/>
              <w:jc w:val="right"/>
              <w:rPr/>
            </w:pPr>
            <w:r>
              <w:rPr/>
              <w:t>—</w:t>
            </w:r>
          </w:p>
        </w:tc>
        <w:tc>
          <w:tcPr>
            <w:tcW w:w="77"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4"/>
        <w:gridCol w:w="9846"/>
      </w:tblGrid>
      <w:tr>
        <w:trPr/>
        <w:tc>
          <w:tcPr>
            <w:tcW w:w="75"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(1)</w:t>
            </w:r>
          </w:p>
        </w:tc>
        <w:tc>
          <w:tcPr>
            <w:tcW w:w="9846" w:type="dxa"/>
            <w:tcBorders/>
            <w:vAlign w:val="center"/>
          </w:tcPr>
          <w:p>
            <w:pPr>
              <w:pStyle w:val="TableContents"/>
              <w:bidi w:val="0"/>
              <w:spacing w:before="0" w:after="0"/>
              <w:jc w:val="left"/>
              <w:rPr>
                <w:rFonts w:ascii="ARIAL" w:hAnsi="ARIAL"/>
                <w:sz w:val="16"/>
              </w:rPr>
            </w:pPr>
            <w:r>
              <w:rPr>
                <w:rFonts w:ascii="ARIAL" w:hAnsi="ARIAL"/>
                <w:sz w:val="16"/>
              </w:rPr>
              <w:t xml:space="preserve">Amounts assume an annual bonus that is earned at 100% achievement, based on target bonus percentages in effect as of December 31, 2022. </w:t>
            </w:r>
          </w:p>
        </w:tc>
      </w:tr>
    </w:tbl>
    <w:p>
      <w:pPr>
        <w:pStyle w:val="TextBody"/>
        <w:bidi w:val="0"/>
        <w:spacing w:before="0" w:after="0"/>
        <w:jc w:val="left"/>
        <w:rPr/>
      </w:pPr>
      <w:r>
        <w:rPr/>
        <w:t> </w:t>
      </w:r>
    </w:p>
    <w:tbl>
      <w:tblPr>
        <w:tblW w:w="4345" w:type="dxa"/>
        <w:jc w:val="left"/>
        <w:tblInd w:w="0" w:type="dxa"/>
        <w:tblLayout w:type="fixed"/>
        <w:tblCellMar>
          <w:top w:w="0" w:type="dxa"/>
          <w:left w:w="0" w:type="dxa"/>
          <w:bottom w:w="0" w:type="dxa"/>
          <w:right w:w="0" w:type="dxa"/>
        </w:tblCellMar>
      </w:tblPr>
      <w:tblGrid>
        <w:gridCol w:w="75"/>
        <w:gridCol w:w="290"/>
        <w:gridCol w:w="398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(2)</w:t>
            </w:r>
          </w:p>
        </w:tc>
        <w:tc>
          <w:tcPr>
            <w:tcW w:w="3980" w:type="dxa"/>
            <w:tcBorders/>
            <w:vAlign w:val="center"/>
          </w:tcPr>
          <w:p>
            <w:pPr>
              <w:pStyle w:val="TableContents"/>
              <w:bidi w:val="0"/>
              <w:spacing w:before="0" w:after="0"/>
              <w:jc w:val="left"/>
              <w:rPr>
                <w:rFonts w:ascii="ARIAL" w:hAnsi="ARIAL"/>
                <w:sz w:val="16"/>
              </w:rPr>
            </w:pPr>
            <w:r>
              <w:rPr>
                <w:rFonts w:ascii="ARIAL" w:hAnsi="ARIAL"/>
                <w:sz w:val="16"/>
              </w:rPr>
              <w:t xml:space="preserve">Amounts assume PSUs are deemed earned at target.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65 </w:t>
      </w:r>
      <w:r>
        <w:br w:type="page"/>
      </w:r>
    </w:p>
    <w:p>
      <w:pPr>
        <w:pStyle w:val="HorizontalLine"/>
        <w:bidi w:val="0"/>
        <w:jc w:val="left"/>
        <w:rPr/>
      </w:pPr>
      <w:r>
        <w:rPr/>
      </w:r>
    </w:p>
    <w:p>
      <w:pPr>
        <w:pStyle w:val="TextBody"/>
        <w:bidi w:val="0"/>
        <w:spacing w:before="0" w:after="0"/>
        <w:jc w:val="left"/>
        <w:rPr>
          <w:rFonts w:ascii="ARIAL" w:hAnsi="ARIAL"/>
          <w:sz w:val="20"/>
        </w:rPr>
      </w:pPr>
      <w:r>
        <w:rPr>
          <w:rFonts w:ascii="ARIAL" w:hAnsi="ARIAL"/>
          <w:sz w:val="20"/>
        </w:rPr>
        <w:t xml:space="preserve">The severance payments and benefits described above are subject to the executive’s execution and non-revocation of a general release of claims in favor of the Company and continued compliance with customary confidentiality and non-solicitation requirements, then, in addition to any accrued amounts. </w:t>
      </w:r>
    </w:p>
    <w:p>
      <w:pPr>
        <w:pStyle w:val="TextBody"/>
        <w:bidi w:val="0"/>
        <w:spacing w:before="360" w:after="0"/>
        <w:jc w:val="left"/>
        <w:rPr>
          <w:rFonts w:ascii="ARIAL" w:hAnsi="ARIAL"/>
          <w:b/>
          <w:color w:val="1F497D"/>
          <w:sz w:val="20"/>
        </w:rPr>
      </w:pPr>
      <w:r>
        <w:rPr>
          <w:rFonts w:ascii="ARIAL" w:hAnsi="ARIAL"/>
          <w:b/>
          <w:color w:val="1F497D"/>
          <w:sz w:val="20"/>
        </w:rPr>
        <w:t xml:space="preserve">Non-Employee Director Compensation </w:t>
      </w:r>
    </w:p>
    <w:p>
      <w:pPr>
        <w:pStyle w:val="TextBody"/>
        <w:bidi w:val="0"/>
        <w:spacing w:before="240" w:after="0"/>
        <w:jc w:val="left"/>
        <w:rPr>
          <w:rFonts w:ascii="ARIAL" w:hAnsi="ARIAL"/>
          <w:sz w:val="20"/>
        </w:rPr>
      </w:pPr>
      <w:r>
        <w:rPr>
          <w:rFonts w:ascii="ARIAL" w:hAnsi="ARIAL"/>
          <w:sz w:val="20"/>
        </w:rPr>
        <w:t>Each of our non-employee directors receives an annual director fee and equity awards in connection with their services. In addition, each director is reimbursed for out-of-pocket expenses in connection with his or her services. While Mr. Kao serves as a director on the Board, he does not receive any compensation for his services as a director and information on his compensation as Chief Executive Officer of the Company is reported in the “</w:t>
      </w:r>
      <w:r>
        <w:rPr>
          <w:rFonts w:ascii="ARIAL" w:hAnsi="ARIAL"/>
          <w:i/>
          <w:sz w:val="20"/>
        </w:rPr>
        <w:t>Summary Compensation Table</w:t>
      </w:r>
      <w:r>
        <w:rPr>
          <w:rFonts w:ascii="ARIAL" w:hAnsi="ARIAL"/>
          <w:sz w:val="20"/>
        </w:rPr>
        <w:t>.” During 2023, Mr. Konowiecki served in an executive role with the Company and did not receive separate compensation for his service as a director. His employment with the Company terminated as of December 31, 2023. See “</w:t>
      </w:r>
      <w:r>
        <w:rPr>
          <w:rFonts w:ascii="ARIAL" w:hAnsi="ARIAL"/>
          <w:i/>
          <w:sz w:val="20"/>
        </w:rPr>
        <w:t>Certain Relationships and Related Party Transactions—Related-Party Transactions—Konowiecki Employment Agreement</w:t>
      </w:r>
      <w:r>
        <w:rPr>
          <w:rFonts w:ascii="ARIAL" w:hAnsi="ARIAL"/>
          <w:sz w:val="20"/>
        </w:rPr>
        <w:t xml:space="preserve">.” For 2024, Mr. Konowiecki will again be compensated under the Policy (defined below). </w:t>
      </w:r>
    </w:p>
    <w:p>
      <w:pPr>
        <w:pStyle w:val="TextBody"/>
        <w:bidi w:val="0"/>
        <w:spacing w:before="240" w:after="0"/>
        <w:jc w:val="left"/>
        <w:rPr>
          <w:rFonts w:ascii="ARIAL" w:hAnsi="ARIAL"/>
          <w:sz w:val="20"/>
        </w:rPr>
      </w:pPr>
      <w:r>
        <w:rPr>
          <w:rFonts w:ascii="ARIAL" w:hAnsi="ARIAL"/>
          <w:sz w:val="20"/>
        </w:rPr>
        <w:t xml:space="preserve">The Board has adopted a non-employee director compensation policy (as amended from time to time, the “Policy”). Under the Policy, newly elected non-employee directors will receive a one-time commencement award of restricted shares or restricted stock units equal to $200,000, with vesting annually over three years. Non-employee directors receive annual compensation with an aggregate annual value of $250,000, consisting of a cash retainer in an amount elected by each director from $0 to $100,000, with the balance of the aggregate compensation value paid as an equity grant of restricted shares or restricted stock units, with vesting on the first anniversary of the grant date. Directors are permitted to defer receipt of their RSU awards until the earlier of (i) three years from the grant date (or, if earlier, separation from service or change of control), (ii) five years from the grant date (or, if earlier, separation from service or change of control), or (iii) separation form service (or, if earlier, change of control). </w:t>
      </w:r>
    </w:p>
    <w:p>
      <w:pPr>
        <w:pStyle w:val="TextBody"/>
        <w:bidi w:val="0"/>
        <w:spacing w:before="240" w:after="0"/>
        <w:jc w:val="left"/>
        <w:rPr>
          <w:rFonts w:ascii="ARIAL" w:hAnsi="ARIAL"/>
          <w:sz w:val="20"/>
        </w:rPr>
      </w:pPr>
      <w:r>
        <w:rPr>
          <w:rFonts w:ascii="ARIAL" w:hAnsi="ARIAL"/>
          <w:sz w:val="20"/>
        </w:rPr>
        <w:t xml:space="preserve">Under the Policy, in addition to the base annual compensation payable to each board member: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an independent chairman of the Board, if applicable, will receive an annual retainer of $200,000 in restricted stock units or other long-term equity incentives, with vesting on occurring on the first anniversary of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a Lead Independent Director, if applicable, will receive an annual retainer of $35,000, payable 50% in cash and 50% in restricted stock units or other long-term equity incentives, with vesting on occurring on the first anniversary of the grant date; </w:t>
            </w:r>
          </w:p>
        </w:tc>
      </w:tr>
    </w:tbl>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75"/>
        <w:gridCol w:w="110"/>
        <w:gridCol w:w="60"/>
        <w:gridCol w:w="7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rFonts w:ascii="ARIAL" w:hAnsi="ARIAL"/>
                <w:sz w:val="20"/>
              </w:rPr>
            </w:pPr>
            <w:r>
              <w:rPr>
                <w:rFonts w:ascii="ARIAL" w:hAnsi="ARIAL"/>
                <w:sz w:val="20"/>
              </w:rPr>
              <w:t xml:space="preserve">the chairman of the Audit committee will receive an annual cash retainer of $25,000; </w:t>
            </w:r>
          </w:p>
        </w:tc>
      </w:tr>
    </w:tbl>
    <w:p>
      <w:pPr>
        <w:pStyle w:val="TextBody"/>
        <w:bidi w:val="0"/>
        <w:spacing w:before="0" w:after="0"/>
        <w:jc w:val="left"/>
        <w:rPr/>
      </w:pPr>
      <w:r>
        <w:rPr/>
        <w:t> </w:t>
      </w:r>
    </w:p>
    <w:tbl>
      <w:tblPr>
        <w:tblW w:w="7360" w:type="dxa"/>
        <w:jc w:val="left"/>
        <w:tblInd w:w="0" w:type="dxa"/>
        <w:tblLayout w:type="fixed"/>
        <w:tblCellMar>
          <w:top w:w="0" w:type="dxa"/>
          <w:left w:w="0" w:type="dxa"/>
          <w:bottom w:w="0" w:type="dxa"/>
          <w:right w:w="0" w:type="dxa"/>
        </w:tblCellMar>
      </w:tblPr>
      <w:tblGrid>
        <w:gridCol w:w="75"/>
        <w:gridCol w:w="110"/>
        <w:gridCol w:w="60"/>
        <w:gridCol w:w="71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15" w:type="dxa"/>
            <w:tcBorders/>
            <w:vAlign w:val="center"/>
          </w:tcPr>
          <w:p>
            <w:pPr>
              <w:pStyle w:val="TableContents"/>
              <w:bidi w:val="0"/>
              <w:spacing w:before="0" w:after="0"/>
              <w:jc w:val="left"/>
              <w:rPr>
                <w:rFonts w:ascii="ARIAL" w:hAnsi="ARIAL"/>
                <w:sz w:val="20"/>
              </w:rPr>
            </w:pPr>
            <w:r>
              <w:rPr>
                <w:rFonts w:ascii="ARIAL" w:hAnsi="ARIAL"/>
                <w:sz w:val="20"/>
              </w:rPr>
              <w:t xml:space="preserve">members of the Audit Committee will receive an annual cash retainer of $10,000;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the chairman of the Compensation Committee and NCGCC will each receive an annual cash retainer of $20,000; and </w:t>
            </w:r>
          </w:p>
        </w:tc>
      </w:tr>
    </w:tbl>
    <w:p>
      <w:pPr>
        <w:pStyle w:val="TextBody"/>
        <w:bidi w:val="0"/>
        <w:spacing w:before="0" w:after="0"/>
        <w:jc w:val="left"/>
        <w:rPr/>
      </w:pPr>
      <w:r>
        <w:rPr/>
        <w:t> </w:t>
      </w:r>
    </w:p>
    <w:tbl>
      <w:tblPr>
        <w:tblW w:w="9550" w:type="dxa"/>
        <w:jc w:val="left"/>
        <w:tblInd w:w="0" w:type="dxa"/>
        <w:tblLayout w:type="fixed"/>
        <w:tblCellMar>
          <w:top w:w="0" w:type="dxa"/>
          <w:left w:w="0" w:type="dxa"/>
          <w:bottom w:w="0" w:type="dxa"/>
          <w:right w:w="0" w:type="dxa"/>
        </w:tblCellMar>
      </w:tblPr>
      <w:tblGrid>
        <w:gridCol w:w="75"/>
        <w:gridCol w:w="110"/>
        <w:gridCol w:w="60"/>
        <w:gridCol w:w="9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0"/>
              <w:jc w:val="left"/>
              <w:rPr>
                <w:rFonts w:ascii="ARIAL" w:hAnsi="ARIAL"/>
                <w:sz w:val="20"/>
              </w:rPr>
            </w:pPr>
            <w:r>
              <w:rPr>
                <w:rFonts w:ascii="ARIAL" w:hAnsi="ARIAL"/>
                <w:sz w:val="20"/>
              </w:rPr>
              <w:t xml:space="preserve">each member of the Compensation Committee and NCGCC will receive an annual cash retainer of $7,500. </w:t>
            </w:r>
          </w:p>
        </w:tc>
      </w:tr>
    </w:tbl>
    <w:p>
      <w:pPr>
        <w:pStyle w:val="TextBody"/>
        <w:bidi w:val="0"/>
        <w:spacing w:before="240" w:after="0"/>
        <w:jc w:val="left"/>
        <w:rPr>
          <w:rFonts w:ascii="ARIAL" w:hAnsi="ARIAL"/>
          <w:sz w:val="20"/>
        </w:rPr>
      </w:pPr>
      <w:r>
        <w:rPr>
          <w:rFonts w:ascii="ARIAL" w:hAnsi="ARIAL"/>
          <w:sz w:val="20"/>
        </w:rPr>
        <w:t xml:space="preserve">All cash retainers are paid in quarterly installments in arrears.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66 </w:t>
      </w:r>
      <w:r>
        <w:br w:type="page"/>
      </w:r>
    </w:p>
    <w:p>
      <w:pPr>
        <w:pStyle w:val="HorizontalLine"/>
        <w:bidi w:val="0"/>
        <w:jc w:val="left"/>
        <w:rPr/>
      </w:pPr>
      <w:r>
        <w:rPr/>
      </w:r>
    </w:p>
    <w:p>
      <w:pPr>
        <w:pStyle w:val="TextBody"/>
        <w:bidi w:val="0"/>
        <w:spacing w:before="0" w:after="0"/>
        <w:jc w:val="left"/>
        <w:rPr>
          <w:rFonts w:ascii="ARIAL" w:hAnsi="ARIAL"/>
          <w:sz w:val="20"/>
        </w:rPr>
      </w:pPr>
      <w:r>
        <w:rPr>
          <w:rFonts w:ascii="ARIAL" w:hAnsi="ARIAL"/>
          <w:sz w:val="20"/>
        </w:rPr>
        <w:t xml:space="preserve">The following table summarizes, for each of our non-employee directors, the compensation received by such director for the year ended December 31, 2023. </w:t>
      </w:r>
    </w:p>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1655"/>
        <w:gridCol w:w="120"/>
        <w:gridCol w:w="1220"/>
        <w:gridCol w:w="120"/>
        <w:gridCol w:w="830"/>
        <w:gridCol w:w="120"/>
        <w:gridCol w:w="1490"/>
        <w:gridCol w:w="120"/>
        <w:gridCol w:w="995"/>
      </w:tblGrid>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1655" w:type="dxa"/>
            <w:tcBorders>
              <w:bottom w:val="single" w:sz="8" w:space="0" w:color="95B3D7"/>
            </w:tcBorders>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220" w:type="dxa"/>
            <w:tcBorders>
              <w:bottom w:val="single" w:sz="8" w:space="0" w:color="95B3D7"/>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Fees Earned or</w:t>
              <w:br/>
              <w:t>Paid in Cash(1)</w:t>
            </w:r>
          </w:p>
          <w:p>
            <w:pPr>
              <w:pStyle w:val="TableContents"/>
              <w:bidi w:val="0"/>
              <w:spacing w:before="0" w:after="20"/>
              <w:jc w:val="center"/>
              <w:rPr>
                <w:rFonts w:ascii="ARIAL" w:hAnsi="ARIAL"/>
                <w:b/>
                <w:sz w:val="16"/>
              </w:rPr>
            </w:pPr>
            <w:r>
              <w:rPr>
                <w:rFonts w:ascii="ARIAL" w:hAnsi="ARIAL"/>
                <w:b/>
                <w:sz w:val="16"/>
              </w:rPr>
              <w:t>($)</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830" w:type="dxa"/>
            <w:tcBorders>
              <w:bottom w:val="single" w:sz="8" w:space="0" w:color="95B3D7"/>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Stock</w:t>
              <w:br/>
              <w:t>Awards(2)</w:t>
            </w:r>
          </w:p>
          <w:p>
            <w:pPr>
              <w:pStyle w:val="TableContents"/>
              <w:bidi w:val="0"/>
              <w:spacing w:before="0" w:after="20"/>
              <w:jc w:val="center"/>
              <w:rPr>
                <w:rFonts w:ascii="ARIAL" w:hAnsi="ARIAL"/>
                <w:b/>
                <w:sz w:val="16"/>
              </w:rPr>
            </w:pPr>
            <w:r>
              <w:rPr>
                <w:rFonts w:ascii="ARIAL" w:hAnsi="ARIAL"/>
                <w:b/>
                <w:sz w:val="16"/>
              </w:rPr>
              <w:t>($)</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490" w:type="dxa"/>
            <w:tcBorders>
              <w:bottom w:val="single" w:sz="8" w:space="0" w:color="95B3D7"/>
            </w:tcBorders>
            <w:tcMar>
              <w:bottom w:w="28" w:type="dxa"/>
            </w:tcMar>
            <w:vAlign w:val="center"/>
          </w:tcPr>
          <w:p>
            <w:pPr>
              <w:pStyle w:val="TableContents"/>
              <w:bidi w:val="0"/>
              <w:spacing w:before="0" w:after="283"/>
              <w:jc w:val="center"/>
              <w:rPr>
                <w:b/>
              </w:rPr>
            </w:pPr>
            <w:r>
              <w:rPr>
                <w:b/>
              </w:rPr>
              <w:t>All Other</w:t>
              <w:br/>
              <w:t>Compensation</w:t>
              <w:br/>
              <w:t>($)</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995" w:type="dxa"/>
            <w:tcBorders>
              <w:bottom w:val="single" w:sz="8" w:space="0" w:color="95B3D7"/>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Total</w:t>
            </w:r>
          </w:p>
          <w:p>
            <w:pPr>
              <w:pStyle w:val="TableContents"/>
              <w:bidi w:val="0"/>
              <w:spacing w:before="0" w:after="20"/>
              <w:jc w:val="center"/>
              <w:rPr>
                <w:rFonts w:ascii="ARIAL" w:hAnsi="ARIAL"/>
                <w:b/>
                <w:sz w:val="16"/>
              </w:rPr>
            </w:pPr>
            <w:r>
              <w:rPr>
                <w:rFonts w:ascii="ARIAL" w:hAnsi="ARIAL"/>
                <w:b/>
                <w:sz w:val="16"/>
              </w:rPr>
              <w:t>($)</w:t>
            </w:r>
          </w:p>
        </w:tc>
      </w:tr>
      <w:tr>
        <w:trPr/>
        <w:tc>
          <w:tcPr>
            <w:tcW w:w="165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0"/>
              <w:jc w:val="left"/>
              <w:rPr>
                <w:rFonts w:ascii="ARIAL" w:hAnsi="ARIAL"/>
                <w:sz w:val="16"/>
              </w:rPr>
            </w:pPr>
            <w:r>
              <w:rPr>
                <w:rFonts w:ascii="ARIAL" w:hAnsi="ARIAL"/>
                <w:sz w:val="16"/>
              </w:rPr>
              <w:t>Jody Bilney</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22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pPr>
            <w:r>
              <w:rPr/>
              <w:t>57,500</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83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pPr>
            <w:r>
              <w:rPr/>
              <w:t>200,000</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49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pPr>
            <w:r>
              <w:rPr/>
              <w:t>—</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995" w:type="dxa"/>
            <w:tcBorders>
              <w:bottom w:val="single" w:sz="6" w:space="0" w:color="95B3D7"/>
            </w:tcBorders>
            <w:shd w:fill="DBE5F1" w:val="clear"/>
            <w:tcMar>
              <w:bottom w:w="28" w:type="dxa"/>
            </w:tcMar>
            <w:vAlign w:val="center"/>
          </w:tcPr>
          <w:p>
            <w:pPr>
              <w:pStyle w:val="TableContents"/>
              <w:bidi w:val="0"/>
              <w:spacing w:before="0" w:after="283"/>
              <w:jc w:val="center"/>
              <w:rPr/>
            </w:pPr>
            <w:r>
              <w:rPr/>
              <w:t>257,500</w:t>
            </w:r>
          </w:p>
        </w:tc>
      </w:tr>
      <w:tr>
        <w:trPr/>
        <w:tc>
          <w:tcPr>
            <w:tcW w:w="1655" w:type="dxa"/>
            <w:tcBorders>
              <w:bottom w:val="single" w:sz="6" w:space="0" w:color="95B3D7"/>
              <w:right w:val="single" w:sz="6" w:space="0" w:color="95B3D7"/>
            </w:tcBorders>
            <w:tcMar>
              <w:bottom w:w="28" w:type="dxa"/>
              <w:right w:w="28" w:type="dxa"/>
            </w:tcMar>
            <w:vAlign w:val="center"/>
          </w:tcPr>
          <w:p>
            <w:pPr>
              <w:pStyle w:val="TableContents"/>
              <w:bidi w:val="0"/>
              <w:spacing w:before="0" w:after="0"/>
              <w:jc w:val="left"/>
              <w:rPr>
                <w:rFonts w:ascii="ARIAL" w:hAnsi="ARIAL"/>
                <w:sz w:val="16"/>
              </w:rPr>
            </w:pPr>
            <w:r>
              <w:rPr>
                <w:rFonts w:ascii="ARIAL" w:hAnsi="ARIAL"/>
                <w:sz w:val="16"/>
              </w:rPr>
              <w:t>Thomas Carella</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22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pPr>
            <w:r>
              <w:rPr/>
              <w:t>57,500</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83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pPr>
            <w:r>
              <w:rPr/>
              <w:t>200,000</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49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pPr>
            <w:r>
              <w:rPr/>
              <w:t>—</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995" w:type="dxa"/>
            <w:tcBorders>
              <w:bottom w:val="single" w:sz="6" w:space="0" w:color="95B3D7"/>
            </w:tcBorders>
            <w:tcMar>
              <w:bottom w:w="28" w:type="dxa"/>
            </w:tcMar>
            <w:vAlign w:val="center"/>
          </w:tcPr>
          <w:p>
            <w:pPr>
              <w:pStyle w:val="TableContents"/>
              <w:bidi w:val="0"/>
              <w:spacing w:before="0" w:after="283"/>
              <w:jc w:val="center"/>
              <w:rPr/>
            </w:pPr>
            <w:r>
              <w:rPr/>
              <w:t>257,500</w:t>
            </w:r>
          </w:p>
        </w:tc>
      </w:tr>
      <w:tr>
        <w:trPr/>
        <w:tc>
          <w:tcPr>
            <w:tcW w:w="165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0"/>
              <w:jc w:val="left"/>
              <w:rPr>
                <w:rFonts w:ascii="ARIAL" w:hAnsi="ARIAL"/>
                <w:sz w:val="16"/>
              </w:rPr>
            </w:pPr>
            <w:r>
              <w:rPr>
                <w:rFonts w:ascii="ARIAL" w:hAnsi="ARIAL"/>
                <w:sz w:val="16"/>
              </w:rPr>
              <w:t>David Hodgson</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22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pPr>
            <w:r>
              <w:rPr/>
              <w:t>20,000</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83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pPr>
            <w:r>
              <w:rPr/>
              <w:t>250,000</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49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pPr>
            <w:r>
              <w:rPr/>
              <w:t>—</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995" w:type="dxa"/>
            <w:tcBorders>
              <w:bottom w:val="single" w:sz="6" w:space="0" w:color="95B3D7"/>
            </w:tcBorders>
            <w:shd w:fill="DBE5F1" w:val="clear"/>
            <w:tcMar>
              <w:bottom w:w="28" w:type="dxa"/>
            </w:tcMar>
            <w:vAlign w:val="center"/>
          </w:tcPr>
          <w:p>
            <w:pPr>
              <w:pStyle w:val="TableContents"/>
              <w:bidi w:val="0"/>
              <w:spacing w:before="0" w:after="283"/>
              <w:jc w:val="center"/>
              <w:rPr/>
            </w:pPr>
            <w:r>
              <w:rPr/>
              <w:t>270,000</w:t>
            </w:r>
          </w:p>
        </w:tc>
      </w:tr>
      <w:tr>
        <w:trPr/>
        <w:tc>
          <w:tcPr>
            <w:tcW w:w="1655" w:type="dxa"/>
            <w:tcBorders>
              <w:bottom w:val="single" w:sz="6" w:space="0" w:color="95B3D7"/>
              <w:right w:val="single" w:sz="6" w:space="0" w:color="95B3D7"/>
            </w:tcBorders>
            <w:tcMar>
              <w:bottom w:w="28" w:type="dxa"/>
              <w:right w:w="28" w:type="dxa"/>
            </w:tcMar>
            <w:vAlign w:val="center"/>
          </w:tcPr>
          <w:p>
            <w:pPr>
              <w:pStyle w:val="TableContents"/>
              <w:bidi w:val="0"/>
              <w:spacing w:before="0" w:after="0"/>
              <w:jc w:val="left"/>
              <w:rPr>
                <w:rFonts w:ascii="ARIAL" w:hAnsi="ARIAL"/>
                <w:sz w:val="16"/>
              </w:rPr>
            </w:pPr>
            <w:r>
              <w:rPr>
                <w:rFonts w:ascii="ARIAL" w:hAnsi="ARIAL"/>
                <w:sz w:val="16"/>
              </w:rPr>
              <w:t>Yon Jorden</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22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pPr>
            <w:r>
              <w:rPr/>
              <w:t>110,000</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83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pPr>
            <w:r>
              <w:rPr/>
              <w:t>150,000</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49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pPr>
            <w:r>
              <w:rPr/>
              <w:t>—</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995" w:type="dxa"/>
            <w:tcBorders>
              <w:bottom w:val="single" w:sz="6" w:space="0" w:color="95B3D7"/>
            </w:tcBorders>
            <w:tcMar>
              <w:bottom w:w="28" w:type="dxa"/>
            </w:tcMar>
            <w:vAlign w:val="center"/>
          </w:tcPr>
          <w:p>
            <w:pPr>
              <w:pStyle w:val="TableContents"/>
              <w:bidi w:val="0"/>
              <w:spacing w:before="0" w:after="283"/>
              <w:jc w:val="center"/>
              <w:rPr/>
            </w:pPr>
            <w:r>
              <w:rPr/>
              <w:t>260,000</w:t>
            </w:r>
          </w:p>
        </w:tc>
      </w:tr>
      <w:tr>
        <w:trPr/>
        <w:tc>
          <w:tcPr>
            <w:tcW w:w="165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0"/>
              <w:jc w:val="left"/>
              <w:rPr>
                <w:rFonts w:ascii="ARIAL" w:hAnsi="ARIAL"/>
                <w:sz w:val="16"/>
              </w:rPr>
            </w:pPr>
            <w:r>
              <w:rPr>
                <w:rFonts w:ascii="ARIAL" w:hAnsi="ARIAL"/>
                <w:sz w:val="16"/>
              </w:rPr>
              <w:t>Joseph Konowiecki(3)</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22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pPr>
            <w:r>
              <w:rPr/>
              <w:t>—</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83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pPr>
            <w:r>
              <w:rPr/>
              <w:t>—</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49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pPr>
            <w:r>
              <w:rPr/>
              <w:t>2,252,608(4)</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995" w:type="dxa"/>
            <w:tcBorders>
              <w:bottom w:val="single" w:sz="6" w:space="0" w:color="95B3D7"/>
            </w:tcBorders>
            <w:shd w:fill="DBE5F1" w:val="clear"/>
            <w:tcMar>
              <w:bottom w:w="28" w:type="dxa"/>
            </w:tcMar>
            <w:vAlign w:val="center"/>
          </w:tcPr>
          <w:p>
            <w:pPr>
              <w:pStyle w:val="TableContents"/>
              <w:bidi w:val="0"/>
              <w:spacing w:before="0" w:after="283"/>
              <w:jc w:val="center"/>
              <w:rPr/>
            </w:pPr>
            <w:r>
              <w:rPr/>
              <w:t>2,252,608</w:t>
            </w:r>
          </w:p>
        </w:tc>
      </w:tr>
      <w:tr>
        <w:trPr/>
        <w:tc>
          <w:tcPr>
            <w:tcW w:w="1655" w:type="dxa"/>
            <w:tcBorders>
              <w:bottom w:val="single" w:sz="6" w:space="0" w:color="95B3D7"/>
              <w:right w:val="single" w:sz="6" w:space="0" w:color="95B3D7"/>
            </w:tcBorders>
            <w:tcMar>
              <w:bottom w:w="28" w:type="dxa"/>
              <w:right w:w="28" w:type="dxa"/>
            </w:tcMar>
            <w:vAlign w:val="center"/>
          </w:tcPr>
          <w:p>
            <w:pPr>
              <w:pStyle w:val="TableContents"/>
              <w:bidi w:val="0"/>
              <w:spacing w:before="0" w:after="0"/>
              <w:jc w:val="left"/>
              <w:rPr>
                <w:rFonts w:ascii="ARIAL" w:hAnsi="ARIAL"/>
                <w:sz w:val="16"/>
              </w:rPr>
            </w:pPr>
            <w:r>
              <w:rPr>
                <w:rFonts w:ascii="ARIAL" w:hAnsi="ARIAL"/>
                <w:sz w:val="16"/>
              </w:rPr>
              <w:t>Jacqueline Kosecoff</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22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pPr>
            <w:r>
              <w:rPr/>
              <w:t>115,625</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83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pPr>
            <w:r>
              <w:rPr/>
              <w:t>150,000</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49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pPr>
            <w:r>
              <w:rPr/>
              <w:t>—</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995" w:type="dxa"/>
            <w:tcBorders>
              <w:bottom w:val="single" w:sz="6" w:space="0" w:color="95B3D7"/>
            </w:tcBorders>
            <w:tcMar>
              <w:bottom w:w="28" w:type="dxa"/>
            </w:tcMar>
            <w:vAlign w:val="center"/>
          </w:tcPr>
          <w:p>
            <w:pPr>
              <w:pStyle w:val="TableContents"/>
              <w:bidi w:val="0"/>
              <w:spacing w:before="0" w:after="283"/>
              <w:jc w:val="center"/>
              <w:rPr/>
            </w:pPr>
            <w:r>
              <w:rPr/>
              <w:t>265,625</w:t>
            </w:r>
          </w:p>
        </w:tc>
      </w:tr>
      <w:tr>
        <w:trPr/>
        <w:tc>
          <w:tcPr>
            <w:tcW w:w="165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0"/>
              <w:jc w:val="left"/>
              <w:rPr>
                <w:rFonts w:ascii="ARIAL" w:hAnsi="ARIAL"/>
                <w:sz w:val="16"/>
              </w:rPr>
            </w:pPr>
            <w:r>
              <w:rPr>
                <w:rFonts w:ascii="ARIAL" w:hAnsi="ARIAL"/>
                <w:sz w:val="16"/>
              </w:rPr>
              <w:t>Jeffrey Margolis</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22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pPr>
            <w:r>
              <w:rPr/>
              <w:t>100,000</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83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pPr>
            <w:r>
              <w:rPr/>
              <w:t>175,000</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49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pPr>
            <w:r>
              <w:rPr/>
              <w:t>—</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995" w:type="dxa"/>
            <w:tcBorders>
              <w:bottom w:val="single" w:sz="6" w:space="0" w:color="95B3D7"/>
            </w:tcBorders>
            <w:shd w:fill="DBE5F1" w:val="clear"/>
            <w:tcMar>
              <w:bottom w:w="28" w:type="dxa"/>
            </w:tcMar>
            <w:vAlign w:val="center"/>
          </w:tcPr>
          <w:p>
            <w:pPr>
              <w:pStyle w:val="TableContents"/>
              <w:bidi w:val="0"/>
              <w:spacing w:before="0" w:after="283"/>
              <w:jc w:val="center"/>
              <w:rPr/>
            </w:pPr>
            <w:r>
              <w:rPr/>
              <w:t>275,000</w:t>
            </w:r>
          </w:p>
        </w:tc>
      </w:tr>
      <w:tr>
        <w:trPr/>
        <w:tc>
          <w:tcPr>
            <w:tcW w:w="1655" w:type="dxa"/>
            <w:tcBorders>
              <w:bottom w:val="single" w:sz="6" w:space="0" w:color="95B3D7"/>
              <w:right w:val="single" w:sz="6" w:space="0" w:color="95B3D7"/>
            </w:tcBorders>
            <w:tcMar>
              <w:bottom w:w="28" w:type="dxa"/>
              <w:right w:w="28" w:type="dxa"/>
            </w:tcMar>
            <w:vAlign w:val="center"/>
          </w:tcPr>
          <w:p>
            <w:pPr>
              <w:pStyle w:val="TableContents"/>
              <w:bidi w:val="0"/>
              <w:spacing w:before="0" w:after="0"/>
              <w:jc w:val="left"/>
              <w:rPr>
                <w:rFonts w:ascii="ARIAL" w:hAnsi="ARIAL"/>
                <w:sz w:val="16"/>
              </w:rPr>
            </w:pPr>
            <w:r>
              <w:rPr>
                <w:rFonts w:ascii="ARIAL" w:hAnsi="ARIAL"/>
                <w:sz w:val="16"/>
              </w:rPr>
              <w:t>Margaret McCarthy</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22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pPr>
            <w:r>
              <w:rPr/>
              <w:t>112,917</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83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pPr>
            <w:r>
              <w:rPr/>
              <w:t>167,500</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49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pPr>
            <w:r>
              <w:rPr/>
              <w:t>—</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995" w:type="dxa"/>
            <w:tcBorders>
              <w:bottom w:val="single" w:sz="6" w:space="0" w:color="95B3D7"/>
            </w:tcBorders>
            <w:tcMar>
              <w:bottom w:w="28" w:type="dxa"/>
            </w:tcMar>
            <w:vAlign w:val="center"/>
          </w:tcPr>
          <w:p>
            <w:pPr>
              <w:pStyle w:val="TableContents"/>
              <w:bidi w:val="0"/>
              <w:spacing w:before="0" w:after="283"/>
              <w:jc w:val="center"/>
              <w:rPr/>
            </w:pPr>
            <w:r>
              <w:rPr/>
              <w:t>280,417</w:t>
            </w:r>
          </w:p>
        </w:tc>
      </w:tr>
      <w:tr>
        <w:trPr/>
        <w:tc>
          <w:tcPr>
            <w:tcW w:w="165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0"/>
              <w:jc w:val="left"/>
              <w:rPr>
                <w:rFonts w:ascii="ARIAL" w:hAnsi="ARIAL"/>
                <w:sz w:val="16"/>
              </w:rPr>
            </w:pPr>
            <w:r>
              <w:rPr>
                <w:rFonts w:ascii="ARIAL" w:hAnsi="ARIAL"/>
                <w:sz w:val="16"/>
              </w:rPr>
              <w:t>Mark McClellan</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22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pPr>
            <w:r>
              <w:rPr/>
              <w:t>100,000</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83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pPr>
            <w:r>
              <w:rPr/>
              <w:t>150,000</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49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center"/>
              <w:rPr/>
            </w:pPr>
            <w:r>
              <w:rPr/>
              <w:t>—</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995" w:type="dxa"/>
            <w:tcBorders>
              <w:bottom w:val="single" w:sz="6" w:space="0" w:color="95B3D7"/>
            </w:tcBorders>
            <w:shd w:fill="DBE5F1" w:val="clear"/>
            <w:tcMar>
              <w:bottom w:w="28" w:type="dxa"/>
            </w:tcMar>
            <w:vAlign w:val="center"/>
          </w:tcPr>
          <w:p>
            <w:pPr>
              <w:pStyle w:val="TableContents"/>
              <w:bidi w:val="0"/>
              <w:spacing w:before="0" w:after="283"/>
              <w:jc w:val="center"/>
              <w:rPr/>
            </w:pPr>
            <w:r>
              <w:rPr/>
              <w:t>250,000</w:t>
            </w:r>
          </w:p>
        </w:tc>
      </w:tr>
      <w:tr>
        <w:trPr/>
        <w:tc>
          <w:tcPr>
            <w:tcW w:w="1655" w:type="dxa"/>
            <w:tcBorders>
              <w:bottom w:val="single" w:sz="6" w:space="0" w:color="95B3D7"/>
              <w:right w:val="single" w:sz="6" w:space="0" w:color="95B3D7"/>
            </w:tcBorders>
            <w:tcMar>
              <w:bottom w:w="28" w:type="dxa"/>
              <w:right w:w="28" w:type="dxa"/>
            </w:tcMar>
            <w:vAlign w:val="center"/>
          </w:tcPr>
          <w:p>
            <w:pPr>
              <w:pStyle w:val="TableContents"/>
              <w:bidi w:val="0"/>
              <w:spacing w:before="0" w:after="0"/>
              <w:jc w:val="left"/>
              <w:rPr>
                <w:rFonts w:ascii="ARIAL" w:hAnsi="ARIAL"/>
                <w:sz w:val="16"/>
              </w:rPr>
            </w:pPr>
            <w:r>
              <w:rPr>
                <w:rFonts w:ascii="ARIAL" w:hAnsi="ARIAL"/>
                <w:sz w:val="16"/>
              </w:rPr>
              <w:t>Robbert Vorhoff</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22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pPr>
            <w:r>
              <w:rPr/>
              <w:t>120,000</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83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pPr>
            <w:r>
              <w:rPr/>
              <w:t>150,000</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49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center"/>
              <w:rPr/>
            </w:pPr>
            <w:r>
              <w:rPr/>
              <w:t>—</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995" w:type="dxa"/>
            <w:tcBorders>
              <w:bottom w:val="single" w:sz="6" w:space="0" w:color="95B3D7"/>
            </w:tcBorders>
            <w:tcMar>
              <w:bottom w:w="28" w:type="dxa"/>
            </w:tcMar>
            <w:vAlign w:val="center"/>
          </w:tcPr>
          <w:p>
            <w:pPr>
              <w:pStyle w:val="TableContents"/>
              <w:bidi w:val="0"/>
              <w:spacing w:before="0" w:after="283"/>
              <w:jc w:val="center"/>
              <w:rPr/>
            </w:pPr>
            <w:r>
              <w:rPr/>
              <w:t>270,000</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(1)</w:t>
            </w:r>
          </w:p>
        </w:tc>
        <w:tc>
          <w:tcPr>
            <w:tcW w:w="9900" w:type="dxa"/>
            <w:tcBorders/>
            <w:vAlign w:val="center"/>
          </w:tcPr>
          <w:p>
            <w:pPr>
              <w:pStyle w:val="TableContents"/>
              <w:bidi w:val="0"/>
              <w:spacing w:before="0" w:after="0"/>
              <w:jc w:val="left"/>
              <w:rPr>
                <w:rFonts w:ascii="ARIAL" w:hAnsi="ARIAL"/>
                <w:sz w:val="16"/>
              </w:rPr>
            </w:pPr>
            <w:r>
              <w:rPr>
                <w:rFonts w:ascii="ARIAL" w:hAnsi="ARIAL"/>
                <w:sz w:val="16"/>
              </w:rPr>
              <w:t xml:space="preserve">Includes fees earned with respect to Board and committee service during calendar year 2023. Non-employee directors receive annual compensation with an aggregate annual value of $250,000, consisting of a cash retainer in an amount elected by each director from $0 to $100,000, with the balance of the aggregate compensation value paid as an equity grant of restricted shares or restricted stock units. Committee fees range from $7,500 to $10,000 annually, with committee chairs receiving $20,000 to $25,000 annually, in each case payable in cash. Certain amounts are prorated for partial-year service.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(2)</w:t>
            </w:r>
          </w:p>
        </w:tc>
        <w:tc>
          <w:tcPr>
            <w:tcW w:w="9898" w:type="dxa"/>
            <w:tcBorders/>
            <w:vAlign w:val="center"/>
          </w:tcPr>
          <w:p>
            <w:pPr>
              <w:pStyle w:val="TableContents"/>
              <w:bidi w:val="0"/>
              <w:spacing w:before="0" w:after="0"/>
              <w:jc w:val="left"/>
              <w:rPr>
                <w:rFonts w:ascii="ARIAL" w:hAnsi="ARIAL"/>
                <w:sz w:val="16"/>
              </w:rPr>
            </w:pPr>
            <w:r>
              <w:rPr>
                <w:rFonts w:ascii="ARIAL" w:hAnsi="ARIAL"/>
                <w:sz w:val="16"/>
              </w:rPr>
              <w:t xml:space="preserve">Represents the grant date fair values associated with the grant of RSUs of Alignment made under the Policy, computed in accordance with FASB ASC Topic 718. For additional information on the assumptions used in computing the amounts reported herein, see Note 10 to the Consolidated Financial Statements included in the Company’s Annual Report on Form 10-K for the year ended December 31, 2023. As of December 31, 2023, each of the directors held unvested, outstanding stock awards and stock options as follows: </w:t>
            </w:r>
          </w:p>
        </w:tc>
      </w:tr>
    </w:tbl>
    <w:p>
      <w:pPr>
        <w:pStyle w:val="TextBody"/>
        <w:bidi w:val="0"/>
        <w:spacing w:before="0" w:after="0"/>
        <w:jc w:val="left"/>
        <w:rPr/>
      </w:pPr>
      <w:r>
        <w:rPr/>
        <w:t> </w:t>
      </w:r>
    </w:p>
    <w:tbl>
      <w:tblPr>
        <w:tblW w:w="4940" w:type="dxa"/>
        <w:jc w:val="left"/>
        <w:tblInd w:w="0" w:type="dxa"/>
        <w:tblLayout w:type="fixed"/>
        <w:tblCellMar>
          <w:top w:w="0" w:type="dxa"/>
          <w:left w:w="0" w:type="dxa"/>
          <w:bottom w:w="0" w:type="dxa"/>
          <w:right w:w="0" w:type="dxa"/>
        </w:tblCellMar>
      </w:tblPr>
      <w:tblGrid>
        <w:gridCol w:w="1655"/>
        <w:gridCol w:w="120"/>
        <w:gridCol w:w="197"/>
        <w:gridCol w:w="858"/>
        <w:gridCol w:w="60"/>
        <w:gridCol w:w="120"/>
        <w:gridCol w:w="60"/>
        <w:gridCol w:w="800"/>
        <w:gridCol w:w="60"/>
        <w:gridCol w:w="120"/>
        <w:gridCol w:w="66"/>
        <w:gridCol w:w="749"/>
        <w:gridCol w:w="75"/>
      </w:tblGrid>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55" w:type="dxa"/>
            <w:tcBorders>
              <w:bottom w:val="single" w:sz="8" w:space="0" w:color="95B3D7"/>
            </w:tcBorders>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055" w:type="dxa"/>
            <w:gridSpan w:val="2"/>
            <w:tcBorders>
              <w:bottom w:val="single" w:sz="8" w:space="0" w:color="95B3D7"/>
            </w:tcBorders>
            <w:tcMar>
              <w:bottom w:w="28" w:type="dxa"/>
            </w:tcMar>
            <w:vAlign w:val="center"/>
          </w:tcPr>
          <w:p>
            <w:pPr>
              <w:pStyle w:val="TableContents"/>
              <w:bidi w:val="0"/>
              <w:spacing w:before="0" w:after="283"/>
              <w:jc w:val="center"/>
              <w:rPr>
                <w:b/>
              </w:rPr>
            </w:pPr>
            <w:r>
              <w:rPr>
                <w:b/>
              </w:rPr>
              <w:t>Restricted</w:t>
              <w:br/>
              <w:t>Shares</w:t>
              <w:br/>
              <w:t>(#)</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860" w:type="dxa"/>
            <w:gridSpan w:val="2"/>
            <w:tcBorders>
              <w:bottom w:val="single" w:sz="8" w:space="0" w:color="95B3D7"/>
            </w:tcBorders>
            <w:tcMar>
              <w:bottom w:w="28" w:type="dxa"/>
            </w:tcMar>
            <w:vAlign w:val="center"/>
          </w:tcPr>
          <w:p>
            <w:pPr>
              <w:pStyle w:val="TableContents"/>
              <w:bidi w:val="0"/>
              <w:spacing w:before="0" w:after="283"/>
              <w:jc w:val="center"/>
              <w:rPr>
                <w:b/>
              </w:rPr>
            </w:pPr>
            <w:r>
              <w:rPr>
                <w:b/>
              </w:rPr>
              <w:t xml:space="preserve">RSUs </w:t>
              <w:br/>
              <w:t>(#)</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815" w:type="dxa"/>
            <w:gridSpan w:val="2"/>
            <w:tcBorders>
              <w:bottom w:val="single" w:sz="8" w:space="0" w:color="95B3D7"/>
            </w:tcBorders>
            <w:tcMar>
              <w:bottom w:w="28" w:type="dxa"/>
            </w:tcMar>
            <w:vAlign w:val="center"/>
          </w:tcPr>
          <w:p>
            <w:pPr>
              <w:pStyle w:val="TableContents"/>
              <w:bidi w:val="0"/>
              <w:spacing w:before="0" w:after="283"/>
              <w:jc w:val="center"/>
              <w:rPr>
                <w:b/>
              </w:rPr>
            </w:pPr>
            <w:r>
              <w:rPr>
                <w:b/>
              </w:rPr>
              <w:t>Options</w:t>
              <w:br/>
              <w:t>(#)</w:t>
            </w:r>
          </w:p>
        </w:tc>
        <w:tc>
          <w:tcPr>
            <w:tcW w:w="75" w:type="dxa"/>
            <w:tcBorders>
              <w:bottom w:val="single" w:sz="8" w:space="0" w:color="95B3D7"/>
            </w:tcBorders>
            <w:tcMar>
              <w:bottom w:w="28" w:type="dxa"/>
            </w:tcMar>
            <w:vAlign w:val="center"/>
          </w:tcPr>
          <w:p>
            <w:pPr>
              <w:pStyle w:val="TableContents"/>
              <w:bidi w:val="0"/>
              <w:spacing w:before="0" w:after="283"/>
              <w:jc w:val="left"/>
              <w:rPr/>
            </w:pPr>
            <w:r>
              <w:rPr/>
              <w:t> </w:t>
            </w:r>
          </w:p>
        </w:tc>
      </w:tr>
      <w:tr>
        <w:trPr/>
        <w:tc>
          <w:tcPr>
            <w:tcW w:w="165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0"/>
              <w:jc w:val="left"/>
              <w:rPr>
                <w:rFonts w:ascii="ARIAL" w:hAnsi="ARIAL"/>
                <w:sz w:val="16"/>
              </w:rPr>
            </w:pPr>
            <w:r>
              <w:rPr>
                <w:rFonts w:ascii="ARIAL" w:hAnsi="ARIAL"/>
                <w:sz w:val="16"/>
              </w:rPr>
              <w:t>Jody Bilney</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97"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858" w:type="dxa"/>
            <w:tcBorders>
              <w:bottom w:val="single" w:sz="6"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800" w:type="dxa"/>
            <w:tcBorders>
              <w:bottom w:val="single" w:sz="6" w:space="0" w:color="95B3D7"/>
            </w:tcBorders>
            <w:shd w:fill="DBE5F1" w:val="clear"/>
            <w:tcMar>
              <w:bottom w:w="28" w:type="dxa"/>
            </w:tcMar>
            <w:vAlign w:val="center"/>
          </w:tcPr>
          <w:p>
            <w:pPr>
              <w:pStyle w:val="TableContents"/>
              <w:bidi w:val="0"/>
              <w:spacing w:before="0" w:after="283"/>
              <w:jc w:val="right"/>
              <w:rPr/>
            </w:pPr>
            <w:r>
              <w:rPr/>
              <w:t>47,994</w:t>
            </w:r>
          </w:p>
        </w:tc>
        <w:tc>
          <w:tcPr>
            <w:tcW w:w="6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66"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749" w:type="dxa"/>
            <w:tcBorders>
              <w:bottom w:val="single" w:sz="6" w:space="0" w:color="95B3D7"/>
            </w:tcBorders>
            <w:shd w:fill="DBE5F1" w:val="clear"/>
            <w:tcMar>
              <w:bottom w:w="28" w:type="dxa"/>
            </w:tcMar>
            <w:vAlign w:val="center"/>
          </w:tcPr>
          <w:p>
            <w:pPr>
              <w:pStyle w:val="TableContents"/>
              <w:bidi w:val="0"/>
              <w:spacing w:before="0" w:after="283"/>
              <w:jc w:val="right"/>
              <w:rPr/>
            </w:pPr>
            <w:r>
              <w:rPr/>
              <w:t>—</w:t>
            </w:r>
          </w:p>
        </w:tc>
        <w:tc>
          <w:tcPr>
            <w:tcW w:w="75"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r>
      <w:tr>
        <w:trPr/>
        <w:tc>
          <w:tcPr>
            <w:tcW w:w="1655" w:type="dxa"/>
            <w:tcBorders>
              <w:bottom w:val="single" w:sz="6" w:space="0" w:color="95B3D7"/>
              <w:right w:val="single" w:sz="6" w:space="0" w:color="95B3D7"/>
            </w:tcBorders>
            <w:tcMar>
              <w:bottom w:w="28" w:type="dxa"/>
              <w:right w:w="28" w:type="dxa"/>
            </w:tcMar>
            <w:vAlign w:val="center"/>
          </w:tcPr>
          <w:p>
            <w:pPr>
              <w:pStyle w:val="TableContents"/>
              <w:bidi w:val="0"/>
              <w:spacing w:before="0" w:after="0"/>
              <w:jc w:val="left"/>
              <w:rPr>
                <w:rFonts w:ascii="ARIAL" w:hAnsi="ARIAL"/>
                <w:sz w:val="16"/>
              </w:rPr>
            </w:pPr>
            <w:r>
              <w:rPr>
                <w:rFonts w:ascii="ARIAL" w:hAnsi="ARIAL"/>
                <w:sz w:val="16"/>
              </w:rPr>
              <w:t>Thomas Carella</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97" w:type="dxa"/>
            <w:tcBorders>
              <w:bottom w:val="single" w:sz="6" w:space="0" w:color="95B3D7"/>
            </w:tcBorders>
            <w:tcMar>
              <w:bottom w:w="28" w:type="dxa"/>
            </w:tcMar>
            <w:vAlign w:val="center"/>
          </w:tcPr>
          <w:p>
            <w:pPr>
              <w:pStyle w:val="TableContents"/>
              <w:bidi w:val="0"/>
              <w:spacing w:before="0" w:after="283"/>
              <w:jc w:val="left"/>
              <w:rPr/>
            </w:pPr>
            <w:r>
              <w:rPr/>
              <w:t> </w:t>
            </w:r>
          </w:p>
        </w:tc>
        <w:tc>
          <w:tcPr>
            <w:tcW w:w="858" w:type="dxa"/>
            <w:tcBorders>
              <w:bottom w:val="single" w:sz="6" w:space="0" w:color="95B3D7"/>
            </w:tcBorders>
            <w:tcMar>
              <w:bottom w:w="28" w:type="dxa"/>
            </w:tcMar>
            <w:vAlign w:val="center"/>
          </w:tcPr>
          <w:p>
            <w:pPr>
              <w:pStyle w:val="TableContents"/>
              <w:bidi w:val="0"/>
              <w:spacing w:before="0" w:after="283"/>
              <w:jc w:val="right"/>
              <w:rPr/>
            </w:pPr>
            <w:r>
              <w:rPr/>
              <w:t>—</w:t>
            </w:r>
          </w:p>
        </w:tc>
        <w:tc>
          <w:tcPr>
            <w:tcW w:w="6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800" w:type="dxa"/>
            <w:tcBorders>
              <w:bottom w:val="single" w:sz="6" w:space="0" w:color="95B3D7"/>
            </w:tcBorders>
            <w:tcMar>
              <w:bottom w:w="28" w:type="dxa"/>
            </w:tcMar>
            <w:vAlign w:val="center"/>
          </w:tcPr>
          <w:p>
            <w:pPr>
              <w:pStyle w:val="TableContents"/>
              <w:bidi w:val="0"/>
              <w:spacing w:before="0" w:after="283"/>
              <w:jc w:val="right"/>
              <w:rPr/>
            </w:pPr>
            <w:r>
              <w:rPr/>
              <w:t>40,069</w:t>
            </w:r>
          </w:p>
        </w:tc>
        <w:tc>
          <w:tcPr>
            <w:tcW w:w="6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66" w:type="dxa"/>
            <w:tcBorders>
              <w:bottom w:val="single" w:sz="6" w:space="0" w:color="95B3D7"/>
            </w:tcBorders>
            <w:tcMar>
              <w:bottom w:w="28" w:type="dxa"/>
            </w:tcMar>
            <w:vAlign w:val="center"/>
          </w:tcPr>
          <w:p>
            <w:pPr>
              <w:pStyle w:val="TableContents"/>
              <w:bidi w:val="0"/>
              <w:spacing w:before="0" w:after="283"/>
              <w:jc w:val="left"/>
              <w:rPr/>
            </w:pPr>
            <w:r>
              <w:rPr/>
              <w:t> </w:t>
            </w:r>
          </w:p>
        </w:tc>
        <w:tc>
          <w:tcPr>
            <w:tcW w:w="749" w:type="dxa"/>
            <w:tcBorders>
              <w:bottom w:val="single" w:sz="6" w:space="0" w:color="95B3D7"/>
            </w:tcBorders>
            <w:tcMar>
              <w:bottom w:w="28" w:type="dxa"/>
            </w:tcMar>
            <w:vAlign w:val="center"/>
          </w:tcPr>
          <w:p>
            <w:pPr>
              <w:pStyle w:val="TableContents"/>
              <w:bidi w:val="0"/>
              <w:spacing w:before="0" w:after="283"/>
              <w:jc w:val="right"/>
              <w:rPr/>
            </w:pPr>
            <w:r>
              <w:rPr/>
              <w:t>—</w:t>
            </w:r>
          </w:p>
        </w:tc>
        <w:tc>
          <w:tcPr>
            <w:tcW w:w="75" w:type="dxa"/>
            <w:tcBorders>
              <w:bottom w:val="single" w:sz="6" w:space="0" w:color="95B3D7"/>
            </w:tcBorders>
            <w:tcMar>
              <w:bottom w:w="28" w:type="dxa"/>
            </w:tcMar>
            <w:vAlign w:val="center"/>
          </w:tcPr>
          <w:p>
            <w:pPr>
              <w:pStyle w:val="TableContents"/>
              <w:bidi w:val="0"/>
              <w:spacing w:before="0" w:after="283"/>
              <w:jc w:val="left"/>
              <w:rPr/>
            </w:pPr>
            <w:r>
              <w:rPr/>
              <w:t> </w:t>
            </w:r>
          </w:p>
        </w:tc>
      </w:tr>
      <w:tr>
        <w:trPr/>
        <w:tc>
          <w:tcPr>
            <w:tcW w:w="165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0"/>
              <w:jc w:val="left"/>
              <w:rPr>
                <w:rFonts w:ascii="ARIAL" w:hAnsi="ARIAL"/>
                <w:sz w:val="16"/>
              </w:rPr>
            </w:pPr>
            <w:r>
              <w:rPr>
                <w:rFonts w:ascii="ARIAL" w:hAnsi="ARIAL"/>
                <w:sz w:val="16"/>
              </w:rPr>
              <w:t>David Hodgson</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97"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858" w:type="dxa"/>
            <w:tcBorders>
              <w:bottom w:val="single" w:sz="6"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800" w:type="dxa"/>
            <w:tcBorders>
              <w:bottom w:val="single" w:sz="6" w:space="0" w:color="95B3D7"/>
            </w:tcBorders>
            <w:shd w:fill="DBE5F1" w:val="clear"/>
            <w:tcMar>
              <w:bottom w:w="28" w:type="dxa"/>
            </w:tcMar>
            <w:vAlign w:val="center"/>
          </w:tcPr>
          <w:p>
            <w:pPr>
              <w:pStyle w:val="TableContents"/>
              <w:bidi w:val="0"/>
              <w:spacing w:before="0" w:after="283"/>
              <w:jc w:val="right"/>
              <w:rPr/>
            </w:pPr>
            <w:r>
              <w:rPr/>
              <w:t>47,168</w:t>
            </w:r>
          </w:p>
        </w:tc>
        <w:tc>
          <w:tcPr>
            <w:tcW w:w="6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66"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749" w:type="dxa"/>
            <w:tcBorders>
              <w:bottom w:val="single" w:sz="6" w:space="0" w:color="95B3D7"/>
            </w:tcBorders>
            <w:shd w:fill="DBE5F1" w:val="clear"/>
            <w:tcMar>
              <w:bottom w:w="28" w:type="dxa"/>
            </w:tcMar>
            <w:vAlign w:val="center"/>
          </w:tcPr>
          <w:p>
            <w:pPr>
              <w:pStyle w:val="TableContents"/>
              <w:bidi w:val="0"/>
              <w:spacing w:before="0" w:after="283"/>
              <w:jc w:val="right"/>
              <w:rPr/>
            </w:pPr>
            <w:r>
              <w:rPr/>
              <w:t>—</w:t>
            </w:r>
          </w:p>
        </w:tc>
        <w:tc>
          <w:tcPr>
            <w:tcW w:w="75"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r>
      <w:tr>
        <w:trPr/>
        <w:tc>
          <w:tcPr>
            <w:tcW w:w="1655" w:type="dxa"/>
            <w:tcBorders>
              <w:bottom w:val="single" w:sz="6" w:space="0" w:color="95B3D7"/>
              <w:right w:val="single" w:sz="6" w:space="0" w:color="95B3D7"/>
            </w:tcBorders>
            <w:tcMar>
              <w:bottom w:w="28" w:type="dxa"/>
              <w:right w:w="28" w:type="dxa"/>
            </w:tcMar>
            <w:vAlign w:val="center"/>
          </w:tcPr>
          <w:p>
            <w:pPr>
              <w:pStyle w:val="TableContents"/>
              <w:bidi w:val="0"/>
              <w:spacing w:before="0" w:after="0"/>
              <w:jc w:val="left"/>
              <w:rPr>
                <w:rFonts w:ascii="ARIAL" w:hAnsi="ARIAL"/>
                <w:sz w:val="16"/>
              </w:rPr>
            </w:pPr>
            <w:r>
              <w:rPr>
                <w:rFonts w:ascii="ARIAL" w:hAnsi="ARIAL"/>
                <w:sz w:val="16"/>
              </w:rPr>
              <w:t>Yon Jorden</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97" w:type="dxa"/>
            <w:tcBorders>
              <w:bottom w:val="single" w:sz="6" w:space="0" w:color="95B3D7"/>
            </w:tcBorders>
            <w:tcMar>
              <w:bottom w:w="28" w:type="dxa"/>
            </w:tcMar>
            <w:vAlign w:val="center"/>
          </w:tcPr>
          <w:p>
            <w:pPr>
              <w:pStyle w:val="TableContents"/>
              <w:bidi w:val="0"/>
              <w:spacing w:before="0" w:after="283"/>
              <w:jc w:val="left"/>
              <w:rPr/>
            </w:pPr>
            <w:r>
              <w:rPr/>
              <w:t> </w:t>
            </w:r>
          </w:p>
        </w:tc>
        <w:tc>
          <w:tcPr>
            <w:tcW w:w="858" w:type="dxa"/>
            <w:tcBorders>
              <w:bottom w:val="single" w:sz="6" w:space="0" w:color="95B3D7"/>
            </w:tcBorders>
            <w:tcMar>
              <w:bottom w:w="28" w:type="dxa"/>
            </w:tcMar>
            <w:vAlign w:val="center"/>
          </w:tcPr>
          <w:p>
            <w:pPr>
              <w:pStyle w:val="TableContents"/>
              <w:bidi w:val="0"/>
              <w:spacing w:before="0" w:after="283"/>
              <w:jc w:val="right"/>
              <w:rPr/>
            </w:pPr>
            <w:r>
              <w:rPr/>
              <w:t>—</w:t>
            </w:r>
          </w:p>
        </w:tc>
        <w:tc>
          <w:tcPr>
            <w:tcW w:w="6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800" w:type="dxa"/>
            <w:tcBorders>
              <w:bottom w:val="single" w:sz="6" w:space="0" w:color="95B3D7"/>
            </w:tcBorders>
            <w:tcMar>
              <w:bottom w:w="28" w:type="dxa"/>
            </w:tcMar>
            <w:vAlign w:val="center"/>
          </w:tcPr>
          <w:p>
            <w:pPr>
              <w:pStyle w:val="TableContents"/>
              <w:bidi w:val="0"/>
              <w:spacing w:before="0" w:after="283"/>
              <w:jc w:val="right"/>
              <w:rPr/>
            </w:pPr>
            <w:r>
              <w:rPr/>
              <w:t>40,726</w:t>
            </w:r>
          </w:p>
        </w:tc>
        <w:tc>
          <w:tcPr>
            <w:tcW w:w="6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66" w:type="dxa"/>
            <w:tcBorders>
              <w:bottom w:val="single" w:sz="6" w:space="0" w:color="95B3D7"/>
            </w:tcBorders>
            <w:tcMar>
              <w:bottom w:w="28" w:type="dxa"/>
            </w:tcMar>
            <w:vAlign w:val="center"/>
          </w:tcPr>
          <w:p>
            <w:pPr>
              <w:pStyle w:val="TableContents"/>
              <w:bidi w:val="0"/>
              <w:spacing w:before="0" w:after="283"/>
              <w:jc w:val="left"/>
              <w:rPr/>
            </w:pPr>
            <w:r>
              <w:rPr/>
              <w:t> </w:t>
            </w:r>
          </w:p>
        </w:tc>
        <w:tc>
          <w:tcPr>
            <w:tcW w:w="749" w:type="dxa"/>
            <w:tcBorders>
              <w:bottom w:val="single" w:sz="6" w:space="0" w:color="95B3D7"/>
            </w:tcBorders>
            <w:tcMar>
              <w:bottom w:w="28" w:type="dxa"/>
            </w:tcMar>
            <w:vAlign w:val="center"/>
          </w:tcPr>
          <w:p>
            <w:pPr>
              <w:pStyle w:val="TableContents"/>
              <w:bidi w:val="0"/>
              <w:spacing w:before="0" w:after="283"/>
              <w:jc w:val="right"/>
              <w:rPr/>
            </w:pPr>
            <w:r>
              <w:rPr/>
              <w:t>—</w:t>
            </w:r>
          </w:p>
        </w:tc>
        <w:tc>
          <w:tcPr>
            <w:tcW w:w="75" w:type="dxa"/>
            <w:tcBorders>
              <w:bottom w:val="single" w:sz="6" w:space="0" w:color="95B3D7"/>
            </w:tcBorders>
            <w:tcMar>
              <w:bottom w:w="28" w:type="dxa"/>
            </w:tcMar>
            <w:vAlign w:val="center"/>
          </w:tcPr>
          <w:p>
            <w:pPr>
              <w:pStyle w:val="TableContents"/>
              <w:bidi w:val="0"/>
              <w:spacing w:before="0" w:after="283"/>
              <w:jc w:val="left"/>
              <w:rPr/>
            </w:pPr>
            <w:r>
              <w:rPr/>
              <w:t> </w:t>
            </w:r>
          </w:p>
        </w:tc>
      </w:tr>
      <w:tr>
        <w:trPr/>
        <w:tc>
          <w:tcPr>
            <w:tcW w:w="165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0"/>
              <w:jc w:val="left"/>
              <w:rPr>
                <w:rFonts w:ascii="ARIAL" w:hAnsi="ARIAL"/>
                <w:sz w:val="16"/>
              </w:rPr>
            </w:pPr>
            <w:r>
              <w:rPr>
                <w:rFonts w:ascii="ARIAL" w:hAnsi="ARIAL"/>
                <w:sz w:val="16"/>
              </w:rPr>
              <w:t>Joseph Konowiecki(a)</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97"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858" w:type="dxa"/>
            <w:tcBorders>
              <w:bottom w:val="single" w:sz="6"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800" w:type="dxa"/>
            <w:tcBorders>
              <w:bottom w:val="single" w:sz="6" w:space="0" w:color="95B3D7"/>
            </w:tcBorders>
            <w:shd w:fill="DBE5F1" w:val="clear"/>
            <w:tcMar>
              <w:bottom w:w="28" w:type="dxa"/>
            </w:tcMar>
            <w:vAlign w:val="center"/>
          </w:tcPr>
          <w:p>
            <w:pPr>
              <w:pStyle w:val="TableContents"/>
              <w:bidi w:val="0"/>
              <w:spacing w:before="0" w:after="283"/>
              <w:jc w:val="right"/>
              <w:rPr/>
            </w:pPr>
            <w:r>
              <w:rPr/>
              <w:t>225,644</w:t>
            </w:r>
          </w:p>
        </w:tc>
        <w:tc>
          <w:tcPr>
            <w:tcW w:w="6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66"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749" w:type="dxa"/>
            <w:tcBorders>
              <w:bottom w:val="single" w:sz="6" w:space="0" w:color="95B3D7"/>
            </w:tcBorders>
            <w:shd w:fill="DBE5F1" w:val="clear"/>
            <w:tcMar>
              <w:bottom w:w="28" w:type="dxa"/>
            </w:tcMar>
            <w:vAlign w:val="center"/>
          </w:tcPr>
          <w:p>
            <w:pPr>
              <w:pStyle w:val="TableContents"/>
              <w:bidi w:val="0"/>
              <w:spacing w:before="0" w:after="283"/>
              <w:jc w:val="right"/>
              <w:rPr/>
            </w:pPr>
            <w:r>
              <w:rPr/>
              <w:t>26,862</w:t>
            </w:r>
          </w:p>
        </w:tc>
        <w:tc>
          <w:tcPr>
            <w:tcW w:w="75"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r>
      <w:tr>
        <w:trPr/>
        <w:tc>
          <w:tcPr>
            <w:tcW w:w="1655" w:type="dxa"/>
            <w:tcBorders>
              <w:bottom w:val="single" w:sz="6" w:space="0" w:color="95B3D7"/>
              <w:right w:val="single" w:sz="6" w:space="0" w:color="95B3D7"/>
            </w:tcBorders>
            <w:tcMar>
              <w:bottom w:w="28" w:type="dxa"/>
              <w:right w:w="28" w:type="dxa"/>
            </w:tcMar>
            <w:vAlign w:val="center"/>
          </w:tcPr>
          <w:p>
            <w:pPr>
              <w:pStyle w:val="TableContents"/>
              <w:bidi w:val="0"/>
              <w:spacing w:before="0" w:after="0"/>
              <w:jc w:val="left"/>
              <w:rPr>
                <w:rFonts w:ascii="ARIAL" w:hAnsi="ARIAL"/>
                <w:sz w:val="16"/>
              </w:rPr>
            </w:pPr>
            <w:r>
              <w:rPr>
                <w:rFonts w:ascii="ARIAL" w:hAnsi="ARIAL"/>
                <w:sz w:val="16"/>
              </w:rPr>
              <w:t>Jacqueline Kosecoff</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97" w:type="dxa"/>
            <w:tcBorders>
              <w:bottom w:val="single" w:sz="6" w:space="0" w:color="95B3D7"/>
            </w:tcBorders>
            <w:tcMar>
              <w:bottom w:w="28" w:type="dxa"/>
            </w:tcMar>
            <w:vAlign w:val="center"/>
          </w:tcPr>
          <w:p>
            <w:pPr>
              <w:pStyle w:val="TableContents"/>
              <w:bidi w:val="0"/>
              <w:spacing w:before="0" w:after="283"/>
              <w:jc w:val="left"/>
              <w:rPr/>
            </w:pPr>
            <w:r>
              <w:rPr/>
              <w:t> </w:t>
            </w:r>
          </w:p>
        </w:tc>
        <w:tc>
          <w:tcPr>
            <w:tcW w:w="858" w:type="dxa"/>
            <w:tcBorders>
              <w:bottom w:val="single" w:sz="6" w:space="0" w:color="95B3D7"/>
            </w:tcBorders>
            <w:tcMar>
              <w:bottom w:w="28" w:type="dxa"/>
            </w:tcMar>
            <w:vAlign w:val="center"/>
          </w:tcPr>
          <w:p>
            <w:pPr>
              <w:pStyle w:val="TableContents"/>
              <w:bidi w:val="0"/>
              <w:spacing w:before="0" w:after="283"/>
              <w:jc w:val="right"/>
              <w:rPr/>
            </w:pPr>
            <w:r>
              <w:rPr/>
              <w:t>—</w:t>
            </w:r>
          </w:p>
        </w:tc>
        <w:tc>
          <w:tcPr>
            <w:tcW w:w="6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800" w:type="dxa"/>
            <w:tcBorders>
              <w:bottom w:val="single" w:sz="6" w:space="0" w:color="95B3D7"/>
            </w:tcBorders>
            <w:tcMar>
              <w:bottom w:w="28" w:type="dxa"/>
            </w:tcMar>
            <w:vAlign w:val="center"/>
          </w:tcPr>
          <w:p>
            <w:pPr>
              <w:pStyle w:val="TableContents"/>
              <w:bidi w:val="0"/>
              <w:spacing w:before="0" w:after="283"/>
              <w:jc w:val="right"/>
              <w:rPr/>
            </w:pPr>
            <w:r>
              <w:rPr/>
              <w:t>40,069</w:t>
            </w:r>
          </w:p>
        </w:tc>
        <w:tc>
          <w:tcPr>
            <w:tcW w:w="6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66" w:type="dxa"/>
            <w:tcBorders>
              <w:bottom w:val="single" w:sz="6" w:space="0" w:color="95B3D7"/>
            </w:tcBorders>
            <w:tcMar>
              <w:bottom w:w="28" w:type="dxa"/>
            </w:tcMar>
            <w:vAlign w:val="center"/>
          </w:tcPr>
          <w:p>
            <w:pPr>
              <w:pStyle w:val="TableContents"/>
              <w:bidi w:val="0"/>
              <w:spacing w:before="0" w:after="283"/>
              <w:jc w:val="left"/>
              <w:rPr/>
            </w:pPr>
            <w:r>
              <w:rPr/>
              <w:t> </w:t>
            </w:r>
          </w:p>
        </w:tc>
        <w:tc>
          <w:tcPr>
            <w:tcW w:w="749" w:type="dxa"/>
            <w:tcBorders>
              <w:bottom w:val="single" w:sz="6" w:space="0" w:color="95B3D7"/>
            </w:tcBorders>
            <w:tcMar>
              <w:bottom w:w="28" w:type="dxa"/>
            </w:tcMar>
            <w:vAlign w:val="center"/>
          </w:tcPr>
          <w:p>
            <w:pPr>
              <w:pStyle w:val="TableContents"/>
              <w:bidi w:val="0"/>
              <w:spacing w:before="0" w:after="283"/>
              <w:jc w:val="right"/>
              <w:rPr/>
            </w:pPr>
            <w:r>
              <w:rPr/>
              <w:t>—</w:t>
            </w:r>
          </w:p>
        </w:tc>
        <w:tc>
          <w:tcPr>
            <w:tcW w:w="75" w:type="dxa"/>
            <w:tcBorders>
              <w:bottom w:val="single" w:sz="6" w:space="0" w:color="95B3D7"/>
            </w:tcBorders>
            <w:tcMar>
              <w:bottom w:w="28" w:type="dxa"/>
            </w:tcMar>
            <w:vAlign w:val="center"/>
          </w:tcPr>
          <w:p>
            <w:pPr>
              <w:pStyle w:val="TableContents"/>
              <w:bidi w:val="0"/>
              <w:spacing w:before="0" w:after="283"/>
              <w:jc w:val="left"/>
              <w:rPr/>
            </w:pPr>
            <w:r>
              <w:rPr/>
              <w:t> </w:t>
            </w:r>
          </w:p>
        </w:tc>
      </w:tr>
      <w:tr>
        <w:trPr/>
        <w:tc>
          <w:tcPr>
            <w:tcW w:w="165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0"/>
              <w:jc w:val="left"/>
              <w:rPr>
                <w:rFonts w:ascii="ARIAL" w:hAnsi="ARIAL"/>
                <w:sz w:val="16"/>
              </w:rPr>
            </w:pPr>
            <w:r>
              <w:rPr>
                <w:rFonts w:ascii="ARIAL" w:hAnsi="ARIAL"/>
                <w:sz w:val="16"/>
              </w:rPr>
              <w:t>Jeffrey Margolis</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97"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858" w:type="dxa"/>
            <w:tcBorders>
              <w:bottom w:val="single" w:sz="6"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800" w:type="dxa"/>
            <w:tcBorders>
              <w:bottom w:val="single" w:sz="6" w:space="0" w:color="95B3D7"/>
            </w:tcBorders>
            <w:shd w:fill="DBE5F1" w:val="clear"/>
            <w:tcMar>
              <w:bottom w:w="28" w:type="dxa"/>
            </w:tcMar>
            <w:vAlign w:val="center"/>
          </w:tcPr>
          <w:p>
            <w:pPr>
              <w:pStyle w:val="TableContents"/>
              <w:bidi w:val="0"/>
              <w:spacing w:before="0" w:after="283"/>
              <w:jc w:val="right"/>
              <w:rPr/>
            </w:pPr>
            <w:r>
              <w:rPr/>
              <w:t>32,801</w:t>
            </w:r>
          </w:p>
        </w:tc>
        <w:tc>
          <w:tcPr>
            <w:tcW w:w="6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66"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749" w:type="dxa"/>
            <w:tcBorders>
              <w:bottom w:val="single" w:sz="6" w:space="0" w:color="95B3D7"/>
            </w:tcBorders>
            <w:shd w:fill="DBE5F1" w:val="clear"/>
            <w:tcMar>
              <w:bottom w:w="28" w:type="dxa"/>
            </w:tcMar>
            <w:vAlign w:val="center"/>
          </w:tcPr>
          <w:p>
            <w:pPr>
              <w:pStyle w:val="TableContents"/>
              <w:bidi w:val="0"/>
              <w:spacing w:before="0" w:after="283"/>
              <w:jc w:val="right"/>
              <w:rPr/>
            </w:pPr>
            <w:r>
              <w:rPr/>
              <w:t>—</w:t>
            </w:r>
          </w:p>
        </w:tc>
        <w:tc>
          <w:tcPr>
            <w:tcW w:w="75"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r>
      <w:tr>
        <w:trPr/>
        <w:tc>
          <w:tcPr>
            <w:tcW w:w="1655" w:type="dxa"/>
            <w:tcBorders>
              <w:bottom w:val="single" w:sz="6" w:space="0" w:color="95B3D7"/>
              <w:right w:val="single" w:sz="6" w:space="0" w:color="95B3D7"/>
            </w:tcBorders>
            <w:tcMar>
              <w:bottom w:w="28" w:type="dxa"/>
              <w:right w:w="28" w:type="dxa"/>
            </w:tcMar>
            <w:vAlign w:val="center"/>
          </w:tcPr>
          <w:p>
            <w:pPr>
              <w:pStyle w:val="TableContents"/>
              <w:bidi w:val="0"/>
              <w:spacing w:before="0" w:after="0"/>
              <w:jc w:val="left"/>
              <w:rPr>
                <w:rFonts w:ascii="ARIAL" w:hAnsi="ARIAL"/>
                <w:sz w:val="16"/>
              </w:rPr>
            </w:pPr>
            <w:r>
              <w:rPr>
                <w:rFonts w:ascii="ARIAL" w:hAnsi="ARIAL"/>
                <w:sz w:val="16"/>
              </w:rPr>
              <w:t>Margaret McCarthy</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97" w:type="dxa"/>
            <w:tcBorders>
              <w:bottom w:val="single" w:sz="6" w:space="0" w:color="95B3D7"/>
            </w:tcBorders>
            <w:tcMar>
              <w:bottom w:w="28" w:type="dxa"/>
            </w:tcMar>
            <w:vAlign w:val="center"/>
          </w:tcPr>
          <w:p>
            <w:pPr>
              <w:pStyle w:val="TableContents"/>
              <w:bidi w:val="0"/>
              <w:spacing w:before="0" w:after="283"/>
              <w:jc w:val="left"/>
              <w:rPr/>
            </w:pPr>
            <w:r>
              <w:rPr/>
              <w:t> </w:t>
            </w:r>
          </w:p>
        </w:tc>
        <w:tc>
          <w:tcPr>
            <w:tcW w:w="858" w:type="dxa"/>
            <w:tcBorders>
              <w:bottom w:val="single" w:sz="6" w:space="0" w:color="95B3D7"/>
            </w:tcBorders>
            <w:tcMar>
              <w:bottom w:w="28" w:type="dxa"/>
            </w:tcMar>
            <w:vAlign w:val="center"/>
          </w:tcPr>
          <w:p>
            <w:pPr>
              <w:pStyle w:val="TableContents"/>
              <w:bidi w:val="0"/>
              <w:spacing w:before="0" w:after="283"/>
              <w:jc w:val="right"/>
              <w:rPr/>
            </w:pPr>
            <w:r>
              <w:rPr/>
              <w:t>—</w:t>
            </w:r>
          </w:p>
        </w:tc>
        <w:tc>
          <w:tcPr>
            <w:tcW w:w="6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800" w:type="dxa"/>
            <w:tcBorders>
              <w:bottom w:val="single" w:sz="6" w:space="0" w:color="95B3D7"/>
            </w:tcBorders>
            <w:tcMar>
              <w:bottom w:w="28" w:type="dxa"/>
            </w:tcMar>
            <w:vAlign w:val="center"/>
          </w:tcPr>
          <w:p>
            <w:pPr>
              <w:pStyle w:val="TableContents"/>
              <w:bidi w:val="0"/>
              <w:spacing w:before="0" w:after="283"/>
              <w:jc w:val="right"/>
              <w:rPr/>
            </w:pPr>
            <w:r>
              <w:rPr/>
              <w:t>32,801</w:t>
            </w:r>
          </w:p>
        </w:tc>
        <w:tc>
          <w:tcPr>
            <w:tcW w:w="6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66" w:type="dxa"/>
            <w:tcBorders>
              <w:bottom w:val="single" w:sz="6" w:space="0" w:color="95B3D7"/>
            </w:tcBorders>
            <w:tcMar>
              <w:bottom w:w="28" w:type="dxa"/>
            </w:tcMar>
            <w:vAlign w:val="center"/>
          </w:tcPr>
          <w:p>
            <w:pPr>
              <w:pStyle w:val="TableContents"/>
              <w:bidi w:val="0"/>
              <w:spacing w:before="0" w:after="283"/>
              <w:jc w:val="left"/>
              <w:rPr/>
            </w:pPr>
            <w:r>
              <w:rPr/>
              <w:t> </w:t>
            </w:r>
          </w:p>
        </w:tc>
        <w:tc>
          <w:tcPr>
            <w:tcW w:w="749" w:type="dxa"/>
            <w:tcBorders>
              <w:bottom w:val="single" w:sz="6" w:space="0" w:color="95B3D7"/>
            </w:tcBorders>
            <w:tcMar>
              <w:bottom w:w="28" w:type="dxa"/>
            </w:tcMar>
            <w:vAlign w:val="center"/>
          </w:tcPr>
          <w:p>
            <w:pPr>
              <w:pStyle w:val="TableContents"/>
              <w:bidi w:val="0"/>
              <w:spacing w:before="0" w:after="283"/>
              <w:jc w:val="right"/>
              <w:rPr/>
            </w:pPr>
            <w:r>
              <w:rPr/>
              <w:t>—</w:t>
            </w:r>
          </w:p>
        </w:tc>
        <w:tc>
          <w:tcPr>
            <w:tcW w:w="75" w:type="dxa"/>
            <w:tcBorders>
              <w:bottom w:val="single" w:sz="6" w:space="0" w:color="95B3D7"/>
            </w:tcBorders>
            <w:tcMar>
              <w:bottom w:w="28" w:type="dxa"/>
            </w:tcMar>
            <w:vAlign w:val="center"/>
          </w:tcPr>
          <w:p>
            <w:pPr>
              <w:pStyle w:val="TableContents"/>
              <w:bidi w:val="0"/>
              <w:spacing w:before="0" w:after="283"/>
              <w:jc w:val="left"/>
              <w:rPr/>
            </w:pPr>
            <w:r>
              <w:rPr/>
              <w:t> </w:t>
            </w:r>
          </w:p>
        </w:tc>
      </w:tr>
      <w:tr>
        <w:trPr/>
        <w:tc>
          <w:tcPr>
            <w:tcW w:w="1655"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0"/>
              <w:jc w:val="left"/>
              <w:rPr>
                <w:rFonts w:ascii="ARIAL" w:hAnsi="ARIAL"/>
                <w:sz w:val="16"/>
              </w:rPr>
            </w:pPr>
            <w:r>
              <w:rPr>
                <w:rFonts w:ascii="ARIAL" w:hAnsi="ARIAL"/>
                <w:sz w:val="16"/>
              </w:rPr>
              <w:t>Mark McClellan</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197"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858" w:type="dxa"/>
            <w:tcBorders>
              <w:bottom w:val="single" w:sz="6" w:space="0" w:color="95B3D7"/>
            </w:tcBorders>
            <w:shd w:fill="DBE5F1" w:val="clear"/>
            <w:tcMar>
              <w:bottom w:w="28" w:type="dxa"/>
            </w:tcMar>
            <w:vAlign w:val="center"/>
          </w:tcPr>
          <w:p>
            <w:pPr>
              <w:pStyle w:val="TableContents"/>
              <w:bidi w:val="0"/>
              <w:spacing w:before="0" w:after="283"/>
              <w:jc w:val="right"/>
              <w:rPr/>
            </w:pPr>
            <w:r>
              <w:rPr/>
              <w:t>—</w:t>
            </w:r>
          </w:p>
        </w:tc>
        <w:tc>
          <w:tcPr>
            <w:tcW w:w="6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6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800" w:type="dxa"/>
            <w:tcBorders>
              <w:bottom w:val="single" w:sz="6" w:space="0" w:color="95B3D7"/>
            </w:tcBorders>
            <w:shd w:fill="DBE5F1" w:val="clear"/>
            <w:tcMar>
              <w:bottom w:w="28" w:type="dxa"/>
            </w:tcMar>
            <w:vAlign w:val="center"/>
          </w:tcPr>
          <w:p>
            <w:pPr>
              <w:pStyle w:val="TableContents"/>
              <w:bidi w:val="0"/>
              <w:spacing w:before="0" w:after="283"/>
              <w:jc w:val="right"/>
              <w:rPr/>
            </w:pPr>
            <w:r>
              <w:rPr/>
              <w:t>32,801</w:t>
            </w:r>
          </w:p>
        </w:tc>
        <w:tc>
          <w:tcPr>
            <w:tcW w:w="60" w:type="dxa"/>
            <w:tcBorders>
              <w:bottom w:val="single" w:sz="6" w:space="0" w:color="95B3D7"/>
              <w:right w:val="single" w:sz="6" w:space="0" w:color="95B3D7"/>
            </w:tcBorders>
            <w:shd w:fill="DBE5F1" w:val="clear"/>
            <w:tcMar>
              <w:bottom w:w="28" w:type="dxa"/>
              <w:right w:w="28" w:type="dxa"/>
            </w:tcMar>
            <w:vAlign w:val="center"/>
          </w:tcPr>
          <w:p>
            <w:pPr>
              <w:pStyle w:val="TableContents"/>
              <w:bidi w:val="0"/>
              <w:spacing w:before="0" w:after="283"/>
              <w:jc w:val="left"/>
              <w:rPr/>
            </w:pPr>
            <w:r>
              <w:rPr/>
              <w:t> </w:t>
            </w:r>
          </w:p>
        </w:tc>
        <w:tc>
          <w:tcPr>
            <w:tcW w:w="120"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66"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c>
          <w:tcPr>
            <w:tcW w:w="749" w:type="dxa"/>
            <w:tcBorders>
              <w:bottom w:val="single" w:sz="6" w:space="0" w:color="95B3D7"/>
            </w:tcBorders>
            <w:shd w:fill="DBE5F1" w:val="clear"/>
            <w:tcMar>
              <w:bottom w:w="28" w:type="dxa"/>
            </w:tcMar>
            <w:vAlign w:val="center"/>
          </w:tcPr>
          <w:p>
            <w:pPr>
              <w:pStyle w:val="TableContents"/>
              <w:bidi w:val="0"/>
              <w:spacing w:before="0" w:after="283"/>
              <w:jc w:val="right"/>
              <w:rPr/>
            </w:pPr>
            <w:r>
              <w:rPr/>
              <w:t>—</w:t>
            </w:r>
          </w:p>
        </w:tc>
        <w:tc>
          <w:tcPr>
            <w:tcW w:w="75" w:type="dxa"/>
            <w:tcBorders>
              <w:bottom w:val="single" w:sz="6" w:space="0" w:color="95B3D7"/>
            </w:tcBorders>
            <w:shd w:fill="DBE5F1" w:val="clear"/>
            <w:tcMar>
              <w:bottom w:w="28" w:type="dxa"/>
            </w:tcMar>
            <w:vAlign w:val="center"/>
          </w:tcPr>
          <w:p>
            <w:pPr>
              <w:pStyle w:val="TableContents"/>
              <w:bidi w:val="0"/>
              <w:spacing w:before="0" w:after="283"/>
              <w:jc w:val="left"/>
              <w:rPr/>
            </w:pPr>
            <w:r>
              <w:rPr/>
              <w:t> </w:t>
            </w:r>
          </w:p>
        </w:tc>
      </w:tr>
      <w:tr>
        <w:trPr/>
        <w:tc>
          <w:tcPr>
            <w:tcW w:w="1655" w:type="dxa"/>
            <w:tcBorders>
              <w:bottom w:val="single" w:sz="6" w:space="0" w:color="95B3D7"/>
              <w:right w:val="single" w:sz="6" w:space="0" w:color="95B3D7"/>
            </w:tcBorders>
            <w:tcMar>
              <w:bottom w:w="28" w:type="dxa"/>
              <w:right w:w="28" w:type="dxa"/>
            </w:tcMar>
            <w:vAlign w:val="center"/>
          </w:tcPr>
          <w:p>
            <w:pPr>
              <w:pStyle w:val="TableContents"/>
              <w:bidi w:val="0"/>
              <w:spacing w:before="0" w:after="0"/>
              <w:jc w:val="left"/>
              <w:rPr>
                <w:rFonts w:ascii="ARIAL" w:hAnsi="ARIAL"/>
                <w:sz w:val="16"/>
              </w:rPr>
            </w:pPr>
            <w:r>
              <w:rPr>
                <w:rFonts w:ascii="ARIAL" w:hAnsi="ARIAL"/>
                <w:sz w:val="16"/>
              </w:rPr>
              <w:t>Robbert Vorhoff</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197" w:type="dxa"/>
            <w:tcBorders>
              <w:bottom w:val="single" w:sz="6" w:space="0" w:color="95B3D7"/>
            </w:tcBorders>
            <w:tcMar>
              <w:bottom w:w="28" w:type="dxa"/>
            </w:tcMar>
            <w:vAlign w:val="center"/>
          </w:tcPr>
          <w:p>
            <w:pPr>
              <w:pStyle w:val="TableContents"/>
              <w:bidi w:val="0"/>
              <w:spacing w:before="0" w:after="283"/>
              <w:jc w:val="left"/>
              <w:rPr/>
            </w:pPr>
            <w:r>
              <w:rPr/>
              <w:t> </w:t>
            </w:r>
          </w:p>
        </w:tc>
        <w:tc>
          <w:tcPr>
            <w:tcW w:w="858" w:type="dxa"/>
            <w:tcBorders>
              <w:bottom w:val="single" w:sz="6" w:space="0" w:color="95B3D7"/>
            </w:tcBorders>
            <w:tcMar>
              <w:bottom w:w="28" w:type="dxa"/>
            </w:tcMar>
            <w:vAlign w:val="center"/>
          </w:tcPr>
          <w:p>
            <w:pPr>
              <w:pStyle w:val="TableContents"/>
              <w:bidi w:val="0"/>
              <w:spacing w:before="0" w:after="283"/>
              <w:jc w:val="right"/>
              <w:rPr/>
            </w:pPr>
            <w:r>
              <w:rPr/>
              <w:t>—</w:t>
            </w:r>
          </w:p>
        </w:tc>
        <w:tc>
          <w:tcPr>
            <w:tcW w:w="6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60" w:type="dxa"/>
            <w:tcBorders>
              <w:bottom w:val="single" w:sz="6" w:space="0" w:color="95B3D7"/>
            </w:tcBorders>
            <w:tcMar>
              <w:bottom w:w="28" w:type="dxa"/>
            </w:tcMar>
            <w:vAlign w:val="center"/>
          </w:tcPr>
          <w:p>
            <w:pPr>
              <w:pStyle w:val="TableContents"/>
              <w:bidi w:val="0"/>
              <w:spacing w:before="0" w:after="283"/>
              <w:jc w:val="left"/>
              <w:rPr/>
            </w:pPr>
            <w:r>
              <w:rPr/>
              <w:t> </w:t>
            </w:r>
          </w:p>
        </w:tc>
        <w:tc>
          <w:tcPr>
            <w:tcW w:w="800" w:type="dxa"/>
            <w:tcBorders>
              <w:bottom w:val="single" w:sz="6" w:space="0" w:color="95B3D7"/>
            </w:tcBorders>
            <w:tcMar>
              <w:bottom w:w="28" w:type="dxa"/>
            </w:tcMar>
            <w:vAlign w:val="center"/>
          </w:tcPr>
          <w:p>
            <w:pPr>
              <w:pStyle w:val="TableContents"/>
              <w:bidi w:val="0"/>
              <w:spacing w:before="0" w:after="283"/>
              <w:jc w:val="right"/>
              <w:rPr/>
            </w:pPr>
            <w:r>
              <w:rPr/>
              <w:t>47,168</w:t>
            </w:r>
          </w:p>
        </w:tc>
        <w:tc>
          <w:tcPr>
            <w:tcW w:w="60" w:type="dxa"/>
            <w:tcBorders>
              <w:bottom w:val="single" w:sz="6" w:space="0" w:color="95B3D7"/>
              <w:right w:val="single" w:sz="6" w:space="0" w:color="95B3D7"/>
            </w:tcBorders>
            <w:tcMar>
              <w:bottom w:w="28" w:type="dxa"/>
              <w:right w:w="28" w:type="dxa"/>
            </w:tcMar>
            <w:vAlign w:val="center"/>
          </w:tcPr>
          <w:p>
            <w:pPr>
              <w:pStyle w:val="TableContents"/>
              <w:bidi w:val="0"/>
              <w:spacing w:before="0" w:after="283"/>
              <w:jc w:val="left"/>
              <w:rPr/>
            </w:pPr>
            <w:r>
              <w:rPr/>
              <w:t> </w:t>
            </w:r>
          </w:p>
        </w:tc>
        <w:tc>
          <w:tcPr>
            <w:tcW w:w="120" w:type="dxa"/>
            <w:tcBorders>
              <w:bottom w:val="single" w:sz="6" w:space="0" w:color="95B3D7"/>
            </w:tcBorders>
            <w:tcMar>
              <w:bottom w:w="28" w:type="dxa"/>
            </w:tcMar>
            <w:vAlign w:val="center"/>
          </w:tcPr>
          <w:p>
            <w:pPr>
              <w:pStyle w:val="TableContents"/>
              <w:bidi w:val="0"/>
              <w:spacing w:before="0" w:after="283"/>
              <w:jc w:val="left"/>
              <w:rPr/>
            </w:pPr>
            <w:r>
              <w:rPr/>
              <w:t>  </w:t>
            </w:r>
          </w:p>
        </w:tc>
        <w:tc>
          <w:tcPr>
            <w:tcW w:w="66" w:type="dxa"/>
            <w:tcBorders>
              <w:bottom w:val="single" w:sz="6" w:space="0" w:color="95B3D7"/>
            </w:tcBorders>
            <w:tcMar>
              <w:bottom w:w="28" w:type="dxa"/>
            </w:tcMar>
            <w:vAlign w:val="center"/>
          </w:tcPr>
          <w:p>
            <w:pPr>
              <w:pStyle w:val="TableContents"/>
              <w:bidi w:val="0"/>
              <w:spacing w:before="0" w:after="283"/>
              <w:jc w:val="left"/>
              <w:rPr/>
            </w:pPr>
            <w:r>
              <w:rPr/>
              <w:t> </w:t>
            </w:r>
          </w:p>
        </w:tc>
        <w:tc>
          <w:tcPr>
            <w:tcW w:w="749" w:type="dxa"/>
            <w:tcBorders>
              <w:bottom w:val="single" w:sz="6" w:space="0" w:color="95B3D7"/>
            </w:tcBorders>
            <w:tcMar>
              <w:bottom w:w="28" w:type="dxa"/>
            </w:tcMar>
            <w:vAlign w:val="center"/>
          </w:tcPr>
          <w:p>
            <w:pPr>
              <w:pStyle w:val="TableContents"/>
              <w:bidi w:val="0"/>
              <w:spacing w:before="0" w:after="283"/>
              <w:jc w:val="right"/>
              <w:rPr/>
            </w:pPr>
            <w:r>
              <w:rPr/>
              <w:t>—</w:t>
            </w:r>
          </w:p>
        </w:tc>
        <w:tc>
          <w:tcPr>
            <w:tcW w:w="75" w:type="dxa"/>
            <w:tcBorders>
              <w:bottom w:val="single" w:sz="6" w:space="0" w:color="95B3D7"/>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8"/>
        <w:gridCol w:w="9882"/>
      </w:tblGrid>
      <w:tr>
        <w:trPr/>
        <w:tc>
          <w:tcPr>
            <w:tcW w:w="7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(a)</w:t>
            </w:r>
          </w:p>
        </w:tc>
        <w:tc>
          <w:tcPr>
            <w:tcW w:w="9882" w:type="dxa"/>
            <w:tcBorders/>
            <w:vAlign w:val="center"/>
          </w:tcPr>
          <w:p>
            <w:pPr>
              <w:pStyle w:val="TableContents"/>
              <w:bidi w:val="0"/>
              <w:spacing w:before="0" w:after="0"/>
              <w:jc w:val="left"/>
              <w:rPr>
                <w:rFonts w:ascii="ARIAL" w:hAnsi="ARIAL"/>
                <w:sz w:val="16"/>
              </w:rPr>
            </w:pPr>
            <w:r>
              <w:rPr>
                <w:rFonts w:ascii="ARIAL" w:hAnsi="ARIAL"/>
                <w:sz w:val="16"/>
              </w:rPr>
              <w:t xml:space="preserve">Includes awards granted in connection with Mr. Konowiecki’s consulting agreement with the Company dated January 1, 2022 and his employment agreement with the Company dated October 31, 2022.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(3)</w:t>
            </w:r>
          </w:p>
        </w:tc>
        <w:tc>
          <w:tcPr>
            <w:tcW w:w="9907" w:type="dxa"/>
            <w:tcBorders/>
            <w:vAlign w:val="center"/>
          </w:tcPr>
          <w:p>
            <w:pPr>
              <w:pStyle w:val="TableContents"/>
              <w:bidi w:val="0"/>
              <w:spacing w:before="0" w:after="0"/>
              <w:jc w:val="left"/>
              <w:rPr>
                <w:rFonts w:ascii="ARIAL" w:hAnsi="ARIAL"/>
                <w:sz w:val="16"/>
              </w:rPr>
            </w:pPr>
            <w:r>
              <w:rPr>
                <w:rFonts w:ascii="ARIAL" w:hAnsi="ARIAL"/>
                <w:sz w:val="16"/>
              </w:rPr>
              <w:t>Mr. Konowiecki serves as our Chairman of the Board and, during 2023, served in an executive role leading strategic network and business development. Effective upon his appointment to an executive role, we began compensating Mr. Konowiecki under the terms of his employment agreement (see “</w:t>
            </w:r>
            <w:r>
              <w:rPr>
                <w:rFonts w:ascii="ARIAL" w:hAnsi="ARIAL"/>
                <w:i/>
                <w:sz w:val="16"/>
              </w:rPr>
              <w:t>Certain Relationships and Related Party Transactions—Related-Party Transactions—Konowiecki Employment Agreement</w:t>
            </w:r>
            <w:r>
              <w:rPr>
                <w:rFonts w:ascii="ARIAL" w:hAnsi="ARIAL"/>
                <w:sz w:val="16"/>
              </w:rPr>
              <w:t xml:space="preserve">”) and he ceased to be compensated under the Policy. Amount shown under “All Other Compensation” represent amounts paid under the employment agreement, including (i) base salary of $560,000; (ii) a discretionary bonus of $85,000; (iii) a grant of restricted stock units with a grant date fair value of $1,000,000; (iv) cash annual plan incentive payouts in the amount of $511,120; and (v) 401(k) employer matching contributions of $13,200. Mr. Konowiecki’s employment terminated as of December 31, 2023. For 2024, he continues to serve as Chairman and will be compensated under the Policy.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(4)</w:t>
            </w:r>
          </w:p>
        </w:tc>
        <w:tc>
          <w:tcPr>
            <w:tcW w:w="9895" w:type="dxa"/>
            <w:tcBorders/>
            <w:vAlign w:val="center"/>
          </w:tcPr>
          <w:p>
            <w:pPr>
              <w:pStyle w:val="TableContents"/>
              <w:bidi w:val="0"/>
              <w:spacing w:before="0" w:after="0"/>
              <w:jc w:val="left"/>
              <w:rPr>
                <w:rFonts w:ascii="ARIAL" w:hAnsi="ARIAL"/>
                <w:sz w:val="16"/>
              </w:rPr>
            </w:pPr>
            <w:r>
              <w:rPr>
                <w:rFonts w:ascii="ARIAL" w:hAnsi="ARIAL"/>
                <w:sz w:val="16"/>
              </w:rPr>
              <w:t xml:space="preserve">Includes (a) base salary in the amount of $560,000; (b) a discretionary cash bonus in the amount of $85,000; (c) an RSU with a grant date fair value of $1,000,000, computed in accordance with FASB ASC Topic 718, issued to Mr. Konowiecki pursuant to his employment agreement with the Company; (d) payments under the Company’s cash annual incentive plan in the aggregate amount of $511,120; and (e) 401(k) matching in the amount of $13,200. </w:t>
            </w:r>
          </w:p>
        </w:tc>
      </w:tr>
    </w:tbl>
    <w:p>
      <w:pPr>
        <w:pStyle w:val="TextBody"/>
        <w:bidi w:val="0"/>
        <w:spacing w:before="360" w:after="0"/>
        <w:jc w:val="left"/>
        <w:rPr>
          <w:rFonts w:ascii="ARIAL" w:hAnsi="ARIAL"/>
          <w:b/>
          <w:i/>
          <w:color w:val="1F497D"/>
          <w:sz w:val="20"/>
        </w:rPr>
      </w:pPr>
      <w:r>
        <w:rPr>
          <w:rFonts w:ascii="ARIAL" w:hAnsi="ARIAL"/>
          <w:b/>
          <w:i/>
          <w:color w:val="1F497D"/>
          <w:sz w:val="20"/>
        </w:rPr>
        <w:t xml:space="preserve">Officer and Director Stock Ownership Policies </w:t>
      </w:r>
    </w:p>
    <w:p>
      <w:pPr>
        <w:pStyle w:val="TextBody"/>
        <w:bidi w:val="0"/>
        <w:spacing w:before="240" w:after="0"/>
        <w:jc w:val="left"/>
        <w:rPr>
          <w:rFonts w:ascii="ARIAL" w:hAnsi="ARIAL"/>
          <w:sz w:val="20"/>
        </w:rPr>
      </w:pPr>
      <w:r>
        <w:rPr>
          <w:rFonts w:ascii="ARIAL" w:hAnsi="ARIAL"/>
          <w:sz w:val="20"/>
        </w:rPr>
        <w:t xml:space="preserve">In July 2021, our Board adopted a stock ownership policy for our executive officers. The policy requires (i) our CEO to hold shares of common stock with an aggregate market value equal to five times (5x) his base salary; and (ii) certain other executive officers to hold shares of common stock with an aggregate market value equal to two times (2x) his or her base salary. The aggregate value of such shares includes outstanding common stock, unvested restricted shares, RSUs and deferred shares. Officers must comply within five years of the adoption of the guidelines or within five years of the date of their appointment, whichever is later. </w:t>
      </w:r>
    </w:p>
    <w:p>
      <w:pPr>
        <w:pStyle w:val="TextBody"/>
        <w:bidi w:val="0"/>
        <w:spacing w:before="240" w:after="0"/>
        <w:jc w:val="left"/>
        <w:rPr>
          <w:rFonts w:ascii="ARIAL" w:hAnsi="ARIAL"/>
          <w:sz w:val="20"/>
        </w:rPr>
      </w:pPr>
      <w:r>
        <w:rPr>
          <w:rFonts w:ascii="ARIAL" w:hAnsi="ARIAL"/>
          <w:sz w:val="20"/>
        </w:rPr>
        <w:t xml:space="preserve">In February 2022, our Board adopted a stock ownership policy for our non-employee directors. The policy requires each non-employee director to hold shares of Company common stock having an aggregate market value of at least $400,000 by the later of (i) February 25, 2027 or (ii) five years from the date of their appointment.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67 </w:t>
      </w:r>
      <w:r>
        <w:br w:type="page"/>
      </w:r>
    </w:p>
    <w:p>
      <w:pPr>
        <w:pStyle w:val="HorizontalLine"/>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color w:val="1F497D"/>
          <w:spacing w:val="0"/>
          <w:sz w:val="20"/>
        </w:rPr>
      </w:pPr>
      <w:r>
        <w:rPr>
          <w:rFonts w:ascii="ARIAL" w:hAnsi="ARIAL"/>
          <w:b/>
          <w:color w:val="1F497D"/>
          <w:spacing w:val="0"/>
          <w:sz w:val="20"/>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ARIAL" w:hAnsi="ARIAL"/>
          <w:sz w:val="20"/>
          <w:shd w:fill="FFFFFF" w:val="clear"/>
        </w:rPr>
      </w:pPr>
      <w:r>
        <w:rPr>
          <w:rFonts w:ascii="ARIAL" w:hAnsi="ARIAL"/>
          <w:sz w:val="20"/>
          <w:shd w:fill="FFFFFF" w:val="clear"/>
        </w:rPr>
        <w:t>The following table and supporting graphics below set out information regarding fiscal years ended December 31, 2023, 2022, and 2021 in satisfaction of Item 402(v) of Regulation S-K, which requires disclosure regarding executive “Compensation Actually Paid” or “CAP” (as calculated in accordance with SEC rules) as compared to certain Company performance measures. You should refer to “</w:t>
      </w:r>
    </w:p>
    <w:p>
      <w:pPr>
        <w:pStyle w:val="TextBody"/>
        <w:bidi w:val="0"/>
        <w:spacing w:before="240" w:after="0"/>
        <w:jc w:val="left"/>
        <w:rPr>
          <w:rFonts w:ascii="ARIAL" w:hAnsi="ARIAL"/>
          <w:i/>
          <w:caps w:val="false"/>
          <w:smallCaps w:val="false"/>
          <w:spacing w:val="0"/>
          <w:sz w:val="20"/>
          <w:shd w:fill="FFFFFF" w:val="clear"/>
        </w:rPr>
      </w:pPr>
      <w:r>
        <w:rPr>
          <w:rFonts w:ascii="ARIAL" w:hAnsi="ARIAL"/>
          <w:i/>
          <w:caps w:val="false"/>
          <w:smallCaps w:val="false"/>
          <w:spacing w:val="0"/>
          <w:sz w:val="20"/>
          <w:shd w:fill="FFFFFF" w:val="clear"/>
        </w:rPr>
        <w:t>Compensation Discussion and Analysis</w:t>
      </w:r>
    </w:p>
    <w:p>
      <w:pPr>
        <w:pStyle w:val="TextBody"/>
        <w:bidi w:val="0"/>
        <w:spacing w:before="240" w:after="0"/>
        <w:jc w:val="left"/>
        <w:rPr>
          <w:shd w:fill="FFFFFF" w:val="clear"/>
        </w:rPr>
      </w:pPr>
      <w:r>
        <w:rPr>
          <w:shd w:fill="FFFFFF" w:val="clear"/>
        </w:rPr>
        <w:t xml:space="preserve">” </w:t>
      </w:r>
      <w:r>
        <w:rPr>
          <w:rFonts w:ascii="ARIAL" w:hAnsi="ARIAL"/>
          <w:sz w:val="20"/>
          <w:shd w:fill="FFFFFF" w:val="clear"/>
        </w:rPr>
        <w:t xml:space="preserve">in this proxy statement for a complete description of how executive compensation relates to Company performance and how the Compensation Committee makes its decisions. </w:t>
      </w:r>
    </w:p>
    <w:p>
      <w:pPr>
        <w:pStyle w:val="TextBody"/>
        <w:bidi w:val="0"/>
        <w:spacing w:before="0" w:after="0"/>
        <w:jc w:val="left"/>
        <w:rPr>
          <w:shd w:fill="FFFFFF" w:val="clear"/>
        </w:rPr>
      </w:pPr>
      <w:r>
        <w:rPr>
          <w:shd w:fill="FFFFFF" w:val="clear"/>
        </w:rPr>
        <w:t> </w:t>
      </w:r>
    </w:p>
    <w:tbl>
      <w:tblPr>
        <w:tblW w:w="9570" w:type="dxa"/>
        <w:jc w:val="left"/>
        <w:tblInd w:w="0" w:type="dxa"/>
        <w:tblLayout w:type="fixed"/>
        <w:tblCellMar>
          <w:top w:w="0" w:type="dxa"/>
          <w:left w:w="0" w:type="dxa"/>
          <w:bottom w:w="0" w:type="dxa"/>
          <w:right w:w="0" w:type="dxa"/>
        </w:tblCellMar>
      </w:tblPr>
      <w:tblGrid>
        <w:gridCol w:w="395"/>
        <w:gridCol w:w="240"/>
        <w:gridCol w:w="1100"/>
        <w:gridCol w:w="240"/>
        <w:gridCol w:w="1100"/>
        <w:gridCol w:w="120"/>
        <w:gridCol w:w="1100"/>
        <w:gridCol w:w="240"/>
        <w:gridCol w:w="1100"/>
        <w:gridCol w:w="240"/>
        <w:gridCol w:w="560"/>
        <w:gridCol w:w="240"/>
        <w:gridCol w:w="980"/>
        <w:gridCol w:w="240"/>
        <w:gridCol w:w="830"/>
        <w:gridCol w:w="120"/>
        <w:gridCol w:w="725"/>
      </w:tblGrid>
      <w:tr>
        <w:trPr/>
        <w:tc>
          <w:tcPr>
            <w:tcW w:w="39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39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2850" w:type="dxa"/>
            <w:gridSpan w:val="5"/>
            <w:tcBorders/>
            <w:vAlign w:val="center"/>
          </w:tcPr>
          <w:p>
            <w:pPr>
              <w:pStyle w:val="TableContents"/>
              <w:bidi w:val="0"/>
              <w:spacing w:before="0" w:after="0"/>
              <w:jc w:val="center"/>
              <w:rPr>
                <w:rFonts w:ascii="ARIAL" w:hAnsi="ARIAL"/>
                <w:b/>
                <w:sz w:val="16"/>
              </w:rPr>
            </w:pPr>
            <w:r>
              <w:rPr>
                <w:rFonts w:ascii="ARIAL" w:hAnsi="ARIAL"/>
                <w:b/>
                <w:sz w:val="16"/>
              </w:rPr>
              <w:t>Year-end value of $100</w:t>
            </w:r>
          </w:p>
          <w:p>
            <w:pPr>
              <w:pStyle w:val="TableContents"/>
              <w:bidi w:val="0"/>
              <w:spacing w:before="0" w:after="20"/>
              <w:jc w:val="center"/>
              <w:rPr>
                <w:rFonts w:ascii="ARIAL" w:hAnsi="ARIAL"/>
                <w:b/>
                <w:sz w:val="16"/>
              </w:rPr>
            </w:pPr>
            <w:r>
              <w:rPr>
                <w:rFonts w:ascii="ARIAL" w:hAnsi="ARIAL"/>
                <w:b/>
                <w:sz w:val="16"/>
              </w:rPr>
              <w:t>invested on 3/26/2021 in:</w:t>
            </w:r>
          </w:p>
        </w:tc>
        <w:tc>
          <w:tcPr>
            <w:tcW w:w="12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ind w:left="0" w:right="0" w:hanging="0"/>
              <w:jc w:val="left"/>
              <w:rPr/>
            </w:pPr>
            <w:r>
              <w:rPr/>
              <w:t> </w:t>
            </w:r>
          </w:p>
        </w:tc>
      </w:tr>
      <w:tr>
        <w:trPr/>
        <w:tc>
          <w:tcPr>
            <w:tcW w:w="395" w:type="dxa"/>
            <w:tcBorders>
              <w:bottom w:val="single" w:sz="6" w:space="0" w:color="000000"/>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Year</w:t>
            </w:r>
          </w:p>
          <w:p>
            <w:pPr>
              <w:pStyle w:val="TableContents"/>
              <w:bidi w:val="0"/>
              <w:spacing w:before="0" w:after="0"/>
              <w:jc w:val="left"/>
              <w:rPr/>
            </w:pPr>
            <w:r>
              <w:rPr/>
              <w:t> </w:t>
            </w:r>
          </w:p>
          <w:p>
            <w:pPr>
              <w:pStyle w:val="TableContents"/>
              <w:bidi w:val="0"/>
              <w:spacing w:before="0" w:after="20"/>
              <w:ind w:left="0" w:right="0" w:hanging="0"/>
              <w:jc w:val="center"/>
              <w:rPr>
                <w:rFonts w:ascii="ARIAL" w:hAnsi="ARIAL"/>
                <w:sz w:val="16"/>
              </w:rPr>
            </w:pPr>
            <w:r>
              <w:rPr>
                <w:rFonts w:ascii="ARIAL" w:hAnsi="ARIAL"/>
                <w:sz w:val="16"/>
              </w:rPr>
              <w:t>(a)</w:t>
            </w:r>
          </w:p>
        </w:tc>
        <w:tc>
          <w:tcPr>
            <w:tcW w:w="240" w:type="dxa"/>
            <w:tcBorders>
              <w:bottom w:val="single" w:sz="6" w:space="0" w:color="000000"/>
            </w:tcBorders>
            <w:tcMar>
              <w:bottom w:w="28" w:type="dxa"/>
            </w:tcMar>
            <w:vAlign w:val="center"/>
          </w:tcPr>
          <w:p>
            <w:pPr>
              <w:pStyle w:val="TableContents"/>
              <w:bidi w:val="0"/>
              <w:spacing w:before="0" w:after="283"/>
              <w:ind w:left="0" w:right="0" w:hanging="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Summary</w:t>
              <w:br/>
              <w:t>Comp.</w:t>
              <w:br/>
              <w:t>Table Total</w:t>
              <w:br/>
              <w:t>for John</w:t>
              <w:br/>
              <w:t>Kao</w:t>
            </w:r>
          </w:p>
          <w:p>
            <w:pPr>
              <w:pStyle w:val="TableContents"/>
              <w:bidi w:val="0"/>
              <w:spacing w:before="0" w:after="0"/>
              <w:jc w:val="center"/>
              <w:rPr>
                <w:rFonts w:ascii="ARIAL" w:hAnsi="ARIAL"/>
                <w:b/>
                <w:sz w:val="9"/>
              </w:rPr>
            </w:pPr>
            <w:r>
              <w:rPr>
                <w:rFonts w:ascii="ARIAL" w:hAnsi="ARIAL"/>
                <w:b/>
                <w:sz w:val="9"/>
              </w:rPr>
              <w:t>(1)</w:t>
            </w:r>
          </w:p>
          <w:p>
            <w:pPr>
              <w:pStyle w:val="TableContents"/>
              <w:bidi w:val="0"/>
              <w:spacing w:before="0" w:after="0"/>
              <w:jc w:val="center"/>
              <w:rPr>
                <w:rFonts w:ascii="ARIAL" w:hAnsi="ARIAL"/>
                <w:b/>
                <w:sz w:val="16"/>
              </w:rPr>
            </w:pPr>
            <w:r>
              <w:rPr>
                <w:rFonts w:ascii="ARIAL" w:hAnsi="ARIAL"/>
                <w:b/>
                <w:sz w:val="16"/>
              </w:rPr>
              <w:br/>
              <w:t>($)</w:t>
            </w:r>
          </w:p>
          <w:p>
            <w:pPr>
              <w:pStyle w:val="TableContents"/>
              <w:bidi w:val="0"/>
              <w:spacing w:before="0" w:after="0"/>
              <w:jc w:val="left"/>
              <w:rPr/>
            </w:pPr>
            <w:r>
              <w:rPr/>
              <w:t> </w:t>
            </w:r>
          </w:p>
          <w:p>
            <w:pPr>
              <w:pStyle w:val="TableContents"/>
              <w:bidi w:val="0"/>
              <w:spacing w:before="0" w:after="20"/>
              <w:ind w:left="0" w:right="0" w:hanging="0"/>
              <w:jc w:val="center"/>
              <w:rPr>
                <w:rFonts w:ascii="ARIAL" w:hAnsi="ARIAL"/>
                <w:sz w:val="16"/>
              </w:rPr>
            </w:pPr>
            <w:r>
              <w:rPr>
                <w:rFonts w:ascii="ARIAL" w:hAnsi="ARIAL"/>
                <w:sz w:val="16"/>
              </w:rPr>
              <w:t>(b)</w:t>
            </w:r>
          </w:p>
        </w:tc>
        <w:tc>
          <w:tcPr>
            <w:tcW w:w="24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Comp.</w:t>
              <w:br/>
              <w:t>Actually</w:t>
              <w:br/>
              <w:t>Paid to</w:t>
              <w:br/>
              <w:t>John Kao</w:t>
            </w:r>
          </w:p>
          <w:p>
            <w:pPr>
              <w:pStyle w:val="TableContents"/>
              <w:bidi w:val="0"/>
              <w:spacing w:before="0" w:after="0"/>
              <w:jc w:val="center"/>
              <w:rPr/>
            </w:pPr>
            <w:r>
              <w:rPr/>
              <w:t> </w:t>
            </w:r>
            <w:r>
              <w:rPr>
                <w:rFonts w:ascii="ARIAL" w:hAnsi="ARIAL"/>
                <w:b/>
                <w:sz w:val="9"/>
              </w:rPr>
              <w:t>(2)</w:t>
            </w:r>
          </w:p>
          <w:p>
            <w:pPr>
              <w:pStyle w:val="TableContents"/>
              <w:bidi w:val="0"/>
              <w:spacing w:before="0" w:after="0"/>
              <w:jc w:val="center"/>
              <w:rPr>
                <w:rFonts w:ascii="ARIAL" w:hAnsi="ARIAL"/>
                <w:b/>
                <w:sz w:val="16"/>
              </w:rPr>
            </w:pPr>
            <w:r>
              <w:rPr>
                <w:rFonts w:ascii="ARIAL" w:hAnsi="ARIAL"/>
                <w:b/>
                <w:sz w:val="16"/>
              </w:rPr>
              <w:br/>
              <w:t>($)</w:t>
            </w:r>
          </w:p>
          <w:p>
            <w:pPr>
              <w:pStyle w:val="TableContents"/>
              <w:bidi w:val="0"/>
              <w:spacing w:before="0" w:after="0"/>
              <w:jc w:val="left"/>
              <w:rPr/>
            </w:pPr>
            <w:r>
              <w:rPr/>
              <w:t> </w:t>
            </w:r>
          </w:p>
          <w:p>
            <w:pPr>
              <w:pStyle w:val="TableContents"/>
              <w:bidi w:val="0"/>
              <w:spacing w:before="0" w:after="20"/>
              <w:ind w:left="0" w:right="0" w:hanging="0"/>
              <w:jc w:val="center"/>
              <w:rPr>
                <w:rFonts w:ascii="ARIAL" w:hAnsi="ARIAL"/>
                <w:sz w:val="16"/>
              </w:rPr>
            </w:pPr>
            <w:r>
              <w:rPr>
                <w:rFonts w:ascii="ARIAL" w:hAnsi="ARIAL"/>
                <w:sz w:val="16"/>
              </w:rPr>
              <w:t>(c)</w:t>
            </w:r>
          </w:p>
        </w:tc>
        <w:tc>
          <w:tcPr>
            <w:tcW w:w="120" w:type="dxa"/>
            <w:tcBorders>
              <w:bottom w:val="single" w:sz="6" w:space="0" w:color="000000"/>
            </w:tcBorders>
            <w:tcMar>
              <w:bottom w:w="28" w:type="dxa"/>
            </w:tcMar>
            <w:vAlign w:val="center"/>
          </w:tcPr>
          <w:p>
            <w:pPr>
              <w:pStyle w:val="TableContents"/>
              <w:bidi w:val="0"/>
              <w:spacing w:before="0" w:after="283"/>
              <w:ind w:left="0" w:right="0" w:hanging="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Average</w:t>
              <w:br/>
              <w:t>Summary</w:t>
              <w:br/>
              <w:t>Comp.</w:t>
              <w:br/>
              <w:t>Table Total</w:t>
              <w:br/>
              <w:t>for Non-</w:t>
              <w:br/>
              <w:t>PEO NEOs</w:t>
            </w:r>
          </w:p>
          <w:p>
            <w:pPr>
              <w:pStyle w:val="TableContents"/>
              <w:bidi w:val="0"/>
              <w:spacing w:before="0" w:after="0"/>
              <w:jc w:val="center"/>
              <w:rPr/>
            </w:pPr>
            <w:r>
              <w:rPr/>
              <w:t> </w:t>
            </w:r>
            <w:r>
              <w:rPr>
                <w:rFonts w:ascii="ARIAL" w:hAnsi="ARIAL"/>
                <w:b/>
                <w:sz w:val="9"/>
              </w:rPr>
              <w:t>(3)</w:t>
            </w:r>
          </w:p>
          <w:p>
            <w:pPr>
              <w:pStyle w:val="TableContents"/>
              <w:bidi w:val="0"/>
              <w:spacing w:before="0" w:after="0"/>
              <w:jc w:val="center"/>
              <w:rPr>
                <w:rFonts w:ascii="ARIAL" w:hAnsi="ARIAL"/>
                <w:b/>
                <w:sz w:val="16"/>
              </w:rPr>
            </w:pPr>
            <w:r>
              <w:rPr>
                <w:rFonts w:ascii="ARIAL" w:hAnsi="ARIAL"/>
                <w:b/>
                <w:sz w:val="16"/>
              </w:rPr>
              <w:br/>
              <w:t>($)</w:t>
            </w:r>
          </w:p>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w:t>
            </w:r>
          </w:p>
          <w:p>
            <w:pPr>
              <w:pStyle w:val="TableContents"/>
              <w:bidi w:val="0"/>
              <w:spacing w:before="0" w:after="20"/>
              <w:jc w:val="center"/>
              <w:rPr>
                <w:rFonts w:ascii="ARIAL" w:hAnsi="ARIAL"/>
                <w:sz w:val="16"/>
              </w:rPr>
            </w:pPr>
            <w:r>
              <w:rPr>
                <w:rFonts w:ascii="ARIAL" w:hAnsi="ARIAL"/>
                <w:sz w:val="16"/>
              </w:rPr>
              <w:t>d</w:t>
            </w:r>
          </w:p>
          <w:p>
            <w:pPr>
              <w:pStyle w:val="TableContents"/>
              <w:bidi w:val="0"/>
              <w:spacing w:before="0" w:after="20"/>
              <w:ind w:left="0" w:right="0" w:hanging="0"/>
              <w:jc w:val="center"/>
              <w:rPr>
                <w:rFonts w:ascii="ARIAL" w:hAnsi="ARIAL"/>
                <w:sz w:val="16"/>
              </w:rPr>
            </w:pPr>
            <w:r>
              <w:rPr>
                <w:rFonts w:ascii="ARIAL" w:hAnsi="ARIAL"/>
                <w:sz w:val="16"/>
              </w:rPr>
              <w:t>)</w:t>
            </w:r>
          </w:p>
        </w:tc>
        <w:tc>
          <w:tcPr>
            <w:tcW w:w="240" w:type="dxa"/>
            <w:tcBorders>
              <w:bottom w:val="single" w:sz="6" w:space="0" w:color="000000"/>
            </w:tcBorders>
            <w:tcMar>
              <w:bottom w:w="28" w:type="dxa"/>
            </w:tcMar>
            <w:vAlign w:val="center"/>
          </w:tcPr>
          <w:p>
            <w:pPr>
              <w:pStyle w:val="TableContents"/>
              <w:bidi w:val="0"/>
              <w:spacing w:before="0" w:after="283"/>
              <w:ind w:left="0" w:right="0" w:hanging="0"/>
              <w:jc w:val="left"/>
              <w:rPr/>
            </w:pPr>
            <w:r>
              <w:rPr/>
              <w:t>    </w:t>
            </w:r>
          </w:p>
        </w:tc>
        <w:tc>
          <w:tcPr>
            <w:tcW w:w="1100" w:type="dxa"/>
            <w:tcBorders>
              <w:bottom w:val="single" w:sz="6" w:space="0" w:color="000000"/>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Average</w:t>
              <w:br/>
              <w:t>Comp.</w:t>
              <w:br/>
              <w:t>Actually</w:t>
              <w:br/>
              <w:t>Paid to</w:t>
              <w:br/>
              <w:t>Non-PEO</w:t>
              <w:br/>
              <w:t>NEOs</w:t>
            </w:r>
          </w:p>
          <w:p>
            <w:pPr>
              <w:pStyle w:val="TableContents"/>
              <w:bidi w:val="0"/>
              <w:spacing w:before="0" w:after="0"/>
              <w:jc w:val="center"/>
              <w:rPr>
                <w:rFonts w:ascii="ARIAL" w:hAnsi="ARIAL"/>
                <w:b/>
                <w:sz w:val="9"/>
              </w:rPr>
            </w:pPr>
            <w:r>
              <w:rPr>
                <w:rFonts w:ascii="ARIAL" w:hAnsi="ARIAL"/>
                <w:b/>
                <w:sz w:val="9"/>
              </w:rPr>
              <w:t>(4)</w:t>
            </w:r>
          </w:p>
          <w:p>
            <w:pPr>
              <w:pStyle w:val="TableContents"/>
              <w:bidi w:val="0"/>
              <w:spacing w:before="0" w:after="0"/>
              <w:jc w:val="center"/>
              <w:rPr>
                <w:rFonts w:ascii="ARIAL" w:hAnsi="ARIAL"/>
                <w:b/>
                <w:sz w:val="16"/>
              </w:rPr>
            </w:pPr>
            <w:r>
              <w:rPr>
                <w:rFonts w:ascii="ARIAL" w:hAnsi="ARIAL"/>
                <w:b/>
                <w:sz w:val="16"/>
              </w:rPr>
              <w:br/>
              <w:t>($)</w:t>
            </w:r>
          </w:p>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w:t>
            </w:r>
          </w:p>
          <w:p>
            <w:pPr>
              <w:pStyle w:val="TableContents"/>
              <w:bidi w:val="0"/>
              <w:spacing w:before="0" w:after="20"/>
              <w:jc w:val="center"/>
              <w:rPr>
                <w:rFonts w:ascii="ARIAL" w:hAnsi="ARIAL"/>
                <w:sz w:val="16"/>
              </w:rPr>
            </w:pPr>
            <w:r>
              <w:rPr>
                <w:rFonts w:ascii="ARIAL" w:hAnsi="ARIAL"/>
                <w:sz w:val="16"/>
              </w:rPr>
              <w:t>e</w:t>
            </w:r>
          </w:p>
          <w:p>
            <w:pPr>
              <w:pStyle w:val="TableContents"/>
              <w:bidi w:val="0"/>
              <w:spacing w:before="0" w:after="20"/>
              <w:ind w:left="0" w:right="0" w:hanging="0"/>
              <w:jc w:val="center"/>
              <w:rPr>
                <w:rFonts w:ascii="ARIAL" w:hAnsi="ARIAL"/>
                <w:sz w:val="16"/>
              </w:rPr>
            </w:pPr>
            <w:r>
              <w:rPr>
                <w:rFonts w:ascii="ARIAL" w:hAnsi="ARIAL"/>
                <w:sz w:val="16"/>
              </w:rPr>
              <w:t>)</w:t>
            </w:r>
          </w:p>
        </w:tc>
        <w:tc>
          <w:tcPr>
            <w:tcW w:w="240" w:type="dxa"/>
            <w:tcBorders>
              <w:bottom w:val="single" w:sz="6" w:space="0" w:color="000000"/>
            </w:tcBorders>
            <w:tcMar>
              <w:bottom w:w="28" w:type="dxa"/>
            </w:tcMar>
            <w:vAlign w:val="center"/>
          </w:tcPr>
          <w:p>
            <w:pPr>
              <w:pStyle w:val="TableContents"/>
              <w:bidi w:val="0"/>
              <w:spacing w:before="0" w:after="283"/>
              <w:ind w:left="0" w:right="0" w:hanging="0"/>
              <w:jc w:val="left"/>
              <w:rPr/>
            </w:pPr>
            <w:r>
              <w:rPr/>
              <w:t>    </w:t>
            </w:r>
          </w:p>
        </w:tc>
        <w:tc>
          <w:tcPr>
            <w:tcW w:w="560" w:type="dxa"/>
            <w:tcBorders>
              <w:bottom w:val="single" w:sz="6" w:space="0" w:color="000000"/>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ALHC</w:t>
            </w:r>
          </w:p>
          <w:p>
            <w:pPr>
              <w:pStyle w:val="TableContents"/>
              <w:bidi w:val="0"/>
              <w:spacing w:before="0" w:after="0"/>
              <w:jc w:val="center"/>
              <w:rPr>
                <w:rFonts w:ascii="ARIAL" w:hAnsi="ARIAL"/>
                <w:b/>
                <w:sz w:val="9"/>
              </w:rPr>
            </w:pPr>
            <w:r>
              <w:rPr>
                <w:rFonts w:ascii="ARIAL" w:hAnsi="ARIAL"/>
                <w:b/>
                <w:sz w:val="9"/>
              </w:rPr>
              <w:t>(5)</w:t>
            </w:r>
          </w:p>
          <w:p>
            <w:pPr>
              <w:pStyle w:val="TableContents"/>
              <w:bidi w:val="0"/>
              <w:spacing w:before="0" w:after="0"/>
              <w:jc w:val="center"/>
              <w:rPr>
                <w:rFonts w:ascii="ARIAL" w:hAnsi="ARIAL"/>
                <w:b/>
                <w:sz w:val="16"/>
              </w:rPr>
            </w:pPr>
            <w:r>
              <w:rPr>
                <w:rFonts w:ascii="ARIAL" w:hAnsi="ARIAL"/>
                <w:b/>
                <w:sz w:val="16"/>
              </w:rPr>
              <w:br/>
              <w:t>($)</w:t>
            </w:r>
          </w:p>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w:t>
            </w:r>
          </w:p>
          <w:p>
            <w:pPr>
              <w:pStyle w:val="TableContents"/>
              <w:bidi w:val="0"/>
              <w:spacing w:before="0" w:after="20"/>
              <w:jc w:val="center"/>
              <w:rPr>
                <w:rFonts w:ascii="ARIAL" w:hAnsi="ARIAL"/>
                <w:sz w:val="16"/>
              </w:rPr>
            </w:pPr>
            <w:r>
              <w:rPr>
                <w:rFonts w:ascii="ARIAL" w:hAnsi="ARIAL"/>
                <w:sz w:val="16"/>
              </w:rPr>
              <w:t>f</w:t>
            </w:r>
          </w:p>
          <w:p>
            <w:pPr>
              <w:pStyle w:val="TableContents"/>
              <w:bidi w:val="0"/>
              <w:spacing w:before="0" w:after="20"/>
              <w:ind w:left="0" w:right="0" w:hanging="0"/>
              <w:jc w:val="center"/>
              <w:rPr>
                <w:rFonts w:ascii="ARIAL" w:hAnsi="ARIAL"/>
                <w:sz w:val="16"/>
              </w:rPr>
            </w:pPr>
            <w:r>
              <w:rPr>
                <w:rFonts w:ascii="ARIAL" w:hAnsi="ARIAL"/>
                <w:sz w:val="16"/>
              </w:rPr>
              <w:t>)</w:t>
            </w:r>
          </w:p>
        </w:tc>
        <w:tc>
          <w:tcPr>
            <w:tcW w:w="240" w:type="dxa"/>
            <w:tcBorders>
              <w:bottom w:val="single" w:sz="6" w:space="0" w:color="000000"/>
            </w:tcBorders>
            <w:tcMar>
              <w:bottom w:w="28" w:type="dxa"/>
            </w:tcMar>
            <w:vAlign w:val="center"/>
          </w:tcPr>
          <w:p>
            <w:pPr>
              <w:pStyle w:val="TableContents"/>
              <w:bidi w:val="0"/>
              <w:spacing w:before="0" w:after="283"/>
              <w:ind w:left="0" w:right="0" w:hanging="0"/>
              <w:jc w:val="left"/>
              <w:rPr/>
            </w:pPr>
            <w:r>
              <w:rPr/>
              <w:t>    </w:t>
            </w:r>
          </w:p>
        </w:tc>
        <w:tc>
          <w:tcPr>
            <w:tcW w:w="980" w:type="dxa"/>
            <w:tcBorders>
              <w:bottom w:val="single" w:sz="6" w:space="0" w:color="000000"/>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NASDAQ</w:t>
              <w:br/>
              <w:t>Health Care</w:t>
              <w:br/>
              <w:t>Index Total</w:t>
              <w:br/>
              <w:t>Shareholder</w:t>
              <w:br/>
              <w:t>Return</w:t>
            </w:r>
          </w:p>
          <w:p>
            <w:pPr>
              <w:pStyle w:val="TableContents"/>
              <w:bidi w:val="0"/>
              <w:spacing w:before="0" w:after="0"/>
              <w:jc w:val="center"/>
              <w:rPr>
                <w:rFonts w:ascii="ARIAL" w:hAnsi="ARIAL"/>
                <w:b/>
                <w:sz w:val="9"/>
              </w:rPr>
            </w:pPr>
            <w:r>
              <w:rPr>
                <w:rFonts w:ascii="ARIAL" w:hAnsi="ARIAL"/>
                <w:b/>
                <w:sz w:val="9"/>
              </w:rPr>
              <w:t>(6)</w:t>
            </w:r>
          </w:p>
          <w:p>
            <w:pPr>
              <w:pStyle w:val="TableContents"/>
              <w:bidi w:val="0"/>
              <w:spacing w:before="0" w:after="0"/>
              <w:jc w:val="center"/>
              <w:rPr>
                <w:rFonts w:ascii="ARIAL" w:hAnsi="ARIAL"/>
                <w:b/>
                <w:sz w:val="16"/>
              </w:rPr>
            </w:pPr>
            <w:r>
              <w:rPr>
                <w:rFonts w:ascii="ARIAL" w:hAnsi="ARIAL"/>
                <w:b/>
                <w:sz w:val="16"/>
              </w:rPr>
              <w:br/>
              <w:t>($)</w:t>
            </w:r>
          </w:p>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w:t>
            </w:r>
          </w:p>
          <w:p>
            <w:pPr>
              <w:pStyle w:val="TableContents"/>
              <w:bidi w:val="0"/>
              <w:spacing w:before="0" w:after="20"/>
              <w:jc w:val="center"/>
              <w:rPr>
                <w:rFonts w:ascii="ARIAL" w:hAnsi="ARIAL"/>
                <w:sz w:val="16"/>
              </w:rPr>
            </w:pPr>
            <w:r>
              <w:rPr>
                <w:rFonts w:ascii="ARIAL" w:hAnsi="ARIAL"/>
                <w:sz w:val="16"/>
              </w:rPr>
              <w:t>g</w:t>
            </w:r>
          </w:p>
          <w:p>
            <w:pPr>
              <w:pStyle w:val="TableContents"/>
              <w:bidi w:val="0"/>
              <w:spacing w:before="0" w:after="20"/>
              <w:ind w:left="0" w:right="0" w:hanging="0"/>
              <w:jc w:val="center"/>
              <w:rPr>
                <w:rFonts w:ascii="ARIAL" w:hAnsi="ARIAL"/>
                <w:sz w:val="16"/>
              </w:rPr>
            </w:pPr>
            <w:r>
              <w:rPr>
                <w:rFonts w:ascii="ARIAL" w:hAnsi="ARIAL"/>
                <w:sz w:val="16"/>
              </w:rPr>
              <w:t>)</w:t>
            </w:r>
          </w:p>
        </w:tc>
        <w:tc>
          <w:tcPr>
            <w:tcW w:w="240" w:type="dxa"/>
            <w:tcBorders>
              <w:bottom w:val="single" w:sz="6" w:space="0" w:color="000000"/>
            </w:tcBorders>
            <w:tcMar>
              <w:bottom w:w="28" w:type="dxa"/>
            </w:tcMar>
            <w:vAlign w:val="center"/>
          </w:tcPr>
          <w:p>
            <w:pPr>
              <w:pStyle w:val="TableContents"/>
              <w:bidi w:val="0"/>
              <w:spacing w:before="0" w:after="283"/>
              <w:ind w:left="0" w:right="0" w:hanging="0"/>
              <w:jc w:val="left"/>
              <w:rPr/>
            </w:pPr>
            <w:r>
              <w:rPr/>
              <w:t>    </w:t>
            </w:r>
          </w:p>
        </w:tc>
        <w:tc>
          <w:tcPr>
            <w:tcW w:w="830" w:type="dxa"/>
            <w:tcBorders>
              <w:bottom w:val="single" w:sz="6" w:space="0" w:color="000000"/>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Net</w:t>
              <w:br/>
              <w:t>Income</w:t>
              <w:br/>
              <w:t>(in</w:t>
              <w:br/>
              <w:t>millions)</w:t>
            </w:r>
          </w:p>
          <w:p>
            <w:pPr>
              <w:pStyle w:val="TableContents"/>
              <w:bidi w:val="0"/>
              <w:spacing w:before="0" w:after="0"/>
              <w:jc w:val="center"/>
              <w:rPr/>
            </w:pPr>
            <w:r>
              <w:rPr/>
              <w:t> </w:t>
            </w:r>
            <w:r>
              <w:rPr>
                <w:rFonts w:ascii="ARIAL" w:hAnsi="ARIAL"/>
                <w:b/>
                <w:sz w:val="9"/>
              </w:rPr>
              <w:t>(7)</w:t>
            </w:r>
          </w:p>
          <w:p>
            <w:pPr>
              <w:pStyle w:val="TableContents"/>
              <w:bidi w:val="0"/>
              <w:spacing w:before="0" w:after="0"/>
              <w:jc w:val="center"/>
              <w:rPr>
                <w:rFonts w:ascii="ARIAL" w:hAnsi="ARIAL"/>
                <w:b/>
                <w:sz w:val="16"/>
              </w:rPr>
            </w:pPr>
            <w:r>
              <w:rPr>
                <w:rFonts w:ascii="ARIAL" w:hAnsi="ARIAL"/>
                <w:b/>
                <w:sz w:val="16"/>
              </w:rPr>
              <w:br/>
              <w:t>($)</w:t>
            </w:r>
          </w:p>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w:t>
            </w:r>
          </w:p>
          <w:p>
            <w:pPr>
              <w:pStyle w:val="TableContents"/>
              <w:bidi w:val="0"/>
              <w:spacing w:before="0" w:after="20"/>
              <w:jc w:val="center"/>
              <w:rPr>
                <w:rFonts w:ascii="ARIAL" w:hAnsi="ARIAL"/>
                <w:sz w:val="16"/>
              </w:rPr>
            </w:pPr>
            <w:r>
              <w:rPr>
                <w:rFonts w:ascii="ARIAL" w:hAnsi="ARIAL"/>
                <w:sz w:val="16"/>
              </w:rPr>
              <w:t>h</w:t>
            </w:r>
          </w:p>
          <w:p>
            <w:pPr>
              <w:pStyle w:val="TableContents"/>
              <w:bidi w:val="0"/>
              <w:spacing w:before="0" w:after="20"/>
              <w:ind w:left="0" w:right="0" w:hanging="0"/>
              <w:jc w:val="center"/>
              <w:rPr>
                <w:rFonts w:ascii="ARIAL" w:hAnsi="ARIAL"/>
                <w:sz w:val="16"/>
              </w:rPr>
            </w:pPr>
            <w:r>
              <w:rPr>
                <w:rFonts w:ascii="ARIAL" w:hAnsi="ARIAL"/>
                <w:sz w:val="16"/>
              </w:rPr>
              <w:t>)</w:t>
            </w:r>
          </w:p>
        </w:tc>
        <w:tc>
          <w:tcPr>
            <w:tcW w:w="120" w:type="dxa"/>
            <w:tcBorders>
              <w:bottom w:val="single" w:sz="6" w:space="0" w:color="000000"/>
            </w:tcBorders>
            <w:tcMar>
              <w:bottom w:w="28" w:type="dxa"/>
            </w:tcMar>
            <w:vAlign w:val="center"/>
          </w:tcPr>
          <w:p>
            <w:pPr>
              <w:pStyle w:val="TableContents"/>
              <w:bidi w:val="0"/>
              <w:spacing w:before="0" w:after="283"/>
              <w:ind w:left="0" w:right="0" w:hanging="0"/>
              <w:jc w:val="left"/>
              <w:rPr/>
            </w:pPr>
            <w:r>
              <w:rPr/>
              <w:t>  </w:t>
            </w:r>
          </w:p>
        </w:tc>
        <w:tc>
          <w:tcPr>
            <w:tcW w:w="725" w:type="dxa"/>
            <w:tcBorders>
              <w:bottom w:val="single" w:sz="6" w:space="0" w:color="000000"/>
            </w:tcBorders>
            <w:tcMar>
              <w:bottom w:w="28" w:type="dxa"/>
            </w:tcMar>
            <w:vAlign w:val="center"/>
          </w:tcPr>
          <w:p>
            <w:pPr>
              <w:pStyle w:val="TableContents"/>
              <w:bidi w:val="0"/>
              <w:spacing w:before="0" w:after="0"/>
              <w:jc w:val="center"/>
              <w:rPr>
                <w:rFonts w:ascii="ARIAL" w:hAnsi="ARIAL"/>
                <w:b/>
                <w:sz w:val="16"/>
              </w:rPr>
            </w:pPr>
            <w:r>
              <w:rPr>
                <w:rFonts w:ascii="ARIAL" w:hAnsi="ARIAL"/>
                <w:b/>
                <w:sz w:val="16"/>
              </w:rPr>
              <w:t>Adj.</w:t>
              <w:br/>
              <w:t>EBITDA</w:t>
              <w:br/>
              <w:t>(in</w:t>
              <w:br/>
              <w:t>millions)</w:t>
            </w:r>
          </w:p>
          <w:p>
            <w:pPr>
              <w:pStyle w:val="TableContents"/>
              <w:bidi w:val="0"/>
              <w:spacing w:before="0" w:after="0"/>
              <w:jc w:val="center"/>
              <w:rPr/>
            </w:pPr>
            <w:r>
              <w:rPr/>
              <w:t> </w:t>
            </w:r>
            <w:r>
              <w:rPr>
                <w:rFonts w:ascii="ARIAL" w:hAnsi="ARIAL"/>
                <w:b/>
                <w:sz w:val="9"/>
              </w:rPr>
              <w:t>(8)</w:t>
            </w:r>
          </w:p>
          <w:p>
            <w:pPr>
              <w:pStyle w:val="TableContents"/>
              <w:bidi w:val="0"/>
              <w:spacing w:before="0" w:after="0"/>
              <w:jc w:val="center"/>
              <w:rPr>
                <w:rFonts w:ascii="ARIAL" w:hAnsi="ARIAL"/>
                <w:b/>
                <w:sz w:val="16"/>
              </w:rPr>
            </w:pPr>
            <w:r>
              <w:rPr>
                <w:rFonts w:ascii="ARIAL" w:hAnsi="ARIAL"/>
                <w:b/>
                <w:sz w:val="16"/>
              </w:rPr>
              <w:br/>
              <w:t>($)</w:t>
            </w:r>
          </w:p>
          <w:p>
            <w:pPr>
              <w:pStyle w:val="TableContents"/>
              <w:bidi w:val="0"/>
              <w:spacing w:before="0" w:after="20"/>
              <w:jc w:val="center"/>
              <w:rPr>
                <w:sz w:val="20"/>
              </w:rPr>
            </w:pPr>
            <w:r>
              <w:rPr>
                <w:sz w:val="20"/>
              </w:rPr>
              <w:t>(i)</w:t>
            </w:r>
          </w:p>
        </w:tc>
      </w:tr>
      <w:tr>
        <w:trPr/>
        <w:tc>
          <w:tcPr>
            <w:tcW w:w="395" w:type="dxa"/>
            <w:tcBorders/>
            <w:shd w:fill="DBE5F1" w:val="clear"/>
            <w:vAlign w:val="center"/>
          </w:tcPr>
          <w:p>
            <w:pPr>
              <w:pStyle w:val="TableContents"/>
              <w:bidi w:val="0"/>
              <w:spacing w:before="0" w:after="0"/>
              <w:jc w:val="center"/>
              <w:rPr>
                <w:rFonts w:ascii="ARIAL" w:hAnsi="ARIAL"/>
                <w:sz w:val="16"/>
              </w:rPr>
            </w:pPr>
            <w:r>
              <w:rPr>
                <w:rFonts w:ascii="ARIAL" w:hAnsi="ARIAL"/>
                <w:sz w:val="16"/>
              </w:rPr>
              <w:t>2023</w:t>
            </w:r>
          </w:p>
        </w:tc>
        <w:tc>
          <w:tcPr>
            <w:tcW w:w="24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0"/>
              <w:jc w:val="center"/>
              <w:rPr>
                <w:spacing w:val="0"/>
              </w:rPr>
            </w:pPr>
            <w:r>
              <w:rPr>
                <w:spacing w:val="0"/>
              </w:rPr>
              <w:t>14,296,476</w:t>
            </w:r>
          </w:p>
        </w:tc>
        <w:tc>
          <w:tcPr>
            <w:tcW w:w="24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0"/>
              <w:jc w:val="center"/>
              <w:rPr>
                <w:spacing w:val="0"/>
              </w:rPr>
            </w:pPr>
            <w:r>
              <w:rPr>
                <w:spacing w:val="0"/>
              </w:rPr>
              <w:t>(2,674,822</w:t>
            </w:r>
          </w:p>
          <w:p>
            <w:pPr>
              <w:pStyle w:val="TableContents"/>
              <w:bidi w:val="0"/>
              <w:spacing w:before="0" w:after="0"/>
              <w:jc w:val="center"/>
              <w:rPr/>
            </w:pPr>
            <w:r>
              <w:rPr/>
              <w:t>)</w:t>
            </w:r>
          </w:p>
        </w:tc>
        <w:tc>
          <w:tcPr>
            <w:tcW w:w="12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0"/>
              <w:jc w:val="center"/>
              <w:rPr>
                <w:spacing w:val="0"/>
              </w:rPr>
            </w:pPr>
            <w:r>
              <w:rPr>
                <w:spacing w:val="0"/>
              </w:rPr>
              <w:t>4,760,449</w:t>
            </w:r>
          </w:p>
        </w:tc>
        <w:tc>
          <w:tcPr>
            <w:tcW w:w="240" w:type="dxa"/>
            <w:tcBorders/>
            <w:shd w:fill="DBE5F1" w:val="clear"/>
            <w:vAlign w:val="center"/>
          </w:tcPr>
          <w:p>
            <w:pPr>
              <w:pStyle w:val="TableContents"/>
              <w:bidi w:val="0"/>
              <w:spacing w:before="0" w:after="283"/>
              <w:jc w:val="left"/>
              <w:rPr/>
            </w:pPr>
            <w:r>
              <w:rPr/>
              <w:t>    </w:t>
            </w:r>
          </w:p>
        </w:tc>
        <w:tc>
          <w:tcPr>
            <w:tcW w:w="1100" w:type="dxa"/>
            <w:tcBorders/>
            <w:shd w:fill="DBE5F1" w:val="clear"/>
            <w:vAlign w:val="center"/>
          </w:tcPr>
          <w:p>
            <w:pPr>
              <w:pStyle w:val="TableContents"/>
              <w:bidi w:val="0"/>
              <w:spacing w:before="0" w:after="0"/>
              <w:jc w:val="center"/>
              <w:rPr>
                <w:spacing w:val="0"/>
              </w:rPr>
            </w:pPr>
            <w:r>
              <w:rPr>
                <w:spacing w:val="0"/>
              </w:rPr>
              <w:t>1,769,823</w:t>
            </w:r>
          </w:p>
        </w:tc>
        <w:tc>
          <w:tcPr>
            <w:tcW w:w="240" w:type="dxa"/>
            <w:tcBorders/>
            <w:shd w:fill="DBE5F1" w:val="clear"/>
            <w:vAlign w:val="center"/>
          </w:tcPr>
          <w:p>
            <w:pPr>
              <w:pStyle w:val="TableContents"/>
              <w:bidi w:val="0"/>
              <w:spacing w:before="0" w:after="283"/>
              <w:jc w:val="left"/>
              <w:rPr/>
            </w:pPr>
            <w:r>
              <w:rPr/>
              <w:t>    </w:t>
            </w:r>
          </w:p>
        </w:tc>
        <w:tc>
          <w:tcPr>
            <w:tcW w:w="560" w:type="dxa"/>
            <w:tcBorders/>
            <w:shd w:fill="DBE5F1" w:val="clear"/>
            <w:vAlign w:val="center"/>
          </w:tcPr>
          <w:p>
            <w:pPr>
              <w:pStyle w:val="TableContents"/>
              <w:bidi w:val="0"/>
              <w:spacing w:before="0" w:after="283"/>
              <w:jc w:val="center"/>
              <w:rPr/>
            </w:pPr>
            <w:r>
              <w:rPr/>
              <w:t>49.74</w:t>
            </w:r>
          </w:p>
        </w:tc>
        <w:tc>
          <w:tcPr>
            <w:tcW w:w="240" w:type="dxa"/>
            <w:tcBorders/>
            <w:shd w:fill="DBE5F1" w:val="clear"/>
            <w:vAlign w:val="center"/>
          </w:tcPr>
          <w:p>
            <w:pPr>
              <w:pStyle w:val="TableContents"/>
              <w:bidi w:val="0"/>
              <w:spacing w:before="0" w:after="283"/>
              <w:jc w:val="left"/>
              <w:rPr/>
            </w:pPr>
            <w:r>
              <w:rPr/>
              <w:t>    </w:t>
            </w:r>
          </w:p>
        </w:tc>
        <w:tc>
          <w:tcPr>
            <w:tcW w:w="980" w:type="dxa"/>
            <w:tcBorders/>
            <w:shd w:fill="DBE5F1" w:val="clear"/>
            <w:vAlign w:val="center"/>
          </w:tcPr>
          <w:p>
            <w:pPr>
              <w:pStyle w:val="TableContents"/>
              <w:bidi w:val="0"/>
              <w:spacing w:before="0" w:after="283"/>
              <w:jc w:val="center"/>
              <w:rPr/>
            </w:pPr>
            <w:r>
              <w:rPr/>
              <w:t>82.87</w:t>
            </w:r>
          </w:p>
        </w:tc>
        <w:tc>
          <w:tcPr>
            <w:tcW w:w="240" w:type="dxa"/>
            <w:tcBorders/>
            <w:shd w:fill="DBE5F1" w:val="clear"/>
            <w:vAlign w:val="center"/>
          </w:tcPr>
          <w:p>
            <w:pPr>
              <w:pStyle w:val="TableContents"/>
              <w:bidi w:val="0"/>
              <w:spacing w:before="0" w:after="283"/>
              <w:jc w:val="left"/>
              <w:rPr/>
            </w:pPr>
            <w:r>
              <w:rPr/>
              <w:t>    </w:t>
            </w:r>
          </w:p>
        </w:tc>
        <w:tc>
          <w:tcPr>
            <w:tcW w:w="830" w:type="dxa"/>
            <w:tcBorders/>
            <w:shd w:fill="DBE5F1" w:val="clear"/>
            <w:vAlign w:val="center"/>
          </w:tcPr>
          <w:p>
            <w:pPr>
              <w:pStyle w:val="TableContents"/>
              <w:bidi w:val="0"/>
              <w:spacing w:before="0" w:after="283"/>
              <w:jc w:val="center"/>
              <w:rPr/>
            </w:pPr>
            <w:r>
              <w:rPr/>
              <w:t>(148.17)</w:t>
            </w:r>
          </w:p>
        </w:tc>
        <w:tc>
          <w:tcPr>
            <w:tcW w:w="120" w:type="dxa"/>
            <w:tcBorders/>
            <w:shd w:fill="DBE5F1" w:val="clear"/>
            <w:vAlign w:val="center"/>
          </w:tcPr>
          <w:p>
            <w:pPr>
              <w:pStyle w:val="TableContents"/>
              <w:bidi w:val="0"/>
              <w:spacing w:before="0" w:after="283"/>
              <w:jc w:val="left"/>
              <w:rPr/>
            </w:pPr>
            <w:r>
              <w:rPr/>
              <w:t>  </w:t>
            </w:r>
          </w:p>
        </w:tc>
        <w:tc>
          <w:tcPr>
            <w:tcW w:w="725" w:type="dxa"/>
            <w:tcBorders/>
            <w:shd w:fill="DBE5F1" w:val="clear"/>
            <w:vAlign w:val="center"/>
          </w:tcPr>
          <w:p>
            <w:pPr>
              <w:pStyle w:val="TableContents"/>
              <w:bidi w:val="0"/>
              <w:spacing w:before="0" w:after="283"/>
              <w:jc w:val="center"/>
              <w:rPr/>
            </w:pPr>
            <w:r>
              <w:rPr/>
              <w:t>(35.3)</w:t>
            </w:r>
          </w:p>
        </w:tc>
      </w:tr>
      <w:tr>
        <w:trPr/>
        <w:tc>
          <w:tcPr>
            <w:tcW w:w="395" w:type="dxa"/>
            <w:tcBorders/>
            <w:vAlign w:val="center"/>
          </w:tcPr>
          <w:p>
            <w:pPr>
              <w:pStyle w:val="TableContents"/>
              <w:bidi w:val="0"/>
              <w:spacing w:before="0" w:after="0"/>
              <w:jc w:val="center"/>
              <w:rPr>
                <w:rFonts w:ascii="ARIAL" w:hAnsi="ARIAL"/>
                <w:sz w:val="16"/>
              </w:rPr>
            </w:pPr>
            <w:r>
              <w:rPr>
                <w:rFonts w:ascii="ARIAL" w:hAnsi="ARIAL"/>
                <w:sz w:val="16"/>
              </w:rPr>
              <w:t>2022</w:t>
            </w:r>
          </w:p>
        </w:tc>
        <w:tc>
          <w:tcPr>
            <w:tcW w:w="2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center"/>
              <w:rPr>
                <w:spacing w:val="0"/>
              </w:rPr>
            </w:pPr>
            <w:r>
              <w:rPr>
                <w:spacing w:val="0"/>
              </w:rPr>
              <w:t>34,070,592</w:t>
            </w:r>
          </w:p>
        </w:tc>
        <w:tc>
          <w:tcPr>
            <w:tcW w:w="2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center"/>
              <w:rPr>
                <w:spacing w:val="0"/>
              </w:rPr>
            </w:pPr>
            <w:r>
              <w:rPr>
                <w:spacing w:val="0"/>
              </w:rPr>
              <w:t>25,813,278</w:t>
            </w:r>
          </w:p>
        </w:tc>
        <w:tc>
          <w:tcPr>
            <w:tcW w:w="12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center"/>
              <w:rPr>
                <w:spacing w:val="0"/>
              </w:rPr>
            </w:pPr>
            <w:r>
              <w:rPr>
                <w:spacing w:val="0"/>
              </w:rPr>
              <w:t>7,327,470</w:t>
            </w:r>
          </w:p>
        </w:tc>
        <w:tc>
          <w:tcPr>
            <w:tcW w:w="2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center"/>
              <w:rPr>
                <w:spacing w:val="0"/>
              </w:rPr>
            </w:pPr>
            <w:r>
              <w:rPr>
                <w:spacing w:val="0"/>
              </w:rPr>
              <w:t>5,661,779</w:t>
            </w:r>
          </w:p>
        </w:tc>
        <w:tc>
          <w:tcPr>
            <w:tcW w:w="2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67.94</w:t>
            </w:r>
          </w:p>
        </w:tc>
        <w:tc>
          <w:tcPr>
            <w:tcW w:w="2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77.79</w:t>
            </w:r>
          </w:p>
        </w:tc>
        <w:tc>
          <w:tcPr>
            <w:tcW w:w="2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(149.6)</w:t>
            </w:r>
          </w:p>
        </w:tc>
        <w:tc>
          <w:tcPr>
            <w:tcW w:w="12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pPr>
            <w:r>
              <w:rPr/>
              <w:t>(26.7)</w:t>
            </w:r>
          </w:p>
        </w:tc>
      </w:tr>
      <w:tr>
        <w:trPr/>
        <w:tc>
          <w:tcPr>
            <w:tcW w:w="395" w:type="dxa"/>
            <w:tcBorders>
              <w:bottom w:val="single" w:sz="6" w:space="0" w:color="000000"/>
            </w:tcBorders>
            <w:shd w:fill="DBE5F1" w:val="clear"/>
            <w:tcMar>
              <w:bottom w:w="28" w:type="dxa"/>
            </w:tcMar>
            <w:vAlign w:val="center"/>
          </w:tcPr>
          <w:p>
            <w:pPr>
              <w:pStyle w:val="TableContents"/>
              <w:bidi w:val="0"/>
              <w:spacing w:before="0" w:after="0"/>
              <w:jc w:val="center"/>
              <w:rPr>
                <w:rFonts w:ascii="ARIAL" w:hAnsi="ARIAL"/>
                <w:sz w:val="16"/>
              </w:rPr>
            </w:pPr>
            <w:r>
              <w:rPr>
                <w:rFonts w:ascii="ARIAL" w:hAnsi="ARIAL"/>
                <w:sz w:val="16"/>
              </w:rPr>
              <w:t>2021</w:t>
            </w:r>
          </w:p>
        </w:tc>
        <w:tc>
          <w:tcPr>
            <w:tcW w:w="240" w:type="dxa"/>
            <w:tcBorders>
              <w:bottom w:val="single" w:sz="6" w:space="0" w:color="000000"/>
            </w:tcBorders>
            <w:shd w:fill="DBE5F1" w:val="clear"/>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shd w:fill="DBE5F1" w:val="clear"/>
            <w:tcMar>
              <w:bottom w:w="28" w:type="dxa"/>
            </w:tcMar>
            <w:vAlign w:val="center"/>
          </w:tcPr>
          <w:p>
            <w:pPr>
              <w:pStyle w:val="TableContents"/>
              <w:bidi w:val="0"/>
              <w:spacing w:before="0" w:after="0"/>
              <w:jc w:val="center"/>
              <w:rPr>
                <w:spacing w:val="0"/>
              </w:rPr>
            </w:pPr>
            <w:r>
              <w:rPr>
                <w:spacing w:val="0"/>
              </w:rPr>
              <w:t>45,998,851</w:t>
            </w:r>
          </w:p>
        </w:tc>
        <w:tc>
          <w:tcPr>
            <w:tcW w:w="240" w:type="dxa"/>
            <w:tcBorders>
              <w:bottom w:val="single" w:sz="6" w:space="0" w:color="000000"/>
            </w:tcBorders>
            <w:shd w:fill="DBE5F1" w:val="clear"/>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shd w:fill="DBE5F1" w:val="clear"/>
            <w:tcMar>
              <w:bottom w:w="28" w:type="dxa"/>
            </w:tcMar>
            <w:vAlign w:val="center"/>
          </w:tcPr>
          <w:p>
            <w:pPr>
              <w:pStyle w:val="TableContents"/>
              <w:bidi w:val="0"/>
              <w:spacing w:before="0" w:after="0"/>
              <w:jc w:val="center"/>
              <w:rPr>
                <w:spacing w:val="0"/>
              </w:rPr>
            </w:pPr>
            <w:r>
              <w:rPr>
                <w:spacing w:val="0"/>
              </w:rPr>
              <w:t>37,304,187</w:t>
            </w:r>
          </w:p>
        </w:tc>
        <w:tc>
          <w:tcPr>
            <w:tcW w:w="120" w:type="dxa"/>
            <w:tcBorders>
              <w:bottom w:val="single" w:sz="6" w:space="0" w:color="000000"/>
            </w:tcBorders>
            <w:shd w:fill="DBE5F1" w:val="clear"/>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shd w:fill="DBE5F1" w:val="clear"/>
            <w:tcMar>
              <w:bottom w:w="28" w:type="dxa"/>
            </w:tcMar>
            <w:vAlign w:val="center"/>
          </w:tcPr>
          <w:p>
            <w:pPr>
              <w:pStyle w:val="TableContents"/>
              <w:bidi w:val="0"/>
              <w:spacing w:before="0" w:after="0"/>
              <w:jc w:val="center"/>
              <w:rPr>
                <w:spacing w:val="0"/>
              </w:rPr>
            </w:pPr>
            <w:r>
              <w:rPr>
                <w:spacing w:val="0"/>
              </w:rPr>
              <w:t>10,891,546</w:t>
            </w:r>
          </w:p>
        </w:tc>
        <w:tc>
          <w:tcPr>
            <w:tcW w:w="240" w:type="dxa"/>
            <w:tcBorders>
              <w:bottom w:val="single" w:sz="6" w:space="0" w:color="000000"/>
            </w:tcBorders>
            <w:shd w:fill="DBE5F1" w:val="clear"/>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shd w:fill="DBE5F1" w:val="clear"/>
            <w:tcMar>
              <w:bottom w:w="28" w:type="dxa"/>
            </w:tcMar>
            <w:vAlign w:val="center"/>
          </w:tcPr>
          <w:p>
            <w:pPr>
              <w:pStyle w:val="TableContents"/>
              <w:bidi w:val="0"/>
              <w:spacing w:before="0" w:after="0"/>
              <w:jc w:val="center"/>
              <w:rPr>
                <w:spacing w:val="0"/>
              </w:rPr>
            </w:pPr>
            <w:r>
              <w:rPr>
                <w:spacing w:val="0"/>
              </w:rPr>
              <w:t>10,053,244</w:t>
            </w:r>
          </w:p>
        </w:tc>
        <w:tc>
          <w:tcPr>
            <w:tcW w:w="240" w:type="dxa"/>
            <w:tcBorders>
              <w:bottom w:val="single" w:sz="6" w:space="0" w:color="000000"/>
            </w:tcBorders>
            <w:shd w:fill="DBE5F1" w:val="clear"/>
            <w:tcMar>
              <w:bottom w:w="28" w:type="dxa"/>
            </w:tcMar>
            <w:vAlign w:val="center"/>
          </w:tcPr>
          <w:p>
            <w:pPr>
              <w:pStyle w:val="TableContents"/>
              <w:bidi w:val="0"/>
              <w:spacing w:before="0" w:after="283"/>
              <w:jc w:val="left"/>
              <w:rPr/>
            </w:pPr>
            <w:r>
              <w:rPr/>
              <w:t>    </w:t>
            </w:r>
          </w:p>
        </w:tc>
        <w:tc>
          <w:tcPr>
            <w:tcW w:w="560" w:type="dxa"/>
            <w:tcBorders>
              <w:bottom w:val="single" w:sz="6" w:space="0" w:color="000000"/>
            </w:tcBorders>
            <w:shd w:fill="DBE5F1" w:val="clear"/>
            <w:tcMar>
              <w:bottom w:w="28" w:type="dxa"/>
            </w:tcMar>
            <w:vAlign w:val="center"/>
          </w:tcPr>
          <w:p>
            <w:pPr>
              <w:pStyle w:val="TableContents"/>
              <w:bidi w:val="0"/>
              <w:spacing w:before="0" w:after="283"/>
              <w:jc w:val="center"/>
              <w:rPr/>
            </w:pPr>
            <w:r>
              <w:rPr/>
              <w:t>81.22</w:t>
            </w:r>
          </w:p>
        </w:tc>
        <w:tc>
          <w:tcPr>
            <w:tcW w:w="240" w:type="dxa"/>
            <w:tcBorders>
              <w:bottom w:val="single" w:sz="6" w:space="0" w:color="000000"/>
            </w:tcBorders>
            <w:shd w:fill="DBE5F1"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DBE5F1" w:val="clear"/>
            <w:tcMar>
              <w:bottom w:w="28" w:type="dxa"/>
            </w:tcMar>
            <w:vAlign w:val="center"/>
          </w:tcPr>
          <w:p>
            <w:pPr>
              <w:pStyle w:val="TableContents"/>
              <w:bidi w:val="0"/>
              <w:spacing w:before="0" w:after="283"/>
              <w:jc w:val="center"/>
              <w:rPr/>
            </w:pPr>
            <w:r>
              <w:rPr/>
              <w:t>97.76</w:t>
            </w:r>
          </w:p>
        </w:tc>
        <w:tc>
          <w:tcPr>
            <w:tcW w:w="240" w:type="dxa"/>
            <w:tcBorders>
              <w:bottom w:val="single" w:sz="6" w:space="0" w:color="000000"/>
            </w:tcBorders>
            <w:shd w:fill="DBE5F1" w:val="clear"/>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shd w:fill="DBE5F1" w:val="clear"/>
            <w:tcMar>
              <w:bottom w:w="28" w:type="dxa"/>
            </w:tcMar>
            <w:vAlign w:val="center"/>
          </w:tcPr>
          <w:p>
            <w:pPr>
              <w:pStyle w:val="TableContents"/>
              <w:bidi w:val="0"/>
              <w:spacing w:before="0" w:after="283"/>
              <w:jc w:val="center"/>
              <w:rPr/>
            </w:pPr>
            <w:r>
              <w:rPr/>
              <w:t>(195.3)</w:t>
            </w:r>
          </w:p>
        </w:tc>
        <w:tc>
          <w:tcPr>
            <w:tcW w:w="120" w:type="dxa"/>
            <w:tcBorders>
              <w:bottom w:val="single" w:sz="6" w:space="0" w:color="000000"/>
            </w:tcBorders>
            <w:shd w:fill="DBE5F1" w:val="clear"/>
            <w:tcMar>
              <w:bottom w:w="28" w:type="dxa"/>
            </w:tcMar>
            <w:vAlign w:val="center"/>
          </w:tcPr>
          <w:p>
            <w:pPr>
              <w:pStyle w:val="TableContents"/>
              <w:bidi w:val="0"/>
              <w:spacing w:before="0" w:after="283"/>
              <w:jc w:val="left"/>
              <w:rPr/>
            </w:pPr>
            <w:r>
              <w:rPr/>
              <w:t>  </w:t>
            </w:r>
          </w:p>
        </w:tc>
        <w:tc>
          <w:tcPr>
            <w:tcW w:w="725" w:type="dxa"/>
            <w:tcBorders>
              <w:bottom w:val="single" w:sz="6" w:space="0" w:color="000000"/>
            </w:tcBorders>
            <w:shd w:fill="DBE5F1" w:val="clear"/>
            <w:tcMar>
              <w:bottom w:w="28" w:type="dxa"/>
            </w:tcMar>
            <w:vAlign w:val="center"/>
          </w:tcPr>
          <w:p>
            <w:pPr>
              <w:pStyle w:val="TableContents"/>
              <w:bidi w:val="0"/>
              <w:spacing w:before="0" w:after="283"/>
              <w:jc w:val="center"/>
              <w:rPr/>
            </w:pPr>
            <w:r>
              <w:rPr/>
              <w:t>(33.1)</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0"/>
              <w:jc w:val="left"/>
              <w:rPr>
                <w:rFonts w:ascii="ARIAL" w:hAnsi="ARIAL"/>
                <w:sz w:val="16"/>
              </w:rPr>
            </w:pPr>
            <w:r>
              <w:rPr>
                <w:rFonts w:ascii="ARIAL" w:hAnsi="ARIAL"/>
                <w:sz w:val="16"/>
              </w:rPr>
              <w:t xml:space="preserve">The dollar amounts reported in column (b) are the amounts of total compensation reported for Mr. Kao (the “PEO”) for each corresponding year in the “Total” column of the Summary Compensation Table (“SCT”) in this proxy statement.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(2)</w:t>
            </w:r>
          </w:p>
        </w:tc>
        <w:tc>
          <w:tcPr>
            <w:tcW w:w="9956" w:type="dxa"/>
            <w:tcBorders/>
            <w:vAlign w:val="center"/>
          </w:tcPr>
          <w:p>
            <w:pPr>
              <w:pStyle w:val="TableContents"/>
              <w:bidi w:val="0"/>
              <w:spacing w:before="0" w:after="0"/>
              <w:jc w:val="left"/>
              <w:rPr>
                <w:rFonts w:ascii="ARIAL" w:hAnsi="ARIAL"/>
                <w:sz w:val="16"/>
              </w:rPr>
            </w:pPr>
            <w:r>
              <w:rPr>
                <w:rFonts w:ascii="ARIAL" w:hAnsi="ARIAL"/>
                <w:sz w:val="16"/>
              </w:rPr>
              <w:t xml:space="preserve">The dollar amounts reported in column (c) represent the amount of “compensation actually paid” (“CAP”) to the PEO computed in accordance with Item 402(v) of Regulation S-K. The dollar amounts do not reflect the actual amount of compensation earned by or paid to the PEO during the applicable year. In accordance with the requirements of Item 402(v) of Regulation S-K, the following adjustments were made to the PEO’s total compensation for each year to determine the CAP: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5872"/>
        <w:gridCol w:w="120"/>
        <w:gridCol w:w="1319"/>
        <w:gridCol w:w="120"/>
        <w:gridCol w:w="1319"/>
        <w:gridCol w:w="120"/>
        <w:gridCol w:w="1335"/>
      </w:tblGrid>
      <w:tr>
        <w:trPr/>
        <w:tc>
          <w:tcPr>
            <w:tcW w:w="58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5872" w:type="dxa"/>
            <w:tcBorders>
              <w:bottom w:val="single" w:sz="12" w:space="0" w:color="95B3D7"/>
            </w:tcBorders>
            <w:tcMar>
              <w:bottom w:w="28" w:type="dxa"/>
            </w:tcMar>
            <w:vAlign w:val="center"/>
          </w:tcPr>
          <w:p>
            <w:pPr>
              <w:pStyle w:val="TableContents"/>
              <w:bidi w:val="0"/>
              <w:spacing w:before="0" w:after="283"/>
              <w:jc w:val="left"/>
              <w:rPr/>
            </w:pPr>
            <w:r>
              <w:rPr/>
              <w:t>  </w:t>
            </w:r>
          </w:p>
        </w:tc>
        <w:tc>
          <w:tcPr>
            <w:tcW w:w="120" w:type="dxa"/>
            <w:tcBorders>
              <w:bottom w:val="single" w:sz="12" w:space="0" w:color="95B3D7"/>
            </w:tcBorders>
            <w:tcMar>
              <w:bottom w:w="28" w:type="dxa"/>
            </w:tcMar>
            <w:vAlign w:val="center"/>
          </w:tcPr>
          <w:p>
            <w:pPr>
              <w:pStyle w:val="TableContents"/>
              <w:bidi w:val="0"/>
              <w:spacing w:before="0" w:after="283"/>
              <w:jc w:val="left"/>
              <w:rPr/>
            </w:pPr>
            <w:r>
              <w:rPr/>
              <w:t>  </w:t>
            </w:r>
          </w:p>
        </w:tc>
        <w:tc>
          <w:tcPr>
            <w:tcW w:w="1319" w:type="dxa"/>
            <w:tcBorders>
              <w:bottom w:val="single" w:sz="12" w:space="0" w:color="95B3D7"/>
            </w:tcBorders>
            <w:tcMar>
              <w:bottom w:w="28" w:type="dxa"/>
            </w:tcMar>
            <w:vAlign w:val="center"/>
          </w:tcPr>
          <w:p>
            <w:pPr>
              <w:pStyle w:val="TableContents"/>
              <w:bidi w:val="0"/>
              <w:spacing w:before="0" w:after="0"/>
              <w:jc w:val="center"/>
              <w:rPr>
                <w:b/>
                <w:spacing w:val="0"/>
              </w:rPr>
            </w:pPr>
            <w:r>
              <w:rPr>
                <w:b/>
                <w:spacing w:val="0"/>
              </w:rPr>
              <w:t>2023</w:t>
            </w:r>
          </w:p>
        </w:tc>
        <w:tc>
          <w:tcPr>
            <w:tcW w:w="120" w:type="dxa"/>
            <w:tcBorders>
              <w:bottom w:val="single" w:sz="12" w:space="0" w:color="95B3D7"/>
            </w:tcBorders>
            <w:tcMar>
              <w:bottom w:w="28" w:type="dxa"/>
            </w:tcMar>
            <w:vAlign w:val="center"/>
          </w:tcPr>
          <w:p>
            <w:pPr>
              <w:pStyle w:val="TableContents"/>
              <w:bidi w:val="0"/>
              <w:spacing w:before="0" w:after="283"/>
              <w:jc w:val="left"/>
              <w:rPr/>
            </w:pPr>
            <w:r>
              <w:rPr/>
              <w:t>  </w:t>
            </w:r>
          </w:p>
        </w:tc>
        <w:tc>
          <w:tcPr>
            <w:tcW w:w="1319" w:type="dxa"/>
            <w:tcBorders>
              <w:bottom w:val="single" w:sz="12" w:space="0" w:color="95B3D7"/>
            </w:tcBorders>
            <w:tcMar>
              <w:bottom w:w="28" w:type="dxa"/>
            </w:tcMar>
            <w:vAlign w:val="center"/>
          </w:tcPr>
          <w:p>
            <w:pPr>
              <w:pStyle w:val="TableContents"/>
              <w:bidi w:val="0"/>
              <w:spacing w:before="0" w:after="0"/>
              <w:jc w:val="center"/>
              <w:rPr>
                <w:b/>
                <w:spacing w:val="0"/>
              </w:rPr>
            </w:pPr>
            <w:r>
              <w:rPr>
                <w:b/>
                <w:spacing w:val="0"/>
              </w:rPr>
              <w:t>2022</w:t>
            </w:r>
          </w:p>
        </w:tc>
        <w:tc>
          <w:tcPr>
            <w:tcW w:w="120" w:type="dxa"/>
            <w:tcBorders>
              <w:bottom w:val="single" w:sz="12" w:space="0" w:color="95B3D7"/>
            </w:tcBorders>
            <w:tcMar>
              <w:bottom w:w="28" w:type="dxa"/>
            </w:tcMar>
            <w:vAlign w:val="center"/>
          </w:tcPr>
          <w:p>
            <w:pPr>
              <w:pStyle w:val="TableContents"/>
              <w:bidi w:val="0"/>
              <w:spacing w:before="0" w:after="283"/>
              <w:jc w:val="left"/>
              <w:rPr/>
            </w:pPr>
            <w:r>
              <w:rPr/>
              <w:t>  </w:t>
            </w:r>
          </w:p>
        </w:tc>
        <w:tc>
          <w:tcPr>
            <w:tcW w:w="1335" w:type="dxa"/>
            <w:tcBorders>
              <w:bottom w:val="single" w:sz="12" w:space="0" w:color="95B3D7"/>
            </w:tcBorders>
            <w:tcMar>
              <w:bottom w:w="28" w:type="dxa"/>
            </w:tcMar>
            <w:vAlign w:val="center"/>
          </w:tcPr>
          <w:p>
            <w:pPr>
              <w:pStyle w:val="TableContents"/>
              <w:bidi w:val="0"/>
              <w:spacing w:before="0" w:after="0"/>
              <w:jc w:val="center"/>
              <w:rPr>
                <w:b/>
                <w:spacing w:val="0"/>
              </w:rPr>
            </w:pPr>
            <w:r>
              <w:rPr>
                <w:b/>
                <w:spacing w:val="0"/>
              </w:rPr>
              <w:t>2021</w:t>
            </w:r>
          </w:p>
        </w:tc>
      </w:tr>
      <w:tr>
        <w:trPr/>
        <w:tc>
          <w:tcPr>
            <w:tcW w:w="5872" w:type="dxa"/>
            <w:tcBorders>
              <w:bottom w:val="single" w:sz="8" w:space="0" w:color="95B3D7"/>
              <w:right w:val="single" w:sz="8" w:space="0" w:color="95B3D7"/>
            </w:tcBorders>
            <w:shd w:fill="DBE5F1" w:val="clear"/>
            <w:tcMar>
              <w:bottom w:w="28" w:type="dxa"/>
              <w:right w:w="28" w:type="dxa"/>
            </w:tcMar>
            <w:vAlign w:val="center"/>
          </w:tcPr>
          <w:p>
            <w:pPr>
              <w:pStyle w:val="TableContents"/>
              <w:bidi w:val="0"/>
              <w:spacing w:before="0" w:after="0"/>
              <w:jc w:val="left"/>
              <w:rPr>
                <w:rFonts w:ascii="ARIAL" w:hAnsi="ARIAL"/>
                <w:sz w:val="16"/>
              </w:rPr>
            </w:pPr>
            <w:r>
              <w:rPr>
                <w:rFonts w:ascii="ARIAL" w:hAnsi="ARIAL"/>
                <w:sz w:val="16"/>
              </w:rPr>
              <w:t>Total Compensation from SCT</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319" w:type="dxa"/>
            <w:tcBorders>
              <w:bottom w:val="single" w:sz="8" w:space="0" w:color="95B3D7"/>
            </w:tcBorders>
            <w:shd w:fill="DBE5F1" w:val="clear"/>
            <w:tcMar>
              <w:bottom w:w="28" w:type="dxa"/>
            </w:tcMar>
            <w:vAlign w:val="center"/>
          </w:tcPr>
          <w:p>
            <w:pPr>
              <w:pStyle w:val="TableContents"/>
              <w:bidi w:val="0"/>
              <w:spacing w:before="0" w:after="283"/>
              <w:jc w:val="center"/>
              <w:rPr/>
            </w:pPr>
            <w:r>
              <w:rPr/>
              <w:t>14,296,476</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1319" w:type="dxa"/>
            <w:tcBorders>
              <w:bottom w:val="single" w:sz="8" w:space="0" w:color="95B3D7"/>
              <w:right w:val="single" w:sz="8" w:space="0" w:color="95B3D7"/>
            </w:tcBorders>
            <w:shd w:fill="DBE5F1" w:val="clear"/>
            <w:tcMar>
              <w:bottom w:w="28" w:type="dxa"/>
              <w:right w:w="28" w:type="dxa"/>
            </w:tcMar>
            <w:vAlign w:val="center"/>
          </w:tcPr>
          <w:p>
            <w:pPr>
              <w:pStyle w:val="TableContents"/>
              <w:bidi w:val="0"/>
              <w:spacing w:before="0" w:after="283"/>
              <w:jc w:val="center"/>
              <w:rPr/>
            </w:pPr>
            <w:r>
              <w:rPr/>
              <w:t>$34,070,592</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335" w:type="dxa"/>
            <w:tcBorders>
              <w:bottom w:val="single" w:sz="8" w:space="0" w:color="95B3D7"/>
            </w:tcBorders>
            <w:shd w:fill="DBE5F1" w:val="clear"/>
            <w:tcMar>
              <w:bottom w:w="28" w:type="dxa"/>
            </w:tcMar>
            <w:vAlign w:val="center"/>
          </w:tcPr>
          <w:p>
            <w:pPr>
              <w:pStyle w:val="TableContents"/>
              <w:bidi w:val="0"/>
              <w:spacing w:before="0" w:after="283"/>
              <w:jc w:val="center"/>
              <w:rPr/>
            </w:pPr>
            <w:r>
              <w:rPr/>
              <w:t>$45,998,851</w:t>
            </w:r>
          </w:p>
        </w:tc>
      </w:tr>
      <w:tr>
        <w:trPr/>
        <w:tc>
          <w:tcPr>
            <w:tcW w:w="5872" w:type="dxa"/>
            <w:tcBorders>
              <w:bottom w:val="single" w:sz="8" w:space="0" w:color="95B3D7"/>
              <w:right w:val="single" w:sz="8" w:space="0" w:color="95B3D7"/>
            </w:tcBorders>
            <w:tcMar>
              <w:bottom w:w="28" w:type="dxa"/>
              <w:right w:w="28" w:type="dxa"/>
            </w:tcMar>
            <w:vAlign w:val="center"/>
          </w:tcPr>
          <w:p>
            <w:pPr>
              <w:pStyle w:val="TableContents"/>
              <w:bidi w:val="0"/>
              <w:spacing w:before="0" w:after="0"/>
              <w:jc w:val="left"/>
              <w:rPr>
                <w:rFonts w:ascii="ARIAL" w:hAnsi="ARIAL"/>
                <w:sz w:val="16"/>
              </w:rPr>
            </w:pPr>
            <w:r>
              <w:rPr>
                <w:rFonts w:ascii="ARIAL" w:hAnsi="ARIAL"/>
                <w:sz w:val="16"/>
              </w:rPr>
              <w:t>Less Reported Value of Equity Awards from SCT</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319" w:type="dxa"/>
            <w:tcBorders>
              <w:bottom w:val="single" w:sz="8" w:space="0" w:color="95B3D7"/>
            </w:tcBorders>
            <w:tcMar>
              <w:bottom w:w="28" w:type="dxa"/>
            </w:tcMar>
            <w:vAlign w:val="center"/>
          </w:tcPr>
          <w:p>
            <w:pPr>
              <w:pStyle w:val="TableContents"/>
              <w:bidi w:val="0"/>
              <w:spacing w:before="0" w:after="283"/>
              <w:jc w:val="center"/>
              <w:rPr/>
            </w:pPr>
            <w:r>
              <w:rPr/>
              <w:t>12,497,891</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1319" w:type="dxa"/>
            <w:tcBorders>
              <w:bottom w:val="single" w:sz="8" w:space="0" w:color="95B3D7"/>
              <w:right w:val="single" w:sz="8" w:space="0" w:color="95B3D7"/>
            </w:tcBorders>
            <w:tcMar>
              <w:bottom w:w="28" w:type="dxa"/>
              <w:right w:w="28" w:type="dxa"/>
            </w:tcMar>
            <w:vAlign w:val="center"/>
          </w:tcPr>
          <w:p>
            <w:pPr>
              <w:pStyle w:val="TableContents"/>
              <w:bidi w:val="0"/>
              <w:spacing w:before="0" w:after="283"/>
              <w:jc w:val="center"/>
              <w:rPr/>
            </w:pPr>
            <w:r>
              <w:rPr/>
              <w:t>($32,437,510)</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335" w:type="dxa"/>
            <w:tcBorders>
              <w:bottom w:val="single" w:sz="8" w:space="0" w:color="95B3D7"/>
            </w:tcBorders>
            <w:tcMar>
              <w:bottom w:w="28" w:type="dxa"/>
            </w:tcMar>
            <w:vAlign w:val="center"/>
          </w:tcPr>
          <w:p>
            <w:pPr>
              <w:pStyle w:val="TableContents"/>
              <w:bidi w:val="0"/>
              <w:spacing w:before="0" w:after="283"/>
              <w:jc w:val="center"/>
              <w:rPr/>
            </w:pPr>
            <w:r>
              <w:rPr/>
              <w:t>($44,406,749)</w:t>
            </w:r>
          </w:p>
        </w:tc>
      </w:tr>
      <w:tr>
        <w:trPr/>
        <w:tc>
          <w:tcPr>
            <w:tcW w:w="5872" w:type="dxa"/>
            <w:tcBorders>
              <w:bottom w:val="single" w:sz="8" w:space="0" w:color="95B3D7"/>
              <w:right w:val="single" w:sz="8" w:space="0" w:color="95B3D7"/>
            </w:tcBorders>
            <w:shd w:fill="DBE5F1" w:val="clear"/>
            <w:tcMar>
              <w:bottom w:w="28" w:type="dxa"/>
              <w:right w:w="28" w:type="dxa"/>
            </w:tcMar>
            <w:vAlign w:val="center"/>
          </w:tcPr>
          <w:p>
            <w:pPr>
              <w:pStyle w:val="TableContents"/>
              <w:bidi w:val="0"/>
              <w:spacing w:before="0" w:after="0"/>
              <w:jc w:val="left"/>
              <w:rPr>
                <w:rFonts w:ascii="ARIAL" w:hAnsi="ARIAL"/>
                <w:b/>
                <w:sz w:val="16"/>
              </w:rPr>
            </w:pPr>
            <w:r>
              <w:rPr>
                <w:rFonts w:ascii="ARIAL" w:hAnsi="ARIAL"/>
                <w:b/>
                <w:sz w:val="16"/>
              </w:rPr>
              <w:t>Subtotal</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319" w:type="dxa"/>
            <w:tcBorders>
              <w:bottom w:val="single" w:sz="8" w:space="0" w:color="95B3D7"/>
            </w:tcBorders>
            <w:shd w:fill="DBE5F1" w:val="clear"/>
            <w:tcMar>
              <w:bottom w:w="28" w:type="dxa"/>
            </w:tcMar>
            <w:vAlign w:val="center"/>
          </w:tcPr>
          <w:p>
            <w:pPr>
              <w:pStyle w:val="TableContents"/>
              <w:bidi w:val="0"/>
              <w:spacing w:before="0" w:after="0"/>
              <w:jc w:val="center"/>
              <w:rPr>
                <w:b/>
                <w:spacing w:val="0"/>
              </w:rPr>
            </w:pPr>
            <w:r>
              <w:rPr>
                <w:b/>
                <w:spacing w:val="0"/>
              </w:rPr>
              <w:t>1,798,585</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1319" w:type="dxa"/>
            <w:tcBorders>
              <w:bottom w:val="single" w:sz="8" w:space="0" w:color="95B3D7"/>
              <w:right w:val="single" w:sz="8" w:space="0" w:color="95B3D7"/>
            </w:tcBorders>
            <w:shd w:fill="DBE5F1" w:val="clear"/>
            <w:tcMar>
              <w:bottom w:w="28" w:type="dxa"/>
              <w:right w:w="28" w:type="dxa"/>
            </w:tcMar>
            <w:vAlign w:val="center"/>
          </w:tcPr>
          <w:p>
            <w:pPr>
              <w:pStyle w:val="TableContents"/>
              <w:bidi w:val="0"/>
              <w:spacing w:before="0" w:after="0"/>
              <w:jc w:val="center"/>
              <w:rPr>
                <w:b/>
                <w:spacing w:val="0"/>
              </w:rPr>
            </w:pPr>
            <w:r>
              <w:rPr>
                <w:b/>
                <w:spacing w:val="0"/>
              </w:rPr>
              <w:t>$1,633,082</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335" w:type="dxa"/>
            <w:tcBorders>
              <w:bottom w:val="single" w:sz="8" w:space="0" w:color="95B3D7"/>
            </w:tcBorders>
            <w:shd w:fill="DBE5F1" w:val="clear"/>
            <w:tcMar>
              <w:bottom w:w="28" w:type="dxa"/>
            </w:tcMar>
            <w:vAlign w:val="center"/>
          </w:tcPr>
          <w:p>
            <w:pPr>
              <w:pStyle w:val="TableContents"/>
              <w:bidi w:val="0"/>
              <w:spacing w:before="0" w:after="0"/>
              <w:jc w:val="center"/>
              <w:rPr>
                <w:b/>
                <w:spacing w:val="0"/>
              </w:rPr>
            </w:pPr>
            <w:r>
              <w:rPr>
                <w:b/>
                <w:spacing w:val="0"/>
              </w:rPr>
              <w:t>$1,592,102</w:t>
            </w:r>
          </w:p>
        </w:tc>
      </w:tr>
      <w:tr>
        <w:trPr/>
        <w:tc>
          <w:tcPr>
            <w:tcW w:w="5872" w:type="dxa"/>
            <w:tcBorders>
              <w:bottom w:val="single" w:sz="8" w:space="0" w:color="95B3D7"/>
              <w:right w:val="single" w:sz="8" w:space="0" w:color="95B3D7"/>
            </w:tcBorders>
            <w:tcMar>
              <w:bottom w:w="28" w:type="dxa"/>
              <w:right w:w="28" w:type="dxa"/>
            </w:tcMar>
            <w:vAlign w:val="center"/>
          </w:tcPr>
          <w:p>
            <w:pPr>
              <w:pStyle w:val="TableContents"/>
              <w:bidi w:val="0"/>
              <w:spacing w:before="0" w:after="0"/>
              <w:jc w:val="left"/>
              <w:rPr>
                <w:rFonts w:ascii="ARIAL" w:hAnsi="ARIAL"/>
                <w:sz w:val="16"/>
              </w:rPr>
            </w:pPr>
            <w:r>
              <w:rPr>
                <w:rFonts w:ascii="ARIAL" w:hAnsi="ARIAL"/>
                <w:sz w:val="16"/>
              </w:rPr>
              <w:t>Year-end fair value of any equity awards granted in applicable yar that are outstanding and unvested as of the end of the year</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319" w:type="dxa"/>
            <w:tcBorders>
              <w:bottom w:val="single" w:sz="8" w:space="0" w:color="95B3D7"/>
            </w:tcBorders>
            <w:tcMar>
              <w:bottom w:w="28" w:type="dxa"/>
            </w:tcMar>
            <w:vAlign w:val="center"/>
          </w:tcPr>
          <w:p>
            <w:pPr>
              <w:pStyle w:val="TableContents"/>
              <w:bidi w:val="0"/>
              <w:spacing w:before="0" w:after="283"/>
              <w:jc w:val="center"/>
              <w:rPr/>
            </w:pPr>
            <w:r>
              <w:rPr/>
              <w:t>$16,247,259</w:t>
            </w:r>
          </w:p>
        </w:tc>
        <w:tc>
          <w:tcPr>
            <w:tcW w:w="120" w:type="dxa"/>
            <w:tcBorders>
              <w:left w:val="single" w:sz="8" w:space="0" w:color="95B3D7"/>
              <w:bottom w:val="single" w:sz="8" w:space="0" w:color="95B3D7"/>
            </w:tcBorders>
            <w:tcMar>
              <w:left w:w="28" w:type="dxa"/>
              <w:bottom w:w="28" w:type="dxa"/>
            </w:tcMar>
            <w:vAlign w:val="center"/>
          </w:tcPr>
          <w:p>
            <w:pPr>
              <w:pStyle w:val="TableContents"/>
              <w:bidi w:val="0"/>
              <w:spacing w:before="0" w:after="283"/>
              <w:jc w:val="left"/>
              <w:rPr/>
            </w:pPr>
            <w:r>
              <w:rPr/>
              <w:t>  </w:t>
            </w:r>
          </w:p>
        </w:tc>
        <w:tc>
          <w:tcPr>
            <w:tcW w:w="1319" w:type="dxa"/>
            <w:tcBorders>
              <w:bottom w:val="single" w:sz="8" w:space="0" w:color="95B3D7"/>
              <w:right w:val="single" w:sz="8" w:space="0" w:color="95B3D7"/>
            </w:tcBorders>
            <w:tcMar>
              <w:bottom w:w="28" w:type="dxa"/>
              <w:right w:w="28" w:type="dxa"/>
            </w:tcMar>
            <w:vAlign w:val="center"/>
          </w:tcPr>
          <w:p>
            <w:pPr>
              <w:pStyle w:val="TableContents"/>
              <w:bidi w:val="0"/>
              <w:spacing w:before="0" w:after="283"/>
              <w:jc w:val="center"/>
              <w:rPr/>
            </w:pPr>
            <w:r>
              <w:rPr/>
              <w:t>$27,710,914</w:t>
            </w:r>
          </w:p>
        </w:tc>
        <w:tc>
          <w:tcPr>
            <w:tcW w:w="120" w:type="dxa"/>
            <w:tcBorders>
              <w:bottom w:val="single" w:sz="8" w:space="0" w:color="95B3D7"/>
            </w:tcBorders>
            <w:tcMar>
              <w:bottom w:w="28" w:type="dxa"/>
            </w:tcMar>
            <w:vAlign w:val="center"/>
          </w:tcPr>
          <w:p>
            <w:pPr>
              <w:pStyle w:val="TableContents"/>
              <w:bidi w:val="0"/>
              <w:spacing w:before="0" w:after="283"/>
              <w:jc w:val="left"/>
              <w:rPr/>
            </w:pPr>
            <w:r>
              <w:rPr/>
              <w:t>  </w:t>
            </w:r>
          </w:p>
        </w:tc>
        <w:tc>
          <w:tcPr>
            <w:tcW w:w="1335" w:type="dxa"/>
            <w:tcBorders>
              <w:bottom w:val="single" w:sz="8" w:space="0" w:color="95B3D7"/>
            </w:tcBorders>
            <w:tcMar>
              <w:bottom w:w="28" w:type="dxa"/>
            </w:tcMar>
            <w:vAlign w:val="center"/>
          </w:tcPr>
          <w:p>
            <w:pPr>
              <w:pStyle w:val="TableContents"/>
              <w:bidi w:val="0"/>
              <w:spacing w:before="0" w:after="283"/>
              <w:jc w:val="center"/>
              <w:rPr/>
            </w:pPr>
            <w:r>
              <w:rPr/>
              <w:t>$20,804,877</w:t>
            </w:r>
          </w:p>
        </w:tc>
      </w:tr>
      <w:tr>
        <w:trPr/>
        <w:tc>
          <w:tcPr>
            <w:tcW w:w="5872" w:type="dxa"/>
            <w:tcBorders>
              <w:bottom w:val="single" w:sz="8" w:space="0" w:color="95B3D7"/>
              <w:right w:val="single" w:sz="8" w:space="0" w:color="95B3D7"/>
            </w:tcBorders>
            <w:shd w:fill="DBE5F1" w:val="clear"/>
            <w:tcMar>
              <w:bottom w:w="28" w:type="dxa"/>
              <w:right w:w="28" w:type="dxa"/>
            </w:tcMar>
            <w:vAlign w:val="center"/>
          </w:tcPr>
          <w:p>
            <w:pPr>
              <w:pStyle w:val="TableContents"/>
              <w:bidi w:val="0"/>
              <w:spacing w:before="0" w:after="0"/>
              <w:jc w:val="left"/>
              <w:rPr>
                <w:rFonts w:ascii="ARIAL" w:hAnsi="ARIAL"/>
                <w:sz w:val="16"/>
              </w:rPr>
            </w:pPr>
            <w:r>
              <w:rPr>
                <w:rFonts w:ascii="ARIAL" w:hAnsi="ARIAL"/>
                <w:sz w:val="16"/>
              </w:rPr>
              <w:t>The amount of change as of the end of the applicable year (from the end of the prior fiscal year) in fair value of any awards granted in prior years that are outstanding and unvested as of the end of the applicable year</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319" w:type="dxa"/>
            <w:tcBorders>
              <w:bottom w:val="single" w:sz="8" w:space="0" w:color="95B3D7"/>
            </w:tcBorders>
            <w:shd w:fill="DBE5F1" w:val="clear"/>
            <w:tcMar>
              <w:bottom w:w="28" w:type="dxa"/>
            </w:tcMar>
            <w:vAlign w:val="center"/>
          </w:tcPr>
          <w:p>
            <w:pPr>
              <w:pStyle w:val="TableContents"/>
              <w:bidi w:val="0"/>
              <w:spacing w:before="0" w:after="283"/>
              <w:jc w:val="center"/>
              <w:rPr/>
            </w:pPr>
            <w:r>
              <w:rPr/>
              <w:t>($12,858,959)</w:t>
            </w:r>
          </w:p>
        </w:tc>
        <w:tc>
          <w:tcPr>
            <w:tcW w:w="120" w:type="dxa"/>
            <w:tcBorders>
              <w:left w:val="single" w:sz="8" w:space="0" w:color="95B3D7"/>
              <w:bottom w:val="single" w:sz="8" w:space="0" w:color="95B3D7"/>
            </w:tcBorders>
            <w:shd w:fill="DBE5F1" w:val="clear"/>
            <w:tcMar>
              <w:left w:w="28" w:type="dxa"/>
              <w:bottom w:w="28" w:type="dxa"/>
            </w:tcMar>
            <w:vAlign w:val="center"/>
          </w:tcPr>
          <w:p>
            <w:pPr>
              <w:pStyle w:val="TableContents"/>
              <w:bidi w:val="0"/>
              <w:spacing w:before="0" w:after="283"/>
              <w:jc w:val="left"/>
              <w:rPr/>
            </w:pPr>
            <w:r>
              <w:rPr/>
              <w:t>  </w:t>
            </w:r>
          </w:p>
        </w:tc>
        <w:tc>
          <w:tcPr>
            <w:tcW w:w="1319" w:type="dxa"/>
            <w:tcBorders>
              <w:bottom w:val="single" w:sz="8" w:space="0" w:color="95B3D7"/>
              <w:right w:val="single" w:sz="8" w:space="0" w:color="95B3D7"/>
            </w:tcBorders>
            <w:shd w:fill="DBE5F1" w:val="clear"/>
            <w:tcMar>
              <w:bottom w:w="28" w:type="dxa"/>
              <w:right w:w="28" w:type="dxa"/>
            </w:tcMar>
            <w:vAlign w:val="center"/>
          </w:tcPr>
          <w:p>
            <w:pPr>
              <w:pStyle w:val="TableContents"/>
              <w:bidi w:val="0"/>
              <w:spacing w:before="0" w:after="283"/>
              <w:jc w:val="center"/>
              <w:rPr/>
            </w:pPr>
            <w:r>
              <w:rPr/>
              <w:t>($1,347,517)</w:t>
            </w:r>
          </w:p>
        </w:tc>
        <w:tc>
          <w:tcPr>
            <w:tcW w:w="12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335" w:type="dxa"/>
            <w:tcBorders>
              <w:bottom w:val="single" w:sz="8" w:space="0" w:color="95B3D7"/>
            </w:tcBorders>
            <w:shd w:fill="DBE5F1" w:val="clear"/>
            <w:tcMar>
              <w:bottom w:w="28" w:type="dxa"/>
            </w:tcMar>
            <w:vAlign w:val="center"/>
          </w:tcPr>
          <w:p>
            <w:pPr>
              <w:pStyle w:val="TableContents"/>
              <w:bidi w:val="0"/>
              <w:spacing w:before="0" w:after="283"/>
              <w:jc w:val="center"/>
              <w:rPr/>
            </w:pPr>
            <w:r>
              <w:rPr/>
              <w:t>$8,950,439</w:t>
            </w:r>
          </w:p>
        </w:tc>
      </w:tr>
      <w:tr>
        <w:trPr/>
        <w:tc>
          <w:tcPr>
            <w:tcW w:w="5872" w:type="dxa"/>
            <w:tcBorders>
              <w:top w:val="single" w:sz="8" w:space="0" w:color="95B3D7"/>
              <w:bottom w:val="single" w:sz="8" w:space="0" w:color="95B3D7"/>
            </w:tcBorders>
            <w:tcMar>
              <w:top w:w="28" w:type="dxa"/>
              <w:bottom w:w="28" w:type="dxa"/>
            </w:tcMar>
            <w:vAlign w:val="center"/>
          </w:tcPr>
          <w:p>
            <w:pPr>
              <w:pStyle w:val="TableContents"/>
              <w:bidi w:val="0"/>
              <w:spacing w:before="0" w:after="0"/>
              <w:jc w:val="left"/>
              <w:rPr>
                <w:rFonts w:ascii="ARIAL" w:hAnsi="ARIAL"/>
                <w:sz w:val="16"/>
              </w:rPr>
            </w:pPr>
            <w:r>
              <w:rPr>
                <w:rFonts w:ascii="ARIAL" w:hAnsi="ARIAL"/>
                <w:sz w:val="16"/>
              </w:rPr>
              <w:t>For awards granted in prior years that vest in the applicable year, the amount equal to the change as of the vesting date (from the end of the prior fiscal year) in fair value</w:t>
            </w:r>
          </w:p>
        </w:tc>
        <w:tc>
          <w:tcPr>
            <w:tcW w:w="120" w:type="dxa"/>
            <w:tcBorders>
              <w:top w:val="single" w:sz="8" w:space="0" w:color="95B3D7"/>
              <w:left w:val="single" w:sz="8" w:space="0" w:color="95B3D7"/>
              <w:bottom w:val="single" w:sz="8" w:space="0" w:color="95B3D7"/>
            </w:tcBorders>
            <w:tcMar>
              <w:top w:w="28" w:type="dxa"/>
              <w:left w:w="28" w:type="dxa"/>
              <w:bottom w:w="28" w:type="dxa"/>
            </w:tcMar>
            <w:vAlign w:val="center"/>
          </w:tcPr>
          <w:p>
            <w:pPr>
              <w:pStyle w:val="TableContents"/>
              <w:bidi w:val="0"/>
              <w:spacing w:before="0" w:after="283"/>
              <w:jc w:val="left"/>
              <w:rPr/>
            </w:pPr>
            <w:r>
              <w:rPr/>
              <w:t>  </w:t>
            </w:r>
          </w:p>
        </w:tc>
        <w:tc>
          <w:tcPr>
            <w:tcW w:w="1319" w:type="dxa"/>
            <w:tcBorders>
              <w:top w:val="single" w:sz="8" w:space="0" w:color="95B3D7"/>
              <w:bottom w:val="single" w:sz="8" w:space="0" w:color="95B3D7"/>
              <w:right w:val="single" w:sz="8" w:space="0" w:color="95B3D7"/>
            </w:tcBorders>
            <w:tcMar>
              <w:top w:w="28" w:type="dxa"/>
              <w:bottom w:w="28" w:type="dxa"/>
              <w:right w:w="28" w:type="dxa"/>
            </w:tcMar>
            <w:vAlign w:val="center"/>
          </w:tcPr>
          <w:p>
            <w:pPr>
              <w:pStyle w:val="TableContents"/>
              <w:bidi w:val="0"/>
              <w:spacing w:before="0" w:after="283"/>
              <w:jc w:val="center"/>
              <w:rPr/>
            </w:pPr>
            <w:r>
              <w:rPr/>
              <w:t>($7,861,706)</w:t>
            </w:r>
          </w:p>
        </w:tc>
        <w:tc>
          <w:tcPr>
            <w:tcW w:w="120" w:type="dxa"/>
            <w:tcBorders>
              <w:top w:val="single" w:sz="8" w:space="0" w:color="95B3D7"/>
              <w:bottom w:val="single" w:sz="8" w:space="0" w:color="95B3D7"/>
            </w:tcBorders>
            <w:tcMar>
              <w:top w:w="28" w:type="dxa"/>
              <w:bottom w:w="28" w:type="dxa"/>
            </w:tcMar>
            <w:vAlign w:val="center"/>
          </w:tcPr>
          <w:p>
            <w:pPr>
              <w:pStyle w:val="TableContents"/>
              <w:bidi w:val="0"/>
              <w:spacing w:before="0" w:after="283"/>
              <w:jc w:val="left"/>
              <w:rPr/>
            </w:pPr>
            <w:r>
              <w:rPr/>
              <w:t>  </w:t>
            </w:r>
          </w:p>
        </w:tc>
        <w:tc>
          <w:tcPr>
            <w:tcW w:w="1319" w:type="dxa"/>
            <w:tcBorders>
              <w:top w:val="single" w:sz="8" w:space="0" w:color="95B3D7"/>
              <w:bottom w:val="single" w:sz="8" w:space="0" w:color="95B3D7"/>
              <w:right w:val="single" w:sz="8" w:space="0" w:color="95B3D7"/>
            </w:tcBorders>
            <w:tcMar>
              <w:top w:w="28" w:type="dxa"/>
              <w:bottom w:w="28" w:type="dxa"/>
              <w:right w:w="28" w:type="dxa"/>
            </w:tcMar>
            <w:vAlign w:val="center"/>
          </w:tcPr>
          <w:p>
            <w:pPr>
              <w:pStyle w:val="TableContents"/>
              <w:bidi w:val="0"/>
              <w:spacing w:before="0" w:after="283"/>
              <w:jc w:val="center"/>
              <w:rPr/>
            </w:pPr>
            <w:r>
              <w:rPr/>
              <w:t>($2,183,201)</w:t>
            </w:r>
          </w:p>
        </w:tc>
        <w:tc>
          <w:tcPr>
            <w:tcW w:w="120" w:type="dxa"/>
            <w:tcBorders>
              <w:top w:val="single" w:sz="8" w:space="0" w:color="95B3D7"/>
              <w:bottom w:val="single" w:sz="8" w:space="0" w:color="95B3D7"/>
            </w:tcBorders>
            <w:tcMar>
              <w:top w:w="28" w:type="dxa"/>
              <w:bottom w:w="28" w:type="dxa"/>
            </w:tcMar>
            <w:vAlign w:val="center"/>
          </w:tcPr>
          <w:p>
            <w:pPr>
              <w:pStyle w:val="TableContents"/>
              <w:bidi w:val="0"/>
              <w:spacing w:before="0" w:after="283"/>
              <w:jc w:val="left"/>
              <w:rPr/>
            </w:pPr>
            <w:r>
              <w:rPr/>
              <w:t>  </w:t>
            </w:r>
          </w:p>
        </w:tc>
        <w:tc>
          <w:tcPr>
            <w:tcW w:w="1335" w:type="dxa"/>
            <w:tcBorders>
              <w:top w:val="single" w:sz="8" w:space="0" w:color="95B3D7"/>
              <w:bottom w:val="single" w:sz="8" w:space="0" w:color="95B3D7"/>
            </w:tcBorders>
            <w:tcMar>
              <w:top w:w="28" w:type="dxa"/>
              <w:bottom w:w="28" w:type="dxa"/>
            </w:tcMar>
            <w:vAlign w:val="center"/>
          </w:tcPr>
          <w:p>
            <w:pPr>
              <w:pStyle w:val="TableContents"/>
              <w:bidi w:val="0"/>
              <w:spacing w:before="0" w:after="283"/>
              <w:jc w:val="center"/>
              <w:rPr/>
            </w:pPr>
            <w:r>
              <w:rPr/>
              <w:t>$5,956,769</w:t>
            </w:r>
          </w:p>
        </w:tc>
      </w:tr>
      <w:tr>
        <w:trPr/>
        <w:tc>
          <w:tcPr>
            <w:tcW w:w="5872" w:type="dxa"/>
            <w:tcBorders/>
            <w:shd w:fill="DBE5F1" w:val="clear"/>
            <w:vAlign w:val="center"/>
          </w:tcPr>
          <w:p>
            <w:pPr>
              <w:pStyle w:val="TableContents"/>
              <w:bidi w:val="0"/>
              <w:spacing w:before="0" w:after="0"/>
              <w:jc w:val="left"/>
              <w:rPr>
                <w:rFonts w:ascii="ARIAL" w:hAnsi="ARIAL"/>
                <w:b/>
                <w:sz w:val="16"/>
              </w:rPr>
            </w:pPr>
            <w:r>
              <w:rPr>
                <w:rFonts w:ascii="ARIAL" w:hAnsi="ARIAL"/>
                <w:b/>
                <w:sz w:val="16"/>
              </w:rPr>
              <w:t>Net Adjustment to Subtotal</w:t>
            </w:r>
          </w:p>
        </w:tc>
        <w:tc>
          <w:tcPr>
            <w:tcW w:w="120" w:type="dxa"/>
            <w:tcBorders>
              <w:left w:val="single" w:sz="8" w:space="0" w:color="95B3D7"/>
            </w:tcBorders>
            <w:shd w:fill="DBE5F1" w:val="clear"/>
            <w:tcMar>
              <w:left w:w="28" w:type="dxa"/>
            </w:tcMar>
            <w:vAlign w:val="center"/>
          </w:tcPr>
          <w:p>
            <w:pPr>
              <w:pStyle w:val="TableContents"/>
              <w:bidi w:val="0"/>
              <w:spacing w:before="0" w:after="283"/>
              <w:jc w:val="left"/>
              <w:rPr/>
            </w:pPr>
            <w:r>
              <w:rPr/>
              <w:t>  </w:t>
            </w:r>
          </w:p>
        </w:tc>
        <w:tc>
          <w:tcPr>
            <w:tcW w:w="1319" w:type="dxa"/>
            <w:tcBorders>
              <w:right w:val="single" w:sz="8" w:space="0" w:color="95B3D7"/>
            </w:tcBorders>
            <w:shd w:fill="DBE5F1" w:val="clear"/>
            <w:tcMar>
              <w:right w:w="28" w:type="dxa"/>
            </w:tcMar>
            <w:vAlign w:val="center"/>
          </w:tcPr>
          <w:p>
            <w:pPr>
              <w:pStyle w:val="TableContents"/>
              <w:bidi w:val="0"/>
              <w:spacing w:before="0" w:after="0"/>
              <w:jc w:val="center"/>
              <w:rPr>
                <w:b/>
                <w:spacing w:val="0"/>
              </w:rPr>
            </w:pPr>
            <w:r>
              <w:rPr>
                <w:b/>
                <w:spacing w:val="0"/>
              </w:rPr>
              <w:t>($4,473,407)</w:t>
            </w:r>
          </w:p>
        </w:tc>
        <w:tc>
          <w:tcPr>
            <w:tcW w:w="120" w:type="dxa"/>
            <w:tcBorders/>
            <w:shd w:fill="DBE5F1" w:val="clear"/>
            <w:vAlign w:val="center"/>
          </w:tcPr>
          <w:p>
            <w:pPr>
              <w:pStyle w:val="TableContents"/>
              <w:bidi w:val="0"/>
              <w:spacing w:before="0" w:after="283"/>
              <w:jc w:val="left"/>
              <w:rPr/>
            </w:pPr>
            <w:r>
              <w:rPr/>
              <w:t>  </w:t>
            </w:r>
          </w:p>
        </w:tc>
        <w:tc>
          <w:tcPr>
            <w:tcW w:w="1319" w:type="dxa"/>
            <w:tcBorders>
              <w:right w:val="single" w:sz="8" w:space="0" w:color="95B3D7"/>
            </w:tcBorders>
            <w:shd w:fill="DBE5F1" w:val="clear"/>
            <w:tcMar>
              <w:right w:w="28" w:type="dxa"/>
            </w:tcMar>
            <w:vAlign w:val="center"/>
          </w:tcPr>
          <w:p>
            <w:pPr>
              <w:pStyle w:val="TableContents"/>
              <w:bidi w:val="0"/>
              <w:spacing w:before="0" w:after="0"/>
              <w:jc w:val="center"/>
              <w:rPr>
                <w:b/>
                <w:spacing w:val="0"/>
              </w:rPr>
            </w:pPr>
            <w:r>
              <w:rPr>
                <w:b/>
                <w:spacing w:val="0"/>
              </w:rPr>
              <w:t>$24,180,196</w:t>
            </w:r>
          </w:p>
        </w:tc>
        <w:tc>
          <w:tcPr>
            <w:tcW w:w="120" w:type="dxa"/>
            <w:tcBorders/>
            <w:shd w:fill="DBE5F1" w:val="clear"/>
            <w:vAlign w:val="center"/>
          </w:tcPr>
          <w:p>
            <w:pPr>
              <w:pStyle w:val="TableContents"/>
              <w:bidi w:val="0"/>
              <w:spacing w:before="0" w:after="283"/>
              <w:jc w:val="left"/>
              <w:rPr/>
            </w:pPr>
            <w:r>
              <w:rPr/>
              <w:t>  </w:t>
            </w:r>
          </w:p>
        </w:tc>
        <w:tc>
          <w:tcPr>
            <w:tcW w:w="1335" w:type="dxa"/>
            <w:tcBorders/>
            <w:shd w:fill="DBE5F1" w:val="clear"/>
            <w:vAlign w:val="center"/>
          </w:tcPr>
          <w:p>
            <w:pPr>
              <w:pStyle w:val="TableContents"/>
              <w:bidi w:val="0"/>
              <w:spacing w:before="0" w:after="0"/>
              <w:jc w:val="center"/>
              <w:rPr>
                <w:b/>
                <w:spacing w:val="0"/>
              </w:rPr>
            </w:pPr>
            <w:r>
              <w:rPr>
                <w:b/>
                <w:spacing w:val="0"/>
              </w:rPr>
              <w:t>$35,712,085</w:t>
            </w:r>
          </w:p>
        </w:tc>
      </w:tr>
      <w:tr>
        <w:trPr/>
        <w:tc>
          <w:tcPr>
            <w:tcW w:w="5872" w:type="dxa"/>
            <w:tcBorders>
              <w:top w:val="single" w:sz="8" w:space="0" w:color="95B3D7"/>
              <w:bottom w:val="single" w:sz="8" w:space="0" w:color="95B3D7"/>
            </w:tcBorders>
            <w:tcMar>
              <w:top w:w="28" w:type="dxa"/>
              <w:bottom w:w="80" w:type="dxa"/>
            </w:tcMar>
            <w:vAlign w:val="center"/>
          </w:tcPr>
          <w:p>
            <w:pPr>
              <w:pStyle w:val="TableContents"/>
              <w:bidi w:val="0"/>
              <w:spacing w:before="0" w:after="0"/>
              <w:jc w:val="left"/>
              <w:rPr>
                <w:rFonts w:ascii="ARIAL" w:hAnsi="ARIAL"/>
                <w:b/>
                <w:sz w:val="16"/>
              </w:rPr>
            </w:pPr>
            <w:r>
              <w:rPr>
                <w:rFonts w:ascii="ARIAL" w:hAnsi="ARIAL"/>
                <w:b/>
                <w:sz w:val="16"/>
              </w:rPr>
              <w:t>Compensation Actually Paid</w:t>
            </w:r>
          </w:p>
        </w:tc>
        <w:tc>
          <w:tcPr>
            <w:tcW w:w="120" w:type="dxa"/>
            <w:tcBorders>
              <w:top w:val="single" w:sz="8" w:space="0" w:color="95B3D7"/>
              <w:left w:val="single" w:sz="8" w:space="0" w:color="95B3D7"/>
              <w:bottom w:val="single" w:sz="8" w:space="0" w:color="95B3D7"/>
            </w:tcBorders>
            <w:tcMar>
              <w:top w:w="28" w:type="dxa"/>
              <w:left w:w="28" w:type="dxa"/>
              <w:bottom w:w="28" w:type="dxa"/>
            </w:tcMar>
            <w:vAlign w:val="center"/>
          </w:tcPr>
          <w:p>
            <w:pPr>
              <w:pStyle w:val="TableContents"/>
              <w:bidi w:val="0"/>
              <w:spacing w:before="0" w:after="283"/>
              <w:jc w:val="left"/>
              <w:rPr/>
            </w:pPr>
            <w:r>
              <w:rPr/>
              <w:t>  </w:t>
            </w:r>
          </w:p>
        </w:tc>
        <w:tc>
          <w:tcPr>
            <w:tcW w:w="1319" w:type="dxa"/>
            <w:tcBorders>
              <w:top w:val="single" w:sz="8" w:space="0" w:color="95B3D7"/>
              <w:bottom w:val="single" w:sz="8" w:space="0" w:color="95B3D7"/>
              <w:right w:val="single" w:sz="8" w:space="0" w:color="95B3D7"/>
            </w:tcBorders>
            <w:tcMar>
              <w:top w:w="28" w:type="dxa"/>
              <w:bottom w:w="80" w:type="dxa"/>
              <w:right w:w="28" w:type="dxa"/>
            </w:tcMar>
            <w:vAlign w:val="center"/>
          </w:tcPr>
          <w:p>
            <w:pPr>
              <w:pStyle w:val="TableContents"/>
              <w:bidi w:val="0"/>
              <w:spacing w:before="0" w:after="0"/>
              <w:jc w:val="center"/>
              <w:rPr>
                <w:b/>
                <w:spacing w:val="0"/>
                <w:u w:val="single"/>
              </w:rPr>
            </w:pPr>
            <w:r>
              <w:rPr>
                <w:b/>
                <w:spacing w:val="0"/>
                <w:u w:val="single"/>
              </w:rPr>
              <w:t>($2,674,822)</w:t>
            </w:r>
          </w:p>
        </w:tc>
        <w:tc>
          <w:tcPr>
            <w:tcW w:w="120" w:type="dxa"/>
            <w:tcBorders>
              <w:top w:val="single" w:sz="8" w:space="0" w:color="95B3D7"/>
              <w:bottom w:val="single" w:sz="8" w:space="0" w:color="95B3D7"/>
            </w:tcBorders>
            <w:tcMar>
              <w:top w:w="28" w:type="dxa"/>
              <w:bottom w:w="28" w:type="dxa"/>
            </w:tcMar>
            <w:vAlign w:val="center"/>
          </w:tcPr>
          <w:p>
            <w:pPr>
              <w:pStyle w:val="TableContents"/>
              <w:bidi w:val="0"/>
              <w:spacing w:before="0" w:after="283"/>
              <w:jc w:val="left"/>
              <w:rPr/>
            </w:pPr>
            <w:r>
              <w:rPr/>
              <w:t>  </w:t>
            </w:r>
          </w:p>
        </w:tc>
        <w:tc>
          <w:tcPr>
            <w:tcW w:w="1319" w:type="dxa"/>
            <w:tcBorders>
              <w:top w:val="single" w:sz="8" w:space="0" w:color="95B3D7"/>
              <w:bottom w:val="single" w:sz="8" w:space="0" w:color="95B3D7"/>
              <w:right w:val="single" w:sz="8" w:space="0" w:color="95B3D7"/>
            </w:tcBorders>
            <w:tcMar>
              <w:top w:w="28" w:type="dxa"/>
              <w:bottom w:w="80" w:type="dxa"/>
              <w:right w:w="28" w:type="dxa"/>
            </w:tcMar>
            <w:vAlign w:val="center"/>
          </w:tcPr>
          <w:p>
            <w:pPr>
              <w:pStyle w:val="TableContents"/>
              <w:bidi w:val="0"/>
              <w:spacing w:before="0" w:after="0"/>
              <w:jc w:val="center"/>
              <w:rPr>
                <w:b/>
                <w:spacing w:val="0"/>
                <w:u w:val="single"/>
              </w:rPr>
            </w:pPr>
            <w:r>
              <w:rPr>
                <w:b/>
                <w:spacing w:val="0"/>
                <w:u w:val="single"/>
              </w:rPr>
              <w:t>$25,813,278</w:t>
            </w:r>
          </w:p>
        </w:tc>
        <w:tc>
          <w:tcPr>
            <w:tcW w:w="120" w:type="dxa"/>
            <w:tcBorders>
              <w:top w:val="single" w:sz="8" w:space="0" w:color="95B3D7"/>
              <w:bottom w:val="single" w:sz="8" w:space="0" w:color="95B3D7"/>
            </w:tcBorders>
            <w:tcMar>
              <w:top w:w="28" w:type="dxa"/>
              <w:bottom w:w="28" w:type="dxa"/>
            </w:tcMar>
            <w:vAlign w:val="center"/>
          </w:tcPr>
          <w:p>
            <w:pPr>
              <w:pStyle w:val="TableContents"/>
              <w:bidi w:val="0"/>
              <w:spacing w:before="0" w:after="283"/>
              <w:jc w:val="left"/>
              <w:rPr/>
            </w:pPr>
            <w:r>
              <w:rPr/>
              <w:t>  </w:t>
            </w:r>
          </w:p>
        </w:tc>
        <w:tc>
          <w:tcPr>
            <w:tcW w:w="1335" w:type="dxa"/>
            <w:tcBorders>
              <w:top w:val="single" w:sz="8" w:space="0" w:color="95B3D7"/>
              <w:bottom w:val="single" w:sz="8" w:space="0" w:color="95B3D7"/>
            </w:tcBorders>
            <w:tcMar>
              <w:top w:w="28" w:type="dxa"/>
              <w:bottom w:w="80" w:type="dxa"/>
            </w:tcMar>
            <w:vAlign w:val="center"/>
          </w:tcPr>
          <w:p>
            <w:pPr>
              <w:pStyle w:val="TableContents"/>
              <w:bidi w:val="0"/>
              <w:spacing w:before="0" w:after="0"/>
              <w:jc w:val="center"/>
              <w:rPr>
                <w:b/>
                <w:spacing w:val="0"/>
                <w:u w:val="single"/>
              </w:rPr>
            </w:pPr>
            <w:r>
              <w:rPr>
                <w:b/>
                <w:spacing w:val="0"/>
                <w:u w:val="single"/>
              </w:rPr>
              <w:t>$37,304,187</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(3)</w:t>
            </w:r>
          </w:p>
        </w:tc>
        <w:tc>
          <w:tcPr>
            <w:tcW w:w="9958" w:type="dxa"/>
            <w:tcBorders/>
            <w:vAlign w:val="center"/>
          </w:tcPr>
          <w:p>
            <w:pPr>
              <w:pStyle w:val="TableContents"/>
              <w:bidi w:val="0"/>
              <w:spacing w:before="0" w:after="0"/>
              <w:jc w:val="left"/>
              <w:rPr>
                <w:rFonts w:ascii="ARIAL" w:hAnsi="ARIAL"/>
                <w:sz w:val="16"/>
              </w:rPr>
            </w:pPr>
            <w:r>
              <w:rPr>
                <w:rFonts w:ascii="ARIAL" w:hAnsi="ARIAL"/>
                <w:sz w:val="16"/>
              </w:rPr>
              <w:t xml:space="preserve">The dollar amounts reported in column (d) are the average of the amounts of total compensation reported for the non-PEO NEOs for each corresponding year in the “Total” column of the SCT. For 2023, the Non-PEO NEOs were Thomas Freeman, Dawn Maroney, Hakan Kardes and Hyong (Ken) Kim, M.D. For 2022, the Non-PEO NEOs were Thomas Freeman, Dawn Maroney, Dinesh Kumar and Richard Cross. For 2021, the Non-PEO NEOs were Thomas Freeman, Dawn Maroney, Dinesh Kumar and Rajesh Shrestha.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(4)</w:t>
            </w:r>
          </w:p>
        </w:tc>
        <w:tc>
          <w:tcPr>
            <w:tcW w:w="9957" w:type="dxa"/>
            <w:tcBorders/>
            <w:vAlign w:val="center"/>
          </w:tcPr>
          <w:p>
            <w:pPr>
              <w:pStyle w:val="TableContents"/>
              <w:bidi w:val="0"/>
              <w:spacing w:before="0" w:after="0"/>
              <w:jc w:val="left"/>
              <w:rPr>
                <w:rFonts w:ascii="ARIAL" w:hAnsi="ARIAL"/>
                <w:sz w:val="16"/>
              </w:rPr>
            </w:pPr>
            <w:r>
              <w:rPr>
                <w:rFonts w:ascii="ARIAL" w:hAnsi="ARIAL"/>
                <w:sz w:val="16"/>
              </w:rPr>
              <w:t xml:space="preserve">The dollar amounts reported in column (e) represent the average amount of CAP to the non-PEO NEOs as a group computed in accordance with Item 402(v) of Regulation S-K. The dollar amounts do not reflect the actual amount of compensation earned by or paid to the Non-PEO NEOs during the applicable year. In accordance with the requirements of Item 402(v) of Regulation S-K, the following adjustments were made to average total compensation for the Non-PEO NEOs for each year to determine the CAP: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ARIAL" w:hAnsi="ARIAL"/>
          <w:sz w:val="20"/>
          <w:shd w:fill="FFFFFF" w:val="clear"/>
        </w:rPr>
      </w:pPr>
      <w:r>
        <w:rPr>
          <w:rFonts w:ascii="ARIAL" w:hAnsi="ARIAL"/>
          <w:sz w:val="20"/>
          <w:shd w:fill="FFFFFF" w:val="clear"/>
        </w:rPr>
        <w:t xml:space="preserve">68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5961"/>
        <w:gridCol w:w="60"/>
        <w:gridCol w:w="60"/>
        <w:gridCol w:w="120"/>
        <w:gridCol w:w="1239"/>
        <w:gridCol w:w="120"/>
        <w:gridCol w:w="1239"/>
        <w:gridCol w:w="120"/>
        <w:gridCol w:w="1286"/>
      </w:tblGrid>
      <w:tr>
        <w:trPr/>
        <w:tc>
          <w:tcPr>
            <w:tcW w:w="59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59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0"/>
              <w:jc w:val="center"/>
              <w:rPr>
                <w:b/>
                <w:spacing w:val="0"/>
              </w:rPr>
            </w:pPr>
            <w:r>
              <w:rPr>
                <w:b/>
                <w:spacing w:val="0"/>
              </w:rPr>
              <w:t>2023</w:t>
            </w:r>
          </w:p>
        </w:tc>
        <w:tc>
          <w:tcPr>
            <w:tcW w:w="120" w:type="dxa"/>
            <w:tcBorders/>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0"/>
              <w:jc w:val="center"/>
              <w:rPr>
                <w:b/>
                <w:spacing w:val="0"/>
              </w:rPr>
            </w:pPr>
            <w:r>
              <w:rPr>
                <w:b/>
                <w:spacing w:val="0"/>
              </w:rPr>
              <w:t>2022</w:t>
            </w:r>
          </w:p>
        </w:tc>
        <w:tc>
          <w:tcPr>
            <w:tcW w:w="120"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0"/>
              <w:jc w:val="center"/>
              <w:rPr>
                <w:b/>
                <w:spacing w:val="0"/>
              </w:rPr>
            </w:pPr>
            <w:r>
              <w:rPr>
                <w:b/>
                <w:spacing w:val="0"/>
              </w:rPr>
              <w:t>2021</w:t>
            </w:r>
          </w:p>
        </w:tc>
      </w:tr>
      <w:tr>
        <w:trPr/>
        <w:tc>
          <w:tcPr>
            <w:tcW w:w="5961"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0"/>
              <w:jc w:val="left"/>
              <w:rPr>
                <w:rFonts w:ascii="ARIAL" w:hAnsi="ARIAL"/>
                <w:sz w:val="16"/>
              </w:rPr>
            </w:pPr>
            <w:r>
              <w:rPr>
                <w:rFonts w:ascii="ARIAL" w:hAnsi="ARIAL"/>
                <w:sz w:val="16"/>
              </w:rPr>
              <w:t>Average Total Compensation from SCT</w:t>
            </w:r>
          </w:p>
        </w:tc>
        <w:tc>
          <w:tcPr>
            <w:tcW w:w="60"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0"/>
              <w:jc w:val="left"/>
              <w:rPr>
                <w:spacing w:val="0"/>
              </w:rPr>
            </w:pPr>
            <w:r>
              <w:rPr>
                <w:spacing w:val="0"/>
              </w:rPr>
              <w:t> </w:t>
            </w:r>
          </w:p>
        </w:tc>
        <w:tc>
          <w:tcPr>
            <w:tcW w:w="120" w:type="dxa"/>
            <w:tcBorders>
              <w:top w:val="single" w:sz="8" w:space="0" w:color="95B3D7"/>
              <w:left w:val="single" w:sz="8" w:space="0" w:color="95B3D7"/>
              <w:bottom w:val="single" w:sz="8" w:space="0" w:color="95B3D7"/>
            </w:tcBorders>
            <w:shd w:fill="DBE5F1" w:val="clear"/>
            <w:tcMar>
              <w:top w:w="28" w:type="dxa"/>
              <w:left w:w="28" w:type="dxa"/>
              <w:bottom w:w="28" w:type="dxa"/>
            </w:tcMar>
            <w:vAlign w:val="center"/>
          </w:tcPr>
          <w:p>
            <w:pPr>
              <w:pStyle w:val="TableContents"/>
              <w:bidi w:val="0"/>
              <w:spacing w:before="0" w:after="283"/>
              <w:jc w:val="left"/>
              <w:rPr/>
            </w:pPr>
            <w:r>
              <w:rPr/>
              <w:t>  </w:t>
            </w:r>
          </w:p>
        </w:tc>
        <w:tc>
          <w:tcPr>
            <w:tcW w:w="1239"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283"/>
              <w:jc w:val="center"/>
              <w:rPr/>
            </w:pPr>
            <w:r>
              <w:rPr/>
              <w:t>$4,760,449 </w:t>
            </w:r>
          </w:p>
        </w:tc>
        <w:tc>
          <w:tcPr>
            <w:tcW w:w="120" w:type="dxa"/>
            <w:tcBorders>
              <w:top w:val="single" w:sz="8" w:space="0" w:color="95B3D7"/>
              <w:left w:val="single" w:sz="8" w:space="0" w:color="95B3D7"/>
              <w:bottom w:val="single" w:sz="8" w:space="0" w:color="95B3D7"/>
            </w:tcBorders>
            <w:shd w:fill="DBE5F1" w:val="clear"/>
            <w:tcMar>
              <w:top w:w="28" w:type="dxa"/>
              <w:left w:w="28" w:type="dxa"/>
              <w:bottom w:w="28" w:type="dxa"/>
            </w:tcMar>
            <w:vAlign w:val="center"/>
          </w:tcPr>
          <w:p>
            <w:pPr>
              <w:pStyle w:val="TableContents"/>
              <w:bidi w:val="0"/>
              <w:spacing w:before="0" w:after="283"/>
              <w:jc w:val="left"/>
              <w:rPr/>
            </w:pPr>
            <w:r>
              <w:rPr/>
              <w:t>  </w:t>
            </w:r>
          </w:p>
        </w:tc>
        <w:tc>
          <w:tcPr>
            <w:tcW w:w="1239" w:type="dxa"/>
            <w:tcBorders>
              <w:top w:val="single" w:sz="8" w:space="0" w:color="95B3D7"/>
              <w:bottom w:val="single" w:sz="8" w:space="0" w:color="95B3D7"/>
              <w:right w:val="single" w:sz="8" w:space="0" w:color="95B3D7"/>
            </w:tcBorders>
            <w:shd w:fill="DBE5F1" w:val="clear"/>
            <w:tcMar>
              <w:top w:w="28" w:type="dxa"/>
              <w:bottom w:w="28" w:type="dxa"/>
              <w:right w:w="28" w:type="dxa"/>
            </w:tcMar>
            <w:vAlign w:val="center"/>
          </w:tcPr>
          <w:p>
            <w:pPr>
              <w:pStyle w:val="TableContents"/>
              <w:bidi w:val="0"/>
              <w:spacing w:before="0" w:after="283"/>
              <w:jc w:val="center"/>
              <w:rPr/>
            </w:pPr>
            <w:r>
              <w:rPr/>
              <w:t>$7,327,470 </w:t>
            </w:r>
          </w:p>
        </w:tc>
        <w:tc>
          <w:tcPr>
            <w:tcW w:w="120"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283"/>
              <w:jc w:val="left"/>
              <w:rPr/>
            </w:pPr>
            <w:r>
              <w:rPr/>
              <w:t>  </w:t>
            </w:r>
          </w:p>
        </w:tc>
        <w:tc>
          <w:tcPr>
            <w:tcW w:w="1286"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283"/>
              <w:jc w:val="center"/>
              <w:rPr/>
            </w:pPr>
            <w:r>
              <w:rPr/>
              <w:t>$10,891,546 </w:t>
            </w:r>
          </w:p>
        </w:tc>
      </w:tr>
      <w:tr>
        <w:trPr/>
        <w:tc>
          <w:tcPr>
            <w:tcW w:w="5961" w:type="dxa"/>
            <w:tcBorders/>
            <w:vAlign w:val="center"/>
          </w:tcPr>
          <w:p>
            <w:pPr>
              <w:pStyle w:val="TableContents"/>
              <w:bidi w:val="0"/>
              <w:spacing w:before="0" w:after="0"/>
              <w:jc w:val="left"/>
              <w:rPr>
                <w:rFonts w:ascii="ARIAL" w:hAnsi="ARIAL"/>
                <w:sz w:val="16"/>
              </w:rPr>
            </w:pPr>
            <w:r>
              <w:rPr>
                <w:rFonts w:ascii="ARIAL" w:hAnsi="ARIAL"/>
                <w:sz w:val="16"/>
              </w:rPr>
              <w:t>Less Average Reported Value of Equity Awards from SCT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8" w:space="0" w:color="95B3D7"/>
            </w:tcBorders>
            <w:tcMar>
              <w:left w:w="28" w:type="dxa"/>
            </w:tcMar>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center"/>
              <w:rPr/>
            </w:pPr>
            <w:r>
              <w:rPr/>
              <w:t>($3,786,785) </w:t>
            </w:r>
          </w:p>
        </w:tc>
        <w:tc>
          <w:tcPr>
            <w:tcW w:w="120" w:type="dxa"/>
            <w:tcBorders>
              <w:left w:val="single" w:sz="8" w:space="0" w:color="95B3D7"/>
            </w:tcBorders>
            <w:tcMar>
              <w:left w:w="28" w:type="dxa"/>
            </w:tcMar>
            <w:vAlign w:val="center"/>
          </w:tcPr>
          <w:p>
            <w:pPr>
              <w:pStyle w:val="TableContents"/>
              <w:bidi w:val="0"/>
              <w:spacing w:before="0" w:after="283"/>
              <w:jc w:val="left"/>
              <w:rPr/>
            </w:pPr>
            <w:r>
              <w:rPr/>
              <w:t>  </w:t>
            </w:r>
          </w:p>
        </w:tc>
        <w:tc>
          <w:tcPr>
            <w:tcW w:w="1239" w:type="dxa"/>
            <w:tcBorders>
              <w:right w:val="single" w:sz="8" w:space="0" w:color="95B3D7"/>
            </w:tcBorders>
            <w:tcMar>
              <w:right w:w="28" w:type="dxa"/>
            </w:tcMar>
            <w:vAlign w:val="center"/>
          </w:tcPr>
          <w:p>
            <w:pPr>
              <w:pStyle w:val="TableContents"/>
              <w:bidi w:val="0"/>
              <w:spacing w:before="0" w:after="283"/>
              <w:jc w:val="center"/>
              <w:rPr/>
            </w:pPr>
            <w:r>
              <w:rPr/>
              <w:t>($6,383,827) </w:t>
            </w:r>
          </w:p>
        </w:tc>
        <w:tc>
          <w:tcPr>
            <w:tcW w:w="120"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center"/>
              <w:rPr/>
            </w:pPr>
            <w:r>
              <w:rPr/>
              <w:t>($9,913,214) </w:t>
            </w:r>
          </w:p>
        </w:tc>
      </w:tr>
      <w:tr>
        <w:trPr/>
        <w:tc>
          <w:tcPr>
            <w:tcW w:w="5961"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0"/>
              <w:jc w:val="left"/>
              <w:rPr>
                <w:rFonts w:ascii="ARIAL" w:hAnsi="ARIAL"/>
                <w:b/>
                <w:sz w:val="16"/>
              </w:rPr>
            </w:pPr>
            <w:r>
              <w:rPr>
                <w:rFonts w:ascii="ARIAL" w:hAnsi="ARIAL"/>
                <w:b/>
                <w:sz w:val="16"/>
              </w:rPr>
              <w:t>Subtotal</w:t>
            </w:r>
          </w:p>
        </w:tc>
        <w:tc>
          <w:tcPr>
            <w:tcW w:w="60"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0"/>
              <w:jc w:val="left"/>
              <w:rPr>
                <w:spacing w:val="0"/>
              </w:rPr>
            </w:pPr>
            <w:r>
              <w:rPr>
                <w:spacing w:val="0"/>
              </w:rPr>
              <w:t> </w:t>
            </w:r>
          </w:p>
        </w:tc>
        <w:tc>
          <w:tcPr>
            <w:tcW w:w="120" w:type="dxa"/>
            <w:tcBorders>
              <w:top w:val="single" w:sz="8" w:space="0" w:color="95B3D7"/>
              <w:left w:val="single" w:sz="8" w:space="0" w:color="95B3D7"/>
              <w:bottom w:val="single" w:sz="8" w:space="0" w:color="95B3D7"/>
            </w:tcBorders>
            <w:shd w:fill="DBE5F1" w:val="clear"/>
            <w:tcMar>
              <w:top w:w="28" w:type="dxa"/>
              <w:left w:w="28" w:type="dxa"/>
              <w:bottom w:w="28" w:type="dxa"/>
            </w:tcMar>
            <w:vAlign w:val="center"/>
          </w:tcPr>
          <w:p>
            <w:pPr>
              <w:pStyle w:val="TableContents"/>
              <w:bidi w:val="0"/>
              <w:spacing w:before="0" w:after="283"/>
              <w:jc w:val="left"/>
              <w:rPr/>
            </w:pPr>
            <w:r>
              <w:rPr/>
              <w:t>  </w:t>
            </w:r>
          </w:p>
        </w:tc>
        <w:tc>
          <w:tcPr>
            <w:tcW w:w="1239"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0"/>
              <w:jc w:val="center"/>
              <w:rPr>
                <w:b/>
                <w:spacing w:val="0"/>
              </w:rPr>
            </w:pPr>
            <w:r>
              <w:rPr>
                <w:b/>
                <w:spacing w:val="0"/>
              </w:rPr>
              <w:t>$973,664 </w:t>
            </w:r>
          </w:p>
        </w:tc>
        <w:tc>
          <w:tcPr>
            <w:tcW w:w="120" w:type="dxa"/>
            <w:tcBorders>
              <w:top w:val="single" w:sz="8" w:space="0" w:color="95B3D7"/>
              <w:left w:val="single" w:sz="8" w:space="0" w:color="95B3D7"/>
              <w:bottom w:val="single" w:sz="8" w:space="0" w:color="95B3D7"/>
            </w:tcBorders>
            <w:shd w:fill="DBE5F1" w:val="clear"/>
            <w:tcMar>
              <w:top w:w="28" w:type="dxa"/>
              <w:left w:w="28" w:type="dxa"/>
              <w:bottom w:w="28" w:type="dxa"/>
            </w:tcMar>
            <w:vAlign w:val="center"/>
          </w:tcPr>
          <w:p>
            <w:pPr>
              <w:pStyle w:val="TableContents"/>
              <w:bidi w:val="0"/>
              <w:spacing w:before="0" w:after="283"/>
              <w:jc w:val="left"/>
              <w:rPr/>
            </w:pPr>
            <w:r>
              <w:rPr/>
              <w:t>  </w:t>
            </w:r>
          </w:p>
        </w:tc>
        <w:tc>
          <w:tcPr>
            <w:tcW w:w="1239" w:type="dxa"/>
            <w:tcBorders>
              <w:top w:val="single" w:sz="8" w:space="0" w:color="95B3D7"/>
              <w:bottom w:val="single" w:sz="8" w:space="0" w:color="95B3D7"/>
              <w:right w:val="single" w:sz="8" w:space="0" w:color="95B3D7"/>
            </w:tcBorders>
            <w:shd w:fill="DBE5F1" w:val="clear"/>
            <w:tcMar>
              <w:top w:w="28" w:type="dxa"/>
              <w:bottom w:w="28" w:type="dxa"/>
              <w:right w:w="28" w:type="dxa"/>
            </w:tcMar>
            <w:vAlign w:val="center"/>
          </w:tcPr>
          <w:p>
            <w:pPr>
              <w:pStyle w:val="TableContents"/>
              <w:bidi w:val="0"/>
              <w:spacing w:before="0" w:after="0"/>
              <w:jc w:val="center"/>
              <w:rPr>
                <w:b/>
                <w:spacing w:val="0"/>
              </w:rPr>
            </w:pPr>
            <w:r>
              <w:rPr>
                <w:b/>
                <w:spacing w:val="0"/>
              </w:rPr>
              <w:t>$943,643 </w:t>
            </w:r>
          </w:p>
        </w:tc>
        <w:tc>
          <w:tcPr>
            <w:tcW w:w="120"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283"/>
              <w:jc w:val="left"/>
              <w:rPr/>
            </w:pPr>
            <w:r>
              <w:rPr/>
              <w:t>  </w:t>
            </w:r>
          </w:p>
        </w:tc>
        <w:tc>
          <w:tcPr>
            <w:tcW w:w="1286"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0"/>
              <w:jc w:val="center"/>
              <w:rPr>
                <w:b/>
                <w:spacing w:val="0"/>
              </w:rPr>
            </w:pPr>
            <w:r>
              <w:rPr>
                <w:b/>
                <w:spacing w:val="0"/>
              </w:rPr>
              <w:t>$978,332 </w:t>
            </w:r>
          </w:p>
        </w:tc>
      </w:tr>
      <w:tr>
        <w:trPr/>
        <w:tc>
          <w:tcPr>
            <w:tcW w:w="5961" w:type="dxa"/>
            <w:tcBorders/>
            <w:vAlign w:val="center"/>
          </w:tcPr>
          <w:p>
            <w:pPr>
              <w:pStyle w:val="TableContents"/>
              <w:bidi w:val="0"/>
              <w:spacing w:before="0" w:after="0"/>
              <w:jc w:val="left"/>
              <w:rPr>
                <w:rFonts w:ascii="ARIAL" w:hAnsi="ARIAL"/>
                <w:i/>
                <w:caps w:val="false"/>
                <w:smallCaps w:val="false"/>
                <w:spacing w:val="0"/>
                <w:sz w:val="16"/>
              </w:rPr>
            </w:pPr>
            <w:r>
              <w:rPr>
                <w:rFonts w:ascii="ARIAL" w:hAnsi="ARIAL"/>
                <w:i/>
                <w:caps w:val="false"/>
                <w:smallCaps w:val="false"/>
                <w:spacing w:val="0"/>
                <w:sz w:val="16"/>
              </w:rPr>
              <w:t>Average Equity Award Adjustments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8" w:space="0" w:color="95B3D7"/>
            </w:tcBorders>
            <w:tcMar>
              <w:left w:w="28" w:type="dxa"/>
            </w:tcMar>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left"/>
              <w:rPr>
                <w:sz w:val="4"/>
                <w:szCs w:val="4"/>
              </w:rPr>
            </w:pPr>
            <w:r>
              <w:rPr>
                <w:sz w:val="4"/>
                <w:szCs w:val="4"/>
              </w:rPr>
            </w:r>
          </w:p>
        </w:tc>
        <w:tc>
          <w:tcPr>
            <w:tcW w:w="120" w:type="dxa"/>
            <w:tcBorders>
              <w:left w:val="single" w:sz="8" w:space="0" w:color="95B3D7"/>
            </w:tcBorders>
            <w:tcMar>
              <w:left w:w="28" w:type="dxa"/>
            </w:tcMar>
            <w:vAlign w:val="center"/>
          </w:tcPr>
          <w:p>
            <w:pPr>
              <w:pStyle w:val="TableContents"/>
              <w:bidi w:val="0"/>
              <w:spacing w:before="0" w:after="283"/>
              <w:jc w:val="left"/>
              <w:rPr/>
            </w:pPr>
            <w:r>
              <w:rPr/>
              <w:t>  </w:t>
            </w:r>
          </w:p>
        </w:tc>
        <w:tc>
          <w:tcPr>
            <w:tcW w:w="1239" w:type="dxa"/>
            <w:tcBorders>
              <w:right w:val="single" w:sz="8" w:space="0" w:color="95B3D7"/>
            </w:tcBorders>
            <w:tcMar>
              <w:right w:w="28" w:type="dxa"/>
            </w:tcMar>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left"/>
              <w:rPr>
                <w:sz w:val="4"/>
                <w:szCs w:val="4"/>
              </w:rPr>
            </w:pPr>
            <w:r>
              <w:rPr>
                <w:sz w:val="4"/>
                <w:szCs w:val="4"/>
              </w:rPr>
            </w:r>
          </w:p>
        </w:tc>
      </w:tr>
      <w:tr>
        <w:trPr/>
        <w:tc>
          <w:tcPr>
            <w:tcW w:w="5961"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0"/>
              <w:jc w:val="left"/>
              <w:rPr>
                <w:rFonts w:ascii="ARIAL" w:hAnsi="ARIAL"/>
                <w:sz w:val="16"/>
              </w:rPr>
            </w:pPr>
            <w:r>
              <w:rPr>
                <w:rFonts w:ascii="ARIAL" w:hAnsi="ARIAL"/>
                <w:sz w:val="16"/>
              </w:rPr>
              <w:t>Year-end fair value of any equity awards granted in applicable yar that are outstanding and unvested as of the end of the year</w:t>
            </w:r>
          </w:p>
        </w:tc>
        <w:tc>
          <w:tcPr>
            <w:tcW w:w="60"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0"/>
              <w:jc w:val="left"/>
              <w:rPr>
                <w:spacing w:val="0"/>
              </w:rPr>
            </w:pPr>
            <w:r>
              <w:rPr>
                <w:spacing w:val="0"/>
              </w:rPr>
              <w:t> </w:t>
            </w:r>
          </w:p>
        </w:tc>
        <w:tc>
          <w:tcPr>
            <w:tcW w:w="120" w:type="dxa"/>
            <w:tcBorders>
              <w:top w:val="single" w:sz="8" w:space="0" w:color="95B3D7"/>
              <w:left w:val="single" w:sz="8" w:space="0" w:color="95B3D7"/>
              <w:bottom w:val="single" w:sz="8" w:space="0" w:color="95B3D7"/>
            </w:tcBorders>
            <w:shd w:fill="DBE5F1" w:val="clear"/>
            <w:tcMar>
              <w:top w:w="28" w:type="dxa"/>
              <w:left w:w="28" w:type="dxa"/>
              <w:bottom w:w="28" w:type="dxa"/>
            </w:tcMar>
            <w:vAlign w:val="center"/>
          </w:tcPr>
          <w:p>
            <w:pPr>
              <w:pStyle w:val="TableContents"/>
              <w:bidi w:val="0"/>
              <w:spacing w:before="0" w:after="283"/>
              <w:jc w:val="left"/>
              <w:rPr/>
            </w:pPr>
            <w:r>
              <w:rPr/>
              <w:t>  </w:t>
            </w:r>
          </w:p>
        </w:tc>
        <w:tc>
          <w:tcPr>
            <w:tcW w:w="1239"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283"/>
              <w:jc w:val="center"/>
              <w:rPr/>
            </w:pPr>
            <w:r>
              <w:rPr/>
              <w:t>$4,110,320 </w:t>
            </w:r>
          </w:p>
        </w:tc>
        <w:tc>
          <w:tcPr>
            <w:tcW w:w="120" w:type="dxa"/>
            <w:tcBorders>
              <w:top w:val="single" w:sz="8" w:space="0" w:color="95B3D7"/>
              <w:left w:val="single" w:sz="8" w:space="0" w:color="95B3D7"/>
              <w:bottom w:val="single" w:sz="8" w:space="0" w:color="95B3D7"/>
            </w:tcBorders>
            <w:shd w:fill="DBE5F1" w:val="clear"/>
            <w:tcMar>
              <w:top w:w="28" w:type="dxa"/>
              <w:left w:w="28" w:type="dxa"/>
              <w:bottom w:w="28" w:type="dxa"/>
            </w:tcMar>
            <w:vAlign w:val="center"/>
          </w:tcPr>
          <w:p>
            <w:pPr>
              <w:pStyle w:val="TableContents"/>
              <w:bidi w:val="0"/>
              <w:spacing w:before="0" w:after="283"/>
              <w:jc w:val="left"/>
              <w:rPr/>
            </w:pPr>
            <w:r>
              <w:rPr/>
              <w:t>  </w:t>
            </w:r>
          </w:p>
        </w:tc>
        <w:tc>
          <w:tcPr>
            <w:tcW w:w="1239" w:type="dxa"/>
            <w:tcBorders>
              <w:top w:val="single" w:sz="8" w:space="0" w:color="95B3D7"/>
              <w:bottom w:val="single" w:sz="8" w:space="0" w:color="95B3D7"/>
              <w:right w:val="single" w:sz="8" w:space="0" w:color="95B3D7"/>
            </w:tcBorders>
            <w:shd w:fill="DBE5F1" w:val="clear"/>
            <w:tcMar>
              <w:top w:w="28" w:type="dxa"/>
              <w:bottom w:w="28" w:type="dxa"/>
              <w:right w:w="28" w:type="dxa"/>
            </w:tcMar>
            <w:vAlign w:val="center"/>
          </w:tcPr>
          <w:p>
            <w:pPr>
              <w:pStyle w:val="TableContents"/>
              <w:bidi w:val="0"/>
              <w:spacing w:before="0" w:after="283"/>
              <w:jc w:val="center"/>
              <w:rPr/>
            </w:pPr>
            <w:r>
              <w:rPr/>
              <w:t>$5,881,206 </w:t>
            </w:r>
          </w:p>
        </w:tc>
        <w:tc>
          <w:tcPr>
            <w:tcW w:w="120"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283"/>
              <w:jc w:val="left"/>
              <w:rPr/>
            </w:pPr>
            <w:r>
              <w:rPr/>
              <w:t>  </w:t>
            </w:r>
          </w:p>
        </w:tc>
        <w:tc>
          <w:tcPr>
            <w:tcW w:w="1286"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283"/>
              <w:jc w:val="center"/>
              <w:rPr/>
            </w:pPr>
            <w:r>
              <w:rPr/>
              <w:t>$4,532,610 </w:t>
            </w:r>
          </w:p>
        </w:tc>
      </w:tr>
      <w:tr>
        <w:trPr/>
        <w:tc>
          <w:tcPr>
            <w:tcW w:w="5961" w:type="dxa"/>
            <w:tcBorders/>
            <w:vAlign w:val="center"/>
          </w:tcPr>
          <w:p>
            <w:pPr>
              <w:pStyle w:val="TableContents"/>
              <w:bidi w:val="0"/>
              <w:spacing w:before="0" w:after="0"/>
              <w:jc w:val="left"/>
              <w:rPr>
                <w:rFonts w:ascii="ARIAL" w:hAnsi="ARIAL"/>
                <w:sz w:val="16"/>
              </w:rPr>
            </w:pPr>
            <w:r>
              <w:rPr>
                <w:rFonts w:ascii="ARIAL" w:hAnsi="ARIAL"/>
                <w:sz w:val="16"/>
              </w:rPr>
              <w:t>The amount of change as of the end of the applicable year (from the end of the prior fiscal year) in fair value of any awards granted in prior years that are outstanding and unvested as of the end of the applicable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8" w:space="0" w:color="95B3D7"/>
            </w:tcBorders>
            <w:tcMar>
              <w:left w:w="28" w:type="dxa"/>
            </w:tcMar>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283"/>
              <w:jc w:val="center"/>
              <w:rPr/>
            </w:pPr>
            <w:r>
              <w:rPr/>
              <w:t>($1,755,990) </w:t>
            </w:r>
          </w:p>
        </w:tc>
        <w:tc>
          <w:tcPr>
            <w:tcW w:w="120" w:type="dxa"/>
            <w:tcBorders>
              <w:left w:val="single" w:sz="8" w:space="0" w:color="95B3D7"/>
            </w:tcBorders>
            <w:tcMar>
              <w:left w:w="28" w:type="dxa"/>
            </w:tcMar>
            <w:vAlign w:val="center"/>
          </w:tcPr>
          <w:p>
            <w:pPr>
              <w:pStyle w:val="TableContents"/>
              <w:bidi w:val="0"/>
              <w:spacing w:before="0" w:after="283"/>
              <w:jc w:val="left"/>
              <w:rPr/>
            </w:pPr>
            <w:r>
              <w:rPr/>
              <w:t>  </w:t>
            </w:r>
          </w:p>
        </w:tc>
        <w:tc>
          <w:tcPr>
            <w:tcW w:w="1239" w:type="dxa"/>
            <w:tcBorders>
              <w:right w:val="single" w:sz="8" w:space="0" w:color="95B3D7"/>
            </w:tcBorders>
            <w:tcMar>
              <w:right w:w="28" w:type="dxa"/>
            </w:tcMar>
            <w:vAlign w:val="center"/>
          </w:tcPr>
          <w:p>
            <w:pPr>
              <w:pStyle w:val="TableContents"/>
              <w:bidi w:val="0"/>
              <w:spacing w:before="0" w:after="283"/>
              <w:jc w:val="center"/>
              <w:rPr/>
            </w:pPr>
            <w:r>
              <w:rPr/>
              <w:t>($551,977) </w:t>
            </w:r>
          </w:p>
        </w:tc>
        <w:tc>
          <w:tcPr>
            <w:tcW w:w="120"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center"/>
              <w:rPr/>
            </w:pPr>
            <w:r>
              <w:rPr/>
              <w:t>$2,876,585 </w:t>
            </w:r>
          </w:p>
        </w:tc>
      </w:tr>
      <w:tr>
        <w:trPr/>
        <w:tc>
          <w:tcPr>
            <w:tcW w:w="5961"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0"/>
              <w:jc w:val="left"/>
              <w:rPr>
                <w:rFonts w:ascii="ARIAL" w:hAnsi="ARIAL"/>
                <w:sz w:val="16"/>
              </w:rPr>
            </w:pPr>
            <w:r>
              <w:rPr>
                <w:rFonts w:ascii="ARIAL" w:hAnsi="ARIAL"/>
                <w:sz w:val="16"/>
              </w:rPr>
              <w:t>For awards granted in prior years that vest in the applicable year, the amount equal to the change as of the vesting date (from the end of the prior fiscal year) in fair value</w:t>
            </w:r>
          </w:p>
        </w:tc>
        <w:tc>
          <w:tcPr>
            <w:tcW w:w="60"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0"/>
              <w:jc w:val="left"/>
              <w:rPr>
                <w:spacing w:val="0"/>
              </w:rPr>
            </w:pPr>
            <w:r>
              <w:rPr>
                <w:spacing w:val="0"/>
              </w:rPr>
              <w:t> </w:t>
            </w:r>
          </w:p>
        </w:tc>
        <w:tc>
          <w:tcPr>
            <w:tcW w:w="120" w:type="dxa"/>
            <w:tcBorders>
              <w:top w:val="single" w:sz="8" w:space="0" w:color="95B3D7"/>
              <w:left w:val="single" w:sz="8" w:space="0" w:color="95B3D7"/>
              <w:bottom w:val="single" w:sz="8" w:space="0" w:color="95B3D7"/>
            </w:tcBorders>
            <w:shd w:fill="DBE5F1" w:val="clear"/>
            <w:tcMar>
              <w:top w:w="28" w:type="dxa"/>
              <w:left w:w="28" w:type="dxa"/>
              <w:bottom w:w="28" w:type="dxa"/>
            </w:tcMar>
            <w:vAlign w:val="center"/>
          </w:tcPr>
          <w:p>
            <w:pPr>
              <w:pStyle w:val="TableContents"/>
              <w:bidi w:val="0"/>
              <w:spacing w:before="0" w:after="283"/>
              <w:jc w:val="left"/>
              <w:rPr/>
            </w:pPr>
            <w:r>
              <w:rPr/>
              <w:t>  </w:t>
            </w:r>
          </w:p>
        </w:tc>
        <w:tc>
          <w:tcPr>
            <w:tcW w:w="1239"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283"/>
              <w:jc w:val="center"/>
              <w:rPr/>
            </w:pPr>
            <w:r>
              <w:rPr/>
              <w:t>($1,558,171) </w:t>
            </w:r>
          </w:p>
        </w:tc>
        <w:tc>
          <w:tcPr>
            <w:tcW w:w="120" w:type="dxa"/>
            <w:tcBorders>
              <w:top w:val="single" w:sz="8" w:space="0" w:color="95B3D7"/>
              <w:left w:val="single" w:sz="8" w:space="0" w:color="95B3D7"/>
              <w:bottom w:val="single" w:sz="8" w:space="0" w:color="95B3D7"/>
            </w:tcBorders>
            <w:shd w:fill="DBE5F1" w:val="clear"/>
            <w:tcMar>
              <w:top w:w="28" w:type="dxa"/>
              <w:left w:w="28" w:type="dxa"/>
              <w:bottom w:w="28" w:type="dxa"/>
            </w:tcMar>
            <w:vAlign w:val="center"/>
          </w:tcPr>
          <w:p>
            <w:pPr>
              <w:pStyle w:val="TableContents"/>
              <w:bidi w:val="0"/>
              <w:spacing w:before="0" w:after="283"/>
              <w:jc w:val="left"/>
              <w:rPr/>
            </w:pPr>
            <w:r>
              <w:rPr/>
              <w:t>  </w:t>
            </w:r>
          </w:p>
        </w:tc>
        <w:tc>
          <w:tcPr>
            <w:tcW w:w="1239" w:type="dxa"/>
            <w:tcBorders>
              <w:top w:val="single" w:sz="8" w:space="0" w:color="95B3D7"/>
              <w:bottom w:val="single" w:sz="8" w:space="0" w:color="95B3D7"/>
              <w:right w:val="single" w:sz="8" w:space="0" w:color="95B3D7"/>
            </w:tcBorders>
            <w:shd w:fill="DBE5F1" w:val="clear"/>
            <w:tcMar>
              <w:top w:w="28" w:type="dxa"/>
              <w:bottom w:w="28" w:type="dxa"/>
              <w:right w:w="28" w:type="dxa"/>
            </w:tcMar>
            <w:vAlign w:val="center"/>
          </w:tcPr>
          <w:p>
            <w:pPr>
              <w:pStyle w:val="TableContents"/>
              <w:bidi w:val="0"/>
              <w:spacing w:before="0" w:after="283"/>
              <w:jc w:val="center"/>
              <w:rPr/>
            </w:pPr>
            <w:r>
              <w:rPr/>
              <w:t>($611,093) </w:t>
            </w:r>
          </w:p>
        </w:tc>
        <w:tc>
          <w:tcPr>
            <w:tcW w:w="120"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283"/>
              <w:jc w:val="left"/>
              <w:rPr/>
            </w:pPr>
            <w:r>
              <w:rPr/>
              <w:t>  </w:t>
            </w:r>
          </w:p>
        </w:tc>
        <w:tc>
          <w:tcPr>
            <w:tcW w:w="1286"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283"/>
              <w:jc w:val="center"/>
              <w:rPr/>
            </w:pPr>
            <w:r>
              <w:rPr/>
              <w:t>$1,665,717 </w:t>
            </w:r>
          </w:p>
        </w:tc>
      </w:tr>
      <w:tr>
        <w:trPr/>
        <w:tc>
          <w:tcPr>
            <w:tcW w:w="5961" w:type="dxa"/>
            <w:tcBorders/>
            <w:vAlign w:val="center"/>
          </w:tcPr>
          <w:p>
            <w:pPr>
              <w:pStyle w:val="TableContents"/>
              <w:bidi w:val="0"/>
              <w:spacing w:before="0" w:after="0"/>
              <w:jc w:val="left"/>
              <w:rPr>
                <w:rFonts w:ascii="ARIAL" w:hAnsi="ARIAL"/>
                <w:b/>
                <w:sz w:val="16"/>
              </w:rPr>
            </w:pPr>
            <w:r>
              <w:rPr>
                <w:rFonts w:ascii="ARIAL" w:hAnsi="ARIAL"/>
                <w:b/>
                <w:sz w:val="16"/>
              </w:rPr>
              <w:t>Total Net Adjustment to Subtotal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8" w:space="0" w:color="95B3D7"/>
            </w:tcBorders>
            <w:tcMar>
              <w:left w:w="28" w:type="dxa"/>
            </w:tcMar>
            <w:vAlign w:val="center"/>
          </w:tcPr>
          <w:p>
            <w:pPr>
              <w:pStyle w:val="TableContents"/>
              <w:bidi w:val="0"/>
              <w:spacing w:before="0" w:after="283"/>
              <w:jc w:val="left"/>
              <w:rPr/>
            </w:pPr>
            <w:r>
              <w:rPr/>
              <w:t>  </w:t>
            </w:r>
          </w:p>
        </w:tc>
        <w:tc>
          <w:tcPr>
            <w:tcW w:w="1239" w:type="dxa"/>
            <w:tcBorders/>
            <w:vAlign w:val="center"/>
          </w:tcPr>
          <w:p>
            <w:pPr>
              <w:pStyle w:val="TableContents"/>
              <w:bidi w:val="0"/>
              <w:spacing w:before="0" w:after="0"/>
              <w:jc w:val="center"/>
              <w:rPr>
                <w:b/>
                <w:spacing w:val="0"/>
              </w:rPr>
            </w:pPr>
            <w:r>
              <w:rPr>
                <w:b/>
                <w:spacing w:val="0"/>
              </w:rPr>
              <w:t>$796,159 </w:t>
            </w:r>
          </w:p>
        </w:tc>
        <w:tc>
          <w:tcPr>
            <w:tcW w:w="120" w:type="dxa"/>
            <w:tcBorders>
              <w:left w:val="single" w:sz="8" w:space="0" w:color="95B3D7"/>
            </w:tcBorders>
            <w:tcMar>
              <w:left w:w="28" w:type="dxa"/>
            </w:tcMar>
            <w:vAlign w:val="center"/>
          </w:tcPr>
          <w:p>
            <w:pPr>
              <w:pStyle w:val="TableContents"/>
              <w:bidi w:val="0"/>
              <w:spacing w:before="0" w:after="283"/>
              <w:jc w:val="left"/>
              <w:rPr/>
            </w:pPr>
            <w:r>
              <w:rPr/>
              <w:t>  </w:t>
            </w:r>
          </w:p>
        </w:tc>
        <w:tc>
          <w:tcPr>
            <w:tcW w:w="1239" w:type="dxa"/>
            <w:tcBorders>
              <w:right w:val="single" w:sz="8" w:space="0" w:color="95B3D7"/>
            </w:tcBorders>
            <w:tcMar>
              <w:right w:w="28" w:type="dxa"/>
            </w:tcMar>
            <w:vAlign w:val="center"/>
          </w:tcPr>
          <w:p>
            <w:pPr>
              <w:pStyle w:val="TableContents"/>
              <w:bidi w:val="0"/>
              <w:spacing w:before="0" w:after="0"/>
              <w:jc w:val="center"/>
              <w:rPr>
                <w:b/>
                <w:spacing w:val="0"/>
              </w:rPr>
            </w:pPr>
            <w:r>
              <w:rPr>
                <w:b/>
                <w:spacing w:val="0"/>
              </w:rPr>
              <w:t>$4,718,136 </w:t>
            </w:r>
          </w:p>
        </w:tc>
        <w:tc>
          <w:tcPr>
            <w:tcW w:w="120"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0"/>
              <w:jc w:val="center"/>
              <w:rPr>
                <w:b/>
                <w:spacing w:val="0"/>
              </w:rPr>
            </w:pPr>
            <w:r>
              <w:rPr>
                <w:b/>
                <w:spacing w:val="0"/>
              </w:rPr>
              <w:t>$9,074,912 </w:t>
            </w:r>
          </w:p>
        </w:tc>
      </w:tr>
      <w:tr>
        <w:trPr/>
        <w:tc>
          <w:tcPr>
            <w:tcW w:w="5961" w:type="dxa"/>
            <w:tcBorders>
              <w:top w:val="single" w:sz="8" w:space="0" w:color="95B3D7"/>
              <w:bottom w:val="single" w:sz="8" w:space="0" w:color="95B3D7"/>
            </w:tcBorders>
            <w:shd w:fill="DBE5F1" w:val="clear"/>
            <w:tcMar>
              <w:top w:w="28" w:type="dxa"/>
              <w:bottom w:w="80" w:type="dxa"/>
            </w:tcMar>
            <w:vAlign w:val="center"/>
          </w:tcPr>
          <w:p>
            <w:pPr>
              <w:pStyle w:val="TableContents"/>
              <w:bidi w:val="0"/>
              <w:spacing w:before="0" w:after="0"/>
              <w:jc w:val="left"/>
              <w:rPr>
                <w:rFonts w:ascii="ARIAL" w:hAnsi="ARIAL"/>
                <w:b/>
                <w:sz w:val="16"/>
              </w:rPr>
            </w:pPr>
            <w:r>
              <w:rPr>
                <w:rFonts w:ascii="ARIAL" w:hAnsi="ARIAL"/>
                <w:b/>
                <w:sz w:val="16"/>
              </w:rPr>
              <w:t>Compensation Actually Paid</w:t>
            </w:r>
          </w:p>
        </w:tc>
        <w:tc>
          <w:tcPr>
            <w:tcW w:w="60"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283"/>
              <w:jc w:val="left"/>
              <w:rPr/>
            </w:pPr>
            <w:r>
              <w:rPr/>
              <w:t> </w:t>
            </w:r>
          </w:p>
        </w:tc>
        <w:tc>
          <w:tcPr>
            <w:tcW w:w="60"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0"/>
              <w:jc w:val="left"/>
              <w:rPr>
                <w:spacing w:val="0"/>
              </w:rPr>
            </w:pPr>
            <w:r>
              <w:rPr>
                <w:spacing w:val="0"/>
              </w:rPr>
              <w:t> </w:t>
            </w:r>
          </w:p>
        </w:tc>
        <w:tc>
          <w:tcPr>
            <w:tcW w:w="120" w:type="dxa"/>
            <w:tcBorders>
              <w:top w:val="single" w:sz="8" w:space="0" w:color="95B3D7"/>
              <w:left w:val="single" w:sz="8" w:space="0" w:color="95B3D7"/>
              <w:bottom w:val="single" w:sz="8" w:space="0" w:color="95B3D7"/>
            </w:tcBorders>
            <w:shd w:fill="DBE5F1" w:val="clear"/>
            <w:tcMar>
              <w:top w:w="28" w:type="dxa"/>
              <w:left w:w="28" w:type="dxa"/>
              <w:bottom w:w="28" w:type="dxa"/>
            </w:tcMar>
            <w:vAlign w:val="center"/>
          </w:tcPr>
          <w:p>
            <w:pPr>
              <w:pStyle w:val="TableContents"/>
              <w:bidi w:val="0"/>
              <w:spacing w:before="0" w:after="283"/>
              <w:jc w:val="left"/>
              <w:rPr/>
            </w:pPr>
            <w:r>
              <w:rPr/>
              <w:t>  </w:t>
            </w:r>
          </w:p>
        </w:tc>
        <w:tc>
          <w:tcPr>
            <w:tcW w:w="1239" w:type="dxa"/>
            <w:tcBorders>
              <w:top w:val="single" w:sz="8" w:space="0" w:color="95B3D7"/>
              <w:bottom w:val="single" w:sz="8" w:space="0" w:color="95B3D7"/>
            </w:tcBorders>
            <w:shd w:fill="DBE5F1" w:val="clear"/>
            <w:tcMar>
              <w:top w:w="28" w:type="dxa"/>
              <w:bottom w:w="80" w:type="dxa"/>
            </w:tcMar>
            <w:vAlign w:val="center"/>
          </w:tcPr>
          <w:p>
            <w:pPr>
              <w:pStyle w:val="TableContents"/>
              <w:bidi w:val="0"/>
              <w:spacing w:before="0" w:after="0"/>
              <w:jc w:val="center"/>
              <w:rPr>
                <w:b/>
                <w:spacing w:val="0"/>
                <w:u w:val="single"/>
              </w:rPr>
            </w:pPr>
            <w:r>
              <w:rPr>
                <w:b/>
                <w:spacing w:val="0"/>
                <w:u w:val="single"/>
              </w:rPr>
              <w:t>$1,769,823</w:t>
            </w:r>
          </w:p>
          <w:p>
            <w:pPr>
              <w:pStyle w:val="TableContents"/>
              <w:bidi w:val="0"/>
              <w:spacing w:before="0" w:after="0"/>
              <w:jc w:val="center"/>
              <w:rPr>
                <w:spacing w:val="0"/>
              </w:rPr>
            </w:pPr>
            <w:r>
              <w:rPr>
                <w:spacing w:val="0"/>
              </w:rPr>
              <w:t> </w:t>
            </w:r>
          </w:p>
        </w:tc>
        <w:tc>
          <w:tcPr>
            <w:tcW w:w="120" w:type="dxa"/>
            <w:tcBorders>
              <w:top w:val="single" w:sz="8" w:space="0" w:color="95B3D7"/>
              <w:left w:val="single" w:sz="8" w:space="0" w:color="95B3D7"/>
              <w:bottom w:val="single" w:sz="8" w:space="0" w:color="95B3D7"/>
            </w:tcBorders>
            <w:shd w:fill="DBE5F1" w:val="clear"/>
            <w:tcMar>
              <w:top w:w="28" w:type="dxa"/>
              <w:left w:w="28" w:type="dxa"/>
              <w:bottom w:w="28" w:type="dxa"/>
            </w:tcMar>
            <w:vAlign w:val="center"/>
          </w:tcPr>
          <w:p>
            <w:pPr>
              <w:pStyle w:val="TableContents"/>
              <w:bidi w:val="0"/>
              <w:spacing w:before="0" w:after="283"/>
              <w:jc w:val="left"/>
              <w:rPr/>
            </w:pPr>
            <w:r>
              <w:rPr/>
              <w:t>  </w:t>
            </w:r>
          </w:p>
        </w:tc>
        <w:tc>
          <w:tcPr>
            <w:tcW w:w="1239" w:type="dxa"/>
            <w:tcBorders>
              <w:top w:val="single" w:sz="8" w:space="0" w:color="95B3D7"/>
              <w:bottom w:val="single" w:sz="8" w:space="0" w:color="95B3D7"/>
              <w:right w:val="single" w:sz="8" w:space="0" w:color="95B3D7"/>
            </w:tcBorders>
            <w:shd w:fill="DBE5F1" w:val="clear"/>
            <w:tcMar>
              <w:top w:w="28" w:type="dxa"/>
              <w:bottom w:w="80" w:type="dxa"/>
              <w:right w:w="28" w:type="dxa"/>
            </w:tcMar>
            <w:vAlign w:val="center"/>
          </w:tcPr>
          <w:p>
            <w:pPr>
              <w:pStyle w:val="TableContents"/>
              <w:bidi w:val="0"/>
              <w:spacing w:before="0" w:after="0"/>
              <w:jc w:val="center"/>
              <w:rPr>
                <w:b/>
                <w:spacing w:val="0"/>
                <w:u w:val="single"/>
              </w:rPr>
            </w:pPr>
            <w:r>
              <w:rPr>
                <w:b/>
                <w:spacing w:val="0"/>
                <w:u w:val="single"/>
              </w:rPr>
              <w:t>$5,661,779</w:t>
            </w:r>
          </w:p>
          <w:p>
            <w:pPr>
              <w:pStyle w:val="TableContents"/>
              <w:bidi w:val="0"/>
              <w:spacing w:before="0" w:after="0"/>
              <w:jc w:val="center"/>
              <w:rPr>
                <w:spacing w:val="0"/>
              </w:rPr>
            </w:pPr>
            <w:r>
              <w:rPr>
                <w:spacing w:val="0"/>
              </w:rPr>
              <w:t> </w:t>
            </w:r>
          </w:p>
        </w:tc>
        <w:tc>
          <w:tcPr>
            <w:tcW w:w="120" w:type="dxa"/>
            <w:tcBorders>
              <w:top w:val="single" w:sz="8" w:space="0" w:color="95B3D7"/>
              <w:bottom w:val="single" w:sz="8" w:space="0" w:color="95B3D7"/>
            </w:tcBorders>
            <w:shd w:fill="DBE5F1" w:val="clear"/>
            <w:tcMar>
              <w:top w:w="28" w:type="dxa"/>
              <w:bottom w:w="28" w:type="dxa"/>
            </w:tcMar>
            <w:vAlign w:val="center"/>
          </w:tcPr>
          <w:p>
            <w:pPr>
              <w:pStyle w:val="TableContents"/>
              <w:bidi w:val="0"/>
              <w:spacing w:before="0" w:after="283"/>
              <w:jc w:val="left"/>
              <w:rPr/>
            </w:pPr>
            <w:r>
              <w:rPr/>
              <w:t>  </w:t>
            </w:r>
          </w:p>
        </w:tc>
        <w:tc>
          <w:tcPr>
            <w:tcW w:w="1286" w:type="dxa"/>
            <w:tcBorders>
              <w:top w:val="single" w:sz="8" w:space="0" w:color="95B3D7"/>
              <w:bottom w:val="single" w:sz="8" w:space="0" w:color="95B3D7"/>
            </w:tcBorders>
            <w:shd w:fill="DBE5F1" w:val="clear"/>
            <w:tcMar>
              <w:top w:w="28" w:type="dxa"/>
              <w:bottom w:w="80" w:type="dxa"/>
            </w:tcMar>
            <w:vAlign w:val="center"/>
          </w:tcPr>
          <w:p>
            <w:pPr>
              <w:pStyle w:val="TableContents"/>
              <w:bidi w:val="0"/>
              <w:spacing w:before="0" w:after="0"/>
              <w:jc w:val="center"/>
              <w:rPr>
                <w:b/>
                <w:spacing w:val="0"/>
                <w:u w:val="single"/>
              </w:rPr>
            </w:pPr>
            <w:r>
              <w:rPr>
                <w:b/>
                <w:spacing w:val="0"/>
                <w:u w:val="single"/>
              </w:rPr>
              <w:t>$10,053,244</w:t>
            </w:r>
          </w:p>
          <w:p>
            <w:pPr>
              <w:pStyle w:val="TableContents"/>
              <w:bidi w:val="0"/>
              <w:spacing w:before="0" w:after="0"/>
              <w:jc w:val="center"/>
              <w:rPr>
                <w:spacing w:val="0"/>
              </w:rPr>
            </w:pPr>
            <w:r>
              <w:rPr>
                <w:spacing w:val="0"/>
              </w:rPr>
              <w: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(5)</w:t>
            </w:r>
          </w:p>
        </w:tc>
        <w:tc>
          <w:tcPr>
            <w:tcW w:w="9945" w:type="dxa"/>
            <w:tcBorders/>
            <w:vAlign w:val="center"/>
          </w:tcPr>
          <w:p>
            <w:pPr>
              <w:pStyle w:val="TableContents"/>
              <w:bidi w:val="0"/>
              <w:spacing w:before="0" w:after="0"/>
              <w:jc w:val="left"/>
              <w:rPr>
                <w:rFonts w:ascii="ARIAL" w:hAnsi="ARIAL"/>
                <w:sz w:val="16"/>
              </w:rPr>
            </w:pPr>
            <w:r>
              <w:rPr>
                <w:rFonts w:ascii="ARIAL" w:hAnsi="ARIAL"/>
                <w:sz w:val="16"/>
              </w:rPr>
              <w:t xml:space="preserve">Cumulative TSR for ALHC is calculated by dividing the sum of the cumulative amount of dividends for each of 2021, 2022 and 2023, assuming dividend reinvestment, and the difference between ALHC’s share price at the end and the beginning of each such year by ALHC’s share price at the beginning of each such year.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(6)</w:t>
            </w:r>
          </w:p>
        </w:tc>
        <w:tc>
          <w:tcPr>
            <w:tcW w:w="9942" w:type="dxa"/>
            <w:tcBorders/>
            <w:vAlign w:val="center"/>
          </w:tcPr>
          <w:p>
            <w:pPr>
              <w:pStyle w:val="TableContents"/>
              <w:bidi w:val="0"/>
              <w:spacing w:before="0" w:after="0"/>
              <w:jc w:val="left"/>
              <w:rPr>
                <w:rFonts w:ascii="ARIAL" w:hAnsi="ARIAL"/>
                <w:sz w:val="16"/>
              </w:rPr>
            </w:pPr>
            <w:r>
              <w:rPr>
                <w:rFonts w:ascii="ARIAL" w:hAnsi="ARIAL"/>
                <w:sz w:val="16"/>
              </w:rPr>
              <w:t xml:space="preserve">Represents the weighted peer group TSR, weighted according to the respective companies’ stock market capitalization at the beginning of each period for which a return is indicated. The peer group used for this purpose is the following published industry index: NASDAQ Healthcare Index.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(7)</w:t>
            </w:r>
          </w:p>
        </w:tc>
        <w:tc>
          <w:tcPr>
            <w:tcW w:w="9905" w:type="dxa"/>
            <w:tcBorders/>
            <w:vAlign w:val="center"/>
          </w:tcPr>
          <w:p>
            <w:pPr>
              <w:pStyle w:val="TableContents"/>
              <w:bidi w:val="0"/>
              <w:spacing w:before="0" w:after="0"/>
              <w:jc w:val="left"/>
              <w:rPr>
                <w:rFonts w:ascii="ARIAL" w:hAnsi="ARIAL"/>
                <w:sz w:val="16"/>
              </w:rPr>
            </w:pPr>
            <w:r>
              <w:rPr>
                <w:rFonts w:ascii="ARIAL" w:hAnsi="ARIAL"/>
                <w:sz w:val="16"/>
              </w:rPr>
              <w:t xml:space="preserve">The dollar amounts reported represent the amount of net income reflected in the Company’s audited financial statements for the applicable year.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(8)</w:t>
            </w:r>
          </w:p>
        </w:tc>
        <w:tc>
          <w:tcPr>
            <w:tcW w:w="9966" w:type="dxa"/>
            <w:tcBorders/>
            <w:vAlign w:val="center"/>
          </w:tcPr>
          <w:p>
            <w:pPr>
              <w:pStyle w:val="TableContents"/>
              <w:bidi w:val="0"/>
              <w:spacing w:before="0" w:after="0"/>
              <w:jc w:val="left"/>
              <w:rPr>
                <w:rFonts w:ascii="ARIAL" w:hAnsi="ARIAL"/>
                <w:sz w:val="16"/>
              </w:rPr>
            </w:pPr>
            <w:r>
              <w:rPr>
                <w:rFonts w:ascii="ARIAL" w:hAnsi="ARIAL"/>
                <w:sz w:val="16"/>
              </w:rPr>
              <w:t xml:space="preserve">Adjusted EBITDA is a non-GAAP financial measure that is presented as supplemental disclosure, that we define as net loss before interest expense, income taxes, depreciation and amortization expense, transaction-related expenses, acquisition expenses, certain litigation costs and settlements, gains or losses on ROU assets, equity-based compensation expense, and loss on extinguishment of debt. Adjusted EBITDA should not be considered in isolation of, or as an alternative to, measures prepared in accordance with U.S. generally accepted accounting principles (“GAAP”). There are a number of limitations related to the use of adjusted EBITDA in lieu of net loss, which is the most directly comparable financial measure calculated in accordance with GAAP. An explanation of our non-GAAP measures, how they are calculated and reconciliations to the most directly comparable GAAP financial measures can be found in the Appendix to this proxy statement.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ARIAL" w:hAnsi="ARIAL"/>
          <w:sz w:val="20"/>
          <w:shd w:fill="FFFFFF" w:val="clear"/>
        </w:rPr>
      </w:pPr>
      <w:r>
        <w:rPr>
          <w:rFonts w:ascii="ARIAL" w:hAnsi="ARIAL"/>
          <w:sz w:val="20"/>
          <w:shd w:fill="FFFFFF" w:val="clear"/>
        </w:rPr>
        <w:t xml:space="preserve">69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ARIAL" w:hAnsi="ARIAL"/>
          <w:b/>
          <w:i/>
          <w:caps w:val="false"/>
          <w:smallCaps w:val="false"/>
          <w:color w:val="1F497D"/>
          <w:spacing w:val="0"/>
          <w:sz w:val="20"/>
          <w:shd w:fill="FFFFFF" w:val="clear"/>
        </w:rPr>
      </w:pPr>
      <w:r>
        <w:rPr>
          <w:rFonts w:ascii="ARIAL" w:hAnsi="ARIAL"/>
          <w:b/>
          <w:i/>
          <w:caps w:val="false"/>
          <w:smallCaps w:val="false"/>
          <w:color w:val="1F497D"/>
          <w:spacing w:val="0"/>
          <w:sz w:val="20"/>
          <w:shd w:fill="FFFFFF" w:val="clear"/>
        </w:rPr>
        <w:t xml:space="preserve">Most Important Performance Measures </w:t>
      </w:r>
    </w:p>
    <w:p>
      <w:pPr>
        <w:pStyle w:val="TextBody"/>
        <w:bidi w:val="0"/>
        <w:spacing w:before="120" w:after="0"/>
        <w:jc w:val="left"/>
        <w:rPr>
          <w:rFonts w:ascii="ARIAL" w:hAnsi="ARIAL"/>
          <w:sz w:val="20"/>
          <w:shd w:fill="FFFFFF" w:val="clear"/>
        </w:rPr>
      </w:pPr>
      <w:r>
        <w:rPr>
          <w:rFonts w:ascii="ARIAL" w:hAnsi="ARIAL"/>
          <w:sz w:val="20"/>
          <w:shd w:fill="FFFFFF" w:val="clear"/>
        </w:rPr>
        <w:t>The performance measures listed below represent an unranked list of the “most important” performance measures that Alignment used to align CAP to the NEOs for 2023 and company performance. The role of each of these performance measures in our executive compensation program is discussed in the “</w:t>
      </w:r>
    </w:p>
    <w:p>
      <w:pPr>
        <w:pStyle w:val="TextBody"/>
        <w:bidi w:val="0"/>
        <w:spacing w:before="120" w:after="0"/>
        <w:jc w:val="left"/>
        <w:rPr>
          <w:rFonts w:ascii="ARIAL" w:hAnsi="ARIAL"/>
          <w:i/>
          <w:caps w:val="false"/>
          <w:smallCaps w:val="false"/>
          <w:spacing w:val="0"/>
          <w:sz w:val="20"/>
          <w:shd w:fill="FFFFFF" w:val="clear"/>
        </w:rPr>
      </w:pPr>
      <w:r>
        <w:rPr>
          <w:rFonts w:ascii="ARIAL" w:hAnsi="ARIAL"/>
          <w:i/>
          <w:caps w:val="false"/>
          <w:smallCaps w:val="false"/>
          <w:spacing w:val="0"/>
          <w:sz w:val="20"/>
          <w:shd w:fill="FFFFFF" w:val="clear"/>
        </w:rPr>
        <w:t>Compensation Discussion and Analysis</w:t>
      </w:r>
    </w:p>
    <w:p>
      <w:pPr>
        <w:pStyle w:val="TextBody"/>
        <w:bidi w:val="0"/>
        <w:spacing w:before="120" w:after="0"/>
        <w:jc w:val="left"/>
        <w:rPr>
          <w:shd w:fill="FFFFFF" w:val="clear"/>
        </w:rPr>
      </w:pPr>
      <w:r>
        <w:rPr>
          <w:shd w:fill="FFFFFF" w:val="clear"/>
        </w:rPr>
        <w:t xml:space="preserve">” </w:t>
      </w:r>
      <w:r>
        <w:rPr>
          <w:rFonts w:ascii="ARIAL" w:hAnsi="ARIAL"/>
          <w:sz w:val="20"/>
          <w:shd w:fill="FFFFFF" w:val="clear"/>
        </w:rPr>
        <w:t>section of this proxy statement. While these financial measures are the most important measures the company used to align CAP to the NEOs for 2023 and company performance, additional financial and other measures were also used to align pay and performance, as further described in the “</w:t>
      </w:r>
    </w:p>
    <w:p>
      <w:pPr>
        <w:pStyle w:val="TextBody"/>
        <w:bidi w:val="0"/>
        <w:spacing w:before="120" w:after="0"/>
        <w:jc w:val="left"/>
        <w:rPr>
          <w:rFonts w:ascii="ARIAL" w:hAnsi="ARIAL"/>
          <w:i/>
          <w:caps w:val="false"/>
          <w:smallCaps w:val="false"/>
          <w:spacing w:val="0"/>
          <w:sz w:val="20"/>
          <w:shd w:fill="FFFFFF" w:val="clear"/>
        </w:rPr>
      </w:pPr>
      <w:r>
        <w:rPr>
          <w:rFonts w:ascii="ARIAL" w:hAnsi="ARIAL"/>
          <w:i/>
          <w:caps w:val="false"/>
          <w:smallCaps w:val="false"/>
          <w:spacing w:val="0"/>
          <w:sz w:val="20"/>
          <w:shd w:fill="FFFFFF" w:val="clear"/>
        </w:rPr>
        <w:t>Compensation Discussion and Analysis</w:t>
      </w:r>
    </w:p>
    <w:p>
      <w:pPr>
        <w:pStyle w:val="TextBody"/>
        <w:bidi w:val="0"/>
        <w:spacing w:before="120" w:after="0"/>
        <w:jc w:val="left"/>
        <w:rPr>
          <w:shd w:fill="FFFFFF" w:val="clear"/>
        </w:rPr>
      </w:pPr>
      <w:r>
        <w:rPr>
          <w:shd w:fill="FFFFFF" w:val="clear"/>
        </w:rPr>
        <w:t xml:space="preserve">” </w:t>
      </w:r>
      <w:r>
        <w:rPr>
          <w:rFonts w:ascii="ARIAL" w:hAnsi="ARIAL"/>
          <w:sz w:val="20"/>
          <w:shd w:fill="FFFFFF" w:val="clear"/>
        </w:rPr>
        <w:t xml:space="preserve">section of this proxy statement. </w:t>
      </w:r>
    </w:p>
    <w:p>
      <w:pPr>
        <w:pStyle w:val="TextBody"/>
        <w:bidi w:val="0"/>
        <w:spacing w:before="200" w:after="0"/>
        <w:jc w:val="left"/>
        <w:rPr>
          <w:rFonts w:ascii="ARIAL" w:hAnsi="ARIAL"/>
          <w:sz w:val="20"/>
          <w:shd w:fill="FFFFFF" w:val="clear"/>
        </w:rPr>
      </w:pPr>
      <w:r>
        <w:rPr>
          <w:rFonts w:ascii="ARIAL" w:hAnsi="ARIAL"/>
          <w:sz w:val="20"/>
          <w:shd w:fill="FFFFFF" w:val="clear"/>
        </w:rPr>
        <w:t xml:space="preserve">The most important financial performance measures are: </w:t>
      </w:r>
    </w:p>
    <w:p>
      <w:pPr>
        <w:pStyle w:val="TextBody"/>
        <w:bidi w:val="0"/>
        <w:spacing w:before="0" w:after="0"/>
        <w:jc w:val="left"/>
        <w:rPr>
          <w:shd w:fill="FFFFFF" w:val="clear"/>
        </w:rPr>
      </w:pPr>
      <w:r>
        <w:rPr>
          <w:shd w:fill="FFFFFF" w:val="clear"/>
        </w:rPr>
        <w:t> </w:t>
      </w:r>
    </w:p>
    <w:tbl>
      <w:tblPr>
        <w:tblW w:w="1885" w:type="dxa"/>
        <w:jc w:val="left"/>
        <w:tblInd w:w="0" w:type="dxa"/>
        <w:tblLayout w:type="fixed"/>
        <w:tblCellMar>
          <w:top w:w="0" w:type="dxa"/>
          <w:left w:w="0" w:type="dxa"/>
          <w:bottom w:w="0" w:type="dxa"/>
          <w:right w:w="0" w:type="dxa"/>
        </w:tblCellMar>
      </w:tblPr>
      <w:tblGrid>
        <w:gridCol w:w="75"/>
        <w:gridCol w:w="110"/>
        <w:gridCol w:w="60"/>
        <w:gridCol w:w="1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0"/>
              <w:jc w:val="left"/>
              <w:rPr>
                <w:rFonts w:ascii="ARIAL" w:hAnsi="ARIAL"/>
                <w:sz w:val="20"/>
              </w:rPr>
            </w:pPr>
            <w:r>
              <w:rPr>
                <w:rFonts w:ascii="ARIAL" w:hAnsi="ARIAL"/>
                <w:sz w:val="20"/>
              </w:rPr>
              <w:t xml:space="preserve">Adjusted EBITDA </w:t>
            </w:r>
          </w:p>
        </w:tc>
      </w:tr>
    </w:tbl>
    <w:p>
      <w:pPr>
        <w:pStyle w:val="TextBody"/>
        <w:bidi w:val="0"/>
        <w:spacing w:before="0" w:after="0"/>
        <w:jc w:val="left"/>
        <w:rPr>
          <w:shd w:fill="FFFFFF" w:val="clear"/>
        </w:rPr>
      </w:pPr>
      <w:r>
        <w:rPr>
          <w:shd w:fill="FFFFFF" w:val="clear"/>
        </w:rPr>
        <w:t> </w:t>
      </w:r>
    </w:p>
    <w:tbl>
      <w:tblPr>
        <w:tblW w:w="2215" w:type="dxa"/>
        <w:jc w:val="left"/>
        <w:tblInd w:w="0" w:type="dxa"/>
        <w:tblLayout w:type="fixed"/>
        <w:tblCellMar>
          <w:top w:w="0" w:type="dxa"/>
          <w:left w:w="0" w:type="dxa"/>
          <w:bottom w:w="0" w:type="dxa"/>
          <w:right w:w="0" w:type="dxa"/>
        </w:tblCellMar>
      </w:tblPr>
      <w:tblGrid>
        <w:gridCol w:w="75"/>
        <w:gridCol w:w="110"/>
        <w:gridCol w:w="60"/>
        <w:gridCol w:w="1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jc w:val="left"/>
              <w:rPr>
                <w:rFonts w:ascii="ARIAL" w:hAnsi="ARIAL"/>
                <w:sz w:val="20"/>
              </w:rPr>
            </w:pPr>
            <w:r>
              <w:rPr>
                <w:rFonts w:ascii="ARIAL" w:hAnsi="ARIAL"/>
                <w:sz w:val="20"/>
              </w:rPr>
              <w:t xml:space="preserve">Adjusted Gross Profit </w:t>
            </w:r>
          </w:p>
        </w:tc>
      </w:tr>
    </w:tbl>
    <w:p>
      <w:pPr>
        <w:pStyle w:val="TextBody"/>
        <w:bidi w:val="0"/>
        <w:spacing w:before="0" w:after="0"/>
        <w:jc w:val="left"/>
        <w:rPr>
          <w:shd w:fill="FFFFFF" w:val="clear"/>
        </w:rPr>
      </w:pPr>
      <w:r>
        <w:rPr>
          <w:shd w:fill="FFFFFF" w:val="clear"/>
        </w:rPr>
        <w:t> </w:t>
      </w:r>
    </w:p>
    <w:tbl>
      <w:tblPr>
        <w:tblW w:w="2170" w:type="dxa"/>
        <w:jc w:val="left"/>
        <w:tblInd w:w="0" w:type="dxa"/>
        <w:tblLayout w:type="fixed"/>
        <w:tblCellMar>
          <w:top w:w="0" w:type="dxa"/>
          <w:left w:w="0" w:type="dxa"/>
          <w:bottom w:w="0" w:type="dxa"/>
          <w:right w:w="0" w:type="dxa"/>
        </w:tblCellMar>
      </w:tblPr>
      <w:tblGrid>
        <w:gridCol w:w="75"/>
        <w:gridCol w:w="110"/>
        <w:gridCol w:w="60"/>
        <w:gridCol w:w="1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0"/>
              <w:jc w:val="left"/>
              <w:rPr>
                <w:rFonts w:ascii="ARIAL" w:hAnsi="ARIAL"/>
                <w:sz w:val="20"/>
              </w:rPr>
            </w:pPr>
            <w:r>
              <w:rPr>
                <w:rFonts w:ascii="ARIAL" w:hAnsi="ARIAL"/>
                <w:sz w:val="20"/>
              </w:rPr>
              <w:t xml:space="preserve">Health Plan Revenue </w:t>
            </w:r>
          </w:p>
        </w:tc>
      </w:tr>
    </w:tbl>
    <w:p>
      <w:pPr>
        <w:pStyle w:val="TextBody"/>
        <w:bidi w:val="0"/>
        <w:spacing w:before="200" w:after="0"/>
        <w:jc w:val="left"/>
        <w:rPr>
          <w:rFonts w:ascii="ARIAL" w:hAnsi="ARIAL"/>
          <w:sz w:val="20"/>
          <w:shd w:fill="FFFFFF" w:val="clear"/>
        </w:rPr>
      </w:pPr>
      <w:r>
        <w:rPr>
          <w:rFonts w:ascii="ARIAL" w:hAnsi="ARIAL"/>
          <w:sz w:val="20"/>
          <w:shd w:fill="FFFFFF" w:val="clear"/>
        </w:rPr>
        <w:t xml:space="preserve">We also employ the following non-financial performance measures: </w:t>
      </w:r>
    </w:p>
    <w:p>
      <w:pPr>
        <w:pStyle w:val="TextBody"/>
        <w:bidi w:val="0"/>
        <w:spacing w:before="0" w:after="0"/>
        <w:jc w:val="left"/>
        <w:rPr>
          <w:shd w:fill="FFFFFF" w:val="clear"/>
        </w:rPr>
      </w:pPr>
      <w:r>
        <w:rPr>
          <w:shd w:fill="FFFFFF" w:val="clear"/>
        </w:rPr>
        <w:t> </w:t>
      </w:r>
    </w:p>
    <w:tbl>
      <w:tblPr>
        <w:tblW w:w="2470" w:type="dxa"/>
        <w:jc w:val="left"/>
        <w:tblInd w:w="0" w:type="dxa"/>
        <w:tblLayout w:type="fixed"/>
        <w:tblCellMar>
          <w:top w:w="0" w:type="dxa"/>
          <w:left w:w="0" w:type="dxa"/>
          <w:bottom w:w="0" w:type="dxa"/>
          <w:right w:w="0" w:type="dxa"/>
        </w:tblCellMar>
      </w:tblPr>
      <w:tblGrid>
        <w:gridCol w:w="75"/>
        <w:gridCol w:w="110"/>
        <w:gridCol w:w="60"/>
        <w:gridCol w:w="2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ARIAL" w:hAnsi="ARIAL"/>
                <w:sz w:val="20"/>
              </w:rPr>
            </w:pPr>
            <w:r>
              <w:rPr>
                <w:rFonts w:ascii="ARIAL" w:hAnsi="ARIAL"/>
                <w:sz w:val="20"/>
              </w:rPr>
              <w:t xml:space="preserve">Health Plan Membership </w:t>
            </w:r>
          </w:p>
        </w:tc>
      </w:tr>
    </w:tbl>
    <w:p>
      <w:pPr>
        <w:pStyle w:val="TextBody"/>
        <w:bidi w:val="0"/>
        <w:spacing w:before="0" w:after="0"/>
        <w:jc w:val="left"/>
        <w:rPr>
          <w:shd w:fill="FFFFFF" w:val="clear"/>
        </w:rPr>
      </w:pPr>
      <w:r>
        <w:rPr>
          <w:shd w:fill="FFFFFF" w:val="clear"/>
        </w:rPr>
        <w:t> </w:t>
      </w:r>
    </w:p>
    <w:tbl>
      <w:tblPr>
        <w:tblW w:w="1915" w:type="dxa"/>
        <w:jc w:val="left"/>
        <w:tblInd w:w="0" w:type="dxa"/>
        <w:tblLayout w:type="fixed"/>
        <w:tblCellMar>
          <w:top w:w="0" w:type="dxa"/>
          <w:left w:w="0" w:type="dxa"/>
          <w:bottom w:w="0" w:type="dxa"/>
          <w:right w:w="0" w:type="dxa"/>
        </w:tblCellMar>
      </w:tblPr>
      <w:tblGrid>
        <w:gridCol w:w="75"/>
        <w:gridCol w:w="110"/>
        <w:gridCol w:w="60"/>
        <w:gridCol w:w="1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0"/>
              <w:jc w:val="left"/>
              <w:rPr>
                <w:rFonts w:ascii="ARIAL" w:hAnsi="ARIAL"/>
                <w:sz w:val="20"/>
              </w:rPr>
            </w:pPr>
            <w:r>
              <w:rPr>
                <w:rFonts w:ascii="ARIAL" w:hAnsi="ARIAL"/>
                <w:sz w:val="20"/>
              </w:rPr>
              <w:t xml:space="preserve">CMS Star Ratings </w:t>
            </w:r>
          </w:p>
        </w:tc>
      </w:tr>
    </w:tbl>
    <w:p>
      <w:pPr>
        <w:pStyle w:val="TextBody"/>
        <w:bidi w:val="0"/>
        <w:spacing w:before="240" w:after="0"/>
        <w:jc w:val="left"/>
        <w:rPr>
          <w:rFonts w:ascii="ARIAL" w:hAnsi="ARIAL"/>
          <w:sz w:val="20"/>
          <w:shd w:fill="FFFFFF" w:val="clear"/>
        </w:rPr>
      </w:pPr>
      <w:r>
        <w:rPr>
          <w:rFonts w:ascii="ARIAL" w:hAnsi="ARIAL"/>
          <w:sz w:val="20"/>
          <w:shd w:fill="FFFFFF" w:val="clear"/>
        </w:rPr>
        <w:t>As noted above, we have deemed adjusted EBITDA as the “most important” financial measure used to link our NEO’s compensation with performance and, as previously disclosed, it is being used as our company-selected measure in the pay-versus-performance table above. For more detail on these measures and why we believe that they are important in structuring our compensation programs and linking pay with performance, please see “</w:t>
      </w:r>
    </w:p>
    <w:p>
      <w:pPr>
        <w:pStyle w:val="TextBody"/>
        <w:bidi w:val="0"/>
        <w:spacing w:before="240" w:after="0"/>
        <w:jc w:val="left"/>
        <w:rPr>
          <w:rFonts w:ascii="ARIAL" w:hAnsi="ARIAL"/>
          <w:i/>
          <w:caps w:val="false"/>
          <w:smallCaps w:val="false"/>
          <w:spacing w:val="0"/>
          <w:sz w:val="20"/>
          <w:shd w:fill="FFFFFF" w:val="clear"/>
        </w:rPr>
      </w:pPr>
      <w:r>
        <w:rPr>
          <w:rFonts w:ascii="ARIAL" w:hAnsi="ARIAL"/>
          <w:i/>
          <w:caps w:val="false"/>
          <w:smallCaps w:val="false"/>
          <w:spacing w:val="0"/>
          <w:sz w:val="20"/>
          <w:shd w:fill="FFFFFF" w:val="clear"/>
        </w:rPr>
        <w:t>Compensation Discussion and Analysis</w:t>
      </w:r>
    </w:p>
    <w:p>
      <w:pPr>
        <w:pStyle w:val="TextBody"/>
        <w:bidi w:val="0"/>
        <w:spacing w:before="240" w:after="0"/>
        <w:jc w:val="left"/>
        <w:rPr>
          <w:rFonts w:ascii="ARIAL" w:hAnsi="ARIAL"/>
          <w:sz w:val="20"/>
          <w:shd w:fill="FFFFFF" w:val="clear"/>
        </w:rPr>
      </w:pPr>
      <w:r>
        <w:rPr>
          <w:rFonts w:ascii="ARIAL" w:hAnsi="ARIAL"/>
          <w:sz w:val="20"/>
          <w:shd w:fill="FFFFFF" w:val="clear"/>
        </w:rPr>
        <w:t xml:space="preserve">.” </w:t>
      </w:r>
    </w:p>
    <w:p>
      <w:pPr>
        <w:pStyle w:val="TextBody"/>
        <w:bidi w:val="0"/>
        <w:spacing w:before="240" w:after="0"/>
        <w:jc w:val="left"/>
        <w:rPr>
          <w:rFonts w:ascii="ARIAL" w:hAnsi="ARIAL"/>
          <w:b/>
          <w:i/>
          <w:caps w:val="false"/>
          <w:smallCaps w:val="false"/>
          <w:color w:val="1F497D"/>
          <w:spacing w:val="0"/>
          <w:sz w:val="20"/>
          <w:shd w:fill="FFFFFF" w:val="clear"/>
        </w:rPr>
      </w:pPr>
      <w:r>
        <w:rPr>
          <w:rFonts w:ascii="ARIAL" w:hAnsi="ARIAL"/>
          <w:b/>
          <w:i/>
          <w:caps w:val="false"/>
          <w:smallCaps w:val="false"/>
          <w:color w:val="1F497D"/>
          <w:spacing w:val="0"/>
          <w:sz w:val="20"/>
          <w:shd w:fill="FFFFFF" w:val="clear"/>
        </w:rPr>
        <w:t xml:space="preserve">Descriptions of the Information Presented in the Pay Versus Performance Table </w:t>
      </w:r>
    </w:p>
    <w:p>
      <w:pPr>
        <w:pStyle w:val="TextBody"/>
        <w:bidi w:val="0"/>
        <w:spacing w:before="120" w:after="0"/>
        <w:jc w:val="left"/>
        <w:rPr>
          <w:rFonts w:ascii="ARIAL" w:hAnsi="ARIAL"/>
          <w:sz w:val="20"/>
          <w:shd w:fill="FFFFFF" w:val="clear"/>
        </w:rPr>
      </w:pPr>
      <w:r>
        <w:rPr>
          <w:rFonts w:ascii="ARIAL" w:hAnsi="ARIAL"/>
          <w:sz w:val="20"/>
          <w:shd w:fill="FFFFFF" w:val="clear"/>
        </w:rPr>
        <w:t xml:space="preserve">The illustrations below compare CAP and the following measures: </w:t>
      </w:r>
    </w:p>
    <w:p>
      <w:pPr>
        <w:pStyle w:val="TextBody"/>
        <w:bidi w:val="0"/>
        <w:spacing w:before="0" w:after="0"/>
        <w:jc w:val="left"/>
        <w:rPr>
          <w:shd w:fill="FFFFFF" w:val="clear"/>
        </w:rPr>
      </w:pPr>
      <w:r>
        <w:rPr>
          <w:shd w:fill="FFFFFF" w:val="clear"/>
        </w:rPr>
        <w:t> </w:t>
      </w:r>
    </w:p>
    <w:tbl>
      <w:tblPr>
        <w:tblW w:w="7885" w:type="dxa"/>
        <w:jc w:val="left"/>
        <w:tblInd w:w="0" w:type="dxa"/>
        <w:tblLayout w:type="fixed"/>
        <w:tblCellMar>
          <w:top w:w="0" w:type="dxa"/>
          <w:left w:w="0" w:type="dxa"/>
          <w:bottom w:w="0" w:type="dxa"/>
          <w:right w:w="0" w:type="dxa"/>
        </w:tblCellMar>
      </w:tblPr>
      <w:tblGrid>
        <w:gridCol w:w="75"/>
        <w:gridCol w:w="110"/>
        <w:gridCol w:w="60"/>
        <w:gridCol w:w="76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0"/>
              <w:jc w:val="left"/>
              <w:rPr>
                <w:rFonts w:ascii="ARIAL" w:hAnsi="ARIAL"/>
                <w:sz w:val="20"/>
              </w:rPr>
            </w:pPr>
            <w:r>
              <w:rPr>
                <w:rFonts w:ascii="ARIAL" w:hAnsi="ARIAL"/>
                <w:sz w:val="20"/>
              </w:rPr>
              <w:t xml:space="preserve">the Company’s cumulative TSR and the NASDAQ Healthcare Index’s cumulative TSR; </w:t>
            </w:r>
          </w:p>
        </w:tc>
      </w:tr>
    </w:tbl>
    <w:p>
      <w:pPr>
        <w:pStyle w:val="TextBody"/>
        <w:bidi w:val="0"/>
        <w:spacing w:before="0" w:after="0"/>
        <w:jc w:val="left"/>
        <w:rPr>
          <w:shd w:fill="FFFFFF" w:val="clear"/>
        </w:rPr>
      </w:pPr>
      <w:r>
        <w:rPr>
          <w:shd w:fill="FFFFFF" w:val="clear"/>
        </w:rPr>
        <w:t> </w:t>
      </w:r>
    </w:p>
    <w:tbl>
      <w:tblPr>
        <w:tblW w:w="3145" w:type="dxa"/>
        <w:jc w:val="left"/>
        <w:tblInd w:w="0" w:type="dxa"/>
        <w:tblLayout w:type="fixed"/>
        <w:tblCellMar>
          <w:top w:w="0" w:type="dxa"/>
          <w:left w:w="0" w:type="dxa"/>
          <w:bottom w:w="0" w:type="dxa"/>
          <w:right w:w="0" w:type="dxa"/>
        </w:tblCellMar>
      </w:tblPr>
      <w:tblGrid>
        <w:gridCol w:w="75"/>
        <w:gridCol w:w="110"/>
        <w:gridCol w:w="60"/>
        <w:gridCol w:w="2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0"/>
              <w:jc w:val="left"/>
              <w:rPr>
                <w:rFonts w:ascii="ARIAL" w:hAnsi="ARIAL"/>
                <w:sz w:val="20"/>
              </w:rPr>
            </w:pPr>
            <w:r>
              <w:rPr>
                <w:rFonts w:ascii="ARIAL" w:hAnsi="ARIAL"/>
                <w:sz w:val="20"/>
              </w:rPr>
              <w:t xml:space="preserve">the Company’s Net Income; and </w:t>
            </w:r>
          </w:p>
        </w:tc>
      </w:tr>
    </w:tbl>
    <w:p>
      <w:pPr>
        <w:pStyle w:val="TextBody"/>
        <w:bidi w:val="0"/>
        <w:spacing w:before="0" w:after="0"/>
        <w:jc w:val="left"/>
        <w:rPr>
          <w:shd w:fill="FFFFFF" w:val="clear"/>
        </w:rPr>
      </w:pPr>
      <w:r>
        <w:rPr>
          <w:shd w:fill="FFFFFF" w:val="clear"/>
        </w:rPr>
        <w:t> </w:t>
      </w:r>
    </w:p>
    <w:tbl>
      <w:tblPr>
        <w:tblW w:w="3310" w:type="dxa"/>
        <w:jc w:val="left"/>
        <w:tblInd w:w="0" w:type="dxa"/>
        <w:tblLayout w:type="fixed"/>
        <w:tblCellMar>
          <w:top w:w="0" w:type="dxa"/>
          <w:left w:w="0" w:type="dxa"/>
          <w:bottom w:w="0" w:type="dxa"/>
          <w:right w:w="0" w:type="dxa"/>
        </w:tblCellMar>
      </w:tblPr>
      <w:tblGrid>
        <w:gridCol w:w="75"/>
        <w:gridCol w:w="110"/>
        <w:gridCol w:w="60"/>
        <w:gridCol w:w="3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rFonts w:ascii="ARIAL" w:hAnsi="ARIAL"/>
                <w:sz w:val="20"/>
              </w:rPr>
            </w:pPr>
            <w:r>
              <w:rPr>
                <w:rFonts w:ascii="ARIAL" w:hAnsi="ARIAL"/>
                <w:sz w:val="20"/>
              </w:rPr>
              <w:t xml:space="preserve">the Company’s Adjusted EBITDA.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ARIAL" w:hAnsi="ARIAL"/>
          <w:sz w:val="20"/>
          <w:shd w:fill="FFFFFF" w:val="clear"/>
        </w:rPr>
      </w:pPr>
      <w:r>
        <w:rPr>
          <w:rFonts w:ascii="ARIAL" w:hAnsi="ARIAL"/>
          <w:sz w:val="20"/>
          <w:shd w:fill="FFFFFF" w:val="clear"/>
        </w:rPr>
        <w:t xml:space="preserve">70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shd w:fill="FFFFFF" w:val="clear"/>
        </w:rPr>
      </w:pPr>
      <w:r>
        <w:rPr>
          <w:shd w:fill="FFFFFF" w:val="clear"/>
        </w:rPr>
        <w:drawing>
          <wp:inline distT="0" distB="0" distL="0" distR="0">
            <wp:extent cx="4581525" cy="29718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4581525" cy="2971800"/>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4752975" cy="30765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4752975" cy="307657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ARIAL" w:hAnsi="ARIAL"/>
          <w:sz w:val="20"/>
          <w:shd w:fill="FFFFFF" w:val="clear"/>
        </w:rPr>
      </w:pPr>
      <w:r>
        <w:rPr>
          <w:rFonts w:ascii="ARIAL" w:hAnsi="ARIAL"/>
          <w:sz w:val="20"/>
          <w:shd w:fill="FFFFFF" w:val="clear"/>
        </w:rPr>
        <w:t xml:space="preserve">71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center"/>
        <w:rPr>
          <w:shd w:fill="FFFFFF" w:val="clear"/>
        </w:rPr>
      </w:pPr>
      <w:r>
        <w:rPr>
          <w:shd w:fill="FFFFFF" w:val="clear"/>
        </w:rPr>
        <w:drawing>
          <wp:inline distT="0" distB="0" distL="0" distR="0">
            <wp:extent cx="4810125" cy="3190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4810125" cy="3190875"/>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p>
      <w:pPr>
        <w:pStyle w:val="TextBody"/>
        <w:bidi w:val="0"/>
        <w:jc w:val="center"/>
        <w:rPr>
          <w:rFonts w:ascii="ARIAL" w:hAnsi="ARIAL"/>
          <w:sz w:val="20"/>
          <w:shd w:fill="FFFFFF" w:val="clear"/>
        </w:rPr>
      </w:pPr>
      <w:r>
        <w:rPr>
          <w:rFonts w:ascii="ARIAL" w:hAnsi="ARIAL"/>
          <w:sz w:val="20"/>
          <w:shd w:fill="FFFFFF" w:val="clear"/>
        </w:rPr>
        <w:t xml:space="preserve">72 </w:t>
      </w:r>
      <w:r>
        <w:br w:type="page"/>
      </w:r>
    </w:p>
    <w:p>
      <w:pPr>
        <w:pStyle w:val="HorizontalLine"/>
        <w:bidi w:val="0"/>
        <w:jc w:val="left"/>
        <w:rPr/>
      </w:pPr>
      <w:r>
        <w:rPr/>
      </w:r>
    </w:p>
    <w:p>
      <w:pPr>
        <w:pStyle w:val="TextBody"/>
        <w:bidi w:val="0"/>
        <w:spacing w:before="0" w:after="0"/>
        <w:jc w:val="left"/>
        <w:rPr>
          <w:rFonts w:ascii="ARIAL" w:hAnsi="ARIAL"/>
          <w:b/>
          <w:color w:val="1F497D"/>
          <w:sz w:val="20"/>
        </w:rPr>
      </w:pPr>
      <w:bookmarkStart w:id="34" w:name="txa496243_33"/>
      <w:bookmarkEnd w:id="34"/>
      <w:r>
        <w:rPr>
          <w:rFonts w:ascii="ARIAL" w:hAnsi="ARIAL"/>
          <w:b/>
          <w:color w:val="1F497D"/>
          <w:sz w:val="20"/>
        </w:rPr>
        <w:t xml:space="preserve">CEO Pay Ratio </w:t>
      </w:r>
    </w:p>
    <w:p>
      <w:pPr>
        <w:pStyle w:val="TextBody"/>
        <w:bidi w:val="0"/>
        <w:spacing w:before="240" w:after="0"/>
        <w:jc w:val="left"/>
        <w:rPr>
          <w:rFonts w:ascii="ARIAL" w:hAnsi="ARIAL"/>
          <w:sz w:val="20"/>
        </w:rPr>
      </w:pPr>
      <w:r>
        <w:rPr>
          <w:rFonts w:ascii="ARIAL" w:hAnsi="ARIAL"/>
          <w:sz w:val="20"/>
        </w:rPr>
        <w:t xml:space="preserve">As required by Section 953(b) of the Dodd-Frank Wall Street Reform and Consumer Protection Act, we are providing the following information about the relationship between the annual total compensation of our median employee and the annual total compensation of our CEO. </w:t>
      </w:r>
    </w:p>
    <w:p>
      <w:pPr>
        <w:pStyle w:val="TextBody"/>
        <w:bidi w:val="0"/>
        <w:spacing w:before="240" w:after="0"/>
        <w:jc w:val="left"/>
        <w:rPr>
          <w:rFonts w:ascii="ARIAL" w:hAnsi="ARIAL"/>
          <w:sz w:val="20"/>
        </w:rPr>
      </w:pPr>
      <w:r>
        <w:rPr>
          <w:rFonts w:ascii="ARIAL" w:hAnsi="ARIAL"/>
          <w:sz w:val="20"/>
        </w:rPr>
        <w:t>Our compensation philosophy is designed to attract and retain high-quality talent and provide total compensation opportunities that support our pay-for-performance objectives. Compensation varies for employees by position and geographic location based on competitive market factors. Our associates’ total compensation may include base pay, incentive pay, overtime and other supplemental pay. We regularly review associate compensation for both internal pay equity and competitiveness within the health care industry. With respect to our CEO and other Named Executive Officers, the Compensation Committee has selected a compensation package composed in large part of variable and at-risk compensation, which the committee believes will appropriately incentivize retention and performance. For more information, please see the “</w:t>
      </w:r>
      <w:r>
        <w:rPr>
          <w:rFonts w:ascii="ARIAL" w:hAnsi="ARIAL"/>
          <w:i/>
          <w:sz w:val="20"/>
        </w:rPr>
        <w:t>Compensation Discussion and Analysis</w:t>
      </w:r>
      <w:r>
        <w:rPr>
          <w:rFonts w:ascii="ARIAL" w:hAnsi="ARIAL"/>
          <w:sz w:val="20"/>
        </w:rPr>
        <w:t xml:space="preserve">” section of this proxy statement. </w:t>
      </w:r>
    </w:p>
    <w:p>
      <w:pPr>
        <w:pStyle w:val="TextBody"/>
        <w:bidi w:val="0"/>
        <w:spacing w:before="240" w:after="0"/>
        <w:jc w:val="left"/>
        <w:rPr>
          <w:rFonts w:ascii="ARIAL" w:hAnsi="ARIAL"/>
          <w:sz w:val="20"/>
        </w:rPr>
      </w:pPr>
      <w:r>
        <w:rPr>
          <w:rFonts w:ascii="ARIAL" w:hAnsi="ARIAL"/>
          <w:sz w:val="20"/>
        </w:rPr>
        <w:t>For 2023, our CEO pay ratio was 216:1. This ratio was calculated in compliance with the requirements set forth in Item 402(u) of Regulation S-K using the amount of our CEO’s compensation reported in the “</w:t>
      </w:r>
      <w:r>
        <w:rPr>
          <w:rFonts w:ascii="ARIAL" w:hAnsi="ARIAL"/>
          <w:i/>
          <w:sz w:val="20"/>
        </w:rPr>
        <w:t>Summary Compensation Table</w:t>
      </w:r>
      <w:r>
        <w:rPr>
          <w:rFonts w:ascii="ARIAL" w:hAnsi="ARIAL"/>
          <w:sz w:val="20"/>
        </w:rPr>
        <w:t>” for 2023, which is $14,296,476. However, the required compensation measure used for our Chief Executive Officer and included in the pay ratio does not represent his expected normal annual compensation. In September 2023, in order to recognize our recent strong financial performance and to support our talent retention objectives, certain senior employees, including our NEOs, received a performance-based equity incentive award in the form of PSUs. For our CEO, this award represented approximately 80% of his total annual compensation for 2023. For more information, see “</w:t>
      </w:r>
      <w:r>
        <w:rPr>
          <w:rFonts w:ascii="ARIAL" w:hAnsi="ARIAL"/>
          <w:i/>
          <w:sz w:val="20"/>
        </w:rPr>
        <w:t>Compensation Discussion and Analysis—2023 Executive Compensation Program in Detail—Long-Term Equity Incentives—2023 Equity Awards</w:t>
      </w:r>
      <w:r>
        <w:rPr>
          <w:rFonts w:ascii="ARIAL" w:hAnsi="ARIAL"/>
          <w:sz w:val="20"/>
        </w:rPr>
        <w:t xml:space="preserve">.” Solely for informational purposes, if the pay ratio were calculated based on the CEO’s normal annual compensation during 2023 (i.e., after deducting the value of the performance share units), the pay ratio of our CEO to our median employee would be 27:1. </w:t>
      </w:r>
    </w:p>
    <w:p>
      <w:pPr>
        <w:pStyle w:val="TextBody"/>
        <w:bidi w:val="0"/>
        <w:spacing w:before="240" w:after="0"/>
        <w:jc w:val="left"/>
        <w:rPr>
          <w:rFonts w:ascii="ARIAL" w:hAnsi="ARIAL"/>
          <w:sz w:val="20"/>
        </w:rPr>
      </w:pPr>
      <w:r>
        <w:rPr>
          <w:rFonts w:ascii="ARIAL" w:hAnsi="ARIAL"/>
          <w:sz w:val="20"/>
        </w:rPr>
        <w:t xml:space="preserve">Outlined below is the process that was applied for identifying our median associate for our comparative compensation analysis of the median associate to our CEO: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20"/>
              </w:rPr>
            </w:pPr>
            <w:r>
              <w:rPr>
                <w:rFonts w:ascii="ARIAL" w:hAnsi="ARIAL"/>
                <w:sz w:val="20"/>
              </w:rPr>
              <w:t xml:space="preserve">We identified the median associate using 1,583 global full-time, part-time, temporary and seasonal associates employed as of December 31, 2023; </w:t>
            </w:r>
          </w:p>
        </w:tc>
      </w:tr>
    </w:tbl>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75"/>
        <w:gridCol w:w="170"/>
        <w:gridCol w:w="60"/>
        <w:gridCol w:w="84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0"/>
              <w:jc w:val="left"/>
              <w:rPr>
                <w:rFonts w:ascii="ARIAL" w:hAnsi="ARIAL"/>
                <w:sz w:val="20"/>
              </w:rPr>
            </w:pPr>
            <w:r>
              <w:rPr>
                <w:rFonts w:ascii="ARIAL" w:hAnsi="ARIAL"/>
                <w:sz w:val="20"/>
              </w:rPr>
              <w:t xml:space="preserve">We consistently applied 2023 W-2 earnings as compensation measure for the median associate;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20"/>
              </w:rPr>
            </w:pPr>
            <w:r>
              <w:rPr>
                <w:rFonts w:ascii="ARIAL" w:hAnsi="ARIAL"/>
                <w:sz w:val="20"/>
              </w:rPr>
              <w:t xml:space="preserve">We then calculated the median associate’s compensation in the same manner as the Named Executive Officers in the Summary Compensation Table in this proxy statement;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20"/>
              </w:rPr>
            </w:pPr>
            <w:r>
              <w:rPr>
                <w:rFonts w:ascii="ARIAL" w:hAnsi="ARIAL"/>
                <w:sz w:val="20"/>
              </w:rPr>
              <w:t xml:space="preserve">Applying this methodology, our median associate’s total compensation was $66,320, which consists of base salary;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20"/>
              </w:rPr>
            </w:pPr>
            <w:r>
              <w:rPr>
                <w:rFonts w:ascii="ARIAL" w:hAnsi="ARIAL"/>
                <w:sz w:val="20"/>
              </w:rPr>
              <w:t>With respect to the annual total compensation of our CEO, we used the amount reported in the “Total” column of the “</w:t>
            </w:r>
            <w:r>
              <w:rPr>
                <w:rFonts w:ascii="ARIAL" w:hAnsi="ARIAL"/>
                <w:i/>
                <w:sz w:val="20"/>
              </w:rPr>
              <w:t>Summary Compensation Table</w:t>
            </w:r>
            <w:r>
              <w:rPr>
                <w:rFonts w:ascii="ARIAL" w:hAnsi="ARIAL"/>
                <w:sz w:val="20"/>
              </w:rPr>
              <w:t xml:space="preserve">” for 2023 on page 55.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73 </w:t>
      </w:r>
      <w:r>
        <w:br w:type="page"/>
      </w:r>
    </w:p>
    <w:p>
      <w:pPr>
        <w:pStyle w:val="HorizontalLine"/>
        <w:bidi w:val="0"/>
        <w:jc w:val="left"/>
        <w:rPr/>
      </w:pPr>
      <w:r>
        <w:rPr/>
      </w:r>
    </w:p>
    <w:p>
      <w:pPr>
        <w:pStyle w:val="TextBody"/>
        <w:bidi w:val="0"/>
        <w:spacing w:before="0" w:after="0"/>
        <w:jc w:val="center"/>
        <w:rPr>
          <w:rFonts w:ascii="ARIAL" w:hAnsi="ARIAL"/>
          <w:b/>
          <w:sz w:val="20"/>
        </w:rPr>
      </w:pPr>
      <w:bookmarkStart w:id="35" w:name="txa496243_34"/>
      <w:bookmarkEnd w:id="35"/>
      <w:r>
        <w:rPr>
          <w:rFonts w:ascii="ARIAL" w:hAnsi="ARIAL"/>
          <w:b/>
          <w:sz w:val="20"/>
        </w:rPr>
        <w:t xml:space="preserve">CERTAIN RELATIONSHIPS AND RELATED PARTY TRANSACTIONS </w:t>
      </w:r>
    </w:p>
    <w:p>
      <w:pPr>
        <w:pStyle w:val="TextBody"/>
        <w:bidi w:val="0"/>
        <w:spacing w:before="240" w:after="0"/>
        <w:jc w:val="left"/>
        <w:rPr>
          <w:rFonts w:ascii="ARIAL" w:hAnsi="ARIAL"/>
          <w:sz w:val="20"/>
        </w:rPr>
      </w:pPr>
      <w:r>
        <w:rPr>
          <w:rFonts w:ascii="ARIAL" w:hAnsi="ARIAL"/>
          <w:sz w:val="20"/>
        </w:rPr>
        <w:t xml:space="preserve">Under our Related Party Transactions Policy, our Audit Committee is responsible for reviewing and approving related person transactions. In the course of its review and approval of related party transactions, our Audit Committee will consider the relevant facts and circumstances to decide whether to approve such transactions. In particular, our policy requires our Audit Committee to consider, among other factors it deems appropriate: </w:t>
      </w:r>
    </w:p>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75"/>
        <w:gridCol w:w="110"/>
        <w:gridCol w:w="60"/>
        <w:gridCol w:w="6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0"/>
              <w:jc w:val="left"/>
              <w:rPr>
                <w:rFonts w:ascii="ARIAL" w:hAnsi="ARIAL"/>
                <w:sz w:val="20"/>
              </w:rPr>
            </w:pPr>
            <w:r>
              <w:rPr>
                <w:rFonts w:ascii="ARIAL" w:hAnsi="ARIAL"/>
                <w:sz w:val="20"/>
              </w:rPr>
              <w:t xml:space="preserve">the related person’s relationship to us and interest in the transaction; </w:t>
            </w:r>
          </w:p>
        </w:tc>
      </w:tr>
    </w:tbl>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75"/>
        <w:gridCol w:w="110"/>
        <w:gridCol w:w="60"/>
        <w:gridCol w:w="9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rFonts w:ascii="ARIAL" w:hAnsi="ARIAL"/>
                <w:sz w:val="20"/>
              </w:rPr>
            </w:pPr>
            <w:r>
              <w:rPr>
                <w:rFonts w:ascii="ARIAL" w:hAnsi="ARIAL"/>
                <w:sz w:val="20"/>
              </w:rPr>
              <w:t xml:space="preserve">the material facts of the proposed transaction, including the proposed aggregate value of the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the impact on a director’s independence in the event the related person is a director or an immediate family member of the director; </w:t>
            </w:r>
          </w:p>
        </w:tc>
      </w:tr>
    </w:tbl>
    <w:p>
      <w:pPr>
        <w:pStyle w:val="TextBody"/>
        <w:bidi w:val="0"/>
        <w:spacing w:before="0" w:after="0"/>
        <w:jc w:val="left"/>
        <w:rPr/>
      </w:pPr>
      <w:r>
        <w:rPr/>
        <w:t> </w:t>
      </w:r>
    </w:p>
    <w:tbl>
      <w:tblPr>
        <w:tblW w:w="4345" w:type="dxa"/>
        <w:jc w:val="left"/>
        <w:tblInd w:w="0" w:type="dxa"/>
        <w:tblLayout w:type="fixed"/>
        <w:tblCellMar>
          <w:top w:w="0" w:type="dxa"/>
          <w:left w:w="0" w:type="dxa"/>
          <w:bottom w:w="0" w:type="dxa"/>
          <w:right w:w="0" w:type="dxa"/>
        </w:tblCellMar>
      </w:tblPr>
      <w:tblGrid>
        <w:gridCol w:w="75"/>
        <w:gridCol w:w="110"/>
        <w:gridCol w:w="60"/>
        <w:gridCol w:w="4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0"/>
              <w:jc w:val="left"/>
              <w:rPr>
                <w:rFonts w:ascii="ARIAL" w:hAnsi="ARIAL"/>
                <w:sz w:val="20"/>
              </w:rPr>
            </w:pPr>
            <w:r>
              <w:rPr>
                <w:rFonts w:ascii="ARIAL" w:hAnsi="ARIAL"/>
                <w:sz w:val="20"/>
              </w:rPr>
              <w:t xml:space="preserve">the benefits to us of the proposed transaction; </w:t>
            </w:r>
          </w:p>
        </w:tc>
      </w:tr>
    </w:tbl>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75"/>
        <w:gridCol w:w="110"/>
        <w:gridCol w:w="60"/>
        <w:gridCol w:w="7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0"/>
              <w:jc w:val="left"/>
              <w:rPr>
                <w:rFonts w:ascii="ARIAL" w:hAnsi="ARIAL"/>
                <w:sz w:val="20"/>
              </w:rPr>
            </w:pPr>
            <w:r>
              <w:rPr>
                <w:rFonts w:ascii="ARIAL" w:hAnsi="ARIAL"/>
                <w:sz w:val="20"/>
              </w:rPr>
              <w:t xml:space="preserve">if applicable, the availability of other sources of comparable products or services;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an assessment of whether the proposed transaction is on terms that are comparable to the terms available to an unrelated third party or to employees generally. </w:t>
            </w:r>
          </w:p>
        </w:tc>
      </w:tr>
    </w:tbl>
    <w:p>
      <w:pPr>
        <w:pStyle w:val="TextBody"/>
        <w:bidi w:val="0"/>
        <w:spacing w:before="240" w:after="0"/>
        <w:jc w:val="left"/>
        <w:rPr>
          <w:rFonts w:ascii="ARIAL" w:hAnsi="ARIAL"/>
          <w:sz w:val="20"/>
        </w:rPr>
      </w:pPr>
      <w:r>
        <w:rPr>
          <w:rFonts w:ascii="ARIAL" w:hAnsi="ARIAL"/>
          <w:sz w:val="20"/>
        </w:rPr>
        <w:t xml:space="preserve">The Audit Committee may only approve those transactions that are in, or are not inconsistent with, our best interests and those of our stockholders, as the Audit Committee determines in good faith. </w:t>
      </w:r>
    </w:p>
    <w:p>
      <w:pPr>
        <w:pStyle w:val="TextBody"/>
        <w:bidi w:val="0"/>
        <w:spacing w:before="240" w:after="0"/>
        <w:jc w:val="left"/>
        <w:rPr>
          <w:rFonts w:ascii="ARIAL" w:hAnsi="ARIAL"/>
          <w:sz w:val="20"/>
        </w:rPr>
      </w:pPr>
      <w:r>
        <w:rPr>
          <w:rFonts w:ascii="ARIAL" w:hAnsi="ARIAL"/>
          <w:sz w:val="20"/>
        </w:rPr>
        <w:t xml:space="preserve">In addition, under our Code of Conduct, our employees and directors have an affirmative responsibility to disclose any transaction or relationship that reasonably could be expected to give rise to a conflict of interest. </w:t>
      </w:r>
    </w:p>
    <w:p>
      <w:pPr>
        <w:pStyle w:val="TextBody"/>
        <w:bidi w:val="0"/>
        <w:spacing w:before="240" w:after="0"/>
        <w:jc w:val="left"/>
        <w:rPr>
          <w:rFonts w:ascii="ARIAL" w:hAnsi="ARIAL"/>
          <w:sz w:val="20"/>
        </w:rPr>
      </w:pPr>
      <w:r>
        <w:rPr>
          <w:rFonts w:ascii="ARIAL" w:hAnsi="ARIAL"/>
          <w:sz w:val="20"/>
        </w:rPr>
        <w:t xml:space="preserve">With respect to the transactions described below that were entered into prior to the adoption of the Company’s written Related Party Transactions Policy, all were approved by our Board considering similar factors to those described above. </w:t>
      </w:r>
    </w:p>
    <w:p>
      <w:pPr>
        <w:pStyle w:val="TextBody"/>
        <w:bidi w:val="0"/>
        <w:spacing w:before="240" w:after="0"/>
        <w:jc w:val="left"/>
        <w:rPr>
          <w:rFonts w:ascii="ARIAL" w:hAnsi="ARIAL"/>
          <w:b/>
          <w:color w:val="1F497D"/>
          <w:sz w:val="20"/>
        </w:rPr>
      </w:pPr>
      <w:r>
        <w:rPr>
          <w:rFonts w:ascii="ARIAL" w:hAnsi="ARIAL"/>
          <w:b/>
          <w:color w:val="1F497D"/>
          <w:sz w:val="20"/>
        </w:rPr>
        <w:t xml:space="preserve">Related-Party Transactions </w:t>
      </w:r>
    </w:p>
    <w:p>
      <w:pPr>
        <w:pStyle w:val="TextBody"/>
        <w:bidi w:val="0"/>
        <w:spacing w:before="240" w:after="0"/>
        <w:jc w:val="left"/>
        <w:rPr>
          <w:rFonts w:ascii="ARIAL" w:hAnsi="ARIAL"/>
          <w:sz w:val="20"/>
        </w:rPr>
      </w:pPr>
      <w:r>
        <w:rPr>
          <w:rFonts w:ascii="ARIAL" w:hAnsi="ARIAL"/>
          <w:sz w:val="20"/>
        </w:rPr>
        <w:t>Other than compensation arrangements for our directors and named executive officers, which are described in the sections of this proxy statement titled “</w:t>
      </w:r>
      <w:r>
        <w:rPr>
          <w:rFonts w:ascii="ARIAL" w:hAnsi="ARIAL"/>
          <w:i/>
          <w:sz w:val="20"/>
        </w:rPr>
        <w:t>Compensation Discussion and Analysis</w:t>
      </w:r>
      <w:r>
        <w:rPr>
          <w:rFonts w:ascii="ARIAL" w:hAnsi="ARIAL"/>
          <w:sz w:val="20"/>
        </w:rPr>
        <w:t>” and “</w:t>
      </w:r>
      <w:r>
        <w:rPr>
          <w:rFonts w:ascii="ARIAL" w:hAnsi="ARIAL"/>
          <w:i/>
          <w:sz w:val="20"/>
        </w:rPr>
        <w:t>Executive and Director Compensation</w:t>
      </w:r>
      <w:r>
        <w:rPr>
          <w:rFonts w:ascii="ARIAL" w:hAnsi="ARIAL"/>
          <w:sz w:val="20"/>
        </w:rPr>
        <w:t xml:space="preserve">,” below we describe transactions since January 1, 2023 to which we were a participant or will be a participant, in which: </w:t>
      </w:r>
    </w:p>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ARIAL" w:hAnsi="ARIAL"/>
                <w:sz w:val="20"/>
              </w:rPr>
            </w:pPr>
            <w:r>
              <w:rPr>
                <w:rFonts w:ascii="ARIAL" w:hAnsi="ARIAL"/>
                <w:sz w:val="20"/>
              </w:rPr>
              <w:t xml:space="preserve">the amounts involved exceeded or will exceed $120,000;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any of our directors, executive officers, or holders of more than 5% of our capital stock, or any member of the immediate family of, or person sharing the household with, the foregoing persons, had or will have a direct or indirect material interest. </w:t>
            </w:r>
          </w:p>
        </w:tc>
      </w:tr>
    </w:tbl>
    <w:p>
      <w:pPr>
        <w:pStyle w:val="TextBody"/>
        <w:bidi w:val="0"/>
        <w:spacing w:before="240" w:after="0"/>
        <w:jc w:val="left"/>
        <w:rPr>
          <w:rFonts w:ascii="ARIAL" w:hAnsi="ARIAL"/>
          <w:b/>
          <w:i/>
          <w:color w:val="1F497D"/>
          <w:sz w:val="20"/>
        </w:rPr>
      </w:pPr>
      <w:r>
        <w:rPr>
          <w:rFonts w:ascii="ARIAL" w:hAnsi="ARIAL"/>
          <w:b/>
          <w:i/>
          <w:color w:val="1F497D"/>
          <w:sz w:val="20"/>
        </w:rPr>
        <w:t xml:space="preserve">Stockholders Agreement </w:t>
      </w:r>
    </w:p>
    <w:p>
      <w:pPr>
        <w:pStyle w:val="TextBody"/>
        <w:bidi w:val="0"/>
        <w:spacing w:before="240" w:after="0"/>
        <w:jc w:val="left"/>
        <w:rPr>
          <w:rFonts w:ascii="ARIAL" w:hAnsi="ARIAL"/>
          <w:sz w:val="20"/>
        </w:rPr>
      </w:pPr>
      <w:r>
        <w:rPr>
          <w:rFonts w:ascii="ARIAL" w:hAnsi="ARIAL"/>
          <w:sz w:val="20"/>
        </w:rPr>
        <w:t xml:space="preserve">We are party to a Stockholders Agreement, dated as of March 30, 2021, with the Lead Sponsors that provides each the right to designate nominees for election to our Board. The Lead Sponsors may also assign their designation rights under the Stockholders Agreement to an affiliate. </w:t>
      </w:r>
    </w:p>
    <w:p>
      <w:pPr>
        <w:pStyle w:val="TextBody"/>
        <w:bidi w:val="0"/>
        <w:spacing w:before="240" w:after="0"/>
        <w:jc w:val="left"/>
        <w:rPr>
          <w:rFonts w:ascii="ARIAL" w:hAnsi="ARIAL"/>
          <w:sz w:val="20"/>
        </w:rPr>
      </w:pPr>
      <w:r>
        <w:rPr>
          <w:rFonts w:ascii="ARIAL" w:hAnsi="ARIAL"/>
          <w:sz w:val="20"/>
        </w:rPr>
        <w:t xml:space="preserve">The Stockholders Agreement provides (x) General Atlantic the right to designate: (i) four of the nominees for election to our Board for so long as General Atlantic beneficially owns over 35% of our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74 </w:t>
      </w:r>
      <w:r>
        <w:br w:type="page"/>
      </w:r>
    </w:p>
    <w:p>
      <w:pPr>
        <w:pStyle w:val="HorizontalLine"/>
        <w:bidi w:val="0"/>
        <w:jc w:val="left"/>
        <w:rPr/>
      </w:pPr>
      <w:r>
        <w:rPr/>
      </w:r>
    </w:p>
    <w:p>
      <w:pPr>
        <w:pStyle w:val="TextBody"/>
        <w:bidi w:val="0"/>
        <w:spacing w:before="0" w:after="0"/>
        <w:jc w:val="left"/>
        <w:rPr>
          <w:rFonts w:ascii="ARIAL" w:hAnsi="ARIAL"/>
          <w:sz w:val="20"/>
        </w:rPr>
      </w:pPr>
      <w:r>
        <w:rPr>
          <w:rFonts w:ascii="ARIAL" w:hAnsi="ARIAL"/>
          <w:sz w:val="20"/>
        </w:rPr>
        <w:t xml:space="preserve">common stock then outstanding; (ii) three of the nominees for election to our Board for so long as General Atlantic beneficially owns over 25% but less than or equal to 35% of our common stock then outstanding; (iii) two of the nominees for election to our Board for so long as General Atlantic beneficially owns over 15% but less than or equal to 25% of our common stock then outstanding; and (iv) one of the nominees for election to our Board for so long as General Atlantic beneficially owns at least 5% but less than or equal to 15% of our common stock then outstanding and (y) Warburg Pincus the right to designate one of the nominees for election to our Board for so long as Warburg Pincus beneficially owns at least 5% of our common stock then outstanding. In each case, the Lead Sponsors’ nominees must comply with applicable law and stock exchange rules. </w:t>
      </w:r>
    </w:p>
    <w:p>
      <w:pPr>
        <w:pStyle w:val="TextBody"/>
        <w:bidi w:val="0"/>
        <w:spacing w:before="240" w:after="0"/>
        <w:jc w:val="left"/>
        <w:rPr>
          <w:rFonts w:ascii="ARIAL" w:hAnsi="ARIAL"/>
          <w:sz w:val="20"/>
        </w:rPr>
      </w:pPr>
      <w:r>
        <w:rPr>
          <w:rFonts w:ascii="ARIAL" w:hAnsi="ARIAL"/>
          <w:sz w:val="20"/>
        </w:rPr>
        <w:t xml:space="preserve">Until such time as a Lead Sponsor ceases to beneficially own at least 10% of our common stock then outstanding, such Lead Sponsor will have the right to designate at least one member of each committee of the Board; provided, that any such designee shall be a director and shall be eligible to serve on the applicable committee under applicable law or stock exchange listing standards, including any applicable independence requirements. The Stockholders Agreement also provides that until such time as General Atlantic ceases to beneficially own at least 15% of our common stock then outstanding, General Atlantic may select the chairperson of the Compensation Committee of the Board from among the directors then in office. In addition, the Lead Sponsors are entitled to designate the replacement for any of their board designees whose board service terminates prior to the end of the director’s term regardless of the applicable Lead Sponsor’s beneficial ownership at such time. </w:t>
      </w:r>
    </w:p>
    <w:p>
      <w:pPr>
        <w:pStyle w:val="TextBody"/>
        <w:bidi w:val="0"/>
        <w:spacing w:before="240" w:after="0"/>
        <w:jc w:val="left"/>
        <w:rPr>
          <w:rFonts w:ascii="ARIAL" w:hAnsi="ARIAL"/>
          <w:sz w:val="20"/>
        </w:rPr>
      </w:pPr>
      <w:r>
        <w:rPr>
          <w:rFonts w:ascii="ARIAL" w:hAnsi="ARIAL"/>
          <w:sz w:val="20"/>
        </w:rPr>
        <w:t xml:space="preserve">Additionally, as long as General Atlantic holds at least 25% of our common stock then outstanding, the prior written consent of General Atlantic will be required prior to taking the following actions: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6"/>
        <w:gridCol w:w="9874"/>
      </w:tblGrid>
      <w:tr>
        <w:trPr/>
        <w:tc>
          <w:tcPr>
            <w:tcW w:w="75"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(a)</w:t>
            </w:r>
          </w:p>
        </w:tc>
        <w:tc>
          <w:tcPr>
            <w:tcW w:w="9874" w:type="dxa"/>
            <w:tcBorders/>
            <w:vAlign w:val="center"/>
          </w:tcPr>
          <w:p>
            <w:pPr>
              <w:pStyle w:val="TableContents"/>
              <w:bidi w:val="0"/>
              <w:spacing w:before="0" w:after="0"/>
              <w:jc w:val="left"/>
              <w:rPr>
                <w:rFonts w:ascii="ARIAL" w:hAnsi="ARIAL"/>
                <w:sz w:val="20"/>
              </w:rPr>
            </w:pPr>
            <w:r>
              <w:rPr>
                <w:rFonts w:ascii="ARIAL" w:hAnsi="ARIAL"/>
                <w:sz w:val="20"/>
              </w:rPr>
              <w:t xml:space="preserve">any acquisition or disposition where aggregate consideration is greater than $200,000,000 in a single transaction or series of related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3"/>
        <w:gridCol w:w="9867"/>
      </w:tblGrid>
      <w:tr>
        <w:trPr/>
        <w:tc>
          <w:tcPr>
            <w:tcW w:w="7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(b)</w:t>
            </w:r>
          </w:p>
        </w:tc>
        <w:tc>
          <w:tcPr>
            <w:tcW w:w="9867" w:type="dxa"/>
            <w:tcBorders/>
            <w:vAlign w:val="center"/>
          </w:tcPr>
          <w:p>
            <w:pPr>
              <w:pStyle w:val="TableContents"/>
              <w:bidi w:val="0"/>
              <w:spacing w:before="0" w:after="0"/>
              <w:jc w:val="left"/>
              <w:rPr>
                <w:rFonts w:ascii="ARIAL" w:hAnsi="ARIAL"/>
                <w:sz w:val="20"/>
              </w:rPr>
            </w:pPr>
            <w:r>
              <w:rPr>
                <w:rFonts w:ascii="ARIAL" w:hAnsi="ARIAL"/>
                <w:sz w:val="20"/>
              </w:rPr>
              <w:t xml:space="preserve">any transaction in which any person or group acquires more than 50% of our then outstanding capital stock or the power to elect a majority of the members of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(c)</w:t>
            </w:r>
          </w:p>
        </w:tc>
        <w:tc>
          <w:tcPr>
            <w:tcW w:w="9898" w:type="dxa"/>
            <w:tcBorders/>
            <w:vAlign w:val="center"/>
          </w:tcPr>
          <w:p>
            <w:pPr>
              <w:pStyle w:val="TableContents"/>
              <w:bidi w:val="0"/>
              <w:spacing w:before="0" w:after="0"/>
              <w:jc w:val="left"/>
              <w:rPr>
                <w:rFonts w:ascii="ARIAL" w:hAnsi="ARIAL"/>
                <w:sz w:val="20"/>
              </w:rPr>
            </w:pPr>
            <w:r>
              <w:rPr>
                <w:rFonts w:ascii="ARIAL" w:hAnsi="ARIAL"/>
                <w:sz w:val="20"/>
              </w:rPr>
              <w:t xml:space="preserve">any incurrence or refinancing of indebtedness of the Company and our subsidiaries to the extent such incurrence or refinancing would result in the Company and our Subsidiaries having indebtedness in excess of $250,000,000 in the aggregate; </w:t>
            </w:r>
          </w:p>
        </w:tc>
      </w:tr>
    </w:tbl>
    <w:p>
      <w:pPr>
        <w:pStyle w:val="TextBody"/>
        <w:bidi w:val="0"/>
        <w:spacing w:before="0" w:after="0"/>
        <w:jc w:val="left"/>
        <w:rPr/>
      </w:pPr>
      <w:r>
        <w:rPr/>
        <w:t> </w:t>
      </w:r>
    </w:p>
    <w:tbl>
      <w:tblPr>
        <w:tblW w:w="4765" w:type="dxa"/>
        <w:jc w:val="left"/>
        <w:tblInd w:w="0" w:type="dxa"/>
        <w:tblLayout w:type="fixed"/>
        <w:tblCellMar>
          <w:top w:w="0" w:type="dxa"/>
          <w:left w:w="0" w:type="dxa"/>
          <w:bottom w:w="0" w:type="dxa"/>
          <w:right w:w="0" w:type="dxa"/>
        </w:tblCellMar>
      </w:tblPr>
      <w:tblGrid>
        <w:gridCol w:w="75"/>
        <w:gridCol w:w="290"/>
        <w:gridCol w:w="440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4400" w:type="dxa"/>
            <w:tcBorders/>
            <w:vAlign w:val="center"/>
          </w:tcPr>
          <w:p>
            <w:pPr>
              <w:pStyle w:val="TableContents"/>
              <w:bidi w:val="0"/>
              <w:spacing w:before="0" w:after="0"/>
              <w:jc w:val="left"/>
              <w:rPr>
                <w:rFonts w:ascii="ARIAL" w:hAnsi="ARIAL"/>
                <w:sz w:val="20"/>
              </w:rPr>
            </w:pPr>
            <w:r>
              <w:rPr>
                <w:rFonts w:ascii="ARIAL" w:hAnsi="ARIAL"/>
                <w:sz w:val="20"/>
              </w:rPr>
              <w:t xml:space="preserve">hiring or termination of our chief executive officer; </w:t>
            </w:r>
          </w:p>
        </w:tc>
      </w:tr>
    </w:tbl>
    <w:p>
      <w:pPr>
        <w:pStyle w:val="TextBody"/>
        <w:bidi w:val="0"/>
        <w:spacing w:before="0" w:after="0"/>
        <w:jc w:val="left"/>
        <w:rPr/>
      </w:pPr>
      <w:r>
        <w:rPr/>
        <w:t> </w:t>
      </w:r>
    </w:p>
    <w:tbl>
      <w:tblPr>
        <w:tblW w:w="5005" w:type="dxa"/>
        <w:jc w:val="left"/>
        <w:tblInd w:w="0" w:type="dxa"/>
        <w:tblLayout w:type="fixed"/>
        <w:tblCellMar>
          <w:top w:w="0" w:type="dxa"/>
          <w:left w:w="0" w:type="dxa"/>
          <w:bottom w:w="0" w:type="dxa"/>
          <w:right w:w="0" w:type="dxa"/>
        </w:tblCellMar>
      </w:tblPr>
      <w:tblGrid>
        <w:gridCol w:w="75"/>
        <w:gridCol w:w="275"/>
        <w:gridCol w:w="46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(e)</w:t>
            </w:r>
          </w:p>
        </w:tc>
        <w:tc>
          <w:tcPr>
            <w:tcW w:w="4655" w:type="dxa"/>
            <w:tcBorders/>
            <w:vAlign w:val="center"/>
          </w:tcPr>
          <w:p>
            <w:pPr>
              <w:pStyle w:val="TableContents"/>
              <w:bidi w:val="0"/>
              <w:spacing w:before="0" w:after="0"/>
              <w:jc w:val="left"/>
              <w:rPr>
                <w:rFonts w:ascii="ARIAL" w:hAnsi="ARIAL"/>
                <w:sz w:val="20"/>
              </w:rPr>
            </w:pPr>
            <w:r>
              <w:rPr>
                <w:rFonts w:ascii="ARIAL" w:hAnsi="ARIAL"/>
                <w:sz w:val="20"/>
              </w:rPr>
              <w:t xml:space="preserve">any increase or decrease in the size of the Board; or </w:t>
            </w:r>
          </w:p>
        </w:tc>
      </w:tr>
    </w:tbl>
    <w:p>
      <w:pPr>
        <w:pStyle w:val="TextBody"/>
        <w:bidi w:val="0"/>
        <w:spacing w:before="0" w:after="0"/>
        <w:jc w:val="left"/>
        <w:rPr/>
      </w:pPr>
      <w:r>
        <w:rPr/>
        <w:t> </w:t>
      </w:r>
    </w:p>
    <w:tbl>
      <w:tblPr>
        <w:tblW w:w="8665" w:type="dxa"/>
        <w:jc w:val="left"/>
        <w:tblInd w:w="0" w:type="dxa"/>
        <w:tblLayout w:type="fixed"/>
        <w:tblCellMar>
          <w:top w:w="0" w:type="dxa"/>
          <w:left w:w="0" w:type="dxa"/>
          <w:bottom w:w="0" w:type="dxa"/>
          <w:right w:w="0" w:type="dxa"/>
        </w:tblCellMar>
      </w:tblPr>
      <w:tblGrid>
        <w:gridCol w:w="75"/>
        <w:gridCol w:w="245"/>
        <w:gridCol w:w="834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(f)</w:t>
            </w:r>
          </w:p>
        </w:tc>
        <w:tc>
          <w:tcPr>
            <w:tcW w:w="8345" w:type="dxa"/>
            <w:tcBorders/>
            <w:vAlign w:val="center"/>
          </w:tcPr>
          <w:p>
            <w:pPr>
              <w:pStyle w:val="TableContents"/>
              <w:bidi w:val="0"/>
              <w:spacing w:before="0" w:after="0"/>
              <w:jc w:val="left"/>
              <w:rPr>
                <w:rFonts w:ascii="ARIAL" w:hAnsi="ARIAL"/>
                <w:sz w:val="20"/>
              </w:rPr>
            </w:pPr>
            <w:r>
              <w:rPr>
                <w:rFonts w:ascii="ARIAL" w:hAnsi="ARIAL"/>
                <w:sz w:val="20"/>
              </w:rPr>
              <w:t xml:space="preserve">any reorganization, recapitalization, voluntary bankruptcy, liquidation, dissolution or winding-up. </w:t>
            </w:r>
          </w:p>
        </w:tc>
      </w:tr>
    </w:tbl>
    <w:p>
      <w:pPr>
        <w:pStyle w:val="TextBody"/>
        <w:bidi w:val="0"/>
        <w:spacing w:before="240" w:after="0"/>
        <w:jc w:val="left"/>
        <w:rPr>
          <w:rFonts w:ascii="ARIAL" w:hAnsi="ARIAL"/>
          <w:sz w:val="20"/>
        </w:rPr>
      </w:pPr>
      <w:r>
        <w:rPr>
          <w:rFonts w:ascii="ARIAL" w:hAnsi="ARIAL"/>
          <w:sz w:val="20"/>
        </w:rPr>
        <w:t xml:space="preserve">The foregoing rights of the Lead Stockholders under the Stockholders Agreement will terminate with respect to a Lead Sponsor at such time as such Lead Sponsor owns less than 5% of our common stock then outstanding. </w:t>
      </w:r>
    </w:p>
    <w:p>
      <w:pPr>
        <w:pStyle w:val="TextBody"/>
        <w:bidi w:val="0"/>
        <w:spacing w:before="240" w:after="0"/>
        <w:jc w:val="left"/>
        <w:rPr>
          <w:rFonts w:ascii="ARIAL" w:hAnsi="ARIAL"/>
          <w:b/>
          <w:i/>
          <w:color w:val="1F497D"/>
          <w:sz w:val="20"/>
        </w:rPr>
      </w:pPr>
      <w:r>
        <w:rPr>
          <w:rFonts w:ascii="ARIAL" w:hAnsi="ARIAL"/>
          <w:b/>
          <w:i/>
          <w:color w:val="1F497D"/>
          <w:sz w:val="20"/>
        </w:rPr>
        <w:t xml:space="preserve">Registration Rights Agreement </w:t>
      </w:r>
    </w:p>
    <w:p>
      <w:pPr>
        <w:pStyle w:val="TextBody"/>
        <w:bidi w:val="0"/>
        <w:spacing w:before="240" w:after="0"/>
        <w:jc w:val="left"/>
        <w:rPr>
          <w:rFonts w:ascii="ARIAL" w:hAnsi="ARIAL"/>
          <w:sz w:val="20"/>
        </w:rPr>
      </w:pPr>
      <w:r>
        <w:rPr>
          <w:rFonts w:ascii="ARIAL" w:hAnsi="ARIAL"/>
          <w:sz w:val="20"/>
        </w:rPr>
        <w:t xml:space="preserve">We are party to a registration rights agreement, dated as of March 30, 2021, with the Lead Sponsors and certain other stockholders (the “Applicable Holders”). The Lead Sponsors are entitled to request that we register the Lead Sponsors’ shares on a long-form or short-form registration statement on one or more occasions in the future, which registrations may in certain circumstances be “shelf registrations,” and such other stockholders are entitled to participate in such offerings on a pro rata basis. The Applicable Holders are also entitled to participate in certain of our registered offerings, subject to the restrictions in the registration rights agreement. We will pay the expenses in connection with the exercise of these rights. The registration rights described in this paragraph apply to (i) shares of our common stock held by the Applicable Holders and their affiliates and (ii) any of our capital stock (or that of our subsidiaries) issued or issuable with respect to the common stock described in clause (i) with respect to any dividend, distribution, recapitalization, reorganization, or certain other corporate transactions (“Registrable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75 </w:t>
      </w:r>
      <w:r>
        <w:br w:type="page"/>
      </w:r>
    </w:p>
    <w:p>
      <w:pPr>
        <w:pStyle w:val="HorizontalLine"/>
        <w:bidi w:val="0"/>
        <w:jc w:val="left"/>
        <w:rPr/>
      </w:pPr>
      <w:r>
        <w:rPr/>
      </w:r>
    </w:p>
    <w:p>
      <w:pPr>
        <w:pStyle w:val="TextBody"/>
        <w:bidi w:val="0"/>
        <w:spacing w:before="0" w:after="0"/>
        <w:jc w:val="left"/>
        <w:rPr>
          <w:rFonts w:ascii="ARIAL" w:hAnsi="ARIAL"/>
          <w:sz w:val="20"/>
        </w:rPr>
      </w:pPr>
      <w:r>
        <w:rPr>
          <w:rFonts w:ascii="ARIAL" w:hAnsi="ARIAL"/>
          <w:sz w:val="20"/>
        </w:rPr>
        <w:t xml:space="preserve">Securities”). These registration rights are also for the benefit of any subsequent holder of Registrable Securities; provided that any particular securities will cease to be Registrable Securities when they have been sold in a registered public offering, sold in compliance with Rule 144 of the Securities Act of 1933, as amended, or the Securities Act, or repurchased by us or our subsidiaries. In addition, any Registrable Securities held by a person other than the Lead Sponsors and their affiliates will cease to be Registrable Securities if they can be sold without limitation under Rule 144 of the Securities Act. </w:t>
      </w:r>
    </w:p>
    <w:p>
      <w:pPr>
        <w:pStyle w:val="TextBody"/>
        <w:bidi w:val="0"/>
        <w:spacing w:before="240" w:after="0"/>
        <w:jc w:val="left"/>
        <w:rPr>
          <w:rFonts w:ascii="ARIAL" w:hAnsi="ARIAL"/>
          <w:b/>
          <w:i/>
          <w:color w:val="1F497D"/>
          <w:sz w:val="20"/>
        </w:rPr>
      </w:pPr>
      <w:r>
        <w:rPr>
          <w:rFonts w:ascii="ARIAL" w:hAnsi="ARIAL"/>
          <w:b/>
          <w:i/>
          <w:color w:val="1F497D"/>
          <w:sz w:val="20"/>
        </w:rPr>
        <w:t xml:space="preserve">Konowiecki Employment Agreement </w:t>
      </w:r>
    </w:p>
    <w:p>
      <w:pPr>
        <w:pStyle w:val="TextBody"/>
        <w:bidi w:val="0"/>
        <w:spacing w:before="240" w:after="0"/>
        <w:jc w:val="left"/>
        <w:rPr>
          <w:rFonts w:ascii="ARIAL" w:hAnsi="ARIAL"/>
          <w:sz w:val="20"/>
        </w:rPr>
      </w:pPr>
      <w:r>
        <w:rPr>
          <w:rFonts w:ascii="ARIAL" w:hAnsi="ARIAL"/>
          <w:sz w:val="20"/>
        </w:rPr>
        <w:t xml:space="preserve">On October 31, 2022, the Board appointed Mr. Konowiecki, the Company’s Board Chair, to an executive role leading strategic network and business development (the “Executive Role”). In connection with his appointment to the Executive Role, Mr. Konowiecki entered into an employment agreement, dated as of October 31, 2022, with an operating subsidiary of the Company (the “Employment Agreement”). Under the Employment Agreement, Mr. Konowiecki (i) was entitled to an annual base salary of $560,000; and (ii) was eligible on an annual basis to receive a cash bonus, with a target amount equal to 85% of his base salary and a maximum payout equal to 170% of his base salary, based on the terms and conditions of the Company’s annual incentive plan and contingent upon applicable corporate and individual performance metrics. Pursuant to the Employment Agreement, upon commencement of employment, the Company issued to Mr. Konowiecki (i) options to purchase 35,817 shares of Common Stock with an exercise price of $12.25 and (ii) 53,906 restricted stock units (collectively, the “Equity Grants”). During the term of employment, Mr. Konowiecki did not receive separate compensation for his service on the Board. </w:t>
      </w:r>
    </w:p>
    <w:p>
      <w:pPr>
        <w:pStyle w:val="TextBody"/>
        <w:bidi w:val="0"/>
        <w:spacing w:before="240" w:after="0"/>
        <w:jc w:val="left"/>
        <w:rPr>
          <w:rFonts w:ascii="ARIAL" w:hAnsi="ARIAL"/>
          <w:sz w:val="20"/>
        </w:rPr>
      </w:pPr>
      <w:r>
        <w:rPr>
          <w:rFonts w:ascii="ARIAL" w:hAnsi="ARIAL"/>
          <w:sz w:val="20"/>
        </w:rPr>
        <w:t xml:space="preserve">On December 27, 2023, we entered into an amendment to the Employment Agreement (the “Amendment”), pursuant to which Mr. Konowiecki would no longer serve in the Executive Role effective as of December 31, 2023. Further pursuant to the Amendment, (i) no cash severance was be paid to Mr. Konowiecki; (ii) unvested equity awards granted to Mr. Konowiecki under the Employment Agreement were not forfeited upon termination of the Executive Role and will continue to vest so long as he remains a service provider to the Company, including as a member of the Board; (iii) in consideration of the foregoing, Mr. Konowiecki will not receive the 2023 annual equity award received by other members of the Board of Directors; and (iv) notwithstanding the termination of the Executive Role, Mr. Konowiecki received the cash bonus payable under the Company’s annual incentive program for fiscal year 2023, subject to the holdback and any positive or negative adjustments based on the Centers for Medicare &amp; Medicaid Services Star ratings received by the Company’s health plans for the 2025 rating year, as previously approved by the Board of Directors of the Company. </w:t>
      </w:r>
    </w:p>
    <w:p>
      <w:pPr>
        <w:pStyle w:val="TextBody"/>
        <w:bidi w:val="0"/>
        <w:spacing w:before="240" w:after="0"/>
        <w:jc w:val="left"/>
        <w:rPr>
          <w:rFonts w:ascii="ARIAL" w:hAnsi="ARIAL"/>
          <w:sz w:val="20"/>
        </w:rPr>
      </w:pPr>
      <w:r>
        <w:rPr>
          <w:rFonts w:ascii="ARIAL" w:hAnsi="ARIAL"/>
          <w:sz w:val="20"/>
        </w:rPr>
        <w:t xml:space="preserve">The foregoing description is not complete and is qualified in its entirety by reference to the terms of the Employment Agreement, a copy of which is filed as Exhibit 10.3 to our Quarterly Report on Form 10-Q filed with the SEC on November 2, 2022, and the Amendment, a copy of which is filed as Exhibit 10.1 to our Current Report on Form 8-K filed with the SEC on December 29, 2023. </w:t>
      </w:r>
    </w:p>
    <w:p>
      <w:pPr>
        <w:pStyle w:val="TextBody"/>
        <w:bidi w:val="0"/>
        <w:spacing w:before="240" w:after="0"/>
        <w:jc w:val="left"/>
        <w:rPr>
          <w:rFonts w:ascii="ARIAL" w:hAnsi="ARIAL"/>
          <w:b/>
          <w:i/>
          <w:color w:val="1F497D"/>
          <w:sz w:val="20"/>
        </w:rPr>
      </w:pPr>
      <w:r>
        <w:rPr>
          <w:rFonts w:ascii="ARIAL" w:hAnsi="ARIAL"/>
          <w:b/>
          <w:i/>
          <w:color w:val="1F497D"/>
          <w:sz w:val="20"/>
        </w:rPr>
        <w:t xml:space="preserve">Indemnification of Officers and Directors </w:t>
      </w:r>
    </w:p>
    <w:p>
      <w:pPr>
        <w:pStyle w:val="TextBody"/>
        <w:bidi w:val="0"/>
        <w:spacing w:before="240" w:after="0"/>
        <w:jc w:val="left"/>
        <w:rPr>
          <w:rFonts w:ascii="ARIAL" w:hAnsi="ARIAL"/>
          <w:sz w:val="20"/>
        </w:rPr>
      </w:pPr>
      <w:r>
        <w:rPr>
          <w:rFonts w:ascii="ARIAL" w:hAnsi="ARIAL"/>
          <w:sz w:val="20"/>
        </w:rPr>
        <w:t xml:space="preserve">We are party to indemnification agreements with each of our executive officers and directors. The indemnification agreements provide the executive officers and directors with contractual rights to indemnification, expense advancement and reimbursement, to the fullest extent permitted under the DGCL. Additionally, we may enter into indemnification agreements with any new directors or officers that may be broader in scope than the specific indemnification provisions contained in Delaware law. </w:t>
      </w:r>
    </w:p>
    <w:p>
      <w:pPr>
        <w:pStyle w:val="TextBody"/>
        <w:bidi w:val="0"/>
        <w:spacing w:before="240" w:after="0"/>
        <w:jc w:val="left"/>
        <w:rPr>
          <w:rFonts w:ascii="ARIAL" w:hAnsi="ARIAL"/>
          <w:b/>
          <w:i/>
          <w:color w:val="1F497D"/>
          <w:sz w:val="20"/>
        </w:rPr>
      </w:pPr>
      <w:r>
        <w:rPr>
          <w:rFonts w:ascii="ARIAL" w:hAnsi="ARIAL"/>
          <w:b/>
          <w:i/>
          <w:color w:val="1F497D"/>
          <w:sz w:val="20"/>
        </w:rPr>
        <w:t xml:space="preserve">Other Relationships </w:t>
      </w:r>
    </w:p>
    <w:p>
      <w:pPr>
        <w:pStyle w:val="TextBody"/>
        <w:bidi w:val="0"/>
        <w:spacing w:before="240" w:after="0"/>
        <w:jc w:val="left"/>
        <w:rPr>
          <w:rFonts w:ascii="ARIAL" w:hAnsi="ARIAL"/>
          <w:sz w:val="20"/>
        </w:rPr>
      </w:pPr>
      <w:r>
        <w:rPr>
          <w:rFonts w:ascii="ARIAL" w:hAnsi="ARIAL"/>
          <w:sz w:val="20"/>
        </w:rPr>
        <w:t xml:space="preserve">Jeffrey Margolis serves as an independent member of our Board. Mr. Margolis’ daughter has been employed by the Company in operational roles related to member engagement since August 2015. Her compensation has been determined with reference to external market practice of similar positions and internal pay equity when compared to the compensation paid to employees in similar positions. Similarly, she has been granted equity awards on the same general terms and conditions as applicable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76 </w:t>
      </w:r>
      <w:r>
        <w:br w:type="page"/>
      </w:r>
    </w:p>
    <w:p>
      <w:pPr>
        <w:pStyle w:val="HorizontalLine"/>
        <w:bidi w:val="0"/>
        <w:jc w:val="left"/>
        <w:rPr/>
      </w:pPr>
      <w:r>
        <w:rPr/>
      </w:r>
    </w:p>
    <w:p>
      <w:pPr>
        <w:pStyle w:val="TextBody"/>
        <w:bidi w:val="0"/>
        <w:spacing w:before="0" w:after="0"/>
        <w:jc w:val="left"/>
        <w:rPr>
          <w:rFonts w:ascii="ARIAL" w:hAnsi="ARIAL"/>
          <w:sz w:val="20"/>
        </w:rPr>
      </w:pPr>
      <w:r>
        <w:rPr>
          <w:rFonts w:ascii="ARIAL" w:hAnsi="ARIAL"/>
          <w:sz w:val="20"/>
        </w:rPr>
        <w:t xml:space="preserve">employees in similar positions. Mr. Margolis plays no personal role in determining his daughter’s compensation or reviewing his daughter’s performance. </w:t>
      </w:r>
    </w:p>
    <w:p>
      <w:pPr>
        <w:pStyle w:val="TextBody"/>
        <w:bidi w:val="0"/>
        <w:spacing w:before="240" w:after="0"/>
        <w:jc w:val="left"/>
        <w:rPr>
          <w:rFonts w:ascii="ARIAL" w:hAnsi="ARIAL"/>
          <w:sz w:val="20"/>
        </w:rPr>
      </w:pPr>
      <w:r>
        <w:rPr>
          <w:rFonts w:ascii="ARIAL" w:hAnsi="ARIAL"/>
          <w:sz w:val="20"/>
        </w:rPr>
        <w:t xml:space="preserve">Mr. Konowiecki’s son is a partner in the law firm of McDermott Will &amp; Emery LLP (“MWE”), which provided legal services to the Company and our subsidiaries during the fiscal year ended December 31, 2023 and continues to do so. For providing these services, MWE received fees during the fiscal year ended December 31, 2023 of approximately $0.5 million and fees in fiscal 2024 through [  ], 2024 totaling approximately $[  ]. Mr. Konowiecki’s son does not receive any direct compensation from the fees paid to MWE by us, and the fees paid by us to MWE in fiscal 2023 were less than 1% of MWE’s annual revenues. The engagement of MWE was reviewed and approved by our Audit Committee in accordance with our Related Party Transactions Policy.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77 </w:t>
      </w:r>
      <w:r>
        <w:br w:type="page"/>
      </w:r>
    </w:p>
    <w:p>
      <w:pPr>
        <w:pStyle w:val="HorizontalLine"/>
        <w:bidi w:val="0"/>
        <w:jc w:val="left"/>
        <w:rPr/>
      </w:pPr>
      <w:r>
        <w:rPr/>
      </w:r>
    </w:p>
    <w:p>
      <w:pPr>
        <w:pStyle w:val="TextBody"/>
        <w:bidi w:val="0"/>
        <w:spacing w:before="0" w:after="0"/>
        <w:jc w:val="center"/>
        <w:rPr>
          <w:rFonts w:ascii="ARIAL" w:hAnsi="ARIAL"/>
          <w:b/>
          <w:sz w:val="20"/>
        </w:rPr>
      </w:pPr>
      <w:bookmarkStart w:id="36" w:name="txa496243_35"/>
      <w:bookmarkEnd w:id="36"/>
      <w:r>
        <w:rPr>
          <w:rFonts w:ascii="ARIAL" w:hAnsi="ARIAL"/>
          <w:b/>
          <w:sz w:val="20"/>
        </w:rPr>
        <w:t xml:space="preserve">SECURITY OWNERSHIP OF CERTAIN BENEFICIAL </w:t>
      </w:r>
    </w:p>
    <w:p>
      <w:pPr>
        <w:pStyle w:val="TextBody"/>
        <w:bidi w:val="0"/>
        <w:spacing w:before="0" w:after="0"/>
        <w:jc w:val="center"/>
        <w:rPr>
          <w:rFonts w:ascii="ARIAL" w:hAnsi="ARIAL"/>
          <w:b/>
          <w:sz w:val="20"/>
        </w:rPr>
      </w:pPr>
      <w:r>
        <w:rPr>
          <w:rFonts w:ascii="ARIAL" w:hAnsi="ARIAL"/>
          <w:b/>
          <w:sz w:val="20"/>
        </w:rPr>
        <w:t xml:space="preserve">OWNERS AND MANAGEMENT </w:t>
      </w:r>
    </w:p>
    <w:p>
      <w:pPr>
        <w:pStyle w:val="TextBody"/>
        <w:bidi w:val="0"/>
        <w:spacing w:before="240" w:after="0"/>
        <w:jc w:val="left"/>
        <w:rPr>
          <w:rFonts w:ascii="ARIAL" w:hAnsi="ARIAL"/>
          <w:sz w:val="20"/>
        </w:rPr>
      </w:pPr>
      <w:r>
        <w:rPr>
          <w:rFonts w:ascii="ARIAL" w:hAnsi="ARIAL"/>
          <w:sz w:val="20"/>
        </w:rPr>
        <w:t xml:space="preserve">The following table sets forth information about the beneficial ownership of our common stock as of March 31, 2024 for: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left"/>
              <w:rPr>
                <w:rFonts w:ascii="ARIAL" w:hAnsi="ARIAL"/>
                <w:sz w:val="20"/>
              </w:rPr>
            </w:pPr>
            <w:r>
              <w:rPr>
                <w:rFonts w:ascii="ARIAL" w:hAnsi="ARIAL"/>
                <w:sz w:val="20"/>
              </w:rPr>
              <w:t xml:space="preserve">each person or group known to us who beneficially owns more than 5% of our common stock immediately prior to this offering; </w:t>
            </w:r>
          </w:p>
        </w:tc>
      </w:tr>
    </w:tbl>
    <w:p>
      <w:pPr>
        <w:pStyle w:val="TextBody"/>
        <w:bidi w:val="0"/>
        <w:spacing w:before="0" w:after="0"/>
        <w:jc w:val="left"/>
        <w:rPr/>
      </w:pPr>
      <w:r>
        <w:rPr/>
        <w:t> </w:t>
      </w:r>
    </w:p>
    <w:tbl>
      <w:tblPr>
        <w:tblW w:w="2245" w:type="dxa"/>
        <w:jc w:val="left"/>
        <w:tblInd w:w="0" w:type="dxa"/>
        <w:tblLayout w:type="fixed"/>
        <w:tblCellMar>
          <w:top w:w="0" w:type="dxa"/>
          <w:left w:w="0" w:type="dxa"/>
          <w:bottom w:w="0" w:type="dxa"/>
          <w:right w:w="0" w:type="dxa"/>
        </w:tblCellMar>
      </w:tblPr>
      <w:tblGrid>
        <w:gridCol w:w="75"/>
        <w:gridCol w:w="170"/>
        <w:gridCol w:w="60"/>
        <w:gridCol w:w="19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jc w:val="left"/>
              <w:rPr>
                <w:rFonts w:ascii="ARIAL" w:hAnsi="ARIAL"/>
                <w:sz w:val="20"/>
              </w:rPr>
            </w:pPr>
            <w:r>
              <w:rPr>
                <w:rFonts w:ascii="ARIAL" w:hAnsi="ARIAL"/>
                <w:sz w:val="20"/>
              </w:rPr>
              <w:t xml:space="preserve">each of our directors; </w:t>
            </w:r>
          </w:p>
        </w:tc>
      </w:tr>
    </w:tbl>
    <w:p>
      <w:pPr>
        <w:pStyle w:val="TextBody"/>
        <w:bidi w:val="0"/>
        <w:spacing w:before="0" w:after="0"/>
        <w:jc w:val="left"/>
        <w:rPr/>
      </w:pPr>
      <w:r>
        <w:rPr/>
        <w:t> </w:t>
      </w:r>
    </w:p>
    <w:tbl>
      <w:tblPr>
        <w:tblW w:w="4165" w:type="dxa"/>
        <w:jc w:val="left"/>
        <w:tblInd w:w="0" w:type="dxa"/>
        <w:tblLayout w:type="fixed"/>
        <w:tblCellMar>
          <w:top w:w="0" w:type="dxa"/>
          <w:left w:w="0" w:type="dxa"/>
          <w:bottom w:w="0" w:type="dxa"/>
          <w:right w:w="0" w:type="dxa"/>
        </w:tblCellMar>
      </w:tblPr>
      <w:tblGrid>
        <w:gridCol w:w="75"/>
        <w:gridCol w:w="170"/>
        <w:gridCol w:w="60"/>
        <w:gridCol w:w="38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0"/>
              <w:jc w:val="left"/>
              <w:rPr>
                <w:rFonts w:ascii="ARIAL" w:hAnsi="ARIAL"/>
                <w:sz w:val="20"/>
              </w:rPr>
            </w:pPr>
            <w:r>
              <w:rPr>
                <w:rFonts w:ascii="ARIAL" w:hAnsi="ARIAL"/>
                <w:sz w:val="20"/>
              </w:rPr>
              <w:t xml:space="preserve">each of our Named Executive Officers; and </w:t>
            </w:r>
          </w:p>
        </w:tc>
      </w:tr>
    </w:tbl>
    <w:p>
      <w:pPr>
        <w:pStyle w:val="TextBody"/>
        <w:bidi w:val="0"/>
        <w:spacing w:before="0" w:after="0"/>
        <w:jc w:val="left"/>
        <w:rPr/>
      </w:pPr>
      <w:r>
        <w:rPr/>
        <w:t> </w:t>
      </w:r>
    </w:p>
    <w:tbl>
      <w:tblPr>
        <w:tblW w:w="4975" w:type="dxa"/>
        <w:jc w:val="left"/>
        <w:tblInd w:w="0" w:type="dxa"/>
        <w:tblLayout w:type="fixed"/>
        <w:tblCellMar>
          <w:top w:w="0" w:type="dxa"/>
          <w:left w:w="0" w:type="dxa"/>
          <w:bottom w:w="0" w:type="dxa"/>
          <w:right w:w="0" w:type="dxa"/>
        </w:tblCellMar>
      </w:tblPr>
      <w:tblGrid>
        <w:gridCol w:w="75"/>
        <w:gridCol w:w="170"/>
        <w:gridCol w:w="60"/>
        <w:gridCol w:w="46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70" w:type="dxa"/>
            <w:tcBorders/>
            <w:vAlign w:val="center"/>
          </w:tcPr>
          <w:p>
            <w:pPr>
              <w:pStyle w:val="TableContents"/>
              <w:bidi w:val="0"/>
              <w:spacing w:before="0" w:after="0"/>
              <w:jc w:val="left"/>
              <w:rPr>
                <w:rFonts w:ascii="ARIAL" w:hAnsi="ARIAL"/>
                <w:sz w:val="20"/>
              </w:rPr>
            </w:pPr>
            <w:r>
              <w:rPr>
                <w:rFonts w:ascii="ARIAL" w:hAnsi="ARIAL"/>
                <w:sz w:val="20"/>
              </w:rPr>
              <w:t xml:space="preserve">all of our directors and executive officers as a group. </w:t>
            </w:r>
          </w:p>
        </w:tc>
      </w:tr>
    </w:tbl>
    <w:p>
      <w:pPr>
        <w:pStyle w:val="TextBody"/>
        <w:bidi w:val="0"/>
        <w:spacing w:before="240" w:after="0"/>
        <w:jc w:val="left"/>
        <w:rPr>
          <w:rFonts w:ascii="ARIAL" w:hAnsi="ARIAL"/>
          <w:sz w:val="20"/>
        </w:rPr>
      </w:pPr>
      <w:r>
        <w:rPr>
          <w:rFonts w:ascii="ARIAL" w:hAnsi="ARIAL"/>
          <w:sz w:val="20"/>
        </w:rPr>
        <w:t xml:space="preserve">Each stockholder’s percentage ownership is based on [  ] shares of common stock outstanding as of April 15, 2024. 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Common stock subject to options that are currently exercisable or exercisable within 60 days of March 31, 2024, and common stock issuable upon vesting of RSUs within 60 days of March 31, 2024, are deemed to be outstanding and beneficially owned by the person holding the options or RSUs, as applicable. These shares, however, are not deemed outstanding for the purposes of computing the percentage ownership of any other person. Except as disclosed in the footnotes to this table and subject to applicable community property laws, we believe that each stockholder identified in the table possesses sole voting and investment power over all common stock shown as beneficially owned by the stockholder. </w:t>
      </w:r>
    </w:p>
    <w:p>
      <w:pPr>
        <w:pStyle w:val="TextBody"/>
        <w:bidi w:val="0"/>
        <w:spacing w:before="240" w:after="0"/>
        <w:jc w:val="left"/>
        <w:rPr>
          <w:rFonts w:ascii="ARIAL" w:hAnsi="ARIAL"/>
          <w:sz w:val="20"/>
        </w:rPr>
      </w:pPr>
      <w:r>
        <w:rPr>
          <w:rFonts w:ascii="ARIAL" w:hAnsi="ARIAL"/>
          <w:sz w:val="20"/>
        </w:rPr>
        <w:t xml:space="preserve">Unless otherwise noted below, the address of each beneficial owner listed on the table is c/o Alignment Healthcare, Inc., 1100 W. Town and Country Road, Suite 1600, Orange, California 92868. Beneficial ownership representing less than 1% is denoted with an asterisk (*). </w:t>
      </w:r>
    </w:p>
    <w:p>
      <w:pPr>
        <w:pStyle w:val="TextBody"/>
        <w:bidi w:val="0"/>
        <w:spacing w:before="0" w:after="0"/>
        <w:jc w:val="left"/>
        <w:rPr/>
      </w:pPr>
      <w:r>
        <w:rPr/>
        <w:t> </w:t>
      </w:r>
    </w:p>
    <w:tbl>
      <w:tblPr>
        <w:tblW w:w="7335" w:type="dxa"/>
        <w:jc w:val="left"/>
        <w:tblInd w:w="0" w:type="dxa"/>
        <w:tblLayout w:type="fixed"/>
        <w:tblCellMar>
          <w:top w:w="0" w:type="dxa"/>
          <w:left w:w="0" w:type="dxa"/>
          <w:bottom w:w="0" w:type="dxa"/>
          <w:right w:w="0" w:type="dxa"/>
        </w:tblCellMar>
      </w:tblPr>
      <w:tblGrid>
        <w:gridCol w:w="4175"/>
        <w:gridCol w:w="60"/>
        <w:gridCol w:w="1880"/>
        <w:gridCol w:w="60"/>
        <w:gridCol w:w="1160"/>
      </w:tblGrid>
      <w:tr>
        <w:trPr/>
        <w:tc>
          <w:tcPr>
            <w:tcW w:w="4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4175" w:type="dxa"/>
            <w:tcBorders>
              <w:bottom w:val="single" w:sz="8" w:space="0" w:color="95B3D7"/>
            </w:tcBorders>
            <w:tcMar>
              <w:bottom w:w="28" w:type="dxa"/>
            </w:tcMar>
            <w:vAlign w:val="center"/>
          </w:tcPr>
          <w:p>
            <w:pPr>
              <w:pStyle w:val="TableContents"/>
              <w:bidi w:val="0"/>
              <w:spacing w:before="0" w:after="283"/>
              <w:jc w:val="left"/>
              <w:rPr/>
            </w:pPr>
            <w:r>
              <w:rPr/>
              <w:t> </w:t>
            </w:r>
            <w:r>
              <w:rPr>
                <w:b/>
              </w:rPr>
              <w:t>Beneficial Owner</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880" w:type="dxa"/>
            <w:tcBorders>
              <w:bottom w:val="single" w:sz="8" w:space="0" w:color="95B3D7"/>
            </w:tcBorders>
            <w:tcMar>
              <w:bottom w:w="28" w:type="dxa"/>
            </w:tcMar>
            <w:vAlign w:val="center"/>
          </w:tcPr>
          <w:p>
            <w:pPr>
              <w:pStyle w:val="TableContents"/>
              <w:bidi w:val="0"/>
              <w:spacing w:before="0" w:after="283"/>
              <w:jc w:val="center"/>
              <w:rPr>
                <w:b/>
              </w:rPr>
            </w:pPr>
            <w:r>
              <w:rPr>
                <w:b/>
              </w:rPr>
              <w:t>Number of Shares</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160" w:type="dxa"/>
            <w:tcBorders>
              <w:bottom w:val="single" w:sz="8" w:space="0" w:color="95B3D7"/>
            </w:tcBorders>
            <w:tcMar>
              <w:bottom w:w="28" w:type="dxa"/>
            </w:tcMar>
            <w:vAlign w:val="center"/>
          </w:tcPr>
          <w:p>
            <w:pPr>
              <w:pStyle w:val="TableContents"/>
              <w:bidi w:val="0"/>
              <w:spacing w:before="0" w:after="283"/>
              <w:jc w:val="center"/>
              <w:rPr>
                <w:b/>
              </w:rPr>
            </w:pPr>
            <w:r>
              <w:rPr>
                <w:b/>
              </w:rPr>
              <w:t>Percentage</w:t>
            </w:r>
          </w:p>
        </w:tc>
      </w:tr>
      <w:tr>
        <w:trPr/>
        <w:tc>
          <w:tcPr>
            <w:tcW w:w="4175" w:type="dxa"/>
            <w:tcBorders>
              <w:bottom w:val="single" w:sz="8" w:space="0" w:color="95B3D7"/>
              <w:right w:val="single" w:sz="8" w:space="0" w:color="95B3D7"/>
            </w:tcBorders>
            <w:shd w:fill="DBE5F1" w:val="clear"/>
            <w:tcMar>
              <w:bottom w:w="28" w:type="dxa"/>
              <w:right w:w="28" w:type="dxa"/>
            </w:tcMar>
            <w:vAlign w:val="center"/>
          </w:tcPr>
          <w:p>
            <w:pPr>
              <w:pStyle w:val="TableContents"/>
              <w:bidi w:val="0"/>
              <w:spacing w:before="0" w:after="283"/>
              <w:jc w:val="left"/>
              <w:rPr/>
            </w:pPr>
            <w:r>
              <w:rPr/>
              <w:t> </w:t>
            </w:r>
            <w:r>
              <w:rPr>
                <w:b/>
              </w:rPr>
              <w:t>5% Stockholders</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880" w:type="dxa"/>
            <w:tcBorders>
              <w:bottom w:val="single" w:sz="8" w:space="0" w:color="95B3D7"/>
              <w:right w:val="single" w:sz="8" w:space="0" w:color="95B3D7"/>
            </w:tcBorders>
            <w:shd w:fill="DBE5F1"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1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r>
      <w:tr>
        <w:trPr/>
        <w:tc>
          <w:tcPr>
            <w:tcW w:w="4175" w:type="dxa"/>
            <w:tcBorders>
              <w:bottom w:val="single" w:sz="8" w:space="0" w:color="95B3D7"/>
              <w:right w:val="single" w:sz="8" w:space="0" w:color="95B3D7"/>
            </w:tcBorders>
            <w:tcMar>
              <w:bottom w:w="28" w:type="dxa"/>
              <w:right w:w="28" w:type="dxa"/>
            </w:tcMar>
            <w:vAlign w:val="center"/>
          </w:tcPr>
          <w:p>
            <w:pPr>
              <w:pStyle w:val="TableContents"/>
              <w:bidi w:val="0"/>
              <w:spacing w:before="0" w:after="0"/>
              <w:jc w:val="left"/>
              <w:rPr/>
            </w:pPr>
            <w:r>
              <w:rPr/>
              <w:t> </w:t>
            </w:r>
            <w:r>
              <w:rPr>
                <w:rFonts w:ascii="ARIAL" w:hAnsi="ARIAL"/>
                <w:sz w:val="20"/>
              </w:rPr>
              <w:t>General Atlantic(1)</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880" w:type="dxa"/>
            <w:tcBorders>
              <w:bottom w:val="single" w:sz="8" w:space="0" w:color="95B3D7"/>
              <w:right w:val="single" w:sz="8" w:space="0" w:color="95B3D7"/>
            </w:tcBorders>
            <w:tcMar>
              <w:bottom w:w="28" w:type="dxa"/>
              <w:right w:w="28" w:type="dxa"/>
            </w:tcMar>
            <w:vAlign w:val="center"/>
          </w:tcPr>
          <w:p>
            <w:pPr>
              <w:pStyle w:val="TableContents"/>
              <w:bidi w:val="0"/>
              <w:spacing w:before="0" w:after="283"/>
              <w:jc w:val="center"/>
              <w:rPr/>
            </w:pPr>
            <w:r>
              <w:rPr/>
              <w:t>60,993,323</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160" w:type="dxa"/>
            <w:tcBorders>
              <w:bottom w:val="single" w:sz="8" w:space="0" w:color="95B3D7"/>
            </w:tcBorders>
            <w:tcMar>
              <w:bottom w:w="28" w:type="dxa"/>
            </w:tcMar>
            <w:vAlign w:val="center"/>
          </w:tcPr>
          <w:p>
            <w:pPr>
              <w:pStyle w:val="TableContents"/>
              <w:bidi w:val="0"/>
              <w:spacing w:before="0" w:after="283"/>
              <w:jc w:val="center"/>
              <w:rPr/>
            </w:pPr>
            <w:r>
              <w:rPr/>
              <w:t>[ ]%</w:t>
            </w:r>
          </w:p>
        </w:tc>
      </w:tr>
      <w:tr>
        <w:trPr/>
        <w:tc>
          <w:tcPr>
            <w:tcW w:w="4175" w:type="dxa"/>
            <w:tcBorders>
              <w:bottom w:val="single" w:sz="8" w:space="0" w:color="95B3D7"/>
              <w:right w:val="single" w:sz="8" w:space="0" w:color="95B3D7"/>
            </w:tcBorders>
            <w:shd w:fill="DBE5F1" w:val="clear"/>
            <w:tcMar>
              <w:bottom w:w="28" w:type="dxa"/>
              <w:right w:w="28" w:type="dxa"/>
            </w:tcMar>
            <w:vAlign w:val="center"/>
          </w:tcPr>
          <w:p>
            <w:pPr>
              <w:pStyle w:val="TableContents"/>
              <w:bidi w:val="0"/>
              <w:spacing w:before="0" w:after="283"/>
              <w:jc w:val="left"/>
              <w:rPr/>
            </w:pPr>
            <w:r>
              <w:rPr/>
              <w:t> </w:t>
            </w:r>
            <w:r>
              <w:rPr/>
              <w:t>Warburg Pincus(2)</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880" w:type="dxa"/>
            <w:tcBorders>
              <w:bottom w:val="single" w:sz="8" w:space="0" w:color="95B3D7"/>
              <w:right w:val="single" w:sz="8" w:space="0" w:color="95B3D7"/>
            </w:tcBorders>
            <w:shd w:fill="DBE5F1" w:val="clear"/>
            <w:tcMar>
              <w:bottom w:w="28" w:type="dxa"/>
              <w:right w:w="28" w:type="dxa"/>
            </w:tcMar>
            <w:vAlign w:val="center"/>
          </w:tcPr>
          <w:p>
            <w:pPr>
              <w:pStyle w:val="TableContents"/>
              <w:bidi w:val="0"/>
              <w:spacing w:before="0" w:after="283"/>
              <w:jc w:val="center"/>
              <w:rPr/>
            </w:pPr>
            <w:r>
              <w:rPr/>
              <w:t>17,922,779</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160" w:type="dxa"/>
            <w:tcBorders>
              <w:bottom w:val="single" w:sz="8" w:space="0" w:color="95B3D7"/>
            </w:tcBorders>
            <w:shd w:fill="DBE5F1" w:val="clear"/>
            <w:tcMar>
              <w:bottom w:w="28" w:type="dxa"/>
            </w:tcMar>
            <w:vAlign w:val="center"/>
          </w:tcPr>
          <w:p>
            <w:pPr>
              <w:pStyle w:val="TableContents"/>
              <w:bidi w:val="0"/>
              <w:spacing w:before="0" w:after="283"/>
              <w:jc w:val="center"/>
              <w:rPr/>
            </w:pPr>
            <w:r>
              <w:rPr/>
              <w:t>[ ]%</w:t>
            </w:r>
          </w:p>
        </w:tc>
      </w:tr>
      <w:tr>
        <w:trPr/>
        <w:tc>
          <w:tcPr>
            <w:tcW w:w="4175" w:type="dxa"/>
            <w:tcBorders>
              <w:bottom w:val="single" w:sz="8" w:space="0" w:color="95B3D7"/>
              <w:right w:val="single" w:sz="8" w:space="0" w:color="95B3D7"/>
            </w:tcBorders>
            <w:tcMar>
              <w:bottom w:w="28" w:type="dxa"/>
              <w:right w:w="28" w:type="dxa"/>
            </w:tcMar>
            <w:vAlign w:val="center"/>
          </w:tcPr>
          <w:p>
            <w:pPr>
              <w:pStyle w:val="TableContents"/>
              <w:bidi w:val="0"/>
              <w:spacing w:before="0" w:after="0"/>
              <w:jc w:val="left"/>
              <w:rPr/>
            </w:pPr>
            <w:r>
              <w:rPr/>
              <w:t> </w:t>
            </w:r>
            <w:r>
              <w:rPr>
                <w:rFonts w:ascii="ARIAL" w:hAnsi="ARIAL"/>
                <w:sz w:val="20"/>
              </w:rPr>
              <w:t>Fidelity Investments(3)</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880" w:type="dxa"/>
            <w:tcBorders>
              <w:bottom w:val="single" w:sz="8" w:space="0" w:color="95B3D7"/>
              <w:right w:val="single" w:sz="8" w:space="0" w:color="95B3D7"/>
            </w:tcBorders>
            <w:tcMar>
              <w:bottom w:w="28" w:type="dxa"/>
              <w:right w:w="28" w:type="dxa"/>
            </w:tcMar>
            <w:vAlign w:val="center"/>
          </w:tcPr>
          <w:p>
            <w:pPr>
              <w:pStyle w:val="TableContents"/>
              <w:bidi w:val="0"/>
              <w:spacing w:before="0" w:after="283"/>
              <w:jc w:val="center"/>
              <w:rPr/>
            </w:pPr>
            <w:r>
              <w:rPr/>
              <w:t>17,000,204</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160" w:type="dxa"/>
            <w:tcBorders>
              <w:bottom w:val="single" w:sz="8" w:space="0" w:color="95B3D7"/>
            </w:tcBorders>
            <w:tcMar>
              <w:bottom w:w="28" w:type="dxa"/>
            </w:tcMar>
            <w:vAlign w:val="center"/>
          </w:tcPr>
          <w:p>
            <w:pPr>
              <w:pStyle w:val="TableContents"/>
              <w:bidi w:val="0"/>
              <w:spacing w:before="0" w:after="283"/>
              <w:jc w:val="center"/>
              <w:rPr/>
            </w:pPr>
            <w:r>
              <w:rPr/>
              <w:t>[ ]%</w:t>
            </w:r>
          </w:p>
        </w:tc>
      </w:tr>
      <w:tr>
        <w:trPr/>
        <w:tc>
          <w:tcPr>
            <w:tcW w:w="4175" w:type="dxa"/>
            <w:tcBorders>
              <w:bottom w:val="single" w:sz="8" w:space="0" w:color="95B3D7"/>
              <w:right w:val="single" w:sz="8" w:space="0" w:color="95B3D7"/>
            </w:tcBorders>
            <w:tcMar>
              <w:bottom w:w="28" w:type="dxa"/>
              <w:right w:w="28" w:type="dxa"/>
            </w:tcMar>
            <w:vAlign w:val="center"/>
          </w:tcPr>
          <w:p>
            <w:pPr>
              <w:pStyle w:val="TableContents"/>
              <w:bidi w:val="0"/>
              <w:spacing w:before="0" w:after="0"/>
              <w:jc w:val="left"/>
              <w:rPr/>
            </w:pPr>
            <w:r>
              <w:rPr/>
              <w:t> </w:t>
            </w:r>
            <w:r>
              <w:rPr>
                <w:rFonts w:ascii="ARIAL" w:hAnsi="ARIAL"/>
                <w:sz w:val="20"/>
              </w:rPr>
              <w:t>T. Rowe Price(4)</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880" w:type="dxa"/>
            <w:tcBorders>
              <w:bottom w:val="single" w:sz="8" w:space="0" w:color="95B3D7"/>
              <w:right w:val="single" w:sz="8" w:space="0" w:color="95B3D7"/>
            </w:tcBorders>
            <w:tcMar>
              <w:bottom w:w="28" w:type="dxa"/>
              <w:right w:w="28" w:type="dxa"/>
            </w:tcMar>
            <w:vAlign w:val="center"/>
          </w:tcPr>
          <w:p>
            <w:pPr>
              <w:pStyle w:val="TableContents"/>
              <w:bidi w:val="0"/>
              <w:spacing w:before="0" w:after="283"/>
              <w:jc w:val="center"/>
              <w:rPr/>
            </w:pPr>
            <w:r>
              <w:rPr/>
              <w:t>12,075,504</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160" w:type="dxa"/>
            <w:tcBorders>
              <w:bottom w:val="single" w:sz="8" w:space="0" w:color="95B3D7"/>
            </w:tcBorders>
            <w:tcMar>
              <w:bottom w:w="28" w:type="dxa"/>
            </w:tcMar>
            <w:vAlign w:val="center"/>
          </w:tcPr>
          <w:p>
            <w:pPr>
              <w:pStyle w:val="TableContents"/>
              <w:bidi w:val="0"/>
              <w:spacing w:before="0" w:after="283"/>
              <w:jc w:val="center"/>
              <w:rPr/>
            </w:pPr>
            <w:r>
              <w:rPr/>
              <w:t>[ ]%</w:t>
            </w:r>
          </w:p>
        </w:tc>
      </w:tr>
      <w:tr>
        <w:trPr/>
        <w:tc>
          <w:tcPr>
            <w:tcW w:w="4175" w:type="dxa"/>
            <w:tcBorders>
              <w:bottom w:val="single" w:sz="8" w:space="0" w:color="95B3D7"/>
              <w:right w:val="single" w:sz="8" w:space="0" w:color="95B3D7"/>
            </w:tcBorders>
            <w:shd w:fill="DBE5F1" w:val="clear"/>
            <w:tcMar>
              <w:bottom w:w="28" w:type="dxa"/>
              <w:right w:w="28" w:type="dxa"/>
            </w:tcMar>
            <w:vAlign w:val="center"/>
          </w:tcPr>
          <w:p>
            <w:pPr>
              <w:pStyle w:val="TableContents"/>
              <w:bidi w:val="0"/>
              <w:spacing w:before="0" w:after="283"/>
              <w:jc w:val="left"/>
              <w:rPr/>
            </w:pPr>
            <w:r>
              <w:rPr/>
              <w:t> </w:t>
            </w:r>
            <w:r>
              <w:rPr>
                <w:b/>
              </w:rPr>
              <w:t>Named Executive Officers and Directors</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880" w:type="dxa"/>
            <w:tcBorders>
              <w:bottom w:val="single" w:sz="8" w:space="0" w:color="95B3D7"/>
              <w:right w:val="single" w:sz="8" w:space="0" w:color="95B3D7"/>
            </w:tcBorders>
            <w:shd w:fill="DBE5F1" w:val="clear"/>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1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r>
      <w:tr>
        <w:trPr/>
        <w:tc>
          <w:tcPr>
            <w:tcW w:w="4175" w:type="dxa"/>
            <w:tcBorders>
              <w:bottom w:val="single" w:sz="8" w:space="0" w:color="95B3D7"/>
              <w:right w:val="single" w:sz="8" w:space="0" w:color="95B3D7"/>
            </w:tcBorders>
            <w:tcMar>
              <w:bottom w:w="28" w:type="dxa"/>
              <w:right w:w="28" w:type="dxa"/>
            </w:tcMar>
            <w:vAlign w:val="center"/>
          </w:tcPr>
          <w:p>
            <w:pPr>
              <w:pStyle w:val="TableContents"/>
              <w:bidi w:val="0"/>
              <w:spacing w:before="0" w:after="0"/>
              <w:jc w:val="left"/>
              <w:rPr/>
            </w:pPr>
            <w:r>
              <w:rPr/>
              <w:t> </w:t>
            </w:r>
            <w:r>
              <w:rPr>
                <w:rFonts w:ascii="ARIAL" w:hAnsi="ARIAL"/>
                <w:sz w:val="20"/>
              </w:rPr>
              <w:t>John Kao(5)</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880" w:type="dxa"/>
            <w:tcBorders>
              <w:bottom w:val="single" w:sz="8" w:space="0" w:color="95B3D7"/>
              <w:right w:val="single" w:sz="8" w:space="0" w:color="95B3D7"/>
            </w:tcBorders>
            <w:tcMar>
              <w:bottom w:w="28" w:type="dxa"/>
              <w:right w:w="28" w:type="dxa"/>
            </w:tcMar>
            <w:vAlign w:val="center"/>
          </w:tcPr>
          <w:p>
            <w:pPr>
              <w:pStyle w:val="TableContents"/>
              <w:bidi w:val="0"/>
              <w:spacing w:before="0" w:after="283"/>
              <w:jc w:val="center"/>
              <w:rPr/>
            </w:pPr>
            <w:r>
              <w:rPr/>
              <w:t> </w:t>
            </w:r>
            <w:r>
              <w:rPr/>
              <w:t>6,293,208</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160" w:type="dxa"/>
            <w:tcBorders>
              <w:bottom w:val="single" w:sz="8" w:space="0" w:color="95B3D7"/>
            </w:tcBorders>
            <w:tcMar>
              <w:bottom w:w="28" w:type="dxa"/>
            </w:tcMar>
            <w:vAlign w:val="center"/>
          </w:tcPr>
          <w:p>
            <w:pPr>
              <w:pStyle w:val="TableContents"/>
              <w:bidi w:val="0"/>
              <w:spacing w:before="0" w:after="283"/>
              <w:jc w:val="center"/>
              <w:rPr/>
            </w:pPr>
            <w:r>
              <w:rPr/>
              <w:t>[ ]%</w:t>
            </w:r>
          </w:p>
        </w:tc>
      </w:tr>
      <w:tr>
        <w:trPr/>
        <w:tc>
          <w:tcPr>
            <w:tcW w:w="4175" w:type="dxa"/>
            <w:tcBorders>
              <w:bottom w:val="single" w:sz="8" w:space="0" w:color="95B3D7"/>
              <w:right w:val="single" w:sz="8" w:space="0" w:color="95B3D7"/>
            </w:tcBorders>
            <w:shd w:fill="DBE5F1" w:val="clear"/>
            <w:tcMar>
              <w:bottom w:w="28" w:type="dxa"/>
              <w:right w:w="28" w:type="dxa"/>
            </w:tcMar>
            <w:vAlign w:val="center"/>
          </w:tcPr>
          <w:p>
            <w:pPr>
              <w:pStyle w:val="TableContents"/>
              <w:bidi w:val="0"/>
              <w:spacing w:before="0" w:after="283"/>
              <w:jc w:val="left"/>
              <w:rPr/>
            </w:pPr>
            <w:r>
              <w:rPr/>
              <w:t> </w:t>
            </w:r>
            <w:r>
              <w:rPr/>
              <w:t>Dawn Maroney(6)</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880" w:type="dxa"/>
            <w:tcBorders>
              <w:bottom w:val="single" w:sz="8" w:space="0" w:color="95B3D7"/>
              <w:right w:val="single" w:sz="8" w:space="0" w:color="95B3D7"/>
            </w:tcBorders>
            <w:shd w:fill="DBE5F1" w:val="clear"/>
            <w:tcMar>
              <w:bottom w:w="28" w:type="dxa"/>
              <w:right w:w="28" w:type="dxa"/>
            </w:tcMar>
            <w:vAlign w:val="center"/>
          </w:tcPr>
          <w:p>
            <w:pPr>
              <w:pStyle w:val="TableContents"/>
              <w:bidi w:val="0"/>
              <w:spacing w:before="0" w:after="283"/>
              <w:jc w:val="center"/>
              <w:rPr/>
            </w:pPr>
            <w:r>
              <w:rPr/>
              <w:t> </w:t>
            </w:r>
            <w:r>
              <w:rPr/>
              <w:t>1,755,955</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160" w:type="dxa"/>
            <w:tcBorders>
              <w:bottom w:val="single" w:sz="8" w:space="0" w:color="95B3D7"/>
            </w:tcBorders>
            <w:shd w:fill="DBE5F1" w:val="clear"/>
            <w:tcMar>
              <w:bottom w:w="28" w:type="dxa"/>
            </w:tcMar>
            <w:vAlign w:val="center"/>
          </w:tcPr>
          <w:p>
            <w:pPr>
              <w:pStyle w:val="TableContents"/>
              <w:bidi w:val="0"/>
              <w:spacing w:before="0" w:after="283"/>
              <w:jc w:val="center"/>
              <w:rPr/>
            </w:pPr>
            <w:r>
              <w:rPr/>
              <w:t>*</w:t>
            </w:r>
          </w:p>
        </w:tc>
      </w:tr>
      <w:tr>
        <w:trPr/>
        <w:tc>
          <w:tcPr>
            <w:tcW w:w="4175" w:type="dxa"/>
            <w:tcBorders>
              <w:bottom w:val="single" w:sz="8" w:space="0" w:color="95B3D7"/>
              <w:right w:val="single" w:sz="8" w:space="0" w:color="95B3D7"/>
            </w:tcBorders>
            <w:tcMar>
              <w:bottom w:w="28" w:type="dxa"/>
              <w:right w:w="28" w:type="dxa"/>
            </w:tcMar>
            <w:vAlign w:val="center"/>
          </w:tcPr>
          <w:p>
            <w:pPr>
              <w:pStyle w:val="TableContents"/>
              <w:bidi w:val="0"/>
              <w:spacing w:before="0" w:after="0"/>
              <w:jc w:val="left"/>
              <w:rPr/>
            </w:pPr>
            <w:r>
              <w:rPr/>
              <w:t> </w:t>
            </w:r>
            <w:r>
              <w:rPr>
                <w:rFonts w:ascii="ARIAL" w:hAnsi="ARIAL"/>
                <w:sz w:val="20"/>
              </w:rPr>
              <w:t>Thomas Freeman(7)</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880" w:type="dxa"/>
            <w:tcBorders>
              <w:bottom w:val="single" w:sz="8" w:space="0" w:color="95B3D7"/>
              <w:right w:val="single" w:sz="8" w:space="0" w:color="95B3D7"/>
            </w:tcBorders>
            <w:tcMar>
              <w:bottom w:w="28" w:type="dxa"/>
              <w:right w:w="28" w:type="dxa"/>
            </w:tcMar>
            <w:vAlign w:val="center"/>
          </w:tcPr>
          <w:p>
            <w:pPr>
              <w:pStyle w:val="TableContents"/>
              <w:bidi w:val="0"/>
              <w:spacing w:before="0" w:after="283"/>
              <w:jc w:val="center"/>
              <w:rPr/>
            </w:pPr>
            <w:r>
              <w:rPr/>
              <w:t> </w:t>
            </w:r>
            <w:r>
              <w:rPr/>
              <w:t>1,494,445</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160" w:type="dxa"/>
            <w:tcBorders>
              <w:bottom w:val="single" w:sz="8" w:space="0" w:color="95B3D7"/>
            </w:tcBorders>
            <w:tcMar>
              <w:bottom w:w="28" w:type="dxa"/>
            </w:tcMar>
            <w:vAlign w:val="center"/>
          </w:tcPr>
          <w:p>
            <w:pPr>
              <w:pStyle w:val="TableContents"/>
              <w:bidi w:val="0"/>
              <w:spacing w:before="0" w:after="283"/>
              <w:jc w:val="center"/>
              <w:rPr/>
            </w:pPr>
            <w:r>
              <w:rPr/>
              <w:t>*</w:t>
            </w:r>
          </w:p>
        </w:tc>
      </w:tr>
      <w:tr>
        <w:trPr/>
        <w:tc>
          <w:tcPr>
            <w:tcW w:w="4175" w:type="dxa"/>
            <w:tcBorders>
              <w:bottom w:val="single" w:sz="8" w:space="0" w:color="95B3D7"/>
              <w:right w:val="single" w:sz="8" w:space="0" w:color="95B3D7"/>
            </w:tcBorders>
            <w:shd w:fill="DBE5F1" w:val="clear"/>
            <w:tcMar>
              <w:bottom w:w="28" w:type="dxa"/>
              <w:right w:w="28" w:type="dxa"/>
            </w:tcMar>
            <w:vAlign w:val="center"/>
          </w:tcPr>
          <w:p>
            <w:pPr>
              <w:pStyle w:val="TableContents"/>
              <w:bidi w:val="0"/>
              <w:spacing w:before="0" w:after="283"/>
              <w:jc w:val="left"/>
              <w:rPr/>
            </w:pPr>
            <w:r>
              <w:rPr/>
              <w:t> </w:t>
            </w:r>
            <w:r>
              <w:rPr/>
              <w:t>Hakan Kardes(8)</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880" w:type="dxa"/>
            <w:tcBorders>
              <w:bottom w:val="single" w:sz="8" w:space="0" w:color="95B3D7"/>
              <w:right w:val="single" w:sz="8" w:space="0" w:color="95B3D7"/>
            </w:tcBorders>
            <w:shd w:fill="DBE5F1" w:val="clear"/>
            <w:tcMar>
              <w:bottom w:w="28" w:type="dxa"/>
              <w:right w:w="28" w:type="dxa"/>
            </w:tcMar>
            <w:vAlign w:val="center"/>
          </w:tcPr>
          <w:p>
            <w:pPr>
              <w:pStyle w:val="TableContents"/>
              <w:bidi w:val="0"/>
              <w:spacing w:before="0" w:after="283"/>
              <w:jc w:val="center"/>
              <w:rPr/>
            </w:pPr>
            <w:r>
              <w:rPr/>
              <w:t>   </w:t>
            </w:r>
            <w:r>
              <w:rPr/>
              <w:t>504,784</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160" w:type="dxa"/>
            <w:tcBorders>
              <w:bottom w:val="single" w:sz="8" w:space="0" w:color="95B3D7"/>
            </w:tcBorders>
            <w:shd w:fill="DBE5F1" w:val="clear"/>
            <w:tcMar>
              <w:bottom w:w="28" w:type="dxa"/>
            </w:tcMar>
            <w:vAlign w:val="center"/>
          </w:tcPr>
          <w:p>
            <w:pPr>
              <w:pStyle w:val="TableContents"/>
              <w:bidi w:val="0"/>
              <w:spacing w:before="0" w:after="283"/>
              <w:jc w:val="center"/>
              <w:rPr/>
            </w:pPr>
            <w:r>
              <w:rPr/>
              <w:t>*</w:t>
            </w:r>
          </w:p>
        </w:tc>
      </w:tr>
      <w:tr>
        <w:trPr/>
        <w:tc>
          <w:tcPr>
            <w:tcW w:w="4175" w:type="dxa"/>
            <w:tcBorders>
              <w:bottom w:val="single" w:sz="8" w:space="0" w:color="95B3D7"/>
              <w:right w:val="single" w:sz="8" w:space="0" w:color="95B3D7"/>
            </w:tcBorders>
            <w:tcMar>
              <w:bottom w:w="28" w:type="dxa"/>
              <w:right w:w="28" w:type="dxa"/>
            </w:tcMar>
            <w:vAlign w:val="center"/>
          </w:tcPr>
          <w:p>
            <w:pPr>
              <w:pStyle w:val="TableContents"/>
              <w:bidi w:val="0"/>
              <w:spacing w:before="0" w:after="0"/>
              <w:jc w:val="left"/>
              <w:rPr/>
            </w:pPr>
            <w:r>
              <w:rPr/>
              <w:t> </w:t>
            </w:r>
            <w:r>
              <w:rPr>
                <w:rFonts w:ascii="ARIAL" w:hAnsi="ARIAL"/>
                <w:sz w:val="20"/>
              </w:rPr>
              <w:t>Hyong (Ken) Kim, M.D.</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880" w:type="dxa"/>
            <w:tcBorders>
              <w:bottom w:val="single" w:sz="8" w:space="0" w:color="95B3D7"/>
              <w:right w:val="single" w:sz="8" w:space="0" w:color="95B3D7"/>
            </w:tcBorders>
            <w:tcMar>
              <w:bottom w:w="28" w:type="dxa"/>
              <w:right w:w="28" w:type="dxa"/>
            </w:tcMar>
            <w:vAlign w:val="center"/>
          </w:tcPr>
          <w:p>
            <w:pPr>
              <w:pStyle w:val="TableContents"/>
              <w:bidi w:val="0"/>
              <w:spacing w:before="0" w:after="283"/>
              <w:jc w:val="center"/>
              <w:rPr/>
            </w:pPr>
            <w:r>
              <w:rPr/>
              <w:t>    </w:t>
            </w:r>
            <w:r>
              <w:rPr/>
              <w:t>13,394</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160" w:type="dxa"/>
            <w:tcBorders>
              <w:bottom w:val="single" w:sz="8" w:space="0" w:color="95B3D7"/>
            </w:tcBorders>
            <w:tcMar>
              <w:bottom w:w="28" w:type="dxa"/>
            </w:tcMar>
            <w:vAlign w:val="center"/>
          </w:tcPr>
          <w:p>
            <w:pPr>
              <w:pStyle w:val="TableContents"/>
              <w:bidi w:val="0"/>
              <w:spacing w:before="0" w:after="283"/>
              <w:jc w:val="center"/>
              <w:rPr/>
            </w:pPr>
            <w:r>
              <w:rPr/>
              <w:t>*</w:t>
            </w:r>
          </w:p>
        </w:tc>
      </w:tr>
      <w:tr>
        <w:trPr/>
        <w:tc>
          <w:tcPr>
            <w:tcW w:w="4175" w:type="dxa"/>
            <w:tcBorders>
              <w:bottom w:val="single" w:sz="8" w:space="0" w:color="95B3D7"/>
              <w:right w:val="single" w:sz="8" w:space="0" w:color="95B3D7"/>
            </w:tcBorders>
            <w:shd w:fill="DBE5F1" w:val="clear"/>
            <w:tcMar>
              <w:bottom w:w="28" w:type="dxa"/>
              <w:right w:w="28" w:type="dxa"/>
            </w:tcMar>
            <w:vAlign w:val="center"/>
          </w:tcPr>
          <w:p>
            <w:pPr>
              <w:pStyle w:val="TableContents"/>
              <w:bidi w:val="0"/>
              <w:spacing w:before="0" w:after="283"/>
              <w:jc w:val="left"/>
              <w:rPr/>
            </w:pPr>
            <w:r>
              <w:rPr/>
              <w:t> </w:t>
            </w:r>
            <w:r>
              <w:rPr/>
              <w:t>Jody Bilney</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880" w:type="dxa"/>
            <w:tcBorders>
              <w:bottom w:val="single" w:sz="8" w:space="0" w:color="95B3D7"/>
              <w:right w:val="single" w:sz="8" w:space="0" w:color="95B3D7"/>
            </w:tcBorders>
            <w:shd w:fill="DBE5F1" w:val="clear"/>
            <w:tcMar>
              <w:bottom w:w="28" w:type="dxa"/>
              <w:right w:w="28" w:type="dxa"/>
            </w:tcMar>
            <w:vAlign w:val="center"/>
          </w:tcPr>
          <w:p>
            <w:pPr>
              <w:pStyle w:val="TableContents"/>
              <w:bidi w:val="0"/>
              <w:spacing w:before="0" w:after="283"/>
              <w:jc w:val="center"/>
              <w:rPr/>
            </w:pPr>
            <w:r>
              <w:rPr/>
              <w:t>    </w:t>
            </w:r>
            <w:r>
              <w:rPr/>
              <w:t>48,282</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160" w:type="dxa"/>
            <w:tcBorders>
              <w:bottom w:val="single" w:sz="8" w:space="0" w:color="95B3D7"/>
            </w:tcBorders>
            <w:shd w:fill="DBE5F1" w:val="clear"/>
            <w:tcMar>
              <w:bottom w:w="28" w:type="dxa"/>
            </w:tcMar>
            <w:vAlign w:val="center"/>
          </w:tcPr>
          <w:p>
            <w:pPr>
              <w:pStyle w:val="TableContents"/>
              <w:bidi w:val="0"/>
              <w:spacing w:before="0" w:after="283"/>
              <w:jc w:val="center"/>
              <w:rPr/>
            </w:pPr>
            <w:r>
              <w:rPr/>
              <w:t>*</w:t>
            </w:r>
          </w:p>
        </w:tc>
      </w:tr>
      <w:tr>
        <w:trPr/>
        <w:tc>
          <w:tcPr>
            <w:tcW w:w="4175" w:type="dxa"/>
            <w:tcBorders>
              <w:bottom w:val="single" w:sz="8" w:space="0" w:color="95B3D7"/>
              <w:right w:val="single" w:sz="8" w:space="0" w:color="95B3D7"/>
            </w:tcBorders>
            <w:tcMar>
              <w:bottom w:w="28" w:type="dxa"/>
              <w:right w:w="28" w:type="dxa"/>
            </w:tcMar>
            <w:vAlign w:val="center"/>
          </w:tcPr>
          <w:p>
            <w:pPr>
              <w:pStyle w:val="TableContents"/>
              <w:bidi w:val="0"/>
              <w:spacing w:before="0" w:after="0"/>
              <w:jc w:val="left"/>
              <w:rPr/>
            </w:pPr>
            <w:r>
              <w:rPr/>
              <w:t> </w:t>
            </w:r>
            <w:r>
              <w:rPr>
                <w:rFonts w:ascii="ARIAL" w:hAnsi="ARIAL"/>
                <w:sz w:val="20"/>
              </w:rPr>
              <w:t>Thomas Carella</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880" w:type="dxa"/>
            <w:tcBorders>
              <w:bottom w:val="single" w:sz="8" w:space="0" w:color="95B3D7"/>
              <w:right w:val="single" w:sz="8" w:space="0" w:color="95B3D7"/>
            </w:tcBorders>
            <w:tcMar>
              <w:bottom w:w="28" w:type="dxa"/>
              <w:right w:w="28" w:type="dxa"/>
            </w:tcMar>
            <w:vAlign w:val="center"/>
          </w:tcPr>
          <w:p>
            <w:pPr>
              <w:pStyle w:val="TableContents"/>
              <w:bidi w:val="0"/>
              <w:spacing w:before="0" w:after="283"/>
              <w:jc w:val="center"/>
              <w:rPr/>
            </w:pPr>
            <w:r>
              <w:rPr/>
              <w:t>    </w:t>
            </w:r>
            <w:r>
              <w:rPr/>
              <w:t>84,478</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160" w:type="dxa"/>
            <w:tcBorders>
              <w:bottom w:val="single" w:sz="8" w:space="0" w:color="95B3D7"/>
            </w:tcBorders>
            <w:tcMar>
              <w:bottom w:w="28" w:type="dxa"/>
            </w:tcMar>
            <w:vAlign w:val="center"/>
          </w:tcPr>
          <w:p>
            <w:pPr>
              <w:pStyle w:val="TableContents"/>
              <w:bidi w:val="0"/>
              <w:spacing w:before="0" w:after="283"/>
              <w:jc w:val="center"/>
              <w:rPr/>
            </w:pPr>
            <w:r>
              <w:rPr/>
              <w:t>*</w:t>
            </w:r>
          </w:p>
        </w:tc>
      </w:tr>
      <w:tr>
        <w:trPr/>
        <w:tc>
          <w:tcPr>
            <w:tcW w:w="4175" w:type="dxa"/>
            <w:tcBorders>
              <w:bottom w:val="single" w:sz="8" w:space="0" w:color="95B3D7"/>
              <w:right w:val="single" w:sz="8" w:space="0" w:color="95B3D7"/>
            </w:tcBorders>
            <w:shd w:fill="DBE5F1" w:val="clear"/>
            <w:tcMar>
              <w:bottom w:w="28" w:type="dxa"/>
              <w:right w:w="28" w:type="dxa"/>
            </w:tcMar>
            <w:vAlign w:val="center"/>
          </w:tcPr>
          <w:p>
            <w:pPr>
              <w:pStyle w:val="TableContents"/>
              <w:bidi w:val="0"/>
              <w:spacing w:before="0" w:after="283"/>
              <w:jc w:val="left"/>
              <w:rPr/>
            </w:pPr>
            <w:r>
              <w:rPr/>
              <w:t> </w:t>
            </w:r>
            <w:r>
              <w:rPr/>
              <w:t>David Hodgson</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880" w:type="dxa"/>
            <w:tcBorders>
              <w:bottom w:val="single" w:sz="8" w:space="0" w:color="95B3D7"/>
              <w:right w:val="single" w:sz="8" w:space="0" w:color="95B3D7"/>
            </w:tcBorders>
            <w:shd w:fill="DBE5F1" w:val="clear"/>
            <w:tcMar>
              <w:bottom w:w="28" w:type="dxa"/>
              <w:right w:w="28" w:type="dxa"/>
            </w:tcMar>
            <w:vAlign w:val="center"/>
          </w:tcPr>
          <w:p>
            <w:pPr>
              <w:pStyle w:val="TableContents"/>
              <w:bidi w:val="0"/>
              <w:spacing w:before="0" w:after="283"/>
              <w:jc w:val="center"/>
              <w:rPr/>
            </w:pPr>
            <w:r>
              <w:rPr/>
              <w:t>    </w:t>
            </w:r>
            <w:r>
              <w:rPr/>
              <w:t>85,716</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160" w:type="dxa"/>
            <w:tcBorders>
              <w:bottom w:val="single" w:sz="8" w:space="0" w:color="95B3D7"/>
            </w:tcBorders>
            <w:shd w:fill="DBE5F1" w:val="clear"/>
            <w:tcMar>
              <w:bottom w:w="28" w:type="dxa"/>
            </w:tcMar>
            <w:vAlign w:val="center"/>
          </w:tcPr>
          <w:p>
            <w:pPr>
              <w:pStyle w:val="TableContents"/>
              <w:bidi w:val="0"/>
              <w:spacing w:before="0" w:after="283"/>
              <w:jc w:val="center"/>
              <w:rPr/>
            </w:pPr>
            <w:r>
              <w:rPr/>
              <w:t>*</w:t>
            </w:r>
          </w:p>
        </w:tc>
      </w:tr>
      <w:tr>
        <w:trPr/>
        <w:tc>
          <w:tcPr>
            <w:tcW w:w="4175" w:type="dxa"/>
            <w:tcBorders>
              <w:bottom w:val="single" w:sz="8" w:space="0" w:color="95B3D7"/>
              <w:right w:val="single" w:sz="8" w:space="0" w:color="95B3D7"/>
            </w:tcBorders>
            <w:tcMar>
              <w:bottom w:w="28" w:type="dxa"/>
              <w:right w:w="28" w:type="dxa"/>
            </w:tcMar>
            <w:vAlign w:val="center"/>
          </w:tcPr>
          <w:p>
            <w:pPr>
              <w:pStyle w:val="TableContents"/>
              <w:bidi w:val="0"/>
              <w:spacing w:before="0" w:after="0"/>
              <w:jc w:val="left"/>
              <w:rPr/>
            </w:pPr>
            <w:r>
              <w:rPr/>
              <w:t> </w:t>
            </w:r>
            <w:r>
              <w:rPr>
                <w:rFonts w:ascii="ARIAL" w:hAnsi="ARIAL"/>
                <w:sz w:val="20"/>
              </w:rPr>
              <w:t>Yon Jorden</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880" w:type="dxa"/>
            <w:tcBorders>
              <w:bottom w:val="single" w:sz="8" w:space="0" w:color="95B3D7"/>
              <w:right w:val="single" w:sz="8" w:space="0" w:color="95B3D7"/>
            </w:tcBorders>
            <w:tcMar>
              <w:bottom w:w="28" w:type="dxa"/>
              <w:right w:w="28" w:type="dxa"/>
            </w:tcMar>
            <w:vAlign w:val="center"/>
          </w:tcPr>
          <w:p>
            <w:pPr>
              <w:pStyle w:val="TableContents"/>
              <w:bidi w:val="0"/>
              <w:spacing w:before="0" w:after="283"/>
              <w:jc w:val="center"/>
              <w:rPr/>
            </w:pPr>
            <w:r>
              <w:rPr/>
              <w:t>    </w:t>
            </w:r>
            <w:r>
              <w:rPr/>
              <w:t>41,014</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160" w:type="dxa"/>
            <w:tcBorders>
              <w:bottom w:val="single" w:sz="8" w:space="0" w:color="95B3D7"/>
            </w:tcBorders>
            <w:tcMar>
              <w:bottom w:w="28" w:type="dxa"/>
            </w:tcMar>
            <w:vAlign w:val="center"/>
          </w:tcPr>
          <w:p>
            <w:pPr>
              <w:pStyle w:val="TableContents"/>
              <w:bidi w:val="0"/>
              <w:spacing w:before="0" w:after="283"/>
              <w:jc w:val="center"/>
              <w:rPr/>
            </w:pPr>
            <w:r>
              <w:rPr/>
              <w:t>*</w:t>
            </w:r>
          </w:p>
        </w:tc>
      </w:tr>
      <w:tr>
        <w:trPr/>
        <w:tc>
          <w:tcPr>
            <w:tcW w:w="4175" w:type="dxa"/>
            <w:tcBorders>
              <w:bottom w:val="single" w:sz="8" w:space="0" w:color="95B3D7"/>
              <w:right w:val="single" w:sz="8" w:space="0" w:color="95B3D7"/>
            </w:tcBorders>
            <w:shd w:fill="DBE5F1" w:val="clear"/>
            <w:tcMar>
              <w:bottom w:w="28" w:type="dxa"/>
              <w:right w:w="28" w:type="dxa"/>
            </w:tcMar>
            <w:vAlign w:val="center"/>
          </w:tcPr>
          <w:p>
            <w:pPr>
              <w:pStyle w:val="TableContents"/>
              <w:bidi w:val="0"/>
              <w:spacing w:before="0" w:after="283"/>
              <w:jc w:val="left"/>
              <w:rPr/>
            </w:pPr>
            <w:r>
              <w:rPr/>
              <w:t> </w:t>
            </w:r>
            <w:r>
              <w:rPr/>
              <w:t>Joseph Konowiecki(9)</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880" w:type="dxa"/>
            <w:tcBorders>
              <w:bottom w:val="single" w:sz="8" w:space="0" w:color="95B3D7"/>
              <w:right w:val="single" w:sz="8" w:space="0" w:color="95B3D7"/>
            </w:tcBorders>
            <w:shd w:fill="DBE5F1" w:val="clear"/>
            <w:tcMar>
              <w:bottom w:w="28" w:type="dxa"/>
              <w:right w:w="28" w:type="dxa"/>
            </w:tcMar>
            <w:vAlign w:val="center"/>
          </w:tcPr>
          <w:p>
            <w:pPr>
              <w:pStyle w:val="TableContents"/>
              <w:bidi w:val="0"/>
              <w:spacing w:before="0" w:after="283"/>
              <w:jc w:val="center"/>
              <w:rPr/>
            </w:pPr>
            <w:r>
              <w:rPr/>
              <w:t>   </w:t>
            </w:r>
            <w:r>
              <w:rPr/>
              <w:t>982,531</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160" w:type="dxa"/>
            <w:tcBorders>
              <w:bottom w:val="single" w:sz="8" w:space="0" w:color="95B3D7"/>
            </w:tcBorders>
            <w:shd w:fill="DBE5F1" w:val="clear"/>
            <w:tcMar>
              <w:bottom w:w="28" w:type="dxa"/>
            </w:tcMar>
            <w:vAlign w:val="center"/>
          </w:tcPr>
          <w:p>
            <w:pPr>
              <w:pStyle w:val="TableContents"/>
              <w:bidi w:val="0"/>
              <w:spacing w:before="0" w:after="283"/>
              <w:jc w:val="center"/>
              <w:rPr/>
            </w:pPr>
            <w:r>
              <w:rPr/>
              <w:t>*</w:t>
            </w:r>
          </w:p>
        </w:tc>
      </w:tr>
      <w:tr>
        <w:trPr/>
        <w:tc>
          <w:tcPr>
            <w:tcW w:w="4175" w:type="dxa"/>
            <w:tcBorders>
              <w:bottom w:val="single" w:sz="8" w:space="0" w:color="95B3D7"/>
              <w:right w:val="single" w:sz="8" w:space="0" w:color="95B3D7"/>
            </w:tcBorders>
            <w:tcMar>
              <w:bottom w:w="28" w:type="dxa"/>
              <w:right w:w="28" w:type="dxa"/>
            </w:tcMar>
            <w:vAlign w:val="center"/>
          </w:tcPr>
          <w:p>
            <w:pPr>
              <w:pStyle w:val="TableContents"/>
              <w:bidi w:val="0"/>
              <w:spacing w:before="0" w:after="0"/>
              <w:jc w:val="left"/>
              <w:rPr/>
            </w:pPr>
            <w:r>
              <w:rPr/>
              <w:t> </w:t>
            </w:r>
            <w:r>
              <w:rPr>
                <w:rFonts w:ascii="ARIAL" w:hAnsi="ARIAL"/>
                <w:sz w:val="20"/>
              </w:rPr>
              <w:t>Jacqueline Kosecoff</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880" w:type="dxa"/>
            <w:tcBorders>
              <w:bottom w:val="single" w:sz="8" w:space="0" w:color="95B3D7"/>
              <w:right w:val="single" w:sz="8" w:space="0" w:color="95B3D7"/>
            </w:tcBorders>
            <w:tcMar>
              <w:bottom w:w="28" w:type="dxa"/>
              <w:right w:w="28" w:type="dxa"/>
            </w:tcMar>
            <w:vAlign w:val="center"/>
          </w:tcPr>
          <w:p>
            <w:pPr>
              <w:pStyle w:val="TableContents"/>
              <w:bidi w:val="0"/>
              <w:spacing w:before="0" w:after="283"/>
              <w:jc w:val="center"/>
              <w:rPr/>
            </w:pPr>
            <w:r>
              <w:rPr/>
              <w:t>   </w:t>
            </w:r>
            <w:r>
              <w:rPr/>
              <w:t>238,609</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160" w:type="dxa"/>
            <w:tcBorders>
              <w:bottom w:val="single" w:sz="8" w:space="0" w:color="95B3D7"/>
            </w:tcBorders>
            <w:tcMar>
              <w:bottom w:w="28" w:type="dxa"/>
            </w:tcMar>
            <w:vAlign w:val="center"/>
          </w:tcPr>
          <w:p>
            <w:pPr>
              <w:pStyle w:val="TableContents"/>
              <w:bidi w:val="0"/>
              <w:spacing w:before="0" w:after="283"/>
              <w:jc w:val="center"/>
              <w:rPr/>
            </w:pPr>
            <w:r>
              <w:rPr/>
              <w:t>*</w:t>
            </w:r>
          </w:p>
        </w:tc>
      </w:tr>
      <w:tr>
        <w:trPr/>
        <w:tc>
          <w:tcPr>
            <w:tcW w:w="4175" w:type="dxa"/>
            <w:tcBorders>
              <w:bottom w:val="single" w:sz="8" w:space="0" w:color="95B3D7"/>
              <w:right w:val="single" w:sz="8" w:space="0" w:color="95B3D7"/>
            </w:tcBorders>
            <w:shd w:fill="DBE5F1" w:val="clear"/>
            <w:tcMar>
              <w:bottom w:w="28" w:type="dxa"/>
              <w:right w:w="28" w:type="dxa"/>
            </w:tcMar>
            <w:vAlign w:val="center"/>
          </w:tcPr>
          <w:p>
            <w:pPr>
              <w:pStyle w:val="TableContents"/>
              <w:bidi w:val="0"/>
              <w:spacing w:before="0" w:after="283"/>
              <w:jc w:val="left"/>
              <w:rPr/>
            </w:pPr>
            <w:r>
              <w:rPr/>
              <w:t> </w:t>
            </w:r>
            <w:r>
              <w:rPr/>
              <w:t>Jeffrey Margolis(10)</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880" w:type="dxa"/>
            <w:tcBorders>
              <w:bottom w:val="single" w:sz="8" w:space="0" w:color="95B3D7"/>
              <w:right w:val="single" w:sz="8" w:space="0" w:color="95B3D7"/>
            </w:tcBorders>
            <w:shd w:fill="DBE5F1" w:val="clear"/>
            <w:tcMar>
              <w:bottom w:w="28" w:type="dxa"/>
              <w:right w:w="28" w:type="dxa"/>
            </w:tcMar>
            <w:vAlign w:val="center"/>
          </w:tcPr>
          <w:p>
            <w:pPr>
              <w:pStyle w:val="TableContents"/>
              <w:bidi w:val="0"/>
              <w:spacing w:before="0" w:after="283"/>
              <w:jc w:val="center"/>
              <w:rPr/>
            </w:pPr>
            <w:r>
              <w:rPr/>
              <w:t>    </w:t>
            </w:r>
            <w:r>
              <w:rPr/>
              <w:t>74,451</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160" w:type="dxa"/>
            <w:tcBorders>
              <w:bottom w:val="single" w:sz="8" w:space="0" w:color="95B3D7"/>
            </w:tcBorders>
            <w:shd w:fill="DBE5F1" w:val="clear"/>
            <w:tcMar>
              <w:bottom w:w="28" w:type="dxa"/>
            </w:tcMar>
            <w:vAlign w:val="center"/>
          </w:tcPr>
          <w:p>
            <w:pPr>
              <w:pStyle w:val="TableContents"/>
              <w:bidi w:val="0"/>
              <w:spacing w:before="0" w:after="283"/>
              <w:jc w:val="center"/>
              <w:rPr/>
            </w:pPr>
            <w:r>
              <w:rPr/>
              <w:t>*</w:t>
            </w:r>
          </w:p>
        </w:tc>
      </w:tr>
      <w:tr>
        <w:trPr/>
        <w:tc>
          <w:tcPr>
            <w:tcW w:w="4175" w:type="dxa"/>
            <w:tcBorders>
              <w:bottom w:val="single" w:sz="8" w:space="0" w:color="95B3D7"/>
              <w:right w:val="single" w:sz="8" w:space="0" w:color="95B3D7"/>
            </w:tcBorders>
            <w:tcMar>
              <w:bottom w:w="28" w:type="dxa"/>
              <w:right w:w="28" w:type="dxa"/>
            </w:tcMar>
            <w:vAlign w:val="center"/>
          </w:tcPr>
          <w:p>
            <w:pPr>
              <w:pStyle w:val="TableContents"/>
              <w:bidi w:val="0"/>
              <w:spacing w:before="0" w:after="0"/>
              <w:jc w:val="left"/>
              <w:rPr/>
            </w:pPr>
            <w:r>
              <w:rPr/>
              <w:t> </w:t>
            </w:r>
            <w:r>
              <w:rPr>
                <w:rFonts w:ascii="ARIAL" w:hAnsi="ARIAL"/>
                <w:sz w:val="20"/>
              </w:rPr>
              <w:t>Margaret McCarthy</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880" w:type="dxa"/>
            <w:tcBorders>
              <w:bottom w:val="single" w:sz="8" w:space="0" w:color="95B3D7"/>
              <w:right w:val="single" w:sz="8" w:space="0" w:color="95B3D7"/>
            </w:tcBorders>
            <w:tcMar>
              <w:bottom w:w="28" w:type="dxa"/>
              <w:right w:w="28" w:type="dxa"/>
            </w:tcMar>
            <w:vAlign w:val="center"/>
          </w:tcPr>
          <w:p>
            <w:pPr>
              <w:pStyle w:val="TableContents"/>
              <w:bidi w:val="0"/>
              <w:spacing w:before="0" w:after="283"/>
              <w:jc w:val="center"/>
              <w:rPr/>
            </w:pPr>
            <w:r>
              <w:rPr/>
              <w:t>    </w:t>
            </w:r>
            <w:r>
              <w:rPr/>
              <w:t>83,120</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160" w:type="dxa"/>
            <w:tcBorders>
              <w:bottom w:val="single" w:sz="8" w:space="0" w:color="95B3D7"/>
            </w:tcBorders>
            <w:tcMar>
              <w:bottom w:w="28" w:type="dxa"/>
            </w:tcMar>
            <w:vAlign w:val="center"/>
          </w:tcPr>
          <w:p>
            <w:pPr>
              <w:pStyle w:val="TableContents"/>
              <w:bidi w:val="0"/>
              <w:spacing w:before="0" w:after="283"/>
              <w:jc w:val="center"/>
              <w:rPr/>
            </w:pPr>
            <w:r>
              <w:rPr/>
              <w:t>*</w:t>
            </w:r>
          </w:p>
        </w:tc>
      </w:tr>
      <w:tr>
        <w:trPr/>
        <w:tc>
          <w:tcPr>
            <w:tcW w:w="4175" w:type="dxa"/>
            <w:tcBorders>
              <w:bottom w:val="single" w:sz="8" w:space="0" w:color="95B3D7"/>
              <w:right w:val="single" w:sz="8" w:space="0" w:color="95B3D7"/>
            </w:tcBorders>
            <w:shd w:fill="DBE5F1" w:val="clear"/>
            <w:tcMar>
              <w:bottom w:w="28" w:type="dxa"/>
              <w:right w:w="28" w:type="dxa"/>
            </w:tcMar>
            <w:vAlign w:val="center"/>
          </w:tcPr>
          <w:p>
            <w:pPr>
              <w:pStyle w:val="TableContents"/>
              <w:bidi w:val="0"/>
              <w:spacing w:before="0" w:after="283"/>
              <w:jc w:val="left"/>
              <w:rPr/>
            </w:pPr>
            <w:r>
              <w:rPr/>
              <w:t> </w:t>
            </w:r>
            <w:r>
              <w:rPr/>
              <w:t>Mark McClellan</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880" w:type="dxa"/>
            <w:tcBorders>
              <w:bottom w:val="single" w:sz="8" w:space="0" w:color="95B3D7"/>
              <w:right w:val="single" w:sz="8" w:space="0" w:color="95B3D7"/>
            </w:tcBorders>
            <w:shd w:fill="DBE5F1" w:val="clear"/>
            <w:tcMar>
              <w:bottom w:w="28" w:type="dxa"/>
              <w:right w:w="28" w:type="dxa"/>
            </w:tcMar>
            <w:vAlign w:val="center"/>
          </w:tcPr>
          <w:p>
            <w:pPr>
              <w:pStyle w:val="TableContents"/>
              <w:bidi w:val="0"/>
              <w:spacing w:before="0" w:after="283"/>
              <w:jc w:val="center"/>
              <w:rPr/>
            </w:pPr>
            <w:r>
              <w:rPr/>
              <w:t>   </w:t>
            </w:r>
            <w:r>
              <w:rPr/>
              <w:t>315,177</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160" w:type="dxa"/>
            <w:tcBorders>
              <w:bottom w:val="single" w:sz="8" w:space="0" w:color="95B3D7"/>
            </w:tcBorders>
            <w:shd w:fill="DBE5F1" w:val="clear"/>
            <w:tcMar>
              <w:bottom w:w="28" w:type="dxa"/>
            </w:tcMar>
            <w:vAlign w:val="center"/>
          </w:tcPr>
          <w:p>
            <w:pPr>
              <w:pStyle w:val="TableContents"/>
              <w:bidi w:val="0"/>
              <w:spacing w:before="0" w:after="283"/>
              <w:jc w:val="center"/>
              <w:rPr/>
            </w:pPr>
            <w:r>
              <w:rPr/>
              <w:t>*</w:t>
            </w:r>
          </w:p>
        </w:tc>
      </w:tr>
      <w:tr>
        <w:trPr/>
        <w:tc>
          <w:tcPr>
            <w:tcW w:w="4175" w:type="dxa"/>
            <w:tcBorders>
              <w:bottom w:val="single" w:sz="8" w:space="0" w:color="95B3D7"/>
              <w:right w:val="single" w:sz="8" w:space="0" w:color="95B3D7"/>
            </w:tcBorders>
            <w:tcMar>
              <w:bottom w:w="28" w:type="dxa"/>
              <w:right w:w="28" w:type="dxa"/>
            </w:tcMar>
            <w:vAlign w:val="center"/>
          </w:tcPr>
          <w:p>
            <w:pPr>
              <w:pStyle w:val="TableContents"/>
              <w:bidi w:val="0"/>
              <w:spacing w:before="0" w:after="0"/>
              <w:jc w:val="left"/>
              <w:rPr/>
            </w:pPr>
            <w:r>
              <w:rPr/>
              <w:t> </w:t>
            </w:r>
            <w:r>
              <w:rPr>
                <w:rFonts w:ascii="ARIAL" w:hAnsi="ARIAL"/>
                <w:sz w:val="20"/>
              </w:rPr>
              <w:t>Robbert Vorhoff</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880" w:type="dxa"/>
            <w:tcBorders>
              <w:bottom w:val="single" w:sz="8" w:space="0" w:color="95B3D7"/>
              <w:right w:val="single" w:sz="8" w:space="0" w:color="95B3D7"/>
            </w:tcBorders>
            <w:tcMar>
              <w:bottom w:w="28" w:type="dxa"/>
              <w:right w:w="28" w:type="dxa"/>
            </w:tcMar>
            <w:vAlign w:val="center"/>
          </w:tcPr>
          <w:p>
            <w:pPr>
              <w:pStyle w:val="TableContents"/>
              <w:bidi w:val="0"/>
              <w:spacing w:before="0" w:after="283"/>
              <w:jc w:val="center"/>
              <w:rPr/>
            </w:pPr>
            <w:r>
              <w:rPr/>
              <w:t>    </w:t>
            </w:r>
            <w:r>
              <w:rPr/>
              <w:t>85,716</w:t>
            </w:r>
          </w:p>
        </w:tc>
        <w:tc>
          <w:tcPr>
            <w:tcW w:w="60" w:type="dxa"/>
            <w:tcBorders>
              <w:bottom w:val="single" w:sz="8" w:space="0" w:color="95B3D7"/>
            </w:tcBorders>
            <w:tcMar>
              <w:bottom w:w="28" w:type="dxa"/>
            </w:tcMar>
            <w:vAlign w:val="center"/>
          </w:tcPr>
          <w:p>
            <w:pPr>
              <w:pStyle w:val="TableContents"/>
              <w:bidi w:val="0"/>
              <w:spacing w:before="0" w:after="283"/>
              <w:jc w:val="left"/>
              <w:rPr/>
            </w:pPr>
            <w:r>
              <w:rPr/>
              <w:t> </w:t>
            </w:r>
          </w:p>
        </w:tc>
        <w:tc>
          <w:tcPr>
            <w:tcW w:w="1160" w:type="dxa"/>
            <w:tcBorders>
              <w:bottom w:val="single" w:sz="8" w:space="0" w:color="95B3D7"/>
            </w:tcBorders>
            <w:tcMar>
              <w:bottom w:w="28" w:type="dxa"/>
            </w:tcMar>
            <w:vAlign w:val="center"/>
          </w:tcPr>
          <w:p>
            <w:pPr>
              <w:pStyle w:val="TableContents"/>
              <w:bidi w:val="0"/>
              <w:spacing w:before="0" w:after="283"/>
              <w:jc w:val="center"/>
              <w:rPr/>
            </w:pPr>
            <w:r>
              <w:rPr/>
              <w:t>*</w:t>
            </w:r>
          </w:p>
        </w:tc>
      </w:tr>
      <w:tr>
        <w:trPr/>
        <w:tc>
          <w:tcPr>
            <w:tcW w:w="4175" w:type="dxa"/>
            <w:tcBorders>
              <w:bottom w:val="single" w:sz="8" w:space="0" w:color="95B3D7"/>
              <w:right w:val="single" w:sz="8" w:space="0" w:color="95B3D7"/>
            </w:tcBorders>
            <w:shd w:fill="DBE5F1" w:val="clear"/>
            <w:tcMar>
              <w:bottom w:w="28" w:type="dxa"/>
              <w:right w:w="28" w:type="dxa"/>
            </w:tcMar>
            <w:vAlign w:val="center"/>
          </w:tcPr>
          <w:p>
            <w:pPr>
              <w:pStyle w:val="TableContents"/>
              <w:bidi w:val="0"/>
              <w:spacing w:before="0" w:after="0"/>
              <w:jc w:val="left"/>
              <w:rPr/>
            </w:pPr>
            <w:r>
              <w:rPr/>
              <w:t> </w:t>
            </w:r>
            <w:r>
              <w:rPr>
                <w:rFonts w:ascii="ARIAL" w:hAnsi="ARIAL"/>
                <w:b/>
                <w:sz w:val="20"/>
              </w:rPr>
              <w:t>Executive Officers and Directors as a Group</w:t>
            </w:r>
          </w:p>
          <w:p>
            <w:pPr>
              <w:pStyle w:val="TableContents"/>
              <w:bidi w:val="0"/>
              <w:spacing w:before="0" w:after="20"/>
              <w:jc w:val="left"/>
              <w:rPr/>
            </w:pPr>
            <w:r>
              <w:rPr/>
              <w:t> </w:t>
            </w:r>
            <w:r>
              <w:rPr>
                <w:rFonts w:ascii="ARIAL" w:hAnsi="ARIAL"/>
                <w:b/>
                <w:sz w:val="20"/>
              </w:rPr>
              <w:t>(19 individuals)(11)</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880" w:type="dxa"/>
            <w:tcBorders>
              <w:bottom w:val="single" w:sz="8" w:space="0" w:color="95B3D7"/>
              <w:right w:val="single" w:sz="8" w:space="0" w:color="95B3D7"/>
            </w:tcBorders>
            <w:shd w:fill="DBE5F1" w:val="clear"/>
            <w:tcMar>
              <w:bottom w:w="28" w:type="dxa"/>
              <w:right w:w="28" w:type="dxa"/>
            </w:tcMar>
            <w:vAlign w:val="center"/>
          </w:tcPr>
          <w:p>
            <w:pPr>
              <w:pStyle w:val="TableContents"/>
              <w:bidi w:val="0"/>
              <w:spacing w:before="0" w:after="283"/>
              <w:jc w:val="center"/>
              <w:rPr/>
            </w:pPr>
            <w:r>
              <w:rPr/>
              <w:t>12,609,613</w:t>
            </w:r>
          </w:p>
        </w:tc>
        <w:tc>
          <w:tcPr>
            <w:tcW w:w="60" w:type="dxa"/>
            <w:tcBorders>
              <w:bottom w:val="single" w:sz="8" w:space="0" w:color="95B3D7"/>
            </w:tcBorders>
            <w:shd w:fill="DBE5F1" w:val="clear"/>
            <w:tcMar>
              <w:bottom w:w="28" w:type="dxa"/>
            </w:tcMar>
            <w:vAlign w:val="center"/>
          </w:tcPr>
          <w:p>
            <w:pPr>
              <w:pStyle w:val="TableContents"/>
              <w:bidi w:val="0"/>
              <w:spacing w:before="0" w:after="283"/>
              <w:jc w:val="left"/>
              <w:rPr/>
            </w:pPr>
            <w:r>
              <w:rPr/>
              <w:t> </w:t>
            </w:r>
          </w:p>
        </w:tc>
        <w:tc>
          <w:tcPr>
            <w:tcW w:w="1160" w:type="dxa"/>
            <w:tcBorders>
              <w:bottom w:val="single" w:sz="8" w:space="0" w:color="95B3D7"/>
            </w:tcBorders>
            <w:shd w:fill="DBE5F1" w:val="clear"/>
            <w:tcMar>
              <w:bottom w:w="28" w:type="dxa"/>
            </w:tcMar>
            <w:vAlign w:val="center"/>
          </w:tcPr>
          <w:p>
            <w:pPr>
              <w:pStyle w:val="TableContents"/>
              <w:bidi w:val="0"/>
              <w:spacing w:before="0" w:after="283"/>
              <w:jc w:val="center"/>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78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(1)</w:t>
            </w:r>
          </w:p>
        </w:tc>
        <w:tc>
          <w:tcPr>
            <w:tcW w:w="9910" w:type="dxa"/>
            <w:tcBorders/>
            <w:vAlign w:val="center"/>
          </w:tcPr>
          <w:p>
            <w:pPr>
              <w:pStyle w:val="TableContents"/>
              <w:bidi w:val="0"/>
              <w:spacing w:before="0" w:after="0"/>
              <w:jc w:val="left"/>
              <w:rPr>
                <w:rFonts w:ascii="ARIAL" w:hAnsi="ARIAL"/>
                <w:sz w:val="16"/>
              </w:rPr>
            </w:pPr>
            <w:r>
              <w:rPr>
                <w:rFonts w:ascii="ARIAL" w:hAnsi="ARIAL"/>
                <w:sz w:val="16"/>
              </w:rPr>
              <w:t xml:space="preserve">The limited partners that share beneficial ownership of the shares held by General Atlantic (ALN HLTH), L.P. are the following General Atlantic investment funds (the “GA Funds”): General Atlantic Partners 95, L.P. (“GAP 95”), GAP Coinvestments III, LLC (“GAPCO III”), GAP Coinvestments IV, LLC (“GAPCO IV”), GAP Coinvestments V, LLC (“GAPCO V”), GAP Coinvestments CDA, L.P. (“GAPCO CDA”) and GAPCO GmbH &amp; Co. KG (“GAPCO GmbH”). The general partner of General Atlantic (ALN HLTH), L.P. is General Atlantic (SPV) GP, LLC (“GA SPV”). The general partner of GAP 95 is ultimately controlled by General Atlantic, L.P. (“GA LP”). GA LP is the managing member of GAPCO III, GAPCO IV and GAPCO V, the general partner of GAPCO CDA and is the sole member of GA SPV. The general partner of GAPCO KG is GAPCO Management GmbH (“GAPCO Management”). There are nine members of the management committee of GA LP (the “GA Management Committee”). GA LP, GA SPV, GAP 95, GAPCO III, GAPCO IV, GAPCO V, GAPCO CDA and GAPCO GmbH (collectively, the “GA Group”) are a “group” within the meaning of Rule 13d-5 of the Securities Exchange Act of 1934, as amended. Each of the members of the GA Management Committee disclaims ownership of the shares except to the extent that he has a pecuniary interest therein. The mailing address of the GA Group except GAPCO GmbH is c/o General Atlantic Service Company, L.P., 55 East 52nd Street, 33rd Floor, New York, NY 10055. The mailing address of GAPCO GmbH and GAPCO Management is c/o General Atlantic GmbH, Luitpoldblock, Amiraplatz 3, 80333 München, Germany.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(2)</w:t>
            </w:r>
          </w:p>
        </w:tc>
        <w:tc>
          <w:tcPr>
            <w:tcW w:w="9911" w:type="dxa"/>
            <w:tcBorders/>
            <w:vAlign w:val="center"/>
          </w:tcPr>
          <w:p>
            <w:pPr>
              <w:pStyle w:val="TableContents"/>
              <w:bidi w:val="0"/>
              <w:spacing w:before="0" w:after="0"/>
              <w:jc w:val="left"/>
              <w:rPr>
                <w:rFonts w:ascii="ARIAL" w:hAnsi="ARIAL"/>
                <w:sz w:val="16"/>
              </w:rPr>
            </w:pPr>
            <w:r>
              <w:rPr>
                <w:rFonts w:ascii="ARIAL" w:hAnsi="ARIAL"/>
                <w:sz w:val="16"/>
              </w:rPr>
              <w:t xml:space="preserve">Includes shares held by (i) Warburg Pincus Private Equity XII, L.P., a Delaware limited partnership (“WP XII”), (ii) Warburg Pincus Private Equity XII-B, L.P., a Delaware limited partnership (“WP XII-B”), (iii) Warburg Pincus Private Equity XII-D, L.P., a Delaware limited partnership (“WP XII-D”), (iv) Warburg Pincus Private Equity XII-E, L.P., a Delaware limited partnership (“WP XII-E”), (v) WP XII Partners, L.P., a Delaware limited partnership (“WP XII Partners”), (vi) Warburg Pincus XII Partners, L.P., a Delaware limited partnership (“Warburg Pincus XII Partners” and, together with WP XII, WP XII-B, WP XII-D, WP XII-E, and WP XII Partners, the “WP XII Funds”). Warburg Pincus XII, L.P., a Delaware limited partnership (“WP XII GP”), is the general partner of the WP XII Funds. WP Global LLC, a Delaware limited liability company (“WP Global”), is the general partner of WP XII GP. Warburg Pincus Partners II, L.P., a Delaware limited partnership (“WPP II”), is the managing member of WP Global. Warburg Pincus Partners II Holdings, L.P., a Delaware limited partnership (“WPP II Holdings”), is a limited partner of WPP II. Warburg Pincus Partners GP LLC, a Delaware limited liability company (“WPP GP”), is the general partner of WPP II and WPP II Holdings. Warburg Pincus &amp; Co., a New York general partnership (“WP”), is the managing member of WPP GP. Warburg Pincus LLC, a New York limited liability company (“WP LLC”) is a registered investment adviser and the manager of the WP XII Funds. Investment and voting decisions with respect to the shares held by the WP XII Funds are made by a committee comprised of three or more individuals and all members of such committee disclaim beneficial ownership of the shares. The address of the WP LLC, WP, WPP GP, WPP II, WPP II Holdings, WP Global, WP XII GP, and the WP XII Funds is 450 Lexington Avenue, New York, New York 10017. All indirect holders of the above referenced shares disclaim beneficial ownership of all applicable shares except to the extent of their pecuniary interest therein.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(3)</w:t>
            </w:r>
          </w:p>
        </w:tc>
        <w:tc>
          <w:tcPr>
            <w:tcW w:w="9892" w:type="dxa"/>
            <w:tcBorders/>
            <w:vAlign w:val="center"/>
          </w:tcPr>
          <w:p>
            <w:pPr>
              <w:pStyle w:val="TableContents"/>
              <w:bidi w:val="0"/>
              <w:spacing w:before="0" w:after="0"/>
              <w:jc w:val="left"/>
              <w:rPr>
                <w:rFonts w:ascii="ARIAL" w:hAnsi="ARIAL"/>
                <w:sz w:val="16"/>
              </w:rPr>
            </w:pPr>
            <w:r>
              <w:rPr>
                <w:rFonts w:ascii="ARIAL" w:hAnsi="ARIAL"/>
                <w:sz w:val="16"/>
              </w:rPr>
              <w:t xml:space="preserve">Based on information reported by FMR LLC and Abigail P. Johnson on a Schedule 13G/A filed with the SEC on February 9, 2024. FMR LLC reported sole voting and dispositive power over 17,000,204 shares of our common stock, and Ms. Johnson reported sole dispositive power over 17,000,204 shares of our common stock. The address of FMR LLC is listed as 245 Summer Street, Boston, MA 02210.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(4)</w:t>
            </w:r>
          </w:p>
        </w:tc>
        <w:tc>
          <w:tcPr>
            <w:tcW w:w="9892" w:type="dxa"/>
            <w:tcBorders/>
            <w:vAlign w:val="center"/>
          </w:tcPr>
          <w:p>
            <w:pPr>
              <w:pStyle w:val="TableContents"/>
              <w:bidi w:val="0"/>
              <w:spacing w:before="0" w:after="0"/>
              <w:jc w:val="left"/>
              <w:rPr>
                <w:rFonts w:ascii="ARIAL" w:hAnsi="ARIAL"/>
                <w:sz w:val="16"/>
              </w:rPr>
            </w:pPr>
            <w:r>
              <w:rPr>
                <w:rFonts w:ascii="ARIAL" w:hAnsi="ARIAL"/>
                <w:sz w:val="16"/>
              </w:rPr>
              <w:t xml:space="preserve">Based on information reported by T. Rowe Price Investment Management, Inc. (“T. Rowe Price”) on a Schedule 13G/A filed with the SEC on February 14, 2024. T. Rowe Price reported sole voting power over 4,109,754 shares of our common stock and sole dispositive power over 12,075,504 shares of our common stock. The address of T. Rowe Price is 101 E. Pratt Street, Baltimore, MD 21201.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(5)</w:t>
            </w:r>
          </w:p>
        </w:tc>
        <w:tc>
          <w:tcPr>
            <w:tcW w:w="9887" w:type="dxa"/>
            <w:tcBorders/>
            <w:vAlign w:val="center"/>
          </w:tcPr>
          <w:p>
            <w:pPr>
              <w:pStyle w:val="TableContents"/>
              <w:bidi w:val="0"/>
              <w:spacing w:before="0" w:after="0"/>
              <w:jc w:val="left"/>
              <w:rPr>
                <w:rFonts w:ascii="ARIAL" w:hAnsi="ARIAL"/>
                <w:sz w:val="16"/>
              </w:rPr>
            </w:pPr>
            <w:r>
              <w:rPr>
                <w:rFonts w:ascii="ARIAL" w:hAnsi="ARIAL"/>
                <w:sz w:val="16"/>
              </w:rPr>
              <w:t xml:space="preserve">Includes (i) 450,125 shares held by Mr. Kao and 2,495,958 shares held by JEK Trust, dated February 8, 2021, of which John Kao is the trustee; (ii) 227,142 restricted shares subject to time-based vesting held by JEK Trust; and (iii) 3,119,983 shares underlying outstanding stock options held by Mr. Kao that are currently exercisable.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8"/>
        <w:gridCol w:w="9852"/>
      </w:tblGrid>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(6)</w:t>
            </w:r>
          </w:p>
        </w:tc>
        <w:tc>
          <w:tcPr>
            <w:tcW w:w="9852" w:type="dxa"/>
            <w:tcBorders/>
            <w:vAlign w:val="center"/>
          </w:tcPr>
          <w:p>
            <w:pPr>
              <w:pStyle w:val="TableContents"/>
              <w:bidi w:val="0"/>
              <w:spacing w:before="0" w:after="0"/>
              <w:jc w:val="left"/>
              <w:rPr>
                <w:rFonts w:ascii="ARIAL" w:hAnsi="ARIAL"/>
                <w:sz w:val="16"/>
              </w:rPr>
            </w:pPr>
            <w:r>
              <w:rPr>
                <w:rFonts w:ascii="ARIAL" w:hAnsi="ARIAL"/>
                <w:sz w:val="16"/>
              </w:rPr>
              <w:t xml:space="preserve">Includes (i) 81,503 restricted shares subject to time-based vesting and (ii) 849,061 shares underlying outstanding stock options that are currently exercisable.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(7)</w:t>
            </w:r>
          </w:p>
        </w:tc>
        <w:tc>
          <w:tcPr>
            <w:tcW w:w="9903" w:type="dxa"/>
            <w:tcBorders/>
            <w:vAlign w:val="center"/>
          </w:tcPr>
          <w:p>
            <w:pPr>
              <w:pStyle w:val="TableContents"/>
              <w:bidi w:val="0"/>
              <w:spacing w:before="0" w:after="0"/>
              <w:jc w:val="left"/>
              <w:rPr>
                <w:rFonts w:ascii="ARIAL" w:hAnsi="ARIAL"/>
                <w:sz w:val="16"/>
              </w:rPr>
            </w:pPr>
            <w:r>
              <w:rPr>
                <w:rFonts w:ascii="ARIAL" w:hAnsi="ARIAL"/>
                <w:sz w:val="16"/>
              </w:rPr>
              <w:t xml:space="preserve">Includes (i) 343,624 shares of our common stock and 9,169 restricted shares subject to time-based vesting held by Mr. Freeman, and (ii) 467,471 shares of our common stock and 51,958 restricted shares subject to time-based vesting held by FCO Holdings LLC (“FCO LLC”), a limited liability company, of which Mr. Freeman was the sole member. Mr. Freeman has transferred all of his FCO LLC membership interests to FCO Holdings Trust One, an irrevocable trust. Mr. Freeman may be deemed to have shared voting and/or investment power with respect to all of the shares of our common stock indirectly held by such trust. Also includes 622,223 shares underlying outstanding stock options that are currently exercisable.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8"/>
        <w:gridCol w:w="9852"/>
      </w:tblGrid>
      <w:tr>
        <w:trPr/>
        <w:tc>
          <w:tcPr>
            <w:tcW w:w="75"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(8)</w:t>
            </w:r>
          </w:p>
        </w:tc>
        <w:tc>
          <w:tcPr>
            <w:tcW w:w="9852" w:type="dxa"/>
            <w:tcBorders/>
            <w:vAlign w:val="center"/>
          </w:tcPr>
          <w:p>
            <w:pPr>
              <w:pStyle w:val="TableContents"/>
              <w:bidi w:val="0"/>
              <w:spacing w:before="0" w:after="0"/>
              <w:jc w:val="left"/>
              <w:rPr>
                <w:rFonts w:ascii="ARIAL" w:hAnsi="ARIAL"/>
                <w:sz w:val="16"/>
              </w:rPr>
            </w:pPr>
            <w:r>
              <w:rPr>
                <w:rFonts w:ascii="ARIAL" w:hAnsi="ARIAL"/>
                <w:sz w:val="16"/>
              </w:rPr>
              <w:t xml:space="preserve">Includes (i) 10,188 restricted shares subject to time-based vesting and (ii) 70,193 shares underlying outstanding stock options that are currently exercisable. </w:t>
            </w:r>
          </w:p>
        </w:tc>
      </w:tr>
    </w:tbl>
    <w:p>
      <w:pPr>
        <w:pStyle w:val="TextBody"/>
        <w:bidi w:val="0"/>
        <w:spacing w:before="0" w:after="0"/>
        <w:jc w:val="left"/>
        <w:rPr/>
      </w:pPr>
      <w:r>
        <w:rPr/>
        <w:t> </w:t>
      </w:r>
    </w:p>
    <w:tbl>
      <w:tblPr>
        <w:tblW w:w="6985" w:type="dxa"/>
        <w:jc w:val="left"/>
        <w:tblInd w:w="0" w:type="dxa"/>
        <w:tblLayout w:type="fixed"/>
        <w:tblCellMar>
          <w:top w:w="0" w:type="dxa"/>
          <w:left w:w="0" w:type="dxa"/>
          <w:bottom w:w="0" w:type="dxa"/>
          <w:right w:w="0" w:type="dxa"/>
        </w:tblCellMar>
      </w:tblPr>
      <w:tblGrid>
        <w:gridCol w:w="75"/>
        <w:gridCol w:w="290"/>
        <w:gridCol w:w="662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(9)</w:t>
            </w:r>
          </w:p>
        </w:tc>
        <w:tc>
          <w:tcPr>
            <w:tcW w:w="6620" w:type="dxa"/>
            <w:tcBorders/>
            <w:vAlign w:val="center"/>
          </w:tcPr>
          <w:p>
            <w:pPr>
              <w:pStyle w:val="TableContents"/>
              <w:bidi w:val="0"/>
              <w:spacing w:before="0" w:after="0"/>
              <w:jc w:val="left"/>
              <w:rPr>
                <w:rFonts w:ascii="ARIAL" w:hAnsi="ARIAL"/>
                <w:sz w:val="16"/>
              </w:rPr>
            </w:pPr>
            <w:r>
              <w:rPr>
                <w:rFonts w:ascii="ARIAL" w:hAnsi="ARIAL"/>
                <w:sz w:val="16"/>
              </w:rPr>
              <w:t xml:space="preserve">Includes 8,955 shares underlying outstanding stock options that are currently exercisable. </w:t>
            </w:r>
          </w:p>
        </w:tc>
      </w:tr>
    </w:tbl>
    <w:p>
      <w:pPr>
        <w:pStyle w:val="TextBody"/>
        <w:bidi w:val="0"/>
        <w:spacing w:before="0" w:after="0"/>
        <w:jc w:val="left"/>
        <w:rPr/>
      </w:pPr>
      <w:r>
        <w:rPr/>
        <w:t> </w:t>
      </w:r>
    </w:p>
    <w:tbl>
      <w:tblPr>
        <w:tblW w:w="8440" w:type="dxa"/>
        <w:jc w:val="left"/>
        <w:tblInd w:w="0" w:type="dxa"/>
        <w:tblLayout w:type="fixed"/>
        <w:tblCellMar>
          <w:top w:w="0" w:type="dxa"/>
          <w:left w:w="0" w:type="dxa"/>
          <w:bottom w:w="0" w:type="dxa"/>
          <w:right w:w="0" w:type="dxa"/>
        </w:tblCellMar>
      </w:tblPr>
      <w:tblGrid>
        <w:gridCol w:w="75"/>
        <w:gridCol w:w="410"/>
        <w:gridCol w:w="795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(10)</w:t>
            </w:r>
          </w:p>
        </w:tc>
        <w:tc>
          <w:tcPr>
            <w:tcW w:w="7955" w:type="dxa"/>
            <w:tcBorders/>
            <w:vAlign w:val="center"/>
          </w:tcPr>
          <w:p>
            <w:pPr>
              <w:pStyle w:val="TableContents"/>
              <w:bidi w:val="0"/>
              <w:spacing w:before="0" w:after="0"/>
              <w:jc w:val="left"/>
              <w:rPr>
                <w:rFonts w:ascii="ARIAL" w:hAnsi="ARIAL"/>
                <w:sz w:val="16"/>
              </w:rPr>
            </w:pPr>
            <w:r>
              <w:rPr>
                <w:rFonts w:ascii="ARIAL" w:hAnsi="ARIAL"/>
                <w:sz w:val="16"/>
              </w:rPr>
              <w:t xml:space="preserve">Includes 417,133 shares held by the Margolis Family Trust 12/23/98, of which Jeffrey Margolis is the trustee. </w:t>
            </w:r>
          </w:p>
        </w:tc>
      </w:tr>
    </w:tbl>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75"/>
        <w:gridCol w:w="410"/>
        <w:gridCol w:w="444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(11)</w:t>
            </w:r>
          </w:p>
        </w:tc>
        <w:tc>
          <w:tcPr>
            <w:tcW w:w="4445" w:type="dxa"/>
            <w:tcBorders/>
            <w:vAlign w:val="center"/>
          </w:tcPr>
          <w:p>
            <w:pPr>
              <w:pStyle w:val="TableContents"/>
              <w:bidi w:val="0"/>
              <w:spacing w:before="0" w:after="0"/>
              <w:jc w:val="left"/>
              <w:rPr>
                <w:rFonts w:ascii="ARIAL" w:hAnsi="ARIAL"/>
                <w:sz w:val="16"/>
              </w:rPr>
            </w:pPr>
            <w:r>
              <w:rPr>
                <w:rFonts w:ascii="ARIAL" w:hAnsi="ARIAL"/>
                <w:sz w:val="16"/>
              </w:rPr>
              <w:t xml:space="preserve">Includes directors, nominees and current executive officers.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79 </w:t>
      </w:r>
      <w:r>
        <w:br w:type="page"/>
      </w:r>
    </w:p>
    <w:p>
      <w:pPr>
        <w:pStyle w:val="HorizontalLine"/>
        <w:bidi w:val="0"/>
        <w:jc w:val="left"/>
        <w:rPr/>
      </w:pPr>
      <w:r>
        <w:rPr/>
      </w:r>
    </w:p>
    <w:p>
      <w:pPr>
        <w:pStyle w:val="TextBody"/>
        <w:bidi w:val="0"/>
        <w:spacing w:before="0" w:after="0"/>
        <w:jc w:val="left"/>
        <w:rPr>
          <w:rFonts w:ascii="ARIAL" w:hAnsi="ARIAL"/>
          <w:b/>
          <w:color w:val="1F497D"/>
          <w:sz w:val="20"/>
        </w:rPr>
      </w:pPr>
      <w:r>
        <w:rPr>
          <w:rFonts w:ascii="ARIAL" w:hAnsi="ARIAL"/>
          <w:b/>
          <w:color w:val="1F497D"/>
          <w:sz w:val="20"/>
        </w:rPr>
        <w:t xml:space="preserve">Securities Authorized for Issuance under Equity Incentive Compensation Plans </w:t>
      </w:r>
    </w:p>
    <w:p>
      <w:pPr>
        <w:pStyle w:val="TextBody"/>
        <w:bidi w:val="0"/>
        <w:spacing w:before="240" w:after="0"/>
        <w:jc w:val="left"/>
        <w:rPr>
          <w:rFonts w:ascii="ARIAL" w:hAnsi="ARIAL"/>
          <w:sz w:val="20"/>
        </w:rPr>
      </w:pPr>
      <w:r>
        <w:rPr>
          <w:rFonts w:ascii="ARIAL" w:hAnsi="ARIAL"/>
          <w:sz w:val="20"/>
        </w:rPr>
        <w:t xml:space="preserve">The following table provides information as of December 31, 2023, regarding shares of our common stock that may be issued under our equity compensation plans.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515"/>
        <w:gridCol w:w="120"/>
        <w:gridCol w:w="2120"/>
        <w:gridCol w:w="60"/>
        <w:gridCol w:w="2045"/>
        <w:gridCol w:w="60"/>
        <w:gridCol w:w="2285"/>
      </w:tblGrid>
      <w:tr>
        <w:trPr/>
        <w:tc>
          <w:tcPr>
            <w:tcW w:w="3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3515" w:type="dxa"/>
            <w:tcBorders/>
            <w:vAlign w:val="center"/>
          </w:tcPr>
          <w:p>
            <w:pPr>
              <w:pStyle w:val="TableContents"/>
              <w:bidi w:val="0"/>
              <w:spacing w:before="0" w:after="283"/>
              <w:jc w:val="left"/>
              <w:rPr>
                <w:b/>
              </w:rPr>
            </w:pPr>
            <w:r>
              <w:rPr>
                <w:b/>
              </w:rPr>
              <w:t>Plan Category</w:t>
            </w:r>
          </w:p>
        </w:tc>
        <w:tc>
          <w:tcPr>
            <w:tcW w:w="120" w:type="dxa"/>
            <w:tcBorders/>
            <w:vAlign w:val="center"/>
          </w:tcPr>
          <w:p>
            <w:pPr>
              <w:pStyle w:val="TableContents"/>
              <w:bidi w:val="0"/>
              <w:spacing w:before="0" w:after="283"/>
              <w:jc w:val="left"/>
              <w:rPr/>
            </w:pPr>
            <w:r>
              <w:rPr/>
              <w:t>  </w:t>
            </w:r>
          </w:p>
        </w:tc>
        <w:tc>
          <w:tcPr>
            <w:tcW w:w="2120" w:type="dxa"/>
            <w:tcBorders>
              <w:bottom w:val="single" w:sz="8" w:space="0" w:color="000000"/>
            </w:tcBorders>
            <w:tcMar>
              <w:bottom w:w="28" w:type="dxa"/>
            </w:tcMar>
            <w:vAlign w:val="center"/>
          </w:tcPr>
          <w:p>
            <w:pPr>
              <w:pStyle w:val="TableContents"/>
              <w:bidi w:val="0"/>
              <w:spacing w:before="0" w:after="283"/>
              <w:jc w:val="center"/>
              <w:rPr/>
            </w:pPr>
            <w:r>
              <w:rPr>
                <w:b/>
              </w:rPr>
              <w:t>Number of securities</w:t>
              <w:br/>
              <w:t>to be issued upon</w:t>
              <w:br/>
              <w:t>exercise of</w:t>
              <w:br/>
              <w:t>outstanding options,</w:t>
            </w:r>
            <w:r>
              <w:rPr/>
              <w:br/>
            </w:r>
            <w:r>
              <w:rPr>
                <w:b/>
              </w:rPr>
              <w:t>warrants and rights</w:t>
            </w:r>
          </w:p>
        </w:tc>
        <w:tc>
          <w:tcPr>
            <w:tcW w:w="60" w:type="dxa"/>
            <w:tcBorders/>
            <w:vAlign w:val="center"/>
          </w:tcPr>
          <w:p>
            <w:pPr>
              <w:pStyle w:val="TableContents"/>
              <w:bidi w:val="0"/>
              <w:spacing w:before="0" w:after="283"/>
              <w:jc w:val="left"/>
              <w:rPr/>
            </w:pPr>
            <w:r>
              <w:rPr/>
              <w:t> </w:t>
            </w:r>
          </w:p>
        </w:tc>
        <w:tc>
          <w:tcPr>
            <w:tcW w:w="2045" w:type="dxa"/>
            <w:tcBorders>
              <w:bottom w:val="single" w:sz="8" w:space="0" w:color="000000"/>
            </w:tcBorders>
            <w:tcMar>
              <w:bottom w:w="28" w:type="dxa"/>
            </w:tcMar>
            <w:vAlign w:val="center"/>
          </w:tcPr>
          <w:p>
            <w:pPr>
              <w:pStyle w:val="TableContents"/>
              <w:bidi w:val="0"/>
              <w:spacing w:before="0" w:after="283"/>
              <w:jc w:val="center"/>
              <w:rPr/>
            </w:pPr>
            <w:r>
              <w:rPr>
                <w:b/>
              </w:rPr>
              <w:t>Weighted average</w:t>
              <w:br/>
              <w:t>exercise</w:t>
            </w:r>
            <w:r>
              <w:rPr/>
              <w:br/>
            </w:r>
            <w:r>
              <w:rPr>
                <w:b/>
              </w:rPr>
              <w:t>price of outstanding</w:t>
              <w:br/>
              <w:t>options,</w:t>
            </w:r>
            <w:r>
              <w:rPr/>
              <w:br/>
            </w:r>
            <w:r>
              <w:rPr>
                <w:b/>
              </w:rPr>
              <w:t>warrants and rights</w:t>
            </w:r>
          </w:p>
        </w:tc>
        <w:tc>
          <w:tcPr>
            <w:tcW w:w="60" w:type="dxa"/>
            <w:tcBorders/>
            <w:vAlign w:val="center"/>
          </w:tcPr>
          <w:p>
            <w:pPr>
              <w:pStyle w:val="TableContents"/>
              <w:bidi w:val="0"/>
              <w:spacing w:before="0" w:after="283"/>
              <w:jc w:val="left"/>
              <w:rPr/>
            </w:pPr>
            <w:r>
              <w:rPr/>
              <w:t> </w:t>
            </w:r>
          </w:p>
        </w:tc>
        <w:tc>
          <w:tcPr>
            <w:tcW w:w="2285" w:type="dxa"/>
            <w:tcBorders>
              <w:bottom w:val="single" w:sz="8" w:space="0" w:color="000000"/>
            </w:tcBorders>
            <w:tcMar>
              <w:bottom w:w="28" w:type="dxa"/>
            </w:tcMar>
            <w:vAlign w:val="center"/>
          </w:tcPr>
          <w:p>
            <w:pPr>
              <w:pStyle w:val="TableContents"/>
              <w:bidi w:val="0"/>
              <w:spacing w:before="0" w:after="283"/>
              <w:jc w:val="center"/>
              <w:rPr/>
            </w:pPr>
            <w:r>
              <w:rPr>
                <w:b/>
              </w:rPr>
              <w:t>Number of remaining</w:t>
            </w:r>
            <w:r>
              <w:rPr/>
              <w:br/>
            </w:r>
            <w:r>
              <w:rPr>
                <w:b/>
              </w:rPr>
              <w:t>available securities for</w:t>
              <w:br/>
              <w:t>future</w:t>
            </w:r>
            <w:r>
              <w:rPr/>
              <w:br/>
            </w:r>
            <w:r>
              <w:rPr>
                <w:b/>
              </w:rPr>
              <w:t>issuance under equity</w:t>
            </w:r>
            <w:r>
              <w:rPr/>
              <w:br/>
            </w:r>
            <w:r>
              <w:rPr>
                <w:b/>
              </w:rPr>
              <w:t>compensation plans</w:t>
            </w:r>
          </w:p>
        </w:tc>
      </w:tr>
      <w:tr>
        <w:trPr/>
        <w:tc>
          <w:tcPr>
            <w:tcW w:w="3515" w:type="dxa"/>
            <w:tcBorders/>
            <w:shd w:fill="DBE5F1" w:val="clear"/>
            <w:vAlign w:val="center"/>
          </w:tcPr>
          <w:p>
            <w:pPr>
              <w:pStyle w:val="TableContents"/>
              <w:bidi w:val="0"/>
              <w:spacing w:before="0" w:after="0"/>
              <w:jc w:val="left"/>
              <w:rPr>
                <w:rFonts w:ascii="ARIAL" w:hAnsi="ARIAL"/>
                <w:sz w:val="20"/>
              </w:rPr>
            </w:pPr>
            <w:r>
              <w:rPr>
                <w:rFonts w:ascii="ARIAL" w:hAnsi="ARIAL"/>
                <w:sz w:val="20"/>
              </w:rPr>
              <w:t>Equity compensation plans approved by stockholders(1)</w:t>
            </w:r>
          </w:p>
        </w:tc>
        <w:tc>
          <w:tcPr>
            <w:tcW w:w="120" w:type="dxa"/>
            <w:tcBorders/>
            <w:shd w:fill="DBE5F1" w:val="clear"/>
            <w:vAlign w:val="center"/>
          </w:tcPr>
          <w:p>
            <w:pPr>
              <w:pStyle w:val="TableContents"/>
              <w:bidi w:val="0"/>
              <w:spacing w:before="0" w:after="283"/>
              <w:jc w:val="left"/>
              <w:rPr/>
            </w:pPr>
            <w:r>
              <w:rPr/>
              <w:t>  </w:t>
            </w:r>
          </w:p>
        </w:tc>
        <w:tc>
          <w:tcPr>
            <w:tcW w:w="2120" w:type="dxa"/>
            <w:tcBorders/>
            <w:shd w:fill="DBE5F1" w:val="clear"/>
            <w:vAlign w:val="center"/>
          </w:tcPr>
          <w:p>
            <w:pPr>
              <w:pStyle w:val="TableContents"/>
              <w:bidi w:val="0"/>
              <w:spacing w:before="0" w:after="283"/>
              <w:jc w:val="center"/>
              <w:rPr/>
            </w:pPr>
            <w:r>
              <w:rPr/>
              <w:t>24,765,620(2)</w:t>
            </w:r>
          </w:p>
        </w:tc>
        <w:tc>
          <w:tcPr>
            <w:tcW w:w="60" w:type="dxa"/>
            <w:tcBorders/>
            <w:shd w:fill="DBE5F1" w:val="clear"/>
            <w:vAlign w:val="center"/>
          </w:tcPr>
          <w:p>
            <w:pPr>
              <w:pStyle w:val="TableContents"/>
              <w:bidi w:val="0"/>
              <w:spacing w:before="0" w:after="283"/>
              <w:jc w:val="left"/>
              <w:rPr/>
            </w:pPr>
            <w:r>
              <w:rPr/>
              <w:t> </w:t>
            </w:r>
          </w:p>
        </w:tc>
        <w:tc>
          <w:tcPr>
            <w:tcW w:w="2045" w:type="dxa"/>
            <w:tcBorders/>
            <w:shd w:fill="DBE5F1" w:val="clear"/>
            <w:vAlign w:val="center"/>
          </w:tcPr>
          <w:p>
            <w:pPr>
              <w:pStyle w:val="TableContents"/>
              <w:bidi w:val="0"/>
              <w:spacing w:before="0" w:after="283"/>
              <w:jc w:val="center"/>
              <w:rPr/>
            </w:pPr>
            <w:r>
              <w:rPr/>
              <w:t>$16.92(3)</w:t>
            </w:r>
          </w:p>
        </w:tc>
        <w:tc>
          <w:tcPr>
            <w:tcW w:w="60" w:type="dxa"/>
            <w:tcBorders/>
            <w:shd w:fill="DBE5F1" w:val="clear"/>
            <w:vAlign w:val="center"/>
          </w:tcPr>
          <w:p>
            <w:pPr>
              <w:pStyle w:val="TableContents"/>
              <w:bidi w:val="0"/>
              <w:spacing w:before="0" w:after="283"/>
              <w:jc w:val="left"/>
              <w:rPr/>
            </w:pPr>
            <w:r>
              <w:rPr/>
              <w:t> </w:t>
            </w:r>
          </w:p>
        </w:tc>
        <w:tc>
          <w:tcPr>
            <w:tcW w:w="2285" w:type="dxa"/>
            <w:tcBorders/>
            <w:shd w:fill="DBE5F1" w:val="clear"/>
            <w:vAlign w:val="center"/>
          </w:tcPr>
          <w:p>
            <w:pPr>
              <w:pStyle w:val="TableContents"/>
              <w:bidi w:val="0"/>
              <w:spacing w:before="0" w:after="283"/>
              <w:jc w:val="center"/>
              <w:rPr/>
            </w:pPr>
            <w:r>
              <w:rPr/>
              <w:t>8,906,843</w:t>
            </w:r>
          </w:p>
        </w:tc>
      </w:tr>
      <w:tr>
        <w:trPr/>
        <w:tc>
          <w:tcPr>
            <w:tcW w:w="3515" w:type="dxa"/>
            <w:tcBorders/>
            <w:vAlign w:val="center"/>
          </w:tcPr>
          <w:p>
            <w:pPr>
              <w:pStyle w:val="TableContents"/>
              <w:bidi w:val="0"/>
              <w:spacing w:before="0" w:after="0"/>
              <w:jc w:val="left"/>
              <w:rPr>
                <w:rFonts w:ascii="ARIAL" w:hAnsi="ARIAL"/>
                <w:sz w:val="20"/>
              </w:rPr>
            </w:pPr>
            <w:r>
              <w:rPr>
                <w:rFonts w:ascii="ARIAL" w:hAnsi="ARIAL"/>
                <w:sz w:val="20"/>
              </w:rPr>
              <w:t>Equity compensation plans not approved by stockholders</w:t>
            </w:r>
          </w:p>
        </w:tc>
        <w:tc>
          <w:tcPr>
            <w:tcW w:w="12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center"/>
              <w:rPr/>
            </w:pPr>
            <w:r>
              <w:rPr/>
              <w:t>N/A</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(1)</w:t>
            </w:r>
          </w:p>
        </w:tc>
        <w:tc>
          <w:tcPr>
            <w:tcW w:w="9906" w:type="dxa"/>
            <w:tcBorders/>
            <w:vAlign w:val="center"/>
          </w:tcPr>
          <w:p>
            <w:pPr>
              <w:pStyle w:val="TableContents"/>
              <w:bidi w:val="0"/>
              <w:spacing w:before="0" w:after="0"/>
              <w:jc w:val="left"/>
              <w:rPr>
                <w:rFonts w:ascii="ARIAL" w:hAnsi="ARIAL"/>
                <w:sz w:val="16"/>
              </w:rPr>
            </w:pPr>
            <w:r>
              <w:rPr>
                <w:rFonts w:ascii="ARIAL" w:hAnsi="ARIAL"/>
                <w:sz w:val="16"/>
              </w:rPr>
              <w:t xml:space="preserve">As December 31, 2023, the maximum number of shares available for issuance under the 2021 Plan was not permitted to exceed 34,139,149 shares. The number of shares available for issuance under the 2021 Plan will be increased on January 1 of each calendar year, beginning in 2022 and ending in and including 2031, by an amount equal to the lesser of (a) 4% of the shares of common stock outstanding on the final day of the immediately preceding calendar year and (b) a smaller number of shares determined by our Board. 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the 2021 Plan will be added back to the shares of common stock available for issuance under such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9"/>
        <w:gridCol w:w="9871"/>
      </w:tblGrid>
      <w:tr>
        <w:trPr/>
        <w:tc>
          <w:tcPr>
            <w:tcW w:w="75"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(2)</w:t>
            </w:r>
          </w:p>
        </w:tc>
        <w:tc>
          <w:tcPr>
            <w:tcW w:w="9871" w:type="dxa"/>
            <w:tcBorders/>
            <w:vAlign w:val="center"/>
          </w:tcPr>
          <w:p>
            <w:pPr>
              <w:pStyle w:val="TableContents"/>
              <w:bidi w:val="0"/>
              <w:spacing w:before="0" w:after="0"/>
              <w:jc w:val="left"/>
              <w:rPr>
                <w:rFonts w:ascii="ARIAL" w:hAnsi="ARIAL"/>
                <w:sz w:val="16"/>
              </w:rPr>
            </w:pPr>
            <w:r>
              <w:rPr>
                <w:rFonts w:ascii="ARIAL" w:hAnsi="ARIAL"/>
                <w:sz w:val="16"/>
              </w:rPr>
              <w:t xml:space="preserve">Includes 8,887,315 shares issuable upon the exercise of outstanding stock options, 10,364,300 shares issuable upon the vesting of outstanding RSUs and 5,514,005 shares issuable upon the vesting of outstanding PSUs. </w:t>
            </w:r>
          </w:p>
        </w:tc>
      </w:tr>
    </w:tbl>
    <w:p>
      <w:pPr>
        <w:pStyle w:val="TextBody"/>
        <w:bidi w:val="0"/>
        <w:spacing w:before="0" w:after="0"/>
        <w:jc w:val="left"/>
        <w:rPr/>
      </w:pPr>
      <w:r>
        <w:rPr/>
        <w:t> </w:t>
      </w:r>
    </w:p>
    <w:tbl>
      <w:tblPr>
        <w:tblW w:w="9940" w:type="dxa"/>
        <w:jc w:val="left"/>
        <w:tblInd w:w="0" w:type="dxa"/>
        <w:tblLayout w:type="fixed"/>
        <w:tblCellMar>
          <w:top w:w="0" w:type="dxa"/>
          <w:left w:w="0" w:type="dxa"/>
          <w:bottom w:w="0" w:type="dxa"/>
          <w:right w:w="0" w:type="dxa"/>
        </w:tblCellMar>
      </w:tblPr>
      <w:tblGrid>
        <w:gridCol w:w="75"/>
        <w:gridCol w:w="290"/>
        <w:gridCol w:w="95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(3)</w:t>
            </w:r>
          </w:p>
        </w:tc>
        <w:tc>
          <w:tcPr>
            <w:tcW w:w="9575" w:type="dxa"/>
            <w:tcBorders/>
            <w:vAlign w:val="center"/>
          </w:tcPr>
          <w:p>
            <w:pPr>
              <w:pStyle w:val="TableContents"/>
              <w:bidi w:val="0"/>
              <w:spacing w:before="0" w:after="0"/>
              <w:jc w:val="left"/>
              <w:rPr>
                <w:rFonts w:ascii="ARIAL" w:hAnsi="ARIAL"/>
                <w:sz w:val="16"/>
              </w:rPr>
            </w:pPr>
            <w:r>
              <w:rPr>
                <w:rFonts w:ascii="ARIAL" w:hAnsi="ARIAL"/>
                <w:sz w:val="16"/>
              </w:rPr>
              <w:t xml:space="preserve">As RSUs and PSUs do not have any exercise price, such units are not included in the weighted average exercise price calculation. </w:t>
            </w:r>
          </w:p>
        </w:tc>
      </w:tr>
    </w:tbl>
    <w:p>
      <w:pPr>
        <w:pStyle w:val="TextBody"/>
        <w:bidi w:val="0"/>
        <w:spacing w:before="240" w:after="0"/>
        <w:jc w:val="left"/>
        <w:rPr>
          <w:rFonts w:ascii="ARIAL" w:hAnsi="ARIAL"/>
          <w:b/>
          <w:color w:val="1F497D"/>
          <w:sz w:val="20"/>
        </w:rPr>
      </w:pPr>
      <w:r>
        <w:rPr>
          <w:rFonts w:ascii="ARIAL" w:hAnsi="ARIAL"/>
          <w:b/>
          <w:color w:val="1F497D"/>
          <w:sz w:val="20"/>
        </w:rPr>
        <w:t xml:space="preserve">Delinquent Section 16(a) Reports </w:t>
      </w:r>
    </w:p>
    <w:p>
      <w:pPr>
        <w:pStyle w:val="TextBody"/>
        <w:bidi w:val="0"/>
        <w:spacing w:before="240" w:after="0"/>
        <w:jc w:val="left"/>
        <w:rPr>
          <w:rFonts w:ascii="ARIAL" w:hAnsi="ARIAL"/>
          <w:sz w:val="20"/>
        </w:rPr>
      </w:pPr>
      <w:r>
        <w:rPr>
          <w:rFonts w:ascii="ARIAL" w:hAnsi="ARIAL"/>
          <w:sz w:val="20"/>
        </w:rPr>
        <w:t xml:space="preserve">Section 16(a) of the Securities Exchange Act of 1934, as amended, requires our directors and certain of our officers to file reports of holdings and transactions in our equity with the SEC. Based on our records and other information, we believe that in 2023 our directors and our officers who were subject to Section 16(a) met all applicable filing requirements, except as follows: due to an inadvertent administrative error by the company in November 2023, a transaction for Joseph Konowiecki, Chairman of the Board, for the non-discretionary sale of 4,898 shares to satisfy tax obligations upon the vesting of restricted stock units was reported late.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80 </w:t>
      </w:r>
      <w:r>
        <w:br w:type="page"/>
      </w:r>
    </w:p>
    <w:p>
      <w:pPr>
        <w:pStyle w:val="HorizontalLine"/>
        <w:bidi w:val="0"/>
        <w:jc w:val="left"/>
        <w:rPr/>
      </w:pPr>
      <w:r>
        <w:rPr/>
      </w:r>
    </w:p>
    <w:p>
      <w:pPr>
        <w:pStyle w:val="TextBody"/>
        <w:bidi w:val="0"/>
        <w:spacing w:before="0" w:after="0"/>
        <w:jc w:val="center"/>
        <w:rPr>
          <w:rFonts w:ascii="ARIAL" w:hAnsi="ARIAL"/>
          <w:b/>
          <w:sz w:val="20"/>
        </w:rPr>
      </w:pPr>
      <w:bookmarkStart w:id="37" w:name="txa496243_36"/>
      <w:bookmarkEnd w:id="37"/>
      <w:r>
        <w:rPr>
          <w:rFonts w:ascii="ARIAL" w:hAnsi="ARIAL"/>
          <w:b/>
          <w:sz w:val="20"/>
        </w:rPr>
        <w:t xml:space="preserve">PROPOSAL 2 – APPROVAL OF AN AMENDMENT TO OUR CERTIFICATE OF </w:t>
      </w:r>
    </w:p>
    <w:p>
      <w:pPr>
        <w:pStyle w:val="TextBody"/>
        <w:bidi w:val="0"/>
        <w:spacing w:before="0" w:after="0"/>
        <w:jc w:val="center"/>
        <w:rPr>
          <w:rFonts w:ascii="ARIAL" w:hAnsi="ARIAL"/>
          <w:b/>
          <w:sz w:val="20"/>
        </w:rPr>
      </w:pPr>
      <w:r>
        <w:rPr>
          <w:rFonts w:ascii="ARIAL" w:hAnsi="ARIAL"/>
          <w:b/>
          <w:sz w:val="20"/>
        </w:rPr>
        <w:t xml:space="preserve">INCORPORATION TO REFLECT NEW DELAWARE LAW PROVISIONS </w:t>
      </w:r>
    </w:p>
    <w:p>
      <w:pPr>
        <w:pStyle w:val="TextBody"/>
        <w:bidi w:val="0"/>
        <w:spacing w:before="0" w:after="0"/>
        <w:jc w:val="center"/>
        <w:rPr>
          <w:rFonts w:ascii="ARIAL" w:hAnsi="ARIAL"/>
          <w:b/>
          <w:sz w:val="20"/>
        </w:rPr>
      </w:pPr>
      <w:r>
        <w:rPr>
          <w:rFonts w:ascii="ARIAL" w:hAnsi="ARIAL"/>
          <w:b/>
          <w:sz w:val="20"/>
        </w:rPr>
        <w:t xml:space="preserve">REGARDING EXCULPATION OF OFFICERS </w:t>
      </w:r>
    </w:p>
    <w:p>
      <w:pPr>
        <w:pStyle w:val="TextBody"/>
        <w:bidi w:val="0"/>
        <w:spacing w:before="240" w:after="0"/>
        <w:jc w:val="left"/>
        <w:rPr>
          <w:rFonts w:ascii="ARIAL" w:hAnsi="ARIAL"/>
          <w:sz w:val="20"/>
        </w:rPr>
      </w:pPr>
      <w:r>
        <w:rPr>
          <w:rFonts w:ascii="ARIAL" w:hAnsi="ARIAL"/>
          <w:sz w:val="20"/>
        </w:rPr>
        <w:t xml:space="preserve">Article Six of our Certificate of Incorporation (Certificate) currently provides for the Company to limit the monetary liability of directors in certain circumstances pursuant to and consistent with the Delaware General Corporation Law (DGCL). The State of Delaware recently amended Section 102(b)(7) of the DGCL to allow Delaware corporations to extend similar protections to officers. Specifically, the amendments to the DGCL allow Delaware corporations to exculpate their officers for personal liability for breaches of the duty of care in certain circumstances. For both directors and officers, the liability limitation does not apply to breaches of the duty of loyalty, acts or omissions not in good faith or acts or omissions that involve intentional misconduct or a knowing violation of law, or any transaction in which the director or officer derived an improper personal benefit. In addition, for officers, amended Section 102(b)(7) only permits exculpation for direct claims brought by stockholders, as opposed to claims brought by or on behalf of the Company (e.g., derivative claims). </w:t>
      </w:r>
    </w:p>
    <w:p>
      <w:pPr>
        <w:pStyle w:val="TextBody"/>
        <w:bidi w:val="0"/>
        <w:spacing w:before="240" w:after="0"/>
        <w:jc w:val="left"/>
        <w:rPr>
          <w:rFonts w:ascii="ARIAL" w:hAnsi="ARIAL"/>
          <w:sz w:val="20"/>
        </w:rPr>
      </w:pPr>
      <w:r>
        <w:rPr>
          <w:rFonts w:ascii="ARIAL" w:hAnsi="ARIAL"/>
          <w:sz w:val="20"/>
        </w:rPr>
        <w:t xml:space="preserve">Adopting an officer exculpation provision that aligns with the protections afforded under the DGCL could prevent protracted or otherwise meritless litigation that distracts from our primary objective of creating stockholder value over the long term. The nature of the role of directors and officers often requires them to make decisions on crucial matters. Frequently, directors and officers must make decisions in response to time-sensitive opportunities and challenges, which can create substantial risk of investigations, claims, actions, suits or proceedings seeking to impose liability on the basis of hindsight, especially in the current litigious environment and regardless of merit. The Board believes that limiting concern about personal liability will empower officers to best exercise their business judgment in furtherance of stockholder interests without the distraction of potentially being subject to claims following actions taken in good faith. </w:t>
      </w:r>
    </w:p>
    <w:p>
      <w:pPr>
        <w:pStyle w:val="TextBody"/>
        <w:bidi w:val="0"/>
        <w:spacing w:before="240" w:after="0"/>
        <w:jc w:val="left"/>
        <w:rPr>
          <w:rFonts w:ascii="ARIAL" w:hAnsi="ARIAL"/>
          <w:sz w:val="20"/>
        </w:rPr>
      </w:pPr>
      <w:r>
        <w:rPr>
          <w:rFonts w:ascii="ARIAL" w:hAnsi="ARIAL"/>
          <w:sz w:val="20"/>
        </w:rPr>
        <w:t xml:space="preserve">In addition, the Board believes it is important to provide protection to officers to the extent permitted by the DGCL to attract and retain key executive talent. This protection has long been afforded to directors. Other public companies have updated their governing documents to align with amended Section 102(b)(7) of the DGCL, and we expect this practice to continue. Therefore, our ability to attract and retain highly qualified officer candidates may be adversely impacted if we do not implement the expanded protections now offered under Delaware law. For these reasons, the Board unanimously approved the amendment to our Certificate described in this proposal, subject to approval by stockholders. </w:t>
      </w:r>
    </w:p>
    <w:p>
      <w:pPr>
        <w:pStyle w:val="TextBody"/>
        <w:bidi w:val="0"/>
        <w:spacing w:before="240" w:after="0"/>
        <w:jc w:val="left"/>
        <w:rPr>
          <w:rFonts w:ascii="ARIAL" w:hAnsi="ARIAL"/>
          <w:sz w:val="20"/>
        </w:rPr>
      </w:pPr>
      <w:r>
        <w:rPr>
          <w:rFonts w:ascii="ARIAL" w:hAnsi="ARIAL"/>
          <w:sz w:val="20"/>
        </w:rPr>
        <w:t xml:space="preserve">If this proposal is approved by stockholders, Article Six, Section 1(a) of our Certificate will be amended to read in its entirety as set forth below (with additions shown as underlined): </w:t>
      </w:r>
    </w:p>
    <w:p>
      <w:pPr>
        <w:pStyle w:val="TextBody"/>
        <w:bidi w:val="0"/>
        <w:spacing w:before="240" w:after="0"/>
        <w:jc w:val="left"/>
        <w:rPr>
          <w:rFonts w:ascii="ARIAL" w:hAnsi="ARIAL"/>
          <w:sz w:val="20"/>
        </w:rPr>
      </w:pPr>
      <w:r>
        <w:rPr>
          <w:rFonts w:ascii="ARIAL" w:hAnsi="ARIAL"/>
          <w:sz w:val="20"/>
        </w:rPr>
        <w:t xml:space="preserve">(a) To the fullest extent permitted by the DGCL as it now exists or may hereafter be amended (but, in the case of any such amendment, only to the extent such amendment permits the Corporation to provide broader exculpation than permitted prior thereto), no director or officer of the Corporation shall be liable to the Corporation or its stockholders for monetary damages arising from a breach of fiduciary duty as a director or officer, as applicable. </w:t>
      </w:r>
    </w:p>
    <w:p>
      <w:pPr>
        <w:pStyle w:val="TextBody"/>
        <w:bidi w:val="0"/>
        <w:spacing w:before="240" w:after="0"/>
        <w:jc w:val="left"/>
        <w:rPr>
          <w:rFonts w:ascii="ARIAL" w:hAnsi="ARIAL"/>
          <w:b/>
          <w:color w:val="1F497D"/>
          <w:sz w:val="20"/>
        </w:rPr>
      </w:pPr>
      <w:r>
        <w:rPr>
          <w:rFonts w:ascii="ARIAL" w:hAnsi="ARIAL"/>
          <w:b/>
          <w:color w:val="1F497D"/>
          <w:sz w:val="20"/>
        </w:rPr>
        <w:t xml:space="preserve">Vote Required and Recommendation of the Board of Directors </w:t>
      </w:r>
    </w:p>
    <w:p>
      <w:pPr>
        <w:pStyle w:val="TextBody"/>
        <w:bidi w:val="0"/>
        <w:spacing w:before="240" w:after="0"/>
        <w:jc w:val="left"/>
        <w:rPr>
          <w:rFonts w:ascii="ARIAL" w:hAnsi="ARIAL"/>
          <w:sz w:val="20"/>
        </w:rPr>
      </w:pPr>
      <w:r>
        <w:rPr>
          <w:rFonts w:ascii="ARIAL" w:hAnsi="ARIAL"/>
          <w:sz w:val="20"/>
        </w:rPr>
        <w:t xml:space="preserve">The affirmative vote of the holders of at least sixty-six and two-thirds percent (662/3%) of the outstanding shares of our voting stock is required to approve this proposal. If you hold your shares in your own name and abstain from voting on this matter, your abstention will have the effect of a vote against this proposal. If you hold your shares through a bank, broker or other holder of record and you do not instruct them on how to vote on this proposal, they will not have the authority to vote your shares.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81 </w:t>
      </w:r>
      <w:r>
        <w:br w:type="page"/>
      </w:r>
    </w:p>
    <w:p>
      <w:pPr>
        <w:pStyle w:val="HorizontalLine"/>
        <w:bidi w:val="0"/>
        <w:jc w:val="left"/>
        <w:rPr/>
      </w:pPr>
      <w:r>
        <w:rPr/>
      </w:r>
    </w:p>
    <w:p>
      <w:pPr>
        <w:pStyle w:val="TextBody"/>
        <w:bidi w:val="0"/>
        <w:spacing w:before="0" w:after="0"/>
        <w:jc w:val="left"/>
        <w:rPr>
          <w:rFonts w:ascii="ARIAL" w:hAnsi="ARIAL"/>
          <w:sz w:val="20"/>
        </w:rPr>
      </w:pPr>
      <w:r>
        <w:rPr>
          <w:rFonts w:ascii="ARIAL" w:hAnsi="ARIAL"/>
          <w:sz w:val="20"/>
        </w:rPr>
        <w:t xml:space="preserve">Abstentions and broker non-votes will each be counted as present for purposes of determining the presence of a quorum, but will have the same effect as a vote against this proposal. If the proposed amendment to our Certificate is approved at the Annual Meeting, we will file an Amended and Restated Certificate of Incorporation with the Delaware Secretary of State shortly following the Annual Meeting to incorporate the approved amendment, at which point the amendment will become effective. Should stockholder approval not be obtained, this amendment will not be implemented, and our Certificate will continue in effect pursuant to its current terms. </w:t>
      </w:r>
    </w:p>
    <w:p>
      <w:pPr>
        <w:pStyle w:val="TextBody"/>
        <w:bidi w:val="0"/>
        <w:spacing w:before="240" w:after="0"/>
        <w:jc w:val="left"/>
        <w:rPr>
          <w:rFonts w:ascii="ARIAL" w:hAnsi="ARIAL"/>
          <w:sz w:val="20"/>
        </w:rPr>
      </w:pPr>
      <w:r>
        <w:rPr>
          <w:rFonts w:ascii="ARIAL" w:hAnsi="ARIAL"/>
          <w:sz w:val="20"/>
        </w:rPr>
        <w:t xml:space="preserve">The Board believes that the amendment to our Certificate described herein is in the best interests of the Company and its stockholders for the reasons stated above. </w:t>
      </w:r>
    </w:p>
    <w:p>
      <w:pPr>
        <w:pStyle w:val="TextBody"/>
        <w:bidi w:val="0"/>
        <w:spacing w:before="0" w:after="0"/>
        <w:jc w:val="left"/>
        <w:rPr/>
      </w:pPr>
      <w:r>
        <w:rPr/>
        <w:t> </w:t>
      </w:r>
    </w:p>
    <w:tbl>
      <w:tblPr>
        <w:tblW w:w="8450" w:type="dxa"/>
        <w:jc w:val="left"/>
        <w:tblInd w:w="0" w:type="dxa"/>
        <w:tblLayout w:type="fixed"/>
        <w:tblCellMar>
          <w:top w:w="0" w:type="dxa"/>
          <w:left w:w="0" w:type="dxa"/>
          <w:bottom w:w="0" w:type="dxa"/>
          <w:right w:w="0" w:type="dxa"/>
        </w:tblCellMar>
      </w:tblPr>
      <w:tblGrid>
        <w:gridCol w:w="8450"/>
      </w:tblGrid>
      <w:tr>
        <w:trPr/>
        <w:tc>
          <w:tcPr>
            <w:tcW w:w="8450" w:type="dxa"/>
            <w:tcBorders/>
            <w:vAlign w:val="center"/>
          </w:tcPr>
          <w:p>
            <w:pPr>
              <w:pStyle w:val="TableContents"/>
              <w:bidi w:val="0"/>
              <w:spacing w:before="0" w:after="283"/>
              <w:jc w:val="left"/>
              <w:rPr>
                <w:sz w:val="4"/>
                <w:szCs w:val="4"/>
              </w:rPr>
            </w:pPr>
            <w:r>
              <w:rPr>
                <w:sz w:val="4"/>
                <w:szCs w:val="4"/>
              </w:rPr>
            </w:r>
          </w:p>
        </w:tc>
      </w:tr>
      <w:tr>
        <w:trPr/>
        <w:tc>
          <w:tcPr>
            <w:tcW w:w="8450" w:type="dxa"/>
            <w:tcBorders>
              <w:top w:val="single" w:sz="6" w:space="0" w:color="000000"/>
              <w:left w:val="single" w:sz="6" w:space="0" w:color="000000"/>
              <w:right w:val="single" w:sz="6" w:space="0" w:color="000000"/>
            </w:tcBorders>
            <w:shd w:fill="DBE5F1" w:val="clear"/>
            <w:tcMar>
              <w:top w:w="28" w:type="dxa"/>
              <w:left w:w="160" w:type="dxa"/>
              <w:right w:w="28" w:type="dxa"/>
            </w:tcMar>
            <w:vAlign w:val="center"/>
          </w:tcPr>
          <w:p>
            <w:pPr>
              <w:pStyle w:val="TableContents"/>
              <w:bidi w:val="0"/>
              <w:spacing w:before="0" w:after="283"/>
              <w:jc w:val="left"/>
              <w:rPr/>
            </w:pPr>
            <w:r>
              <w:rPr/>
              <w:t> </w:t>
            </w:r>
          </w:p>
        </w:tc>
      </w:tr>
      <w:tr>
        <w:trPr/>
        <w:tc>
          <w:tcPr>
            <w:tcW w:w="8450" w:type="dxa"/>
            <w:tcBorders>
              <w:left w:val="single" w:sz="6" w:space="0" w:color="000000"/>
              <w:right w:val="single" w:sz="6" w:space="0" w:color="000000"/>
            </w:tcBorders>
            <w:shd w:fill="DBE5F1" w:val="clear"/>
            <w:tcMar>
              <w:left w:w="160" w:type="dxa"/>
              <w:right w:w="40" w:type="dxa"/>
            </w:tcMar>
            <w:vAlign w:val="center"/>
          </w:tcPr>
          <w:p>
            <w:pPr>
              <w:pStyle w:val="TableContents"/>
              <w:bidi w:val="0"/>
              <w:spacing w:before="0" w:after="0"/>
              <w:jc w:val="center"/>
              <w:rPr>
                <w:rFonts w:ascii="ARIAL" w:hAnsi="ARIAL"/>
                <w:b/>
                <w:sz w:val="20"/>
              </w:rPr>
            </w:pPr>
            <w:r>
              <w:rPr>
                <w:rFonts w:ascii="ARIAL" w:hAnsi="ARIAL"/>
                <w:b/>
                <w:sz w:val="20"/>
              </w:rPr>
              <w:t>THE BOARD OF DIRECTORS RECOMMENDS THAT YOU VOTE “FOR” THE APPROVAL OF</w:t>
            </w:r>
          </w:p>
          <w:p>
            <w:pPr>
              <w:pStyle w:val="TableContents"/>
              <w:bidi w:val="0"/>
              <w:spacing w:before="0" w:after="0"/>
              <w:jc w:val="center"/>
              <w:rPr>
                <w:rFonts w:ascii="ARIAL" w:hAnsi="ARIAL"/>
                <w:b/>
                <w:sz w:val="20"/>
              </w:rPr>
            </w:pPr>
            <w:r>
              <w:rPr>
                <w:rFonts w:ascii="ARIAL" w:hAnsi="ARIAL"/>
                <w:b/>
                <w:sz w:val="20"/>
              </w:rPr>
              <w:t>THE AMENDMENT TO OUR CERTIFICATE OF INCORPORATION TO</w:t>
            </w:r>
          </w:p>
          <w:p>
            <w:pPr>
              <w:pStyle w:val="TableContents"/>
              <w:bidi w:val="0"/>
              <w:spacing w:before="0" w:after="0"/>
              <w:jc w:val="center"/>
              <w:rPr>
                <w:rFonts w:ascii="ARIAL" w:hAnsi="ARIAL"/>
                <w:b/>
                <w:sz w:val="20"/>
              </w:rPr>
            </w:pPr>
            <w:r>
              <w:rPr>
                <w:rFonts w:ascii="ARIAL" w:hAnsi="ARIAL"/>
                <w:b/>
                <w:sz w:val="20"/>
              </w:rPr>
              <w:t>REFLECT NEW DELAWARE LAW PROVISIONS REGARDING</w:t>
            </w:r>
          </w:p>
          <w:p>
            <w:pPr>
              <w:pStyle w:val="TableContents"/>
              <w:bidi w:val="0"/>
              <w:spacing w:before="0" w:after="20"/>
              <w:jc w:val="center"/>
              <w:rPr>
                <w:rFonts w:ascii="ARIAL" w:hAnsi="ARIAL"/>
                <w:b/>
                <w:sz w:val="20"/>
              </w:rPr>
            </w:pPr>
            <w:r>
              <w:rPr>
                <w:rFonts w:ascii="ARIAL" w:hAnsi="ARIAL"/>
                <w:b/>
                <w:sz w:val="20"/>
              </w:rPr>
              <w:t>EXCULPTATION OF OFFICERS.</w:t>
            </w:r>
          </w:p>
        </w:tc>
      </w:tr>
      <w:tr>
        <w:trPr/>
        <w:tc>
          <w:tcPr>
            <w:tcW w:w="8450" w:type="dxa"/>
            <w:tcBorders>
              <w:left w:val="single" w:sz="6" w:space="0" w:color="000000"/>
              <w:right w:val="single" w:sz="6" w:space="0" w:color="000000"/>
            </w:tcBorders>
            <w:shd w:fill="DBE5F1" w:val="clear"/>
            <w:tcMar>
              <w:left w:w="160" w:type="dxa"/>
              <w:right w:w="28" w:type="dxa"/>
            </w:tcMar>
            <w:vAlign w:val="center"/>
          </w:tcPr>
          <w:p>
            <w:pPr>
              <w:pStyle w:val="TableContents"/>
              <w:bidi w:val="0"/>
              <w:spacing w:before="0" w:after="283"/>
              <w:jc w:val="left"/>
              <w:rPr/>
            </w:pPr>
            <w:r>
              <w:rPr/>
              <w:t> </w:t>
            </w:r>
          </w:p>
        </w:tc>
      </w:tr>
      <w:tr>
        <w:trPr/>
        <w:tc>
          <w:tcPr>
            <w:tcW w:w="8450" w:type="dxa"/>
            <w:tcBorders>
              <w:left w:val="single" w:sz="6" w:space="0" w:color="000000"/>
              <w:bottom w:val="single" w:sz="6" w:space="0" w:color="000000"/>
              <w:right w:val="single" w:sz="6" w:space="0" w:color="000000"/>
            </w:tcBorders>
            <w:shd w:fill="DBE5F1" w:val="clear"/>
            <w:tcMar>
              <w:left w:w="160" w:type="dxa"/>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82 </w:t>
      </w:r>
      <w:r>
        <w:br w:type="page"/>
      </w:r>
    </w:p>
    <w:p>
      <w:pPr>
        <w:pStyle w:val="HorizontalLine"/>
        <w:bidi w:val="0"/>
        <w:jc w:val="left"/>
        <w:rPr/>
      </w:pPr>
      <w:r>
        <w:rPr/>
      </w:r>
    </w:p>
    <w:p>
      <w:pPr>
        <w:pStyle w:val="TextBody"/>
        <w:bidi w:val="0"/>
        <w:spacing w:before="0" w:after="0"/>
        <w:jc w:val="center"/>
        <w:rPr>
          <w:rFonts w:ascii="ARIAL" w:hAnsi="ARIAL"/>
          <w:b/>
          <w:sz w:val="20"/>
        </w:rPr>
      </w:pPr>
      <w:bookmarkStart w:id="38" w:name="txa496243_37"/>
      <w:bookmarkEnd w:id="38"/>
      <w:r>
        <w:rPr>
          <w:rFonts w:ascii="ARIAL" w:hAnsi="ARIAL"/>
          <w:b/>
          <w:sz w:val="20"/>
        </w:rPr>
        <w:t xml:space="preserve">PROPOSAL 3 – RATIFICATION OF APPOINTMENT OF INDEPENDENT </w:t>
      </w:r>
    </w:p>
    <w:p>
      <w:pPr>
        <w:pStyle w:val="TextBody"/>
        <w:bidi w:val="0"/>
        <w:spacing w:before="0" w:after="0"/>
        <w:jc w:val="center"/>
        <w:rPr>
          <w:rFonts w:ascii="ARIAL" w:hAnsi="ARIAL"/>
          <w:b/>
          <w:sz w:val="20"/>
        </w:rPr>
      </w:pPr>
      <w:r>
        <w:rPr>
          <w:rFonts w:ascii="ARIAL" w:hAnsi="ARIAL"/>
          <w:b/>
          <w:sz w:val="20"/>
        </w:rPr>
        <w:t xml:space="preserve">REGISTERED PUBLIC ACCOUNTING FIRM </w:t>
      </w:r>
    </w:p>
    <w:p>
      <w:pPr>
        <w:pStyle w:val="TextBody"/>
        <w:bidi w:val="0"/>
        <w:spacing w:before="240" w:after="0"/>
        <w:jc w:val="left"/>
        <w:rPr>
          <w:rFonts w:ascii="ARIAL" w:hAnsi="ARIAL"/>
          <w:sz w:val="20"/>
        </w:rPr>
      </w:pPr>
      <w:r>
        <w:rPr>
          <w:rFonts w:ascii="ARIAL" w:hAnsi="ARIAL"/>
          <w:sz w:val="20"/>
        </w:rPr>
        <w:t xml:space="preserve">The Audit Committee has appointed Deloitte &amp; Touche LLP as our independent registered public accounting firm for the year ending December 31, 2024. Services provided to the Company and its subsidiaries by Deloitte &amp; Touche LLP for the year ended December 31, 2023 are described below. </w:t>
      </w:r>
    </w:p>
    <w:p>
      <w:pPr>
        <w:pStyle w:val="TextBody"/>
        <w:bidi w:val="0"/>
        <w:spacing w:before="240" w:after="0"/>
        <w:jc w:val="left"/>
        <w:rPr>
          <w:rFonts w:ascii="ARIAL" w:hAnsi="ARIAL"/>
          <w:b/>
          <w:color w:val="1F497D"/>
          <w:sz w:val="20"/>
        </w:rPr>
      </w:pPr>
      <w:r>
        <w:rPr>
          <w:rFonts w:ascii="ARIAL" w:hAnsi="ARIAL"/>
          <w:b/>
          <w:color w:val="1F497D"/>
          <w:sz w:val="20"/>
        </w:rPr>
        <w:t xml:space="preserve">Fees and Services </w:t>
      </w:r>
    </w:p>
    <w:p>
      <w:pPr>
        <w:pStyle w:val="TextBody"/>
        <w:bidi w:val="0"/>
        <w:spacing w:before="120" w:after="0"/>
        <w:jc w:val="left"/>
        <w:rPr>
          <w:rFonts w:ascii="ARIAL" w:hAnsi="ARIAL"/>
          <w:sz w:val="20"/>
        </w:rPr>
      </w:pPr>
      <w:r>
        <w:rPr>
          <w:rFonts w:ascii="ARIAL" w:hAnsi="ARIAL"/>
          <w:sz w:val="20"/>
        </w:rPr>
        <w:t xml:space="preserve">The following table summarizes the aggregate fees for professional audit services and other services rendered by Deloitte &amp; Touche LLP for the years ended December 31, 2023 and 2022: </w:t>
      </w:r>
    </w:p>
    <w:p>
      <w:pPr>
        <w:pStyle w:val="TextBody"/>
        <w:bidi w:val="0"/>
        <w:spacing w:before="0" w:after="0"/>
        <w:jc w:val="left"/>
        <w:rPr/>
      </w:pPr>
      <w:r>
        <w:rPr/>
        <w:t> </w:t>
      </w:r>
    </w:p>
    <w:tbl>
      <w:tblPr>
        <w:tblW w:w="4225" w:type="dxa"/>
        <w:jc w:val="left"/>
        <w:tblInd w:w="0" w:type="dxa"/>
        <w:tblLayout w:type="fixed"/>
        <w:tblCellMar>
          <w:top w:w="0" w:type="dxa"/>
          <w:left w:w="0" w:type="dxa"/>
          <w:bottom w:w="0" w:type="dxa"/>
          <w:right w:w="0" w:type="dxa"/>
        </w:tblCellMar>
      </w:tblPr>
      <w:tblGrid>
        <w:gridCol w:w="1610"/>
        <w:gridCol w:w="120"/>
        <w:gridCol w:w="140"/>
        <w:gridCol w:w="980"/>
        <w:gridCol w:w="60"/>
        <w:gridCol w:w="120"/>
        <w:gridCol w:w="140"/>
        <w:gridCol w:w="980"/>
        <w:gridCol w:w="75"/>
      </w:tblGrid>
      <w:tr>
        <w:trPr/>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75" w:type="dxa"/>
            <w:tcBorders/>
            <w:vAlign w:val="center"/>
          </w:tcPr>
          <w:p>
            <w:pPr>
              <w:pStyle w:val="TableContents"/>
              <w:bidi w:val="0"/>
              <w:spacing w:before="0" w:after="283"/>
              <w:jc w:val="left"/>
              <w:rPr/>
            </w:pPr>
            <w:r>
              <w:rPr/>
              <w:t> </w:t>
            </w:r>
          </w:p>
        </w:tc>
      </w:tr>
      <w:tr>
        <w:trPr/>
        <w:tc>
          <w:tcPr>
            <w:tcW w:w="1610" w:type="dxa"/>
            <w:tcBorders/>
            <w:shd w:fill="DBE5F1" w:val="clear"/>
            <w:vAlign w:val="center"/>
          </w:tcPr>
          <w:p>
            <w:pPr>
              <w:pStyle w:val="TableContents"/>
              <w:bidi w:val="0"/>
              <w:spacing w:before="0" w:after="0"/>
              <w:jc w:val="left"/>
              <w:rPr>
                <w:rFonts w:ascii="ARIAL" w:hAnsi="ARIAL"/>
                <w:sz w:val="18"/>
              </w:rPr>
            </w:pPr>
            <w:r>
              <w:rPr>
                <w:rFonts w:ascii="ARIAL" w:hAnsi="ARIAL"/>
                <w:sz w:val="18"/>
              </w:rPr>
              <w:t>Audit Fees</w:t>
            </w:r>
          </w:p>
        </w:tc>
        <w:tc>
          <w:tcPr>
            <w:tcW w:w="120" w:type="dxa"/>
            <w:tcBorders/>
            <w:shd w:fill="DBE5F1" w:val="clear"/>
            <w:vAlign w:val="center"/>
          </w:tcPr>
          <w:p>
            <w:pPr>
              <w:pStyle w:val="TableContents"/>
              <w:bidi w:val="0"/>
              <w:spacing w:before="0" w:after="283"/>
              <w:jc w:val="left"/>
              <w:rPr/>
            </w:pPr>
            <w:r>
              <w:rPr/>
              <w:t>  </w:t>
            </w:r>
          </w:p>
        </w:tc>
        <w:tc>
          <w:tcPr>
            <w:tcW w:w="140" w:type="dxa"/>
            <w:tcBorders/>
            <w:shd w:fill="DBE5F1" w:val="clear"/>
            <w:vAlign w:val="center"/>
          </w:tcPr>
          <w:p>
            <w:pPr>
              <w:pStyle w:val="TableContents"/>
              <w:bidi w:val="0"/>
              <w:spacing w:before="0" w:after="283"/>
              <w:jc w:val="left"/>
              <w:rPr/>
            </w:pPr>
            <w:r>
              <w:rPr/>
              <w:t>$</w:t>
            </w:r>
          </w:p>
        </w:tc>
        <w:tc>
          <w:tcPr>
            <w:tcW w:w="980" w:type="dxa"/>
            <w:tcBorders/>
            <w:shd w:fill="DBE5F1" w:val="clear"/>
            <w:vAlign w:val="center"/>
          </w:tcPr>
          <w:p>
            <w:pPr>
              <w:pStyle w:val="TableContents"/>
              <w:bidi w:val="0"/>
              <w:spacing w:before="0" w:after="283"/>
              <w:jc w:val="right"/>
              <w:rPr/>
            </w:pPr>
            <w:r>
              <w:rPr/>
              <w:t>1,873,407</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40" w:type="dxa"/>
            <w:tcBorders/>
            <w:shd w:fill="DBE5F1" w:val="clear"/>
            <w:vAlign w:val="center"/>
          </w:tcPr>
          <w:p>
            <w:pPr>
              <w:pStyle w:val="TableContents"/>
              <w:bidi w:val="0"/>
              <w:spacing w:before="0" w:after="283"/>
              <w:jc w:val="left"/>
              <w:rPr/>
            </w:pPr>
            <w:r>
              <w:rPr/>
              <w:t>$</w:t>
            </w:r>
          </w:p>
        </w:tc>
        <w:tc>
          <w:tcPr>
            <w:tcW w:w="980" w:type="dxa"/>
            <w:tcBorders/>
            <w:shd w:fill="DBE5F1" w:val="clear"/>
            <w:vAlign w:val="center"/>
          </w:tcPr>
          <w:p>
            <w:pPr>
              <w:pStyle w:val="TableContents"/>
              <w:bidi w:val="0"/>
              <w:spacing w:before="0" w:after="283"/>
              <w:jc w:val="right"/>
              <w:rPr/>
            </w:pPr>
            <w:r>
              <w:rPr/>
              <w:t>1,883,663</w:t>
            </w:r>
          </w:p>
        </w:tc>
        <w:tc>
          <w:tcPr>
            <w:tcW w:w="75" w:type="dxa"/>
            <w:tcBorders/>
            <w:shd w:fill="DBE5F1"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0"/>
              <w:jc w:val="left"/>
              <w:rPr>
                <w:rFonts w:ascii="ARIAL" w:hAnsi="ARIAL"/>
                <w:sz w:val="18"/>
              </w:rPr>
            </w:pPr>
            <w:r>
              <w:rPr>
                <w:rFonts w:ascii="ARIAL" w:hAnsi="ARIAL"/>
                <w:sz w:val="18"/>
              </w:rPr>
              <w:t>Audit-Related Fees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23,725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65,000</w:t>
            </w:r>
          </w:p>
        </w:tc>
        <w:tc>
          <w:tcPr>
            <w:tcW w:w="75" w:type="dxa"/>
            <w:tcBorders/>
            <w:vAlign w:val="center"/>
          </w:tcPr>
          <w:p>
            <w:pPr>
              <w:pStyle w:val="TableContents"/>
              <w:bidi w:val="0"/>
              <w:spacing w:before="0" w:after="283"/>
              <w:jc w:val="left"/>
              <w:rPr/>
            </w:pPr>
            <w:r>
              <w:rPr/>
              <w:t> </w:t>
            </w:r>
          </w:p>
        </w:tc>
      </w:tr>
      <w:tr>
        <w:trPr/>
        <w:tc>
          <w:tcPr>
            <w:tcW w:w="1610" w:type="dxa"/>
            <w:tcBorders/>
            <w:shd w:fill="DBE5F1" w:val="clear"/>
            <w:vAlign w:val="center"/>
          </w:tcPr>
          <w:p>
            <w:pPr>
              <w:pStyle w:val="TableContents"/>
              <w:bidi w:val="0"/>
              <w:spacing w:before="0" w:after="0"/>
              <w:jc w:val="left"/>
              <w:rPr>
                <w:rFonts w:ascii="ARIAL" w:hAnsi="ARIAL"/>
                <w:sz w:val="18"/>
              </w:rPr>
            </w:pPr>
            <w:r>
              <w:rPr>
                <w:rFonts w:ascii="ARIAL" w:hAnsi="ARIAL"/>
                <w:sz w:val="18"/>
              </w:rPr>
              <w:t>Tax Fees</w:t>
            </w:r>
          </w:p>
        </w:tc>
        <w:tc>
          <w:tcPr>
            <w:tcW w:w="120" w:type="dxa"/>
            <w:tcBorders/>
            <w:shd w:fill="DBE5F1" w:val="clear"/>
            <w:vAlign w:val="center"/>
          </w:tcPr>
          <w:p>
            <w:pPr>
              <w:pStyle w:val="TableContents"/>
              <w:bidi w:val="0"/>
              <w:spacing w:before="0" w:after="283"/>
              <w:jc w:val="left"/>
              <w:rPr/>
            </w:pPr>
            <w:r>
              <w:rPr/>
              <w:t>  </w:t>
            </w:r>
          </w:p>
        </w:tc>
        <w:tc>
          <w:tcPr>
            <w:tcW w:w="140" w:type="dxa"/>
            <w:tcBorders/>
            <w:shd w:fill="DBE5F1" w:val="clear"/>
            <w:vAlign w:val="center"/>
          </w:tcPr>
          <w:p>
            <w:pPr>
              <w:pStyle w:val="TableContents"/>
              <w:bidi w:val="0"/>
              <w:spacing w:before="0" w:after="283"/>
              <w:jc w:val="left"/>
              <w:rPr/>
            </w:pPr>
            <w:r>
              <w:rPr/>
              <w:t>$</w:t>
            </w:r>
          </w:p>
        </w:tc>
        <w:tc>
          <w:tcPr>
            <w:tcW w:w="980" w:type="dxa"/>
            <w:tcBorders/>
            <w:shd w:fill="DBE5F1" w:val="clear"/>
            <w:vAlign w:val="center"/>
          </w:tcPr>
          <w:p>
            <w:pPr>
              <w:pStyle w:val="TableContents"/>
              <w:bidi w:val="0"/>
              <w:spacing w:before="0" w:after="283"/>
              <w:jc w:val="right"/>
              <w:rPr/>
            </w:pPr>
            <w:r>
              <w:rPr/>
              <w:t>99,700</w:t>
            </w:r>
          </w:p>
        </w:tc>
        <w:tc>
          <w:tcPr>
            <w:tcW w:w="60" w:type="dxa"/>
            <w:tcBorders/>
            <w:shd w:fill="DBE5F1" w:val="clear"/>
            <w:vAlign w:val="center"/>
          </w:tcPr>
          <w:p>
            <w:pPr>
              <w:pStyle w:val="TableContents"/>
              <w:bidi w:val="0"/>
              <w:spacing w:before="0" w:after="283"/>
              <w:jc w:val="left"/>
              <w:rPr/>
            </w:pPr>
            <w:r>
              <w:rPr/>
              <w:t> </w:t>
            </w:r>
          </w:p>
        </w:tc>
        <w:tc>
          <w:tcPr>
            <w:tcW w:w="120" w:type="dxa"/>
            <w:tcBorders/>
            <w:shd w:fill="DBE5F1" w:val="clear"/>
            <w:vAlign w:val="center"/>
          </w:tcPr>
          <w:p>
            <w:pPr>
              <w:pStyle w:val="TableContents"/>
              <w:bidi w:val="0"/>
              <w:spacing w:before="0" w:after="283"/>
              <w:jc w:val="left"/>
              <w:rPr/>
            </w:pPr>
            <w:r>
              <w:rPr/>
              <w:t>  </w:t>
            </w:r>
          </w:p>
        </w:tc>
        <w:tc>
          <w:tcPr>
            <w:tcW w:w="140" w:type="dxa"/>
            <w:tcBorders/>
            <w:shd w:fill="DBE5F1" w:val="clear"/>
            <w:vAlign w:val="center"/>
          </w:tcPr>
          <w:p>
            <w:pPr>
              <w:pStyle w:val="TableContents"/>
              <w:bidi w:val="0"/>
              <w:spacing w:before="0" w:after="283"/>
              <w:jc w:val="left"/>
              <w:rPr/>
            </w:pPr>
            <w:r>
              <w:rPr/>
              <w:t>$</w:t>
            </w:r>
          </w:p>
        </w:tc>
        <w:tc>
          <w:tcPr>
            <w:tcW w:w="980" w:type="dxa"/>
            <w:tcBorders/>
            <w:shd w:fill="DBE5F1" w:val="clear"/>
            <w:vAlign w:val="center"/>
          </w:tcPr>
          <w:p>
            <w:pPr>
              <w:pStyle w:val="TableContents"/>
              <w:bidi w:val="0"/>
              <w:spacing w:before="0" w:after="283"/>
              <w:jc w:val="right"/>
              <w:rPr/>
            </w:pPr>
            <w:r>
              <w:rPr/>
              <w:t>155,293</w:t>
            </w:r>
          </w:p>
        </w:tc>
        <w:tc>
          <w:tcPr>
            <w:tcW w:w="75" w:type="dxa"/>
            <w:tcBorders/>
            <w:shd w:fill="DBE5F1"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0"/>
              <w:jc w:val="left"/>
              <w:rPr>
                <w:rFonts w:ascii="ARIAL" w:hAnsi="ARIAL"/>
                <w:sz w:val="18"/>
              </w:rPr>
            </w:pPr>
            <w:r>
              <w:rPr>
                <w:rFonts w:ascii="ARIAL" w:hAnsi="ARIAL"/>
                <w:sz w:val="18"/>
              </w:rPr>
              <w:t>All Other Fees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529,995</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The Audit Fees listed above were billed in connection with the audit of our annual consolidated financial statements in our Annual Report on Form 10-K, the reviews of our interim consolidated financial statements included in our quarterly reports on Forms 10-Q and other professional services related to our statutory audits and registration statements. Audit-Related Fees include services performed in connection with the registration statements, such as due diligence procedures and issuance of comfort letters in relation to our registration statement and internal controls advisory services. Tax Fees include fees for tax compliance, tax advice and tax planning services. All Other Fees include consulting services. </w:t>
      </w:r>
    </w:p>
    <w:p>
      <w:pPr>
        <w:pStyle w:val="TextBody"/>
        <w:bidi w:val="0"/>
        <w:spacing w:before="240" w:after="0"/>
        <w:jc w:val="left"/>
        <w:rPr>
          <w:rFonts w:ascii="ARIAL" w:hAnsi="ARIAL"/>
          <w:sz w:val="20"/>
        </w:rPr>
      </w:pPr>
      <w:r>
        <w:rPr>
          <w:rFonts w:ascii="ARIAL" w:hAnsi="ARIAL"/>
          <w:sz w:val="20"/>
        </w:rPr>
        <w:t xml:space="preserve">In considering the nature of the services provided by the independent auditor, the Audit Committee determined that such services are compatible with the provision of independent audit services. The Audit Committee discussed these services with the independent auditor and Company management to determine that they are permitted under the rules and regulations concerning auditor independence promulgated by the SEC to implement the Sarbanes-Oxley Act of 2002, as well as the American Institute of Certified Public Accountants. </w:t>
      </w:r>
    </w:p>
    <w:p>
      <w:pPr>
        <w:pStyle w:val="TextBody"/>
        <w:bidi w:val="0"/>
        <w:spacing w:before="240" w:after="0"/>
        <w:jc w:val="left"/>
        <w:rPr>
          <w:rFonts w:ascii="ARIAL" w:hAnsi="ARIAL"/>
          <w:sz w:val="20"/>
        </w:rPr>
      </w:pPr>
      <w:r>
        <w:rPr>
          <w:rFonts w:ascii="ARIAL" w:hAnsi="ARIAL"/>
          <w:sz w:val="20"/>
        </w:rPr>
        <w:t xml:space="preserve">The Audit Committee has adopted a policy that requires advance approval of all audit services as well as non-audit services, regardless of cost, to the extent required by the Exchange Act and the Sarbanes-Oxley Act of 2002. Unless the specific service has been previously pre-approved with respect to that year, the Audit Committee must approve the permitted service before the independent auditor is engaged to perform it. The Audit Committee may consider the amount or range of estimated fees as a factor in determining whether a proposed service would impair the registered public accounting firm’s independence. Requests or applications to provide services that require separate approval by the Audit Committee will be submitted to the Audit Committee by both the independent registered public accounting firm and the Company’s Chief Financial Officer or the Chief Accounting Officer and must include a joint statement as to whether, in their view, the request or application is consistent with the SEC’s and the PCAOB’s rules on registered public accounting firm independence. </w:t>
      </w:r>
    </w:p>
    <w:p>
      <w:pPr>
        <w:pStyle w:val="TextBody"/>
        <w:bidi w:val="0"/>
        <w:spacing w:before="240" w:after="0"/>
        <w:jc w:val="left"/>
        <w:rPr>
          <w:rFonts w:ascii="ARIAL" w:hAnsi="ARIAL"/>
          <w:sz w:val="20"/>
        </w:rPr>
      </w:pPr>
      <w:r>
        <w:rPr>
          <w:rFonts w:ascii="ARIAL" w:hAnsi="ARIAL"/>
          <w:sz w:val="20"/>
        </w:rPr>
        <w:t xml:space="preserve">The Audit Committee may delegate pre-approval authority to one or more of its members. The member or members to whom such authority is delegated shall report any pre-approval decisions to the Audit Committee at its next scheduled meeting. The Audit Committee does not delegate to management the Audit Committee’s responsibilities to pre-approve services performed by the independent registered public accounting firm. </w:t>
      </w:r>
    </w:p>
    <w:p>
      <w:pPr>
        <w:pStyle w:val="TextBody"/>
        <w:bidi w:val="0"/>
        <w:spacing w:before="240" w:after="0"/>
        <w:jc w:val="left"/>
        <w:rPr>
          <w:rFonts w:ascii="ARIAL" w:hAnsi="ARIAL"/>
          <w:sz w:val="20"/>
        </w:rPr>
      </w:pPr>
      <w:r>
        <w:rPr>
          <w:rFonts w:ascii="ARIAL" w:hAnsi="ARIAL"/>
          <w:sz w:val="20"/>
        </w:rPr>
        <w:t xml:space="preserve">The Audit Committee approved all services provided by Deloitte &amp; Touche LLP. Representatives of Deloitte &amp; Touche LLP are expected to be present at the Annual Meeting. They will have the opportunity to make a statement if they desire to do so, and we expect that they will be available to respond to questions.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83 </w:t>
      </w:r>
      <w:r>
        <w:br w:type="page"/>
      </w:r>
    </w:p>
    <w:p>
      <w:pPr>
        <w:pStyle w:val="HorizontalLine"/>
        <w:bidi w:val="0"/>
        <w:jc w:val="left"/>
        <w:rPr/>
      </w:pPr>
      <w:r>
        <w:rPr/>
      </w:r>
    </w:p>
    <w:p>
      <w:pPr>
        <w:pStyle w:val="TextBody"/>
        <w:bidi w:val="0"/>
        <w:spacing w:before="0" w:after="0"/>
        <w:jc w:val="left"/>
        <w:rPr>
          <w:rFonts w:ascii="ARIAL" w:hAnsi="ARIAL"/>
          <w:b/>
          <w:color w:val="1F497D"/>
          <w:sz w:val="20"/>
        </w:rPr>
      </w:pPr>
      <w:r>
        <w:rPr>
          <w:rFonts w:ascii="ARIAL" w:hAnsi="ARIAL"/>
          <w:b/>
          <w:color w:val="1F497D"/>
          <w:sz w:val="20"/>
        </w:rPr>
        <w:t xml:space="preserve">Vote Required and Recommendation of the Board of Directors </w:t>
      </w:r>
    </w:p>
    <w:p>
      <w:pPr>
        <w:pStyle w:val="TextBody"/>
        <w:bidi w:val="0"/>
        <w:spacing w:before="240" w:after="0"/>
        <w:jc w:val="left"/>
        <w:rPr>
          <w:rFonts w:ascii="ARIAL" w:hAnsi="ARIAL"/>
          <w:sz w:val="20"/>
        </w:rPr>
      </w:pPr>
      <w:r>
        <w:rPr>
          <w:rFonts w:ascii="ARIAL" w:hAnsi="ARIAL"/>
          <w:sz w:val="20"/>
        </w:rPr>
        <w:t xml:space="preserve">Ratification of the appointment of Deloitte &amp; Touche LLP requires affirmative votes from the holders of a majority of the voting power present in person or represented by proxy at the Annual Meeting and entitled to vote on such matter. Shares not present at the meeting have no effect on the approval of this matter, while abstentions will count as votes “against.” Pursuant to current NYSE regulations, brokers and other NYSE member organizations have discretionary voting power over the approval of this matter. Therefore, there will be no “broker non-votes” on this proposal, and if you hold shares through a broker or other NYSE member organization and do not provide voting instructions to your broker or other NYSE member organization, your shares may be voted “FOR” this proposal. If you timely submit a signed proxy card but fail to specify instructions to vote with respect to this proposal, the proxy card will be voted “FOR” this proposal. </w:t>
      </w:r>
    </w:p>
    <w:p>
      <w:pPr>
        <w:pStyle w:val="TextBody"/>
        <w:bidi w:val="0"/>
        <w:spacing w:before="240" w:after="0"/>
        <w:jc w:val="left"/>
        <w:rPr>
          <w:rFonts w:ascii="ARIAL" w:hAnsi="ARIAL"/>
          <w:sz w:val="20"/>
        </w:rPr>
      </w:pPr>
      <w:r>
        <w:rPr>
          <w:rFonts w:ascii="ARIAL" w:hAnsi="ARIAL"/>
          <w:sz w:val="20"/>
        </w:rPr>
        <w:t xml:space="preserve">If our stockholders do not ratify the appointment of Deloitte &amp; Touche LLP, the Audit Committee will reconsider the appointment and may affirm the appointment or retain another independent accounting firm. Even if the appointment is ratified, the Audit Committee may in the future replace Deloitte &amp; Touche LLP as our independent registered public accounting firm if it is determined that it is in the Company’s best interests to do so. </w:t>
      </w:r>
    </w:p>
    <w:p>
      <w:pPr>
        <w:pStyle w:val="TextBody"/>
        <w:bidi w:val="0"/>
        <w:spacing w:before="0" w:after="0"/>
        <w:jc w:val="left"/>
        <w:rPr/>
      </w:pPr>
      <w:r>
        <w:rPr/>
        <w:t> </w:t>
      </w:r>
    </w:p>
    <w:tbl>
      <w:tblPr>
        <w:tblW w:w="9230" w:type="dxa"/>
        <w:jc w:val="left"/>
        <w:tblInd w:w="0" w:type="dxa"/>
        <w:tblLayout w:type="fixed"/>
        <w:tblCellMar>
          <w:top w:w="0" w:type="dxa"/>
          <w:left w:w="0" w:type="dxa"/>
          <w:bottom w:w="0" w:type="dxa"/>
          <w:right w:w="0" w:type="dxa"/>
        </w:tblCellMar>
      </w:tblPr>
      <w:tblGrid>
        <w:gridCol w:w="9230"/>
      </w:tblGrid>
      <w:tr>
        <w:trPr/>
        <w:tc>
          <w:tcPr>
            <w:tcW w:w="9230" w:type="dxa"/>
            <w:tcBorders/>
            <w:vAlign w:val="center"/>
          </w:tcPr>
          <w:p>
            <w:pPr>
              <w:pStyle w:val="TableContents"/>
              <w:bidi w:val="0"/>
              <w:spacing w:before="0" w:after="283"/>
              <w:jc w:val="left"/>
              <w:rPr>
                <w:sz w:val="4"/>
                <w:szCs w:val="4"/>
              </w:rPr>
            </w:pPr>
            <w:r>
              <w:rPr>
                <w:sz w:val="4"/>
                <w:szCs w:val="4"/>
              </w:rPr>
            </w:r>
          </w:p>
        </w:tc>
      </w:tr>
      <w:tr>
        <w:trPr/>
        <w:tc>
          <w:tcPr>
            <w:tcW w:w="9230" w:type="dxa"/>
            <w:tcBorders>
              <w:top w:val="single" w:sz="6" w:space="0" w:color="000000"/>
              <w:left w:val="single" w:sz="6" w:space="0" w:color="000000"/>
              <w:right w:val="single" w:sz="6" w:space="0" w:color="000000"/>
            </w:tcBorders>
            <w:shd w:fill="DBE5F1" w:val="clear"/>
            <w:tcMar>
              <w:top w:w="28" w:type="dxa"/>
              <w:left w:w="160" w:type="dxa"/>
              <w:right w:w="28" w:type="dxa"/>
            </w:tcMar>
            <w:vAlign w:val="center"/>
          </w:tcPr>
          <w:p>
            <w:pPr>
              <w:pStyle w:val="TableContents"/>
              <w:bidi w:val="0"/>
              <w:spacing w:before="0" w:after="283"/>
              <w:jc w:val="left"/>
              <w:rPr/>
            </w:pPr>
            <w:r>
              <w:rPr/>
              <w:t> </w:t>
            </w:r>
          </w:p>
        </w:tc>
      </w:tr>
      <w:tr>
        <w:trPr/>
        <w:tc>
          <w:tcPr>
            <w:tcW w:w="9230" w:type="dxa"/>
            <w:tcBorders>
              <w:left w:val="single" w:sz="6" w:space="0" w:color="000000"/>
              <w:bottom w:val="single" w:sz="6" w:space="0" w:color="000000"/>
              <w:right w:val="single" w:sz="6" w:space="0" w:color="000000"/>
            </w:tcBorders>
            <w:shd w:fill="DBE5F1" w:val="clear"/>
            <w:tcMar>
              <w:left w:w="160" w:type="dxa"/>
              <w:bottom w:w="120" w:type="dxa"/>
              <w:right w:w="40" w:type="dxa"/>
            </w:tcMar>
            <w:vAlign w:val="center"/>
          </w:tcPr>
          <w:p>
            <w:pPr>
              <w:pStyle w:val="TableContents"/>
              <w:bidi w:val="0"/>
              <w:spacing w:before="0" w:after="0"/>
              <w:jc w:val="center"/>
              <w:rPr>
                <w:rFonts w:ascii="ARIAL" w:hAnsi="ARIAL"/>
                <w:b/>
                <w:sz w:val="20"/>
              </w:rPr>
            </w:pPr>
            <w:r>
              <w:rPr>
                <w:rFonts w:ascii="ARIAL" w:hAnsi="ARIAL"/>
                <w:b/>
                <w:sz w:val="20"/>
              </w:rPr>
              <w:t>THE AUDIT COMMITTEE AND BOARD OF DIRECTORS RECOMMEND THAT YOU VOTE “FOR”</w:t>
            </w:r>
          </w:p>
          <w:p>
            <w:pPr>
              <w:pStyle w:val="TableContents"/>
              <w:bidi w:val="0"/>
              <w:spacing w:before="0" w:after="0"/>
              <w:jc w:val="center"/>
              <w:rPr>
                <w:rFonts w:ascii="ARIAL" w:hAnsi="ARIAL"/>
                <w:b/>
                <w:sz w:val="20"/>
              </w:rPr>
            </w:pPr>
            <w:r>
              <w:rPr>
                <w:rFonts w:ascii="ARIAL" w:hAnsi="ARIAL"/>
                <w:b/>
                <w:sz w:val="20"/>
              </w:rPr>
              <w:t>THE RATIFICATION OF THE APPOINTMENT OF DELOITTE &amp; TOUCHE LLP AS THE INDEPENDENT</w:t>
            </w:r>
          </w:p>
          <w:p>
            <w:pPr>
              <w:pStyle w:val="TableContents"/>
              <w:bidi w:val="0"/>
              <w:spacing w:before="0" w:after="20"/>
              <w:jc w:val="center"/>
              <w:rPr>
                <w:rFonts w:ascii="ARIAL" w:hAnsi="ARIAL"/>
                <w:b/>
                <w:sz w:val="20"/>
              </w:rPr>
            </w:pPr>
            <w:r>
              <w:rPr>
                <w:rFonts w:ascii="ARIAL" w:hAnsi="ARIAL"/>
                <w:b/>
                <w:sz w:val="20"/>
              </w:rPr>
              <w:t>REGISTERED PUBLIC ACCOUNTING FIRM FOR THE YEAR ENDING DECEMBER 31, 2024.</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84 </w:t>
      </w:r>
      <w:r>
        <w:br w:type="page"/>
      </w:r>
    </w:p>
    <w:p>
      <w:pPr>
        <w:pStyle w:val="HorizontalLine"/>
        <w:bidi w:val="0"/>
        <w:jc w:val="left"/>
        <w:rPr/>
      </w:pPr>
      <w:r>
        <w:rPr/>
      </w:r>
    </w:p>
    <w:p>
      <w:pPr>
        <w:pStyle w:val="TextBody"/>
        <w:bidi w:val="0"/>
        <w:spacing w:before="0" w:after="0"/>
        <w:jc w:val="center"/>
        <w:rPr>
          <w:rFonts w:ascii="ARIAL" w:hAnsi="ARIAL"/>
          <w:b/>
          <w:sz w:val="20"/>
        </w:rPr>
      </w:pPr>
      <w:bookmarkStart w:id="39" w:name="txa496243_38"/>
      <w:bookmarkEnd w:id="39"/>
      <w:r>
        <w:rPr>
          <w:rFonts w:ascii="ARIAL" w:hAnsi="ARIAL"/>
          <w:b/>
          <w:sz w:val="20"/>
        </w:rPr>
        <w:t xml:space="preserve">AUDIT COMMITTEE REPORT </w:t>
      </w:r>
    </w:p>
    <w:p>
      <w:pPr>
        <w:pStyle w:val="TextBody"/>
        <w:bidi w:val="0"/>
        <w:spacing w:before="240" w:after="0"/>
        <w:jc w:val="left"/>
        <w:rPr>
          <w:rFonts w:ascii="ARIAL" w:hAnsi="ARIAL"/>
          <w:sz w:val="20"/>
        </w:rPr>
      </w:pPr>
      <w:r>
        <w:rPr>
          <w:rFonts w:ascii="ARIAL" w:hAnsi="ARIAL"/>
          <w:sz w:val="20"/>
        </w:rPr>
        <w:t xml:space="preserve">The Audit Committee oversees our financial reporting process on behalf of the Board. The Audit Committee is composed of three independent directors and met four times in 2023. Our Audit Committee operates under a written charter, which is posted on our website at https://ir.alignmenthealth.com/. The Audit Committee’s oversight responsibilities include monitoring the integrity of our financial statements (including reviewing financial information, the systems of internal controls, the audit process, and the independence and performance of our internal audit function and independent registered public accounting firm) and our compliance with legal and regulatory requirements. However, management has the primary responsibility for the financial statements and the reporting process, including its assessment of our systems of internal controls over financial reporting. In fulfilling its oversight responsibilities, the Audit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reviewed and discussed the audited financial statements for the year ended December 31, 2023 with our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discussed with our independent auditors, Deloitte &amp; Touche LLP, the matters required to be discussed by the applicable requirements of the Public Company Accounting Oversight Board (“PCAOB”) and the SEC;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20"/>
              </w:rPr>
            </w:pPr>
            <w:r>
              <w:rPr>
                <w:rFonts w:ascii="ARIAL" w:hAnsi="ARIAL"/>
                <w:sz w:val="20"/>
              </w:rPr>
              <w:t xml:space="preserve">received the written disclosures and the letter from the Deloitte &amp; Touche LLP required by applicable requirements of the PCAOB regarding Deloitte &amp; Touche LLP’s communications with the audit committee concerning independence, and has discussed with Deloitte &amp; Touche LLP the independence of Deloitte &amp; Touche LLP. </w:t>
            </w:r>
          </w:p>
        </w:tc>
      </w:tr>
    </w:tbl>
    <w:p>
      <w:pPr>
        <w:pStyle w:val="TextBody"/>
        <w:bidi w:val="0"/>
        <w:spacing w:before="240" w:after="0"/>
        <w:jc w:val="left"/>
        <w:rPr>
          <w:rFonts w:ascii="ARIAL" w:hAnsi="ARIAL"/>
          <w:sz w:val="20"/>
        </w:rPr>
      </w:pPr>
      <w:r>
        <w:rPr>
          <w:rFonts w:ascii="ARIAL" w:hAnsi="ARIAL"/>
          <w:sz w:val="20"/>
        </w:rPr>
        <w:t xml:space="preserve">Based on the Audit Committee’s review and discussions noted above, the Audit Committee recommended to the Board that the audited financial statements be included in our Annual Report on Form 10-K for the year ended December 31, 2023. </w:t>
      </w:r>
    </w:p>
    <w:p>
      <w:pPr>
        <w:pStyle w:val="TextBody"/>
        <w:bidi w:val="0"/>
        <w:spacing w:before="0" w:after="0"/>
        <w:jc w:val="left"/>
        <w:rPr/>
      </w:pPr>
      <w:r>
        <w:rPr/>
        <w:t> </w:t>
      </w:r>
    </w:p>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283"/>
              <w:jc w:val="left"/>
              <w:rPr>
                <w:sz w:val="4"/>
                <w:szCs w:val="4"/>
              </w:rPr>
            </w:pPr>
            <w:r>
              <w:rPr>
                <w:sz w:val="4"/>
                <w:szCs w:val="4"/>
              </w:rPr>
            </w:r>
          </w:p>
        </w:tc>
      </w:tr>
      <w:tr>
        <w:trPr/>
        <w:tc>
          <w:tcPr>
            <w:tcW w:w="2570" w:type="dxa"/>
            <w:tcBorders/>
            <w:vAlign w:val="center"/>
          </w:tcPr>
          <w:p>
            <w:pPr>
              <w:pStyle w:val="TableContents"/>
              <w:bidi w:val="0"/>
              <w:spacing w:before="0" w:after="283"/>
              <w:jc w:val="left"/>
              <w:rPr/>
            </w:pPr>
            <w:r>
              <w:rPr/>
              <w:t>Respectfully submitted by:</w:t>
            </w:r>
          </w:p>
        </w:tc>
      </w:tr>
      <w:tr>
        <w:trPr/>
        <w:tc>
          <w:tcPr>
            <w:tcW w:w="2570" w:type="dxa"/>
            <w:tcBorders/>
            <w:vAlign w:val="center"/>
          </w:tcPr>
          <w:p>
            <w:pPr>
              <w:pStyle w:val="TableContents"/>
              <w:bidi w:val="0"/>
              <w:spacing w:before="0" w:after="283"/>
              <w:jc w:val="left"/>
              <w:rPr>
                <w:sz w:val="4"/>
                <w:szCs w:val="4"/>
              </w:rPr>
            </w:pPr>
            <w:r>
              <w:rPr>
                <w:sz w:val="4"/>
                <w:szCs w:val="4"/>
              </w:rPr>
            </w:r>
          </w:p>
        </w:tc>
      </w:tr>
      <w:tr>
        <w:trPr/>
        <w:tc>
          <w:tcPr>
            <w:tcW w:w="2570" w:type="dxa"/>
            <w:tcBorders/>
            <w:vAlign w:val="center"/>
          </w:tcPr>
          <w:p>
            <w:pPr>
              <w:pStyle w:val="TableContents"/>
              <w:bidi w:val="0"/>
              <w:spacing w:before="0" w:after="283"/>
              <w:jc w:val="left"/>
              <w:rPr/>
            </w:pPr>
            <w:r>
              <w:rPr/>
              <w:t>Jeffrey Margolis</w:t>
            </w:r>
          </w:p>
        </w:tc>
      </w:tr>
      <w:tr>
        <w:trPr/>
        <w:tc>
          <w:tcPr>
            <w:tcW w:w="2570" w:type="dxa"/>
            <w:tcBorders/>
            <w:vAlign w:val="center"/>
          </w:tcPr>
          <w:p>
            <w:pPr>
              <w:pStyle w:val="TableContents"/>
              <w:bidi w:val="0"/>
              <w:spacing w:before="0" w:after="283"/>
              <w:jc w:val="left"/>
              <w:rPr/>
            </w:pPr>
            <w:r>
              <w:rPr/>
              <w:t>Yon Jorden</w:t>
            </w:r>
          </w:p>
        </w:tc>
      </w:tr>
      <w:tr>
        <w:trPr/>
        <w:tc>
          <w:tcPr>
            <w:tcW w:w="2570" w:type="dxa"/>
            <w:tcBorders/>
            <w:vAlign w:val="center"/>
          </w:tcPr>
          <w:p>
            <w:pPr>
              <w:pStyle w:val="TableContents"/>
              <w:bidi w:val="0"/>
              <w:spacing w:before="0" w:after="283"/>
              <w:jc w:val="left"/>
              <w:rPr/>
            </w:pPr>
            <w:r>
              <w:rPr/>
              <w:t>Margaret McCarthy</w:t>
            </w:r>
          </w:p>
        </w:tc>
      </w:tr>
    </w:tbl>
    <w:p>
      <w:pPr>
        <w:pStyle w:val="TextBody"/>
        <w:bidi w:val="0"/>
        <w:spacing w:before="240" w:after="0"/>
        <w:jc w:val="left"/>
        <w:rPr>
          <w:rFonts w:ascii="ARIAL" w:hAnsi="ARIAL"/>
          <w:i/>
          <w:sz w:val="20"/>
        </w:rPr>
      </w:pPr>
      <w:r>
        <w:rPr>
          <w:rFonts w:ascii="ARIAL" w:hAnsi="ARIAL"/>
          <w:i/>
          <w:sz w:val="20"/>
        </w:rPr>
        <w:t xml:space="preserve">This report shall not be deemed soliciting material or to be filed with the SEC, or incorporated by reference in any document so filed, whether made before or after the date hereof, except to the extent we specifically request that it be treated as soliciting material or it is specifically incorporated by reference therein.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85 </w:t>
      </w:r>
      <w:r>
        <w:br w:type="page"/>
      </w:r>
    </w:p>
    <w:p>
      <w:pPr>
        <w:pStyle w:val="HorizontalLine"/>
        <w:bidi w:val="0"/>
        <w:jc w:val="left"/>
        <w:rPr/>
      </w:pPr>
      <w:r>
        <w:rPr/>
      </w:r>
    </w:p>
    <w:p>
      <w:pPr>
        <w:pStyle w:val="TextBody"/>
        <w:bidi w:val="0"/>
        <w:spacing w:before="0" w:after="0"/>
        <w:jc w:val="center"/>
        <w:rPr>
          <w:rFonts w:ascii="ARIAL" w:hAnsi="ARIAL"/>
          <w:b/>
          <w:sz w:val="20"/>
        </w:rPr>
      </w:pPr>
      <w:bookmarkStart w:id="40" w:name="txa496243_39"/>
      <w:bookmarkEnd w:id="40"/>
      <w:r>
        <w:rPr>
          <w:rFonts w:ascii="ARIAL" w:hAnsi="ARIAL"/>
          <w:b/>
          <w:sz w:val="20"/>
        </w:rPr>
        <w:t xml:space="preserve">PROPOSAL 4 – NON-BINDING ADVISORY VOTE ON EXECUTIVE COMPENSATION </w:t>
      </w:r>
    </w:p>
    <w:p>
      <w:pPr>
        <w:pStyle w:val="TextBody"/>
        <w:bidi w:val="0"/>
        <w:spacing w:before="240" w:after="0"/>
        <w:jc w:val="left"/>
        <w:rPr>
          <w:rFonts w:ascii="ARIAL" w:hAnsi="ARIAL"/>
          <w:sz w:val="20"/>
        </w:rPr>
      </w:pPr>
      <w:r>
        <w:rPr>
          <w:rFonts w:ascii="ARIAL" w:hAnsi="ARIAL"/>
          <w:sz w:val="20"/>
        </w:rPr>
        <w:t>In accordance with the requirements of Section 14A of the Exchange Act and the related rules of the SEC and as a matter of good corporate governance, we are providing our stockholders with a non-binding, advisory vote on the compensation paid to the Company’s NEOs. This stockholder vote, commonly known as a “say-on-pay” vote, provides stockholders with the opportunity to endorse or not endorse the Company’s fiscal year 2023 executive compensation programs and policies and the compensation paid to our NEOs as discussed in the “</w:t>
      </w:r>
      <w:r>
        <w:rPr>
          <w:rFonts w:ascii="ARIAL" w:hAnsi="ARIAL"/>
          <w:i/>
          <w:sz w:val="20"/>
        </w:rPr>
        <w:t>Compensation Discussion and Analysis</w:t>
      </w:r>
      <w:r>
        <w:rPr>
          <w:rFonts w:ascii="ARIAL" w:hAnsi="ARIAL"/>
          <w:sz w:val="20"/>
        </w:rPr>
        <w:t xml:space="preserve">” section of this proxy statement beginning on page 41, the accompanying compensation tables and the related narrative disclosure. Our next say-on-pay vote will take place at our 2025 annual meeting of stockholders. </w:t>
      </w:r>
    </w:p>
    <w:p>
      <w:pPr>
        <w:pStyle w:val="TextBody"/>
        <w:bidi w:val="0"/>
        <w:spacing w:before="240" w:after="0"/>
        <w:jc w:val="left"/>
        <w:rPr>
          <w:rFonts w:ascii="ARIAL" w:hAnsi="ARIAL"/>
          <w:sz w:val="20"/>
        </w:rPr>
      </w:pPr>
      <w:r>
        <w:rPr>
          <w:rFonts w:ascii="ARIAL" w:hAnsi="ARIAL"/>
          <w:sz w:val="20"/>
        </w:rPr>
        <w:t>The “</w:t>
      </w:r>
      <w:r>
        <w:rPr>
          <w:rFonts w:ascii="ARIAL" w:hAnsi="ARIAL"/>
          <w:i/>
          <w:sz w:val="20"/>
        </w:rPr>
        <w:t>Compensation Discussion and Analysis</w:t>
      </w:r>
      <w:r>
        <w:rPr>
          <w:rFonts w:ascii="ARIAL" w:hAnsi="ARIAL"/>
          <w:sz w:val="20"/>
        </w:rPr>
        <w:t xml:space="preserve">” summarizes our executive compensation program. Our Board and the Compensation Committee have implemented an executive compensation program that is intended to align the interests of our executive officers with those of our stockholders. The vast majority of our NEOs’ compensation is in the form of variable, at-risk compensation. Our cash annual incentive plan utilizes metrics that are tied to strategic goals that we believe will enhance stockholder value. </w:t>
      </w:r>
    </w:p>
    <w:p>
      <w:pPr>
        <w:pStyle w:val="TextBody"/>
        <w:bidi w:val="0"/>
        <w:spacing w:before="240" w:after="0"/>
        <w:jc w:val="left"/>
        <w:rPr>
          <w:rFonts w:ascii="ARIAL" w:hAnsi="ARIAL"/>
          <w:sz w:val="20"/>
        </w:rPr>
      </w:pPr>
      <w:r>
        <w:rPr>
          <w:rFonts w:ascii="ARIAL" w:hAnsi="ARIAL"/>
          <w:sz w:val="20"/>
        </w:rPr>
        <w:t xml:space="preserve">We are asking our stockholders to vote on the following resolution: </w:t>
      </w:r>
    </w:p>
    <w:p>
      <w:pPr>
        <w:pStyle w:val="TextBody"/>
        <w:bidi w:val="0"/>
        <w:spacing w:before="240" w:after="0"/>
        <w:jc w:val="both"/>
        <w:rPr>
          <w:rFonts w:ascii="ARIAL" w:hAnsi="ARIAL"/>
          <w:sz w:val="20"/>
        </w:rPr>
      </w:pPr>
      <w:r>
        <w:rPr>
          <w:rFonts w:ascii="ARIAL" w:hAnsi="ARIAL"/>
          <w:sz w:val="20"/>
        </w:rPr>
        <w:t>RESOLVED, that the stockholders of Alignment Healthcare, Inc. approve, on an advisory basis, the compensation of the Company’s Named Executive Officers, as described in the “</w:t>
      </w:r>
      <w:r>
        <w:rPr>
          <w:rFonts w:ascii="ARIAL" w:hAnsi="ARIAL"/>
          <w:i/>
          <w:sz w:val="20"/>
        </w:rPr>
        <w:t>Compensation Discussion and Analysis</w:t>
      </w:r>
      <w:r>
        <w:rPr>
          <w:rFonts w:ascii="ARIAL" w:hAnsi="ARIAL"/>
          <w:sz w:val="20"/>
        </w:rPr>
        <w:t xml:space="preserve">” section, the accompanying compensation tables and the related narrative disclosure, set forth in the Company’s proxy statement. </w:t>
      </w:r>
    </w:p>
    <w:p>
      <w:pPr>
        <w:pStyle w:val="TextBody"/>
        <w:bidi w:val="0"/>
        <w:spacing w:before="240" w:after="0"/>
        <w:jc w:val="left"/>
        <w:rPr>
          <w:rFonts w:ascii="ARIAL" w:hAnsi="ARIAL"/>
          <w:sz w:val="20"/>
        </w:rPr>
      </w:pPr>
      <w:r>
        <w:rPr>
          <w:rFonts w:ascii="ARIAL" w:hAnsi="ARIAL"/>
          <w:sz w:val="20"/>
        </w:rPr>
        <w:t xml:space="preserve">Although this advisory vote on the compensation of our NEOs is non-binding, the Board of Directors and the Compensation Committee will carefully review and consider the outcome of the vote when considering future compensation arrangements our NEOs. </w:t>
      </w:r>
    </w:p>
    <w:p>
      <w:pPr>
        <w:pStyle w:val="TextBody"/>
        <w:bidi w:val="0"/>
        <w:spacing w:before="240" w:after="0"/>
        <w:jc w:val="left"/>
        <w:rPr>
          <w:rFonts w:ascii="ARIAL" w:hAnsi="ARIAL"/>
          <w:b/>
          <w:color w:val="1F497D"/>
          <w:sz w:val="20"/>
        </w:rPr>
      </w:pPr>
      <w:r>
        <w:rPr>
          <w:rFonts w:ascii="ARIAL" w:hAnsi="ARIAL"/>
          <w:b/>
          <w:color w:val="1F497D"/>
          <w:sz w:val="20"/>
        </w:rPr>
        <w:t xml:space="preserve">Vote Required and Recommendation of the Board of Directors </w:t>
      </w:r>
    </w:p>
    <w:p>
      <w:pPr>
        <w:pStyle w:val="TextBody"/>
        <w:bidi w:val="0"/>
        <w:spacing w:before="240" w:after="0"/>
        <w:jc w:val="left"/>
        <w:rPr>
          <w:rFonts w:ascii="ARIAL" w:hAnsi="ARIAL"/>
          <w:sz w:val="20"/>
        </w:rPr>
      </w:pPr>
      <w:r>
        <w:rPr>
          <w:rFonts w:ascii="ARIAL" w:hAnsi="ARIAL"/>
          <w:sz w:val="20"/>
        </w:rPr>
        <w:t xml:space="preserve">Approval of the non-binding, advisory resolution approving the compensation of our NEOs requires affirmative votes from the holders of a majority of the voting power present in person or represented by proxy at the Annual Meeting and entitled to vote on such matter. Shares not present at the meeting and broker-non votes have no effect on the approval of this matter, while abstentions will count as votes “against.” Pursuant to current NYSE regulations, brokers and other NYSE member organizations do not have discretionary voting power over the approval of the non-binding, advisory vote on the compensation of the Company’s Named Executive Officers. Therefore, if you hold shares through a broker or other NYSE member organization and do not provide voting instructions to your, broker or other NYSE member organization, your shares will not be entitled to vote with respect to this proposal. If you timely submit a signed proxy card but fail to specify instructions to vote with respect to this proposal, the proxy card will be voted “FOR” the resolution.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6" w:space="0" w:color="000000"/>
              <w:left w:val="single" w:sz="6" w:space="0" w:color="000000"/>
              <w:right w:val="single" w:sz="6" w:space="0" w:color="000000"/>
            </w:tcBorders>
            <w:shd w:fill="DBE5F1" w:val="clear"/>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6" w:space="0" w:color="000000"/>
              <w:bottom w:val="single" w:sz="6" w:space="0" w:color="000000"/>
              <w:right w:val="single" w:sz="6" w:space="0" w:color="000000"/>
            </w:tcBorders>
            <w:shd w:fill="DBE5F1" w:val="clear"/>
            <w:tcMar>
              <w:left w:w="160" w:type="dxa"/>
              <w:bottom w:w="120" w:type="dxa"/>
              <w:right w:w="40" w:type="dxa"/>
            </w:tcMar>
            <w:vAlign w:val="center"/>
          </w:tcPr>
          <w:p>
            <w:pPr>
              <w:pStyle w:val="TableContents"/>
              <w:bidi w:val="0"/>
              <w:spacing w:before="0" w:after="283"/>
              <w:jc w:val="center"/>
              <w:rPr>
                <w:b/>
              </w:rPr>
            </w:pPr>
            <w:r>
              <w:rPr>
                <w:b/>
              </w:rPr>
              <w:t>THE BOARD OF DIRECTORS RECOMMENDS THAT YOU VOTE “FOR” THE NON-BINDING, ADVISORY RESOLUTION APPROVING THE COMPENSATON OF OUR NEOs.</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86 </w:t>
      </w:r>
      <w:r>
        <w:br w:type="page"/>
      </w:r>
    </w:p>
    <w:p>
      <w:pPr>
        <w:pStyle w:val="HorizontalLine"/>
        <w:bidi w:val="0"/>
        <w:jc w:val="left"/>
        <w:rPr/>
      </w:pPr>
      <w:r>
        <w:rPr/>
      </w:r>
    </w:p>
    <w:p>
      <w:pPr>
        <w:pStyle w:val="TextBody"/>
        <w:bidi w:val="0"/>
        <w:spacing w:before="0" w:after="0"/>
        <w:jc w:val="center"/>
        <w:rPr>
          <w:rFonts w:ascii="ARIAL" w:hAnsi="ARIAL"/>
          <w:b/>
          <w:sz w:val="20"/>
        </w:rPr>
      </w:pPr>
      <w:bookmarkStart w:id="41" w:name="txa496243_40"/>
      <w:bookmarkEnd w:id="41"/>
      <w:r>
        <w:rPr>
          <w:rFonts w:ascii="ARIAL" w:hAnsi="ARIAL"/>
          <w:b/>
          <w:sz w:val="20"/>
        </w:rPr>
        <w:t xml:space="preserve">OTHER MATTERS </w:t>
      </w:r>
    </w:p>
    <w:p>
      <w:pPr>
        <w:pStyle w:val="TextBody"/>
        <w:bidi w:val="0"/>
        <w:spacing w:before="240" w:after="0"/>
        <w:jc w:val="left"/>
        <w:rPr>
          <w:rFonts w:ascii="ARIAL" w:hAnsi="ARIAL"/>
          <w:sz w:val="20"/>
        </w:rPr>
      </w:pPr>
      <w:r>
        <w:rPr>
          <w:rFonts w:ascii="ARIAL" w:hAnsi="ARIAL"/>
          <w:sz w:val="20"/>
        </w:rPr>
        <w:t xml:space="preserve">We are not aware of any matters other than those discussed in the foregoing materials contemplated for action at the Annual Meeting. The persons named in the proxy card will vote in accordance with the recommendation of the Board on any other matters incidental to the conduct of, or otherwise properly brought before, the Annual Meeting. The proxy card contains discretionary authority for them to do so. </w:t>
      </w:r>
    </w:p>
    <w:p>
      <w:pPr>
        <w:pStyle w:val="TextBody"/>
        <w:bidi w:val="0"/>
        <w:spacing w:before="240" w:after="0"/>
        <w:jc w:val="center"/>
        <w:rPr>
          <w:rFonts w:ascii="ARIAL" w:hAnsi="ARIAL"/>
          <w:b/>
          <w:sz w:val="20"/>
        </w:rPr>
      </w:pPr>
      <w:bookmarkStart w:id="42" w:name="txa496243_41"/>
      <w:bookmarkEnd w:id="42"/>
      <w:r>
        <w:rPr>
          <w:rFonts w:ascii="ARIAL" w:hAnsi="ARIAL"/>
          <w:b/>
          <w:sz w:val="20"/>
        </w:rPr>
        <w:t xml:space="preserve">AVAILABILITY OF SEC FILINGS, CODE OF CONDUCT AND COMMITTEE CHARTERS </w:t>
      </w:r>
    </w:p>
    <w:p>
      <w:pPr>
        <w:pStyle w:val="TextBody"/>
        <w:bidi w:val="0"/>
        <w:spacing w:before="240" w:after="0"/>
        <w:jc w:val="left"/>
        <w:rPr>
          <w:rFonts w:ascii="ARIAL" w:hAnsi="ARIAL"/>
          <w:sz w:val="20"/>
        </w:rPr>
      </w:pPr>
      <w:r>
        <w:rPr>
          <w:rFonts w:ascii="ARIAL" w:hAnsi="ARIAL"/>
          <w:sz w:val="20"/>
        </w:rPr>
        <w:t xml:space="preserve">Copies of our reports on Forms 10-K, 10-Q, 8-K and all amendments to those reports filed with the SEC, and our Code of Conduct and the charters of the Audit Committee, Compensation Committee and NCGCC, and any reports of beneficial ownership of our common stock filed by executive officers, directors and beneficial owners of more than 10% of our outstanding common stock are posted on and may be obtained the investor relations section of our corporate website, https://ir.alignmenthealth.com/, or may be requested in print, at no cost, by mail at Alignment Healthcare, Inc., 1100 W. Town &amp; Country Rd., Suite 1600, Orange, CA 92868, Attention: Investor Relations. </w:t>
      </w:r>
    </w:p>
    <w:p>
      <w:pPr>
        <w:pStyle w:val="TextBody"/>
        <w:bidi w:val="0"/>
        <w:spacing w:before="240" w:after="0"/>
        <w:jc w:val="center"/>
        <w:rPr>
          <w:rFonts w:ascii="ARIAL" w:hAnsi="ARIAL"/>
          <w:b/>
          <w:sz w:val="20"/>
        </w:rPr>
      </w:pPr>
      <w:bookmarkStart w:id="43" w:name="txa496243_42"/>
      <w:bookmarkEnd w:id="43"/>
      <w:r>
        <w:rPr>
          <w:rFonts w:ascii="ARIAL" w:hAnsi="ARIAL"/>
          <w:b/>
          <w:sz w:val="20"/>
        </w:rPr>
        <w:t xml:space="preserve">WHERE TO FIND ADDITIONAL INFORMATION </w:t>
      </w:r>
    </w:p>
    <w:p>
      <w:pPr>
        <w:pStyle w:val="TextBody"/>
        <w:bidi w:val="0"/>
        <w:spacing w:before="240" w:after="0"/>
        <w:jc w:val="left"/>
        <w:rPr>
          <w:rFonts w:ascii="ARIAL" w:hAnsi="ARIAL"/>
          <w:sz w:val="20"/>
        </w:rPr>
      </w:pPr>
      <w:r>
        <w:rPr>
          <w:rFonts w:ascii="ARIAL" w:hAnsi="ARIAL"/>
          <w:sz w:val="20"/>
        </w:rPr>
        <w:t xml:space="preserve">We are subject to the informational requirements of the Exchange Act and in accordance therewith, we file annual, quarterly and current reports and other information with the SEC. Such information may be accessed electronically by means of the SEC’s home page on the Internet at www.sec.gov. We are an electronic filer, and the SEC maintains an Internet site at www.sec.gov that contains the reports and other information we file electronically. The investor relations section of our corporate website may be found at https://ir.alignmenthealth.com/. We make available free of charge, through our website, our annual report on Form 10-K, as amended, quarterly reports on Form 10-Q and current reports on Form 8-K, and all amendments to those reports as soon as reasonably practicable after such material is electronically filed with or furnished to the SEC. The information provided on or accessible through our website is not part of this proxy statement. </w:t>
      </w:r>
    </w:p>
    <w:p>
      <w:pPr>
        <w:pStyle w:val="TextBody"/>
        <w:bidi w:val="0"/>
        <w:spacing w:before="240" w:after="0"/>
        <w:jc w:val="center"/>
        <w:rPr>
          <w:rFonts w:ascii="ARIAL" w:hAnsi="ARIAL"/>
          <w:b/>
          <w:sz w:val="20"/>
        </w:rPr>
      </w:pPr>
      <w:bookmarkStart w:id="44" w:name="txa496243_43"/>
      <w:bookmarkEnd w:id="44"/>
      <w:r>
        <w:rPr>
          <w:rFonts w:ascii="ARIAL" w:hAnsi="ARIAL"/>
          <w:b/>
          <w:sz w:val="20"/>
        </w:rPr>
        <w:t xml:space="preserve">COST OF PROXY SOLICITATION </w:t>
      </w:r>
    </w:p>
    <w:p>
      <w:pPr>
        <w:pStyle w:val="TextBody"/>
        <w:bidi w:val="0"/>
        <w:spacing w:before="240" w:after="0"/>
        <w:jc w:val="left"/>
        <w:rPr>
          <w:rFonts w:ascii="ARIAL" w:hAnsi="ARIAL"/>
          <w:sz w:val="20"/>
        </w:rPr>
      </w:pPr>
      <w:r>
        <w:rPr>
          <w:rFonts w:ascii="ARIAL" w:hAnsi="ARIAL"/>
          <w:sz w:val="20"/>
        </w:rPr>
        <w:t xml:space="preserve">Alignment is paying the expenses of this solicitation. Alignment will also make arrangements with brokerage houses and other custodians, nominees and fiduciaries to forward proxy materials to beneficial owners of common stock held as of the Record Date by such persons, and Alignment will reimburse such persons for their reasonable out-of-pocket expenses in forwarding such proxy materials. In addition to solicitation by mail, directors, officers and other employees of Alignment may solicit proxies in person or by telephone, facsimile, email or other similar means. Such individuals will not receive any additional compensation for these solicitation activities.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87 </w:t>
      </w:r>
      <w:r>
        <w:br w:type="page"/>
      </w:r>
    </w:p>
    <w:p>
      <w:pPr>
        <w:pStyle w:val="HorizontalLine"/>
        <w:bidi w:val="0"/>
        <w:jc w:val="left"/>
        <w:rPr/>
      </w:pPr>
      <w:r>
        <w:rPr/>
      </w:r>
    </w:p>
    <w:p>
      <w:pPr>
        <w:pStyle w:val="TextBody"/>
        <w:bidi w:val="0"/>
        <w:spacing w:before="0" w:after="0"/>
        <w:jc w:val="center"/>
        <w:rPr>
          <w:rFonts w:ascii="ARIAL" w:hAnsi="ARIAL"/>
          <w:b/>
          <w:sz w:val="20"/>
        </w:rPr>
      </w:pPr>
      <w:bookmarkStart w:id="45" w:name="txa496243_44"/>
      <w:bookmarkEnd w:id="45"/>
      <w:r>
        <w:rPr>
          <w:rFonts w:ascii="ARIAL" w:hAnsi="ARIAL"/>
          <w:b/>
          <w:sz w:val="20"/>
        </w:rPr>
        <w:t xml:space="preserve">APPENDIX – NON-GAAP FINANCIAL MEASURES </w:t>
      </w:r>
    </w:p>
    <w:p>
      <w:pPr>
        <w:pStyle w:val="TextBody"/>
        <w:bidi w:val="0"/>
        <w:spacing w:before="240" w:after="0"/>
        <w:jc w:val="left"/>
        <w:rPr>
          <w:rFonts w:ascii="ARIAL" w:hAnsi="ARIAL"/>
          <w:b/>
          <w:color w:val="1F497D"/>
          <w:sz w:val="20"/>
        </w:rPr>
      </w:pPr>
      <w:r>
        <w:rPr>
          <w:rFonts w:ascii="ARIAL" w:hAnsi="ARIAL"/>
          <w:b/>
          <w:color w:val="1F497D"/>
          <w:sz w:val="20"/>
        </w:rPr>
        <w:t xml:space="preserve">Adjusted Gross Profit and Medical Benefits Ratio, or MBR </w:t>
      </w:r>
    </w:p>
    <w:p>
      <w:pPr>
        <w:pStyle w:val="TextBody"/>
        <w:bidi w:val="0"/>
        <w:spacing w:before="240" w:after="0"/>
        <w:jc w:val="left"/>
        <w:rPr>
          <w:rFonts w:ascii="ARIAL" w:hAnsi="ARIAL"/>
          <w:sz w:val="20"/>
        </w:rPr>
      </w:pPr>
      <w:r>
        <w:rPr>
          <w:rFonts w:ascii="ARIAL" w:hAnsi="ARIAL"/>
          <w:sz w:val="20"/>
        </w:rPr>
        <w:t xml:space="preserve">Adjusted gross profit is a non-GAAP financial measure that we define as loss from operations before depreciation and amortization, clinical equity-based compensation expense, and selling, general, and administrative expenses. Adjusted gross profit is a key measure used by our management and Board of Directors to understand and evaluate our operating performance and trends before the impact of our consolidated selling, general and administrative expenses. </w:t>
      </w:r>
    </w:p>
    <w:p>
      <w:pPr>
        <w:pStyle w:val="TextBody"/>
        <w:bidi w:val="0"/>
        <w:spacing w:before="240" w:after="0"/>
        <w:jc w:val="left"/>
        <w:rPr>
          <w:rFonts w:ascii="ARIAL" w:hAnsi="ARIAL"/>
          <w:sz w:val="20"/>
        </w:rPr>
      </w:pPr>
      <w:r>
        <w:rPr>
          <w:rFonts w:ascii="ARIAL" w:hAnsi="ARIAL"/>
          <w:sz w:val="20"/>
        </w:rPr>
        <w:t xml:space="preserve">Adjusted gross profit should not be considered in isolation of, or as an alternative to, measures prepared in accordance with GAAP. There are a number of limitations related to the use of adjusted gross profit in lieu of loss from operations, which is the most directly comparable financial measure calculated in accordance with GAAP. </w:t>
      </w:r>
    </w:p>
    <w:p>
      <w:pPr>
        <w:pStyle w:val="TextBody"/>
        <w:bidi w:val="0"/>
        <w:spacing w:before="240" w:after="0"/>
        <w:jc w:val="left"/>
        <w:rPr>
          <w:rFonts w:ascii="ARIAL" w:hAnsi="ARIAL"/>
          <w:sz w:val="20"/>
        </w:rPr>
      </w:pPr>
      <w:r>
        <w:rPr>
          <w:rFonts w:ascii="ARIAL" w:hAnsi="ARIAL"/>
          <w:sz w:val="20"/>
        </w:rPr>
        <w:t xml:space="preserve">Our use of the term adjusted gross profit may vary from the use of similar terms by other companies in our industry and accordingly may not be comparable to similarly titled measures used by other companies. </w:t>
      </w:r>
    </w:p>
    <w:p>
      <w:pPr>
        <w:pStyle w:val="TextBody"/>
        <w:bidi w:val="0"/>
        <w:spacing w:before="240" w:after="0"/>
        <w:jc w:val="left"/>
        <w:rPr>
          <w:rFonts w:ascii="ARIAL" w:hAnsi="ARIAL"/>
          <w:sz w:val="20"/>
        </w:rPr>
      </w:pPr>
      <w:r>
        <w:rPr>
          <w:rFonts w:ascii="ARIAL" w:hAnsi="ARIAL"/>
          <w:sz w:val="20"/>
        </w:rPr>
        <w:t xml:space="preserve">Adjusted gross profit is reconciled as follows: </w:t>
      </w:r>
    </w:p>
    <w:p>
      <w:pPr>
        <w:pStyle w:val="TextBody"/>
        <w:bidi w:val="0"/>
        <w:spacing w:before="0" w:after="0"/>
        <w:jc w:val="left"/>
        <w:rPr/>
      </w:pPr>
      <w:r>
        <w:rPr/>
        <w:t> </w:t>
      </w:r>
    </w:p>
    <w:tbl>
      <w:tblPr>
        <w:tblW w:w="7700" w:type="dxa"/>
        <w:jc w:val="left"/>
        <w:tblInd w:w="0" w:type="dxa"/>
        <w:tblLayout w:type="fixed"/>
        <w:tblCellMar>
          <w:top w:w="0" w:type="dxa"/>
          <w:left w:w="0" w:type="dxa"/>
          <w:bottom w:w="0" w:type="dxa"/>
          <w:right w:w="0" w:type="dxa"/>
        </w:tblCellMar>
      </w:tblPr>
      <w:tblGrid>
        <w:gridCol w:w="4205"/>
        <w:gridCol w:w="120"/>
        <w:gridCol w:w="140"/>
        <w:gridCol w:w="1235"/>
        <w:gridCol w:w="275"/>
        <w:gridCol w:w="60"/>
        <w:gridCol w:w="140"/>
        <w:gridCol w:w="1235"/>
        <w:gridCol w:w="290"/>
      </w:tblGrid>
      <w:tr>
        <w:trPr/>
        <w:tc>
          <w:tcPr>
            <w:tcW w:w="4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2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290"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290"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0"/>
              <w:jc w:val="left"/>
              <w:rPr>
                <w:rFonts w:ascii="ARIAL" w:hAnsi="ARIAL"/>
                <w:b/>
                <w:i/>
                <w:sz w:val="16"/>
              </w:rPr>
            </w:pPr>
            <w:r>
              <w:rPr>
                <w:rFonts w:ascii="ARIAL" w:hAnsi="ARIAL"/>
                <w:b/>
                <w:i/>
                <w:sz w:val="16"/>
              </w:rPr>
              <w:t>(dollars in thousands)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205" w:type="dxa"/>
            <w:tcBorders/>
            <w:shd w:fill="DBE5F1" w:val="clear"/>
            <w:vAlign w:val="center"/>
          </w:tcPr>
          <w:p>
            <w:pPr>
              <w:pStyle w:val="TableContents"/>
              <w:bidi w:val="0"/>
              <w:spacing w:before="0" w:after="0"/>
              <w:jc w:val="left"/>
              <w:rPr>
                <w:rFonts w:ascii="ARIAL" w:hAnsi="ARIAL"/>
                <w:sz w:val="20"/>
              </w:rPr>
            </w:pPr>
            <w:r>
              <w:rPr>
                <w:rFonts w:ascii="ARIAL" w:hAnsi="ARIAL"/>
                <w:sz w:val="20"/>
              </w:rPr>
              <w:t>Loss from operations</w:t>
            </w:r>
          </w:p>
        </w:tc>
        <w:tc>
          <w:tcPr>
            <w:tcW w:w="120" w:type="dxa"/>
            <w:tcBorders/>
            <w:shd w:fill="DBE5F1" w:val="clear"/>
            <w:vAlign w:val="center"/>
          </w:tcPr>
          <w:p>
            <w:pPr>
              <w:pStyle w:val="TableContents"/>
              <w:bidi w:val="0"/>
              <w:spacing w:before="0" w:after="283"/>
              <w:jc w:val="left"/>
              <w:rPr/>
            </w:pPr>
            <w:r>
              <w:rPr/>
              <w:t>  </w:t>
            </w:r>
          </w:p>
        </w:tc>
        <w:tc>
          <w:tcPr>
            <w:tcW w:w="140" w:type="dxa"/>
            <w:tcBorders/>
            <w:shd w:fill="DBE5F1" w:val="clear"/>
            <w:vAlign w:val="center"/>
          </w:tcPr>
          <w:p>
            <w:pPr>
              <w:pStyle w:val="TableContents"/>
              <w:bidi w:val="0"/>
              <w:spacing w:before="0" w:after="283"/>
              <w:jc w:val="left"/>
              <w:rPr/>
            </w:pPr>
            <w:r>
              <w:rPr/>
              <w:t>$</w:t>
            </w:r>
          </w:p>
        </w:tc>
        <w:tc>
          <w:tcPr>
            <w:tcW w:w="1235" w:type="dxa"/>
            <w:tcBorders/>
            <w:shd w:fill="DBE5F1" w:val="clear"/>
            <w:vAlign w:val="center"/>
          </w:tcPr>
          <w:p>
            <w:pPr>
              <w:pStyle w:val="TableContents"/>
              <w:bidi w:val="0"/>
              <w:spacing w:before="0" w:after="283"/>
              <w:jc w:val="right"/>
              <w:rPr/>
            </w:pPr>
            <w:r>
              <w:rPr/>
              <w:t>  </w:t>
            </w:r>
            <w:r>
              <w:rPr/>
              <w:t>(127,817</w:t>
            </w:r>
          </w:p>
        </w:tc>
        <w:tc>
          <w:tcPr>
            <w:tcW w:w="275"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40" w:type="dxa"/>
            <w:tcBorders/>
            <w:shd w:fill="DBE5F1" w:val="clear"/>
            <w:vAlign w:val="center"/>
          </w:tcPr>
          <w:p>
            <w:pPr>
              <w:pStyle w:val="TableContents"/>
              <w:bidi w:val="0"/>
              <w:spacing w:before="0" w:after="283"/>
              <w:jc w:val="left"/>
              <w:rPr/>
            </w:pPr>
            <w:r>
              <w:rPr/>
              <w:t>$</w:t>
            </w:r>
          </w:p>
        </w:tc>
        <w:tc>
          <w:tcPr>
            <w:tcW w:w="1235" w:type="dxa"/>
            <w:tcBorders/>
            <w:shd w:fill="DBE5F1" w:val="clear"/>
            <w:vAlign w:val="center"/>
          </w:tcPr>
          <w:p>
            <w:pPr>
              <w:pStyle w:val="TableContents"/>
              <w:bidi w:val="0"/>
              <w:spacing w:before="0" w:after="283"/>
              <w:jc w:val="right"/>
              <w:rPr/>
            </w:pPr>
            <w:r>
              <w:rPr/>
              <w:t>  </w:t>
            </w:r>
            <w:r>
              <w:rPr/>
              <w:t>(128,639</w:t>
            </w:r>
          </w:p>
        </w:tc>
        <w:tc>
          <w:tcPr>
            <w:tcW w:w="290" w:type="dxa"/>
            <w:tcBorders/>
            <w:shd w:fill="DBE5F1" w:val="clear"/>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0"/>
              <w:jc w:val="left"/>
              <w:rPr>
                <w:rFonts w:ascii="ARIAL" w:hAnsi="ARIAL"/>
                <w:sz w:val="20"/>
              </w:rPr>
            </w:pPr>
            <w:r>
              <w:rPr>
                <w:rFonts w:ascii="ARIAL" w:hAnsi="ARIAL"/>
                <w:sz w:val="20"/>
              </w:rPr>
              <w:t>Add back:</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205" w:type="dxa"/>
            <w:tcBorders/>
            <w:shd w:fill="DBE5F1" w:val="clear"/>
            <w:vAlign w:val="center"/>
          </w:tcPr>
          <w:p>
            <w:pPr>
              <w:pStyle w:val="TableContents"/>
              <w:bidi w:val="0"/>
              <w:spacing w:before="0" w:after="0"/>
              <w:jc w:val="left"/>
              <w:rPr>
                <w:rFonts w:ascii="ARIAL" w:hAnsi="ARIAL"/>
                <w:sz w:val="20"/>
              </w:rPr>
            </w:pPr>
            <w:r>
              <w:rPr>
                <w:rFonts w:ascii="ARIAL" w:hAnsi="ARIAL"/>
                <w:sz w:val="20"/>
              </w:rPr>
              <w:t>Equity-based compensation (medical expenses)</w:t>
            </w:r>
          </w:p>
        </w:tc>
        <w:tc>
          <w:tcPr>
            <w:tcW w:w="120" w:type="dxa"/>
            <w:tcBorders/>
            <w:shd w:fill="DBE5F1" w:val="clear"/>
            <w:vAlign w:val="center"/>
          </w:tcPr>
          <w:p>
            <w:pPr>
              <w:pStyle w:val="TableContents"/>
              <w:bidi w:val="0"/>
              <w:spacing w:before="0" w:after="283"/>
              <w:jc w:val="left"/>
              <w:rPr/>
            </w:pPr>
            <w:r>
              <w:rPr/>
              <w:t>  </w:t>
            </w:r>
          </w:p>
        </w:tc>
        <w:tc>
          <w:tcPr>
            <w:tcW w:w="140" w:type="dxa"/>
            <w:tcBorders/>
            <w:shd w:fill="DBE5F1" w:val="clear"/>
            <w:vAlign w:val="center"/>
          </w:tcPr>
          <w:p>
            <w:pPr>
              <w:pStyle w:val="TableContents"/>
              <w:bidi w:val="0"/>
              <w:spacing w:before="0" w:after="283"/>
              <w:jc w:val="left"/>
              <w:rPr/>
            </w:pPr>
            <w:r>
              <w:rPr/>
              <w:t> </w:t>
            </w:r>
          </w:p>
        </w:tc>
        <w:tc>
          <w:tcPr>
            <w:tcW w:w="1235" w:type="dxa"/>
            <w:tcBorders/>
            <w:shd w:fill="DBE5F1" w:val="clear"/>
            <w:vAlign w:val="center"/>
          </w:tcPr>
          <w:p>
            <w:pPr>
              <w:pStyle w:val="TableContents"/>
              <w:bidi w:val="0"/>
              <w:spacing w:before="0" w:after="283"/>
              <w:jc w:val="right"/>
              <w:rPr/>
            </w:pPr>
            <w:r>
              <w:rPr/>
              <w:t>7,541</w:t>
            </w:r>
          </w:p>
        </w:tc>
        <w:tc>
          <w:tcPr>
            <w:tcW w:w="275"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40" w:type="dxa"/>
            <w:tcBorders/>
            <w:shd w:fill="DBE5F1" w:val="clear"/>
            <w:vAlign w:val="center"/>
          </w:tcPr>
          <w:p>
            <w:pPr>
              <w:pStyle w:val="TableContents"/>
              <w:bidi w:val="0"/>
              <w:spacing w:before="0" w:after="283"/>
              <w:jc w:val="left"/>
              <w:rPr/>
            </w:pPr>
            <w:r>
              <w:rPr/>
              <w:t> </w:t>
            </w:r>
          </w:p>
        </w:tc>
        <w:tc>
          <w:tcPr>
            <w:tcW w:w="1235" w:type="dxa"/>
            <w:tcBorders/>
            <w:shd w:fill="DBE5F1" w:val="clear"/>
            <w:vAlign w:val="center"/>
          </w:tcPr>
          <w:p>
            <w:pPr>
              <w:pStyle w:val="TableContents"/>
              <w:bidi w:val="0"/>
              <w:spacing w:before="0" w:after="283"/>
              <w:jc w:val="right"/>
              <w:rPr/>
            </w:pPr>
            <w:r>
              <w:rPr/>
              <w:t>9,128</w:t>
            </w:r>
          </w:p>
        </w:tc>
        <w:tc>
          <w:tcPr>
            <w:tcW w:w="290" w:type="dxa"/>
            <w:tcBorders/>
            <w:shd w:fill="DBE5F1" w:val="clear"/>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0"/>
              <w:jc w:val="left"/>
              <w:rPr>
                <w:rFonts w:ascii="ARIAL" w:hAnsi="ARIAL"/>
                <w:sz w:val="20"/>
              </w:rPr>
            </w:pPr>
            <w:r>
              <w:rPr>
                <w:rFonts w:ascii="ARIAL" w:hAnsi="ARIAL"/>
                <w:sz w:val="20"/>
              </w:rPr>
              <w:t>Depreciation (medical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254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213</w:t>
            </w:r>
          </w:p>
        </w:tc>
        <w:tc>
          <w:tcPr>
            <w:tcW w:w="290" w:type="dxa"/>
            <w:tcBorders/>
            <w:vAlign w:val="center"/>
          </w:tcPr>
          <w:p>
            <w:pPr>
              <w:pStyle w:val="TableContents"/>
              <w:bidi w:val="0"/>
              <w:spacing w:before="0" w:after="283"/>
              <w:jc w:val="left"/>
              <w:rPr/>
            </w:pPr>
            <w:r>
              <w:rPr/>
              <w:t> </w:t>
            </w:r>
          </w:p>
        </w:tc>
      </w:tr>
      <w:tr>
        <w:trPr/>
        <w:tc>
          <w:tcPr>
            <w:tcW w:w="4205" w:type="dxa"/>
            <w:tcBorders/>
            <w:shd w:fill="DBE5F1" w:val="clear"/>
            <w:vAlign w:val="center"/>
          </w:tcPr>
          <w:p>
            <w:pPr>
              <w:pStyle w:val="TableContents"/>
              <w:bidi w:val="0"/>
              <w:spacing w:before="0" w:after="0"/>
              <w:jc w:val="left"/>
              <w:rPr>
                <w:rFonts w:ascii="ARIAL" w:hAnsi="ARIAL"/>
                <w:sz w:val="20"/>
              </w:rPr>
            </w:pPr>
            <w:r>
              <w:rPr>
                <w:rFonts w:ascii="ARIAL" w:hAnsi="ARIAL"/>
                <w:sz w:val="20"/>
              </w:rPr>
              <w:t>Depreciation and amortization</w:t>
            </w:r>
          </w:p>
        </w:tc>
        <w:tc>
          <w:tcPr>
            <w:tcW w:w="120" w:type="dxa"/>
            <w:tcBorders/>
            <w:shd w:fill="DBE5F1" w:val="clear"/>
            <w:vAlign w:val="center"/>
          </w:tcPr>
          <w:p>
            <w:pPr>
              <w:pStyle w:val="TableContents"/>
              <w:bidi w:val="0"/>
              <w:spacing w:before="0" w:after="283"/>
              <w:jc w:val="left"/>
              <w:rPr/>
            </w:pPr>
            <w:r>
              <w:rPr/>
              <w:t>  </w:t>
            </w:r>
          </w:p>
        </w:tc>
        <w:tc>
          <w:tcPr>
            <w:tcW w:w="140" w:type="dxa"/>
            <w:tcBorders/>
            <w:shd w:fill="DBE5F1" w:val="clear"/>
            <w:vAlign w:val="center"/>
          </w:tcPr>
          <w:p>
            <w:pPr>
              <w:pStyle w:val="TableContents"/>
              <w:bidi w:val="0"/>
              <w:spacing w:before="0" w:after="283"/>
              <w:jc w:val="left"/>
              <w:rPr/>
            </w:pPr>
            <w:r>
              <w:rPr/>
              <w:t> </w:t>
            </w:r>
          </w:p>
        </w:tc>
        <w:tc>
          <w:tcPr>
            <w:tcW w:w="1235" w:type="dxa"/>
            <w:tcBorders/>
            <w:shd w:fill="DBE5F1" w:val="clear"/>
            <w:vAlign w:val="center"/>
          </w:tcPr>
          <w:p>
            <w:pPr>
              <w:pStyle w:val="TableContents"/>
              <w:bidi w:val="0"/>
              <w:spacing w:before="0" w:after="283"/>
              <w:jc w:val="right"/>
              <w:rPr/>
            </w:pPr>
            <w:r>
              <w:rPr/>
              <w:t>21,414</w:t>
            </w:r>
          </w:p>
        </w:tc>
        <w:tc>
          <w:tcPr>
            <w:tcW w:w="275"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40" w:type="dxa"/>
            <w:tcBorders/>
            <w:shd w:fill="DBE5F1" w:val="clear"/>
            <w:vAlign w:val="center"/>
          </w:tcPr>
          <w:p>
            <w:pPr>
              <w:pStyle w:val="TableContents"/>
              <w:bidi w:val="0"/>
              <w:spacing w:before="0" w:after="283"/>
              <w:jc w:val="left"/>
              <w:rPr/>
            </w:pPr>
            <w:r>
              <w:rPr/>
              <w:t> </w:t>
            </w:r>
          </w:p>
        </w:tc>
        <w:tc>
          <w:tcPr>
            <w:tcW w:w="1235" w:type="dxa"/>
            <w:tcBorders/>
            <w:shd w:fill="DBE5F1" w:val="clear"/>
            <w:vAlign w:val="center"/>
          </w:tcPr>
          <w:p>
            <w:pPr>
              <w:pStyle w:val="TableContents"/>
              <w:bidi w:val="0"/>
              <w:spacing w:before="0" w:after="283"/>
              <w:jc w:val="right"/>
              <w:rPr/>
            </w:pPr>
            <w:r>
              <w:rPr/>
              <w:t>17,273</w:t>
            </w:r>
          </w:p>
        </w:tc>
        <w:tc>
          <w:tcPr>
            <w:tcW w:w="290" w:type="dxa"/>
            <w:tcBorders/>
            <w:shd w:fill="DBE5F1" w:val="clear"/>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0"/>
              <w:jc w:val="left"/>
              <w:rPr>
                <w:rFonts w:ascii="ARIAL" w:hAnsi="ARIAL"/>
                <w:sz w:val="20"/>
              </w:rPr>
            </w:pPr>
            <w:r>
              <w:rPr>
                <w:rFonts w:ascii="ARIAL" w:hAnsi="ARIAL"/>
                <w:sz w:val="20"/>
              </w:rPr>
              <w:t>Selling, general, and administrative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307,433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295,646</w:t>
            </w:r>
          </w:p>
        </w:tc>
        <w:tc>
          <w:tcPr>
            <w:tcW w:w="290"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35"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35"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4205" w:type="dxa"/>
            <w:tcBorders/>
            <w:shd w:fill="DBE5F1" w:val="clear"/>
            <w:vAlign w:val="center"/>
          </w:tcPr>
          <w:p>
            <w:pPr>
              <w:pStyle w:val="TableContents"/>
              <w:bidi w:val="0"/>
              <w:spacing w:before="0" w:after="0"/>
              <w:jc w:val="left"/>
              <w:rPr>
                <w:rFonts w:ascii="ARIAL" w:hAnsi="ARIAL"/>
                <w:sz w:val="20"/>
              </w:rPr>
            </w:pPr>
            <w:r>
              <w:rPr>
                <w:rFonts w:ascii="ARIAL" w:hAnsi="ARIAL"/>
                <w:sz w:val="20"/>
              </w:rPr>
              <w:t>Total add back</w:t>
            </w:r>
          </w:p>
        </w:tc>
        <w:tc>
          <w:tcPr>
            <w:tcW w:w="120" w:type="dxa"/>
            <w:tcBorders/>
            <w:shd w:fill="DBE5F1" w:val="clear"/>
            <w:vAlign w:val="center"/>
          </w:tcPr>
          <w:p>
            <w:pPr>
              <w:pStyle w:val="TableContents"/>
              <w:bidi w:val="0"/>
              <w:spacing w:before="0" w:after="283"/>
              <w:jc w:val="left"/>
              <w:rPr/>
            </w:pPr>
            <w:r>
              <w:rPr/>
              <w:t>  </w:t>
            </w:r>
          </w:p>
        </w:tc>
        <w:tc>
          <w:tcPr>
            <w:tcW w:w="140" w:type="dxa"/>
            <w:tcBorders/>
            <w:shd w:fill="DBE5F1" w:val="clear"/>
            <w:vAlign w:val="center"/>
          </w:tcPr>
          <w:p>
            <w:pPr>
              <w:pStyle w:val="TableContents"/>
              <w:bidi w:val="0"/>
              <w:spacing w:before="0" w:after="283"/>
              <w:jc w:val="left"/>
              <w:rPr/>
            </w:pPr>
            <w:r>
              <w:rPr/>
              <w:t> </w:t>
            </w:r>
          </w:p>
        </w:tc>
        <w:tc>
          <w:tcPr>
            <w:tcW w:w="1235" w:type="dxa"/>
            <w:tcBorders/>
            <w:shd w:fill="DBE5F1" w:val="clear"/>
            <w:vAlign w:val="center"/>
          </w:tcPr>
          <w:p>
            <w:pPr>
              <w:pStyle w:val="TableContents"/>
              <w:bidi w:val="0"/>
              <w:spacing w:before="0" w:after="283"/>
              <w:jc w:val="right"/>
              <w:rPr/>
            </w:pPr>
            <w:r>
              <w:rPr/>
              <w:t>336,642</w:t>
            </w:r>
          </w:p>
        </w:tc>
        <w:tc>
          <w:tcPr>
            <w:tcW w:w="275"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40" w:type="dxa"/>
            <w:tcBorders/>
            <w:shd w:fill="DBE5F1" w:val="clear"/>
            <w:vAlign w:val="center"/>
          </w:tcPr>
          <w:p>
            <w:pPr>
              <w:pStyle w:val="TableContents"/>
              <w:bidi w:val="0"/>
              <w:spacing w:before="0" w:after="283"/>
              <w:jc w:val="left"/>
              <w:rPr/>
            </w:pPr>
            <w:r>
              <w:rPr/>
              <w:t> </w:t>
            </w:r>
          </w:p>
        </w:tc>
        <w:tc>
          <w:tcPr>
            <w:tcW w:w="1235" w:type="dxa"/>
            <w:tcBorders/>
            <w:shd w:fill="DBE5F1" w:val="clear"/>
            <w:vAlign w:val="center"/>
          </w:tcPr>
          <w:p>
            <w:pPr>
              <w:pStyle w:val="TableContents"/>
              <w:bidi w:val="0"/>
              <w:spacing w:before="0" w:after="283"/>
              <w:jc w:val="right"/>
              <w:rPr/>
            </w:pPr>
            <w:r>
              <w:rPr/>
              <w:t>322,260</w:t>
            </w:r>
          </w:p>
        </w:tc>
        <w:tc>
          <w:tcPr>
            <w:tcW w:w="290" w:type="dxa"/>
            <w:tcBorders/>
            <w:shd w:fill="DBE5F1" w:val="clear"/>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35" w:type="dxa"/>
            <w:tcBorders/>
            <w:vAlign w:val="center"/>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35"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0"/>
              <w:jc w:val="left"/>
              <w:rPr>
                <w:rFonts w:ascii="ARIAL" w:hAnsi="ARIAL"/>
                <w:sz w:val="20"/>
              </w:rPr>
            </w:pPr>
            <w:r>
              <w:rPr>
                <w:rFonts w:ascii="ARIAL" w:hAnsi="ARIAL"/>
                <w:sz w:val="20"/>
              </w:rPr>
              <w:t>Adjusted gross profit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jc w:val="right"/>
              <w:rPr/>
            </w:pPr>
            <w:r>
              <w:rPr/>
              <w:t>208,825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jc w:val="right"/>
              <w:rPr/>
            </w:pPr>
            <w:r>
              <w:rPr/>
              <w:t>193,621</w:t>
            </w:r>
          </w:p>
        </w:tc>
        <w:tc>
          <w:tcPr>
            <w:tcW w:w="290" w:type="dxa"/>
            <w:tcBorders/>
            <w:vAlign w:val="center"/>
          </w:tcPr>
          <w:p>
            <w:pPr>
              <w:pStyle w:val="TableContents"/>
              <w:bidi w:val="0"/>
              <w:spacing w:before="0" w:after="283"/>
              <w:jc w:val="left"/>
              <w:rPr/>
            </w:pPr>
            <w:r>
              <w:rPr/>
              <w:t> </w:t>
            </w:r>
          </w:p>
        </w:tc>
      </w:tr>
      <w:tr>
        <w:trPr/>
        <w:tc>
          <w:tcPr>
            <w:tcW w:w="4205" w:type="dxa"/>
            <w:tcBorders/>
            <w:shd w:fill="DBE5F1" w:val="clear"/>
            <w:vAlign w:val="center"/>
          </w:tcPr>
          <w:p>
            <w:pPr>
              <w:pStyle w:val="TableContents"/>
              <w:bidi w:val="0"/>
              <w:spacing w:before="0" w:after="0"/>
              <w:jc w:val="left"/>
              <w:rPr>
                <w:rFonts w:ascii="ARIAL" w:hAnsi="ARIAL"/>
                <w:sz w:val="20"/>
              </w:rPr>
            </w:pPr>
            <w:r>
              <w:rPr>
                <w:rFonts w:ascii="ARIAL" w:hAnsi="ARIAL"/>
                <w:sz w:val="20"/>
              </w:rPr>
              <w:t>Medical benefit ratio</w:t>
            </w:r>
          </w:p>
        </w:tc>
        <w:tc>
          <w:tcPr>
            <w:tcW w:w="120" w:type="dxa"/>
            <w:tcBorders/>
            <w:shd w:fill="DBE5F1" w:val="clear"/>
            <w:vAlign w:val="center"/>
          </w:tcPr>
          <w:p>
            <w:pPr>
              <w:pStyle w:val="TableContents"/>
              <w:bidi w:val="0"/>
              <w:spacing w:before="0" w:after="283"/>
              <w:jc w:val="left"/>
              <w:rPr/>
            </w:pPr>
            <w:r>
              <w:rPr/>
              <w:t>  </w:t>
            </w:r>
          </w:p>
        </w:tc>
        <w:tc>
          <w:tcPr>
            <w:tcW w:w="140" w:type="dxa"/>
            <w:tcBorders/>
            <w:shd w:fill="DBE5F1" w:val="clear"/>
            <w:vAlign w:val="center"/>
          </w:tcPr>
          <w:p>
            <w:pPr>
              <w:pStyle w:val="TableContents"/>
              <w:bidi w:val="0"/>
              <w:spacing w:before="0" w:after="283"/>
              <w:jc w:val="left"/>
              <w:rPr/>
            </w:pPr>
            <w:r>
              <w:rPr/>
              <w:t> </w:t>
            </w:r>
          </w:p>
        </w:tc>
        <w:tc>
          <w:tcPr>
            <w:tcW w:w="1235" w:type="dxa"/>
            <w:tcBorders/>
            <w:shd w:fill="DBE5F1" w:val="clear"/>
            <w:vAlign w:val="center"/>
          </w:tcPr>
          <w:p>
            <w:pPr>
              <w:pStyle w:val="TableContents"/>
              <w:bidi w:val="0"/>
              <w:spacing w:before="0" w:after="283"/>
              <w:jc w:val="right"/>
              <w:rPr/>
            </w:pPr>
            <w:r>
              <w:rPr/>
              <w:t>88.5</w:t>
            </w:r>
          </w:p>
        </w:tc>
        <w:tc>
          <w:tcPr>
            <w:tcW w:w="275"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40" w:type="dxa"/>
            <w:tcBorders/>
            <w:shd w:fill="DBE5F1" w:val="clear"/>
            <w:vAlign w:val="center"/>
          </w:tcPr>
          <w:p>
            <w:pPr>
              <w:pStyle w:val="TableContents"/>
              <w:bidi w:val="0"/>
              <w:spacing w:before="0" w:after="283"/>
              <w:jc w:val="left"/>
              <w:rPr/>
            </w:pPr>
            <w:r>
              <w:rPr/>
              <w:t> </w:t>
            </w:r>
          </w:p>
        </w:tc>
        <w:tc>
          <w:tcPr>
            <w:tcW w:w="1235" w:type="dxa"/>
            <w:tcBorders/>
            <w:shd w:fill="DBE5F1" w:val="clear"/>
            <w:vAlign w:val="center"/>
          </w:tcPr>
          <w:p>
            <w:pPr>
              <w:pStyle w:val="TableContents"/>
              <w:bidi w:val="0"/>
              <w:spacing w:before="0" w:after="283"/>
              <w:jc w:val="right"/>
              <w:rPr/>
            </w:pPr>
            <w:r>
              <w:rPr/>
              <w:t>86.5</w:t>
            </w:r>
          </w:p>
        </w:tc>
        <w:tc>
          <w:tcPr>
            <w:tcW w:w="290" w:type="dxa"/>
            <w:tcBorders/>
            <w:shd w:fill="DBE5F1" w:val="clear"/>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We calculate our medical benefits ratio (“MBR”) by dividing total medical expenses, excluding depreciation and equity-based compensation, by total revenues in a given period. We believe our MBR is an indicator of our gross profit for our Medicare Advantage plans and demonstrates the ability of our clinical model to produce superior outcomes by identifying and providing targeted care to our high-risk members resulting in improved member health and reduced total population medical expenses. We expect that this metric may fluctuate over time due to a variety of factors, including our pace of new member growth given that new members typically join Alignment with higher MBRs, while our model has demonstrated an ability to improve MBR for a given cohort over time. </w:t>
      </w:r>
    </w:p>
    <w:p>
      <w:pPr>
        <w:pStyle w:val="TextBody"/>
        <w:bidi w:val="0"/>
        <w:spacing w:before="240" w:after="0"/>
        <w:jc w:val="left"/>
        <w:rPr>
          <w:rFonts w:ascii="ARIAL" w:hAnsi="ARIAL"/>
          <w:sz w:val="20"/>
        </w:rPr>
      </w:pPr>
      <w:r>
        <w:rPr>
          <w:rFonts w:ascii="ARIAL" w:hAnsi="ARIAL"/>
          <w:sz w:val="20"/>
        </w:rPr>
        <w:t xml:space="preserve">When we determine, on an annual basis, whether we have satisfied the CMS minimum Medical Loss Ratio (“MLR”) of 85%, adjustments are made to the MBR calculation to include certain additional expenses related to improving the quality of care provided, and to exclude certain taxes and fees, in each case as permitted or required by CMS and applicable regulatory requirements. </w:t>
      </w:r>
    </w:p>
    <w:p>
      <w:pPr>
        <w:pStyle w:val="TextBody"/>
        <w:bidi w:val="0"/>
        <w:spacing w:before="240" w:after="0"/>
        <w:jc w:val="left"/>
        <w:rPr>
          <w:rFonts w:ascii="ARIAL" w:hAnsi="ARIAL"/>
          <w:b/>
          <w:color w:val="1F497D"/>
          <w:sz w:val="20"/>
        </w:rPr>
      </w:pPr>
      <w:r>
        <w:rPr>
          <w:rFonts w:ascii="ARIAL" w:hAnsi="ARIAL"/>
          <w:b/>
          <w:color w:val="1F497D"/>
          <w:sz w:val="20"/>
        </w:rPr>
        <w:t xml:space="preserve">Adjusted EBITDA </w:t>
      </w:r>
    </w:p>
    <w:p>
      <w:pPr>
        <w:pStyle w:val="TextBody"/>
        <w:bidi w:val="0"/>
        <w:spacing w:before="240" w:after="0"/>
        <w:jc w:val="left"/>
        <w:rPr>
          <w:rFonts w:ascii="ARIAL" w:hAnsi="ARIAL"/>
          <w:sz w:val="20"/>
        </w:rPr>
      </w:pPr>
      <w:r>
        <w:rPr>
          <w:rFonts w:ascii="ARIAL" w:hAnsi="ARIAL"/>
          <w:sz w:val="20"/>
        </w:rPr>
        <w:t xml:space="preserve">Adjusted EBITDA is a non-GAAP financial measure that we define as net loss before interest expense, income taxes, depreciation and amortization expense, reorganization and transaction-related expenses and equity-based compensation expense. Adjusted EBITDA is a key measure used by our management and our Board of Directors to understand and evaluate our operating performance and trends, to prepare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88 </w:t>
      </w:r>
      <w:r>
        <w:br w:type="page"/>
      </w:r>
    </w:p>
    <w:p>
      <w:pPr>
        <w:pStyle w:val="HorizontalLine"/>
        <w:bidi w:val="0"/>
        <w:jc w:val="left"/>
        <w:rPr/>
      </w:pPr>
      <w:r>
        <w:rPr/>
      </w:r>
    </w:p>
    <w:p>
      <w:pPr>
        <w:pStyle w:val="TextBody"/>
        <w:bidi w:val="0"/>
        <w:spacing w:before="0" w:after="0"/>
        <w:jc w:val="left"/>
        <w:rPr>
          <w:rFonts w:ascii="ARIAL" w:hAnsi="ARIAL"/>
          <w:sz w:val="20"/>
        </w:rPr>
      </w:pPr>
      <w:r>
        <w:rPr>
          <w:rFonts w:ascii="ARIAL" w:hAnsi="ARIAL"/>
          <w:sz w:val="20"/>
        </w:rPr>
        <w:t xml:space="preserve">and approve our annual budget and to develop short and long-term operating plans. In particular, we believe that the exclusion of the amounts eliminated in calculating Adjusted EBITDA provides useful measures for period-to-period comparisons of our business. Given our intent to continue to invest in our platform and the scalability of our business in the short to medium-term, we believe Adjusted EBITDA over the long term will be an important indicator of value creation. </w:t>
      </w:r>
    </w:p>
    <w:p>
      <w:pPr>
        <w:pStyle w:val="TextBody"/>
        <w:bidi w:val="0"/>
        <w:spacing w:before="240" w:after="0"/>
        <w:jc w:val="left"/>
        <w:rPr>
          <w:rFonts w:ascii="ARIAL" w:hAnsi="ARIAL"/>
          <w:sz w:val="20"/>
        </w:rPr>
      </w:pPr>
      <w:r>
        <w:rPr>
          <w:rFonts w:ascii="ARIAL" w:hAnsi="ARIAL"/>
          <w:sz w:val="20"/>
        </w:rPr>
        <w:t xml:space="preserve">Adjusted EBITDA should not be considered in isolation of, or as an alternative to, measures prepared in accordance with GAAP. There are a number of limitations related to the use of Adjusted EBITDA in lieu of net loss, which is the most directly comparable financial measure calculated in accordance with GAAP. </w:t>
      </w:r>
    </w:p>
    <w:p>
      <w:pPr>
        <w:pStyle w:val="TextBody"/>
        <w:bidi w:val="0"/>
        <w:spacing w:before="240" w:after="0"/>
        <w:jc w:val="left"/>
        <w:rPr>
          <w:rFonts w:ascii="ARIAL" w:hAnsi="ARIAL"/>
          <w:sz w:val="20"/>
        </w:rPr>
      </w:pPr>
      <w:r>
        <w:rPr>
          <w:rFonts w:ascii="ARIAL" w:hAnsi="ARIAL"/>
          <w:sz w:val="20"/>
        </w:rPr>
        <w:t xml:space="preserve">Our use of the term Adjusted EBITDA may vary from the use of similar terms by other companies in our industry and accordingly may not be comparable to similarly titled measures used by other companies. </w:t>
      </w:r>
    </w:p>
    <w:p>
      <w:pPr>
        <w:pStyle w:val="TextBody"/>
        <w:bidi w:val="0"/>
        <w:spacing w:before="240" w:after="0"/>
        <w:jc w:val="left"/>
        <w:rPr>
          <w:rFonts w:ascii="ARIAL" w:hAnsi="ARIAL"/>
          <w:sz w:val="20"/>
        </w:rPr>
      </w:pPr>
      <w:r>
        <w:rPr>
          <w:rFonts w:ascii="ARIAL" w:hAnsi="ARIAL"/>
          <w:sz w:val="20"/>
        </w:rPr>
        <w:t xml:space="preserve">Adjusted EBITDA is reconciled as follows: </w:t>
      </w:r>
    </w:p>
    <w:p>
      <w:pPr>
        <w:pStyle w:val="TextBody"/>
        <w:bidi w:val="0"/>
        <w:spacing w:before="0" w:after="0"/>
        <w:jc w:val="left"/>
        <w:rPr/>
      </w:pPr>
      <w:r>
        <w:rPr/>
        <w:t> </w:t>
      </w:r>
    </w:p>
    <w:tbl>
      <w:tblPr>
        <w:tblW w:w="8000" w:type="dxa"/>
        <w:jc w:val="left"/>
        <w:tblInd w:w="0" w:type="dxa"/>
        <w:tblLayout w:type="fixed"/>
        <w:tblCellMar>
          <w:top w:w="0" w:type="dxa"/>
          <w:left w:w="0" w:type="dxa"/>
          <w:bottom w:w="0" w:type="dxa"/>
          <w:right w:w="0" w:type="dxa"/>
        </w:tblCellMar>
      </w:tblPr>
      <w:tblGrid>
        <w:gridCol w:w="4505"/>
        <w:gridCol w:w="120"/>
        <w:gridCol w:w="140"/>
        <w:gridCol w:w="1355"/>
        <w:gridCol w:w="155"/>
        <w:gridCol w:w="60"/>
        <w:gridCol w:w="140"/>
        <w:gridCol w:w="1355"/>
        <w:gridCol w:w="170"/>
      </w:tblGrid>
      <w:tr>
        <w:trPr/>
        <w:tc>
          <w:tcPr>
            <w:tcW w:w="4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17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0"/>
              <w:jc w:val="left"/>
              <w:rPr>
                <w:rFonts w:ascii="ARIAL" w:hAnsi="ARIAL"/>
                <w:b/>
                <w:i/>
                <w:sz w:val="16"/>
              </w:rPr>
            </w:pPr>
            <w:r>
              <w:rPr>
                <w:rFonts w:ascii="ARIAL" w:hAnsi="ARIAL"/>
                <w:b/>
                <w:i/>
                <w:sz w:val="16"/>
              </w:rPr>
              <w:t>(dollars in thousands)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05" w:type="dxa"/>
            <w:tcBorders/>
            <w:shd w:fill="DBE5F1" w:val="clear"/>
            <w:vAlign w:val="center"/>
          </w:tcPr>
          <w:p>
            <w:pPr>
              <w:pStyle w:val="TableContents"/>
              <w:bidi w:val="0"/>
              <w:spacing w:before="0" w:after="0"/>
              <w:jc w:val="left"/>
              <w:rPr>
                <w:rFonts w:ascii="ARIAL" w:hAnsi="ARIAL"/>
                <w:sz w:val="20"/>
              </w:rPr>
            </w:pPr>
            <w:r>
              <w:rPr>
                <w:rFonts w:ascii="ARIAL" w:hAnsi="ARIAL"/>
                <w:sz w:val="20"/>
              </w:rPr>
              <w:t>Net loss</w:t>
            </w:r>
          </w:p>
        </w:tc>
        <w:tc>
          <w:tcPr>
            <w:tcW w:w="120" w:type="dxa"/>
            <w:tcBorders/>
            <w:shd w:fill="DBE5F1" w:val="clear"/>
            <w:vAlign w:val="center"/>
          </w:tcPr>
          <w:p>
            <w:pPr>
              <w:pStyle w:val="TableContents"/>
              <w:bidi w:val="0"/>
              <w:spacing w:before="0" w:after="283"/>
              <w:jc w:val="left"/>
              <w:rPr/>
            </w:pPr>
            <w:r>
              <w:rPr/>
              <w:t>  </w:t>
            </w:r>
          </w:p>
        </w:tc>
        <w:tc>
          <w:tcPr>
            <w:tcW w:w="140" w:type="dxa"/>
            <w:tcBorders/>
            <w:shd w:fill="DBE5F1" w:val="clear"/>
            <w:vAlign w:val="center"/>
          </w:tcPr>
          <w:p>
            <w:pPr>
              <w:pStyle w:val="TableContents"/>
              <w:bidi w:val="0"/>
              <w:spacing w:before="0" w:after="283"/>
              <w:jc w:val="left"/>
              <w:rPr/>
            </w:pPr>
            <w:r>
              <w:rPr/>
              <w:t>$</w:t>
            </w:r>
          </w:p>
        </w:tc>
        <w:tc>
          <w:tcPr>
            <w:tcW w:w="1355" w:type="dxa"/>
            <w:tcBorders/>
            <w:shd w:fill="DBE5F1" w:val="clear"/>
            <w:vAlign w:val="center"/>
          </w:tcPr>
          <w:p>
            <w:pPr>
              <w:pStyle w:val="TableContents"/>
              <w:bidi w:val="0"/>
              <w:spacing w:before="0" w:after="283"/>
              <w:jc w:val="right"/>
              <w:rPr/>
            </w:pPr>
            <w:r>
              <w:rPr/>
              <w:t>  </w:t>
            </w:r>
            <w:r>
              <w:rPr/>
              <w:t>(148,173</w:t>
            </w:r>
          </w:p>
        </w:tc>
        <w:tc>
          <w:tcPr>
            <w:tcW w:w="155"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40" w:type="dxa"/>
            <w:tcBorders/>
            <w:shd w:fill="DBE5F1" w:val="clear"/>
            <w:vAlign w:val="center"/>
          </w:tcPr>
          <w:p>
            <w:pPr>
              <w:pStyle w:val="TableContents"/>
              <w:bidi w:val="0"/>
              <w:spacing w:before="0" w:after="283"/>
              <w:jc w:val="left"/>
              <w:rPr/>
            </w:pPr>
            <w:r>
              <w:rPr/>
              <w:t>$</w:t>
            </w:r>
          </w:p>
        </w:tc>
        <w:tc>
          <w:tcPr>
            <w:tcW w:w="1355" w:type="dxa"/>
            <w:tcBorders/>
            <w:shd w:fill="DBE5F1" w:val="clear"/>
            <w:vAlign w:val="center"/>
          </w:tcPr>
          <w:p>
            <w:pPr>
              <w:pStyle w:val="TableContents"/>
              <w:bidi w:val="0"/>
              <w:spacing w:before="0" w:after="283"/>
              <w:jc w:val="right"/>
              <w:rPr/>
            </w:pPr>
            <w:r>
              <w:rPr/>
              <w:t>  </w:t>
            </w:r>
            <w:r>
              <w:rPr/>
              <w:t>(149,639</w:t>
            </w:r>
          </w:p>
        </w:tc>
        <w:tc>
          <w:tcPr>
            <w:tcW w:w="170" w:type="dxa"/>
            <w:tcBorders/>
            <w:shd w:fill="DBE5F1"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0"/>
              <w:jc w:val="left"/>
              <w:rPr>
                <w:rFonts w:ascii="ARIAL" w:hAnsi="ARIAL"/>
                <w:sz w:val="20"/>
              </w:rPr>
            </w:pPr>
            <w:r>
              <w:rPr>
                <w:rFonts w:ascii="ARIAL" w:hAnsi="ARIAL"/>
                <w:sz w:val="20"/>
              </w:rPr>
              <w:t>Less: Net loss attributable to noncontrolling interest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156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92</w:t>
            </w:r>
          </w:p>
        </w:tc>
        <w:tc>
          <w:tcPr>
            <w:tcW w:w="170" w:type="dxa"/>
            <w:tcBorders/>
            <w:vAlign w:val="center"/>
          </w:tcPr>
          <w:p>
            <w:pPr>
              <w:pStyle w:val="TableContents"/>
              <w:bidi w:val="0"/>
              <w:spacing w:before="0" w:after="283"/>
              <w:jc w:val="left"/>
              <w:rPr/>
            </w:pPr>
            <w:r>
              <w:rPr/>
              <w:t> </w:t>
            </w:r>
          </w:p>
        </w:tc>
      </w:tr>
      <w:tr>
        <w:trPr/>
        <w:tc>
          <w:tcPr>
            <w:tcW w:w="4505" w:type="dxa"/>
            <w:tcBorders/>
            <w:shd w:fill="DBE5F1" w:val="clear"/>
            <w:vAlign w:val="center"/>
          </w:tcPr>
          <w:p>
            <w:pPr>
              <w:pStyle w:val="TableContents"/>
              <w:bidi w:val="0"/>
              <w:spacing w:before="0" w:after="0"/>
              <w:jc w:val="left"/>
              <w:rPr>
                <w:rFonts w:ascii="ARIAL" w:hAnsi="ARIAL"/>
                <w:sz w:val="20"/>
              </w:rPr>
            </w:pPr>
            <w:r>
              <w:rPr>
                <w:rFonts w:ascii="ARIAL" w:hAnsi="ARIAL"/>
                <w:sz w:val="20"/>
              </w:rPr>
              <w:t>Adjustments:</w:t>
            </w:r>
          </w:p>
        </w:tc>
        <w:tc>
          <w:tcPr>
            <w:tcW w:w="120" w:type="dxa"/>
            <w:tcBorders/>
            <w:shd w:fill="DBE5F1" w:val="clear"/>
            <w:vAlign w:val="center"/>
          </w:tcPr>
          <w:p>
            <w:pPr>
              <w:pStyle w:val="TableContents"/>
              <w:bidi w:val="0"/>
              <w:spacing w:before="0" w:after="283"/>
              <w:jc w:val="left"/>
              <w:rPr/>
            </w:pPr>
            <w:r>
              <w:rPr/>
              <w:t>  </w:t>
            </w:r>
          </w:p>
        </w:tc>
        <w:tc>
          <w:tcPr>
            <w:tcW w:w="140" w:type="dxa"/>
            <w:tcBorders/>
            <w:shd w:fill="DBE5F1" w:val="clear"/>
            <w:vAlign w:val="center"/>
          </w:tcPr>
          <w:p>
            <w:pPr>
              <w:pStyle w:val="TableContents"/>
              <w:bidi w:val="0"/>
              <w:spacing w:before="0" w:after="283"/>
              <w:jc w:val="left"/>
              <w:rPr>
                <w:sz w:val="4"/>
                <w:szCs w:val="4"/>
              </w:rPr>
            </w:pPr>
            <w:r>
              <w:rPr>
                <w:sz w:val="4"/>
                <w:szCs w:val="4"/>
              </w:rPr>
            </w:r>
          </w:p>
        </w:tc>
        <w:tc>
          <w:tcPr>
            <w:tcW w:w="1355" w:type="dxa"/>
            <w:tcBorders/>
            <w:shd w:fill="DBE5F1" w:val="clear"/>
            <w:vAlign w:val="center"/>
          </w:tcPr>
          <w:p>
            <w:pPr>
              <w:pStyle w:val="TableContents"/>
              <w:bidi w:val="0"/>
              <w:spacing w:before="0" w:after="283"/>
              <w:jc w:val="left"/>
              <w:rPr>
                <w:sz w:val="4"/>
                <w:szCs w:val="4"/>
              </w:rPr>
            </w:pPr>
            <w:r>
              <w:rPr>
                <w:sz w:val="4"/>
                <w:szCs w:val="4"/>
              </w:rPr>
            </w:r>
          </w:p>
        </w:tc>
        <w:tc>
          <w:tcPr>
            <w:tcW w:w="155" w:type="dxa"/>
            <w:tcBorders/>
            <w:shd w:fill="DBE5F1" w:val="clear"/>
            <w:vAlign w:val="center"/>
          </w:tcPr>
          <w:p>
            <w:pPr>
              <w:pStyle w:val="TableContents"/>
              <w:bidi w:val="0"/>
              <w:spacing w:before="0" w:after="283"/>
              <w:jc w:val="left"/>
              <w:rPr>
                <w:sz w:val="4"/>
                <w:szCs w:val="4"/>
              </w:rPr>
            </w:pPr>
            <w:r>
              <w:rPr>
                <w:sz w:val="4"/>
                <w:szCs w:val="4"/>
              </w:rPr>
            </w:r>
          </w:p>
        </w:tc>
        <w:tc>
          <w:tcPr>
            <w:tcW w:w="60" w:type="dxa"/>
            <w:tcBorders/>
            <w:shd w:fill="DBE5F1" w:val="clear"/>
            <w:vAlign w:val="center"/>
          </w:tcPr>
          <w:p>
            <w:pPr>
              <w:pStyle w:val="TableContents"/>
              <w:bidi w:val="0"/>
              <w:spacing w:before="0" w:after="283"/>
              <w:jc w:val="left"/>
              <w:rPr/>
            </w:pPr>
            <w:r>
              <w:rPr/>
              <w:t> </w:t>
            </w:r>
          </w:p>
        </w:tc>
        <w:tc>
          <w:tcPr>
            <w:tcW w:w="140" w:type="dxa"/>
            <w:tcBorders/>
            <w:shd w:fill="DBE5F1" w:val="clear"/>
            <w:vAlign w:val="center"/>
          </w:tcPr>
          <w:p>
            <w:pPr>
              <w:pStyle w:val="TableContents"/>
              <w:bidi w:val="0"/>
              <w:spacing w:before="0" w:after="283"/>
              <w:jc w:val="left"/>
              <w:rPr>
                <w:sz w:val="4"/>
                <w:szCs w:val="4"/>
              </w:rPr>
            </w:pPr>
            <w:r>
              <w:rPr>
                <w:sz w:val="4"/>
                <w:szCs w:val="4"/>
              </w:rPr>
            </w:r>
          </w:p>
        </w:tc>
        <w:tc>
          <w:tcPr>
            <w:tcW w:w="1355" w:type="dxa"/>
            <w:tcBorders/>
            <w:shd w:fill="DBE5F1" w:val="clear"/>
            <w:vAlign w:val="center"/>
          </w:tcPr>
          <w:p>
            <w:pPr>
              <w:pStyle w:val="TableContents"/>
              <w:bidi w:val="0"/>
              <w:spacing w:before="0" w:after="283"/>
              <w:jc w:val="left"/>
              <w:rPr>
                <w:sz w:val="4"/>
                <w:szCs w:val="4"/>
              </w:rPr>
            </w:pPr>
            <w:r>
              <w:rPr>
                <w:sz w:val="4"/>
                <w:szCs w:val="4"/>
              </w:rPr>
            </w:r>
          </w:p>
        </w:tc>
        <w:tc>
          <w:tcPr>
            <w:tcW w:w="170" w:type="dxa"/>
            <w:tcBorders/>
            <w:shd w:fill="DBE5F1" w:val="clear"/>
            <w:vAlign w:val="center"/>
          </w:tcPr>
          <w:p>
            <w:pPr>
              <w:pStyle w:val="TableContents"/>
              <w:bidi w:val="0"/>
              <w:spacing w:before="0" w:after="283"/>
              <w:jc w:val="left"/>
              <w:rPr>
                <w:sz w:val="4"/>
                <w:szCs w:val="4"/>
              </w:rPr>
            </w:pPr>
            <w:r>
              <w:rPr>
                <w:sz w:val="4"/>
                <w:szCs w:val="4"/>
              </w:rPr>
            </w:r>
          </w:p>
        </w:tc>
      </w:tr>
      <w:tr>
        <w:trPr/>
        <w:tc>
          <w:tcPr>
            <w:tcW w:w="4505" w:type="dxa"/>
            <w:tcBorders/>
            <w:vAlign w:val="center"/>
          </w:tcPr>
          <w:p>
            <w:pPr>
              <w:pStyle w:val="TableContents"/>
              <w:bidi w:val="0"/>
              <w:spacing w:before="0" w:after="0"/>
              <w:jc w:val="left"/>
              <w:rPr>
                <w:rFonts w:ascii="ARIAL" w:hAnsi="ARIAL"/>
                <w:sz w:val="20"/>
              </w:rPr>
            </w:pPr>
            <w:r>
              <w:rPr>
                <w:rFonts w:ascii="ARIAL" w:hAnsi="ARIAL"/>
                <w:sz w:val="20"/>
              </w:rPr>
              <w:t>Interest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21,231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18,289</w:t>
            </w:r>
          </w:p>
        </w:tc>
        <w:tc>
          <w:tcPr>
            <w:tcW w:w="170" w:type="dxa"/>
            <w:tcBorders/>
            <w:vAlign w:val="center"/>
          </w:tcPr>
          <w:p>
            <w:pPr>
              <w:pStyle w:val="TableContents"/>
              <w:bidi w:val="0"/>
              <w:spacing w:before="0" w:after="283"/>
              <w:jc w:val="left"/>
              <w:rPr/>
            </w:pPr>
            <w:r>
              <w:rPr/>
              <w:t> </w:t>
            </w:r>
          </w:p>
        </w:tc>
      </w:tr>
      <w:tr>
        <w:trPr/>
        <w:tc>
          <w:tcPr>
            <w:tcW w:w="4505" w:type="dxa"/>
            <w:tcBorders/>
            <w:shd w:fill="DBE5F1" w:val="clear"/>
            <w:vAlign w:val="center"/>
          </w:tcPr>
          <w:p>
            <w:pPr>
              <w:pStyle w:val="TableContents"/>
              <w:bidi w:val="0"/>
              <w:spacing w:before="0" w:after="0"/>
              <w:jc w:val="left"/>
              <w:rPr>
                <w:rFonts w:ascii="ARIAL" w:hAnsi="ARIAL"/>
                <w:sz w:val="20"/>
              </w:rPr>
            </w:pPr>
            <w:r>
              <w:rPr>
                <w:rFonts w:ascii="ARIAL" w:hAnsi="ARIAL"/>
                <w:sz w:val="20"/>
              </w:rPr>
              <w:t>Depreciation and amortization</w:t>
            </w:r>
          </w:p>
        </w:tc>
        <w:tc>
          <w:tcPr>
            <w:tcW w:w="120" w:type="dxa"/>
            <w:tcBorders/>
            <w:shd w:fill="DBE5F1" w:val="clear"/>
            <w:vAlign w:val="center"/>
          </w:tcPr>
          <w:p>
            <w:pPr>
              <w:pStyle w:val="TableContents"/>
              <w:bidi w:val="0"/>
              <w:spacing w:before="0" w:after="283"/>
              <w:jc w:val="left"/>
              <w:rPr/>
            </w:pPr>
            <w:r>
              <w:rPr/>
              <w:t>  </w:t>
            </w:r>
          </w:p>
        </w:tc>
        <w:tc>
          <w:tcPr>
            <w:tcW w:w="140" w:type="dxa"/>
            <w:tcBorders/>
            <w:shd w:fill="DBE5F1" w:val="clear"/>
            <w:vAlign w:val="center"/>
          </w:tcPr>
          <w:p>
            <w:pPr>
              <w:pStyle w:val="TableContents"/>
              <w:bidi w:val="0"/>
              <w:spacing w:before="0" w:after="283"/>
              <w:jc w:val="left"/>
              <w:rPr/>
            </w:pPr>
            <w:r>
              <w:rPr/>
              <w:t> </w:t>
            </w:r>
          </w:p>
        </w:tc>
        <w:tc>
          <w:tcPr>
            <w:tcW w:w="1355" w:type="dxa"/>
            <w:tcBorders/>
            <w:shd w:fill="DBE5F1" w:val="clear"/>
            <w:vAlign w:val="center"/>
          </w:tcPr>
          <w:p>
            <w:pPr>
              <w:pStyle w:val="TableContents"/>
              <w:bidi w:val="0"/>
              <w:spacing w:before="0" w:after="283"/>
              <w:jc w:val="right"/>
              <w:rPr/>
            </w:pPr>
            <w:r>
              <w:rPr/>
              <w:t>21,668</w:t>
            </w:r>
          </w:p>
        </w:tc>
        <w:tc>
          <w:tcPr>
            <w:tcW w:w="155"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40" w:type="dxa"/>
            <w:tcBorders/>
            <w:shd w:fill="DBE5F1" w:val="clear"/>
            <w:vAlign w:val="center"/>
          </w:tcPr>
          <w:p>
            <w:pPr>
              <w:pStyle w:val="TableContents"/>
              <w:bidi w:val="0"/>
              <w:spacing w:before="0" w:after="283"/>
              <w:jc w:val="left"/>
              <w:rPr/>
            </w:pPr>
            <w:r>
              <w:rPr/>
              <w:t> </w:t>
            </w:r>
          </w:p>
        </w:tc>
        <w:tc>
          <w:tcPr>
            <w:tcW w:w="1355" w:type="dxa"/>
            <w:tcBorders/>
            <w:shd w:fill="DBE5F1" w:val="clear"/>
            <w:vAlign w:val="center"/>
          </w:tcPr>
          <w:p>
            <w:pPr>
              <w:pStyle w:val="TableContents"/>
              <w:bidi w:val="0"/>
              <w:spacing w:before="0" w:after="283"/>
              <w:jc w:val="right"/>
              <w:rPr/>
            </w:pPr>
            <w:r>
              <w:rPr/>
              <w:t>17,486</w:t>
            </w:r>
          </w:p>
        </w:tc>
        <w:tc>
          <w:tcPr>
            <w:tcW w:w="170" w:type="dxa"/>
            <w:tcBorders/>
            <w:shd w:fill="DBE5F1"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0"/>
              <w:jc w:val="left"/>
              <w:rPr>
                <w:rFonts w:ascii="ARIAL" w:hAnsi="ARIAL"/>
                <w:sz w:val="20"/>
              </w:rPr>
            </w:pPr>
            <w:r>
              <w:rPr>
                <w:rFonts w:ascii="ARIAL" w:hAnsi="ARIAL"/>
                <w:sz w:val="20"/>
              </w:rPr>
              <w:t>Income taxes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339</w:t>
            </w:r>
          </w:p>
        </w:tc>
        <w:tc>
          <w:tcPr>
            <w:tcW w:w="170" w:type="dxa"/>
            <w:tcBorders/>
            <w:vAlign w:val="center"/>
          </w:tcPr>
          <w:p>
            <w:pPr>
              <w:pStyle w:val="TableContents"/>
              <w:bidi w:val="0"/>
              <w:spacing w:before="0" w:after="283"/>
              <w:jc w:val="left"/>
              <w:rPr/>
            </w:pPr>
            <w:r>
              <w:rPr/>
              <w:t> </w:t>
            </w:r>
          </w:p>
        </w:tc>
      </w:tr>
      <w:tr>
        <w:trPr/>
        <w:tc>
          <w:tcPr>
            <w:tcW w:w="4505" w:type="dxa"/>
            <w:tcBorders/>
            <w:shd w:fill="DBE5F1" w:val="clear"/>
            <w:vAlign w:val="center"/>
          </w:tcPr>
          <w:p>
            <w:pPr>
              <w:pStyle w:val="TableContents"/>
              <w:bidi w:val="0"/>
              <w:spacing w:before="0" w:after="0"/>
              <w:jc w:val="left"/>
              <w:rPr>
                <w:rFonts w:ascii="ARIAL" w:hAnsi="ARIAL"/>
                <w:sz w:val="20"/>
              </w:rPr>
            </w:pPr>
            <w:r>
              <w:rPr>
                <w:rFonts w:ascii="ARIAL" w:hAnsi="ARIAL"/>
                <w:sz w:val="20"/>
              </w:rPr>
              <w:t>Equity-based compensation(1)</w:t>
            </w:r>
          </w:p>
        </w:tc>
        <w:tc>
          <w:tcPr>
            <w:tcW w:w="120" w:type="dxa"/>
            <w:tcBorders/>
            <w:shd w:fill="DBE5F1" w:val="clear"/>
            <w:vAlign w:val="center"/>
          </w:tcPr>
          <w:p>
            <w:pPr>
              <w:pStyle w:val="TableContents"/>
              <w:bidi w:val="0"/>
              <w:spacing w:before="0" w:after="283"/>
              <w:jc w:val="left"/>
              <w:rPr/>
            </w:pPr>
            <w:r>
              <w:rPr/>
              <w:t>  </w:t>
            </w:r>
          </w:p>
        </w:tc>
        <w:tc>
          <w:tcPr>
            <w:tcW w:w="140" w:type="dxa"/>
            <w:tcBorders/>
            <w:shd w:fill="DBE5F1" w:val="clear"/>
            <w:vAlign w:val="center"/>
          </w:tcPr>
          <w:p>
            <w:pPr>
              <w:pStyle w:val="TableContents"/>
              <w:bidi w:val="0"/>
              <w:spacing w:before="0" w:after="283"/>
              <w:jc w:val="left"/>
              <w:rPr/>
            </w:pPr>
            <w:r>
              <w:rPr/>
              <w:t> </w:t>
            </w:r>
          </w:p>
        </w:tc>
        <w:tc>
          <w:tcPr>
            <w:tcW w:w="1355" w:type="dxa"/>
            <w:tcBorders/>
            <w:shd w:fill="DBE5F1" w:val="clear"/>
            <w:vAlign w:val="center"/>
          </w:tcPr>
          <w:p>
            <w:pPr>
              <w:pStyle w:val="TableContents"/>
              <w:bidi w:val="0"/>
              <w:spacing w:before="0" w:after="283"/>
              <w:jc w:val="right"/>
              <w:rPr/>
            </w:pPr>
            <w:r>
              <w:rPr/>
              <w:t>66,835</w:t>
            </w:r>
          </w:p>
        </w:tc>
        <w:tc>
          <w:tcPr>
            <w:tcW w:w="155"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40" w:type="dxa"/>
            <w:tcBorders/>
            <w:shd w:fill="DBE5F1" w:val="clear"/>
            <w:vAlign w:val="center"/>
          </w:tcPr>
          <w:p>
            <w:pPr>
              <w:pStyle w:val="TableContents"/>
              <w:bidi w:val="0"/>
              <w:spacing w:before="0" w:after="283"/>
              <w:jc w:val="left"/>
              <w:rPr/>
            </w:pPr>
            <w:r>
              <w:rPr/>
              <w:t> </w:t>
            </w:r>
          </w:p>
        </w:tc>
        <w:tc>
          <w:tcPr>
            <w:tcW w:w="1355" w:type="dxa"/>
            <w:tcBorders/>
            <w:shd w:fill="DBE5F1" w:val="clear"/>
            <w:vAlign w:val="center"/>
          </w:tcPr>
          <w:p>
            <w:pPr>
              <w:pStyle w:val="TableContents"/>
              <w:bidi w:val="0"/>
              <w:spacing w:before="0" w:after="283"/>
              <w:jc w:val="right"/>
              <w:rPr/>
            </w:pPr>
            <w:r>
              <w:rPr/>
              <w:t>81,718</w:t>
            </w:r>
          </w:p>
        </w:tc>
        <w:tc>
          <w:tcPr>
            <w:tcW w:w="170" w:type="dxa"/>
            <w:tcBorders/>
            <w:shd w:fill="DBE5F1"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0"/>
              <w:jc w:val="left"/>
              <w:rPr>
                <w:rFonts w:ascii="ARIAL" w:hAnsi="ARIAL"/>
                <w:sz w:val="20"/>
              </w:rPr>
            </w:pPr>
            <w:r>
              <w:rPr>
                <w:rFonts w:ascii="ARIAL" w:hAnsi="ARIAL"/>
                <w:sz w:val="20"/>
              </w:rPr>
              <w:t>Transaction-related expenses(2)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579</w:t>
            </w:r>
          </w:p>
        </w:tc>
        <w:tc>
          <w:tcPr>
            <w:tcW w:w="170" w:type="dxa"/>
            <w:tcBorders/>
            <w:vAlign w:val="center"/>
          </w:tcPr>
          <w:p>
            <w:pPr>
              <w:pStyle w:val="TableContents"/>
              <w:bidi w:val="0"/>
              <w:spacing w:before="0" w:after="283"/>
              <w:jc w:val="left"/>
              <w:rPr/>
            </w:pPr>
            <w:r>
              <w:rPr/>
              <w:t> </w:t>
            </w:r>
          </w:p>
        </w:tc>
      </w:tr>
      <w:tr>
        <w:trPr/>
        <w:tc>
          <w:tcPr>
            <w:tcW w:w="4505" w:type="dxa"/>
            <w:tcBorders/>
            <w:shd w:fill="DBE5F1" w:val="clear"/>
            <w:vAlign w:val="center"/>
          </w:tcPr>
          <w:p>
            <w:pPr>
              <w:pStyle w:val="TableContents"/>
              <w:bidi w:val="0"/>
              <w:spacing w:before="0" w:after="0"/>
              <w:jc w:val="left"/>
              <w:rPr>
                <w:rFonts w:ascii="ARIAL" w:hAnsi="ARIAL"/>
                <w:sz w:val="20"/>
              </w:rPr>
            </w:pPr>
            <w:r>
              <w:rPr>
                <w:rFonts w:ascii="ARIAL" w:hAnsi="ARIAL"/>
                <w:sz w:val="20"/>
              </w:rPr>
              <w:t>Acquisition expenses(3)</w:t>
            </w:r>
          </w:p>
        </w:tc>
        <w:tc>
          <w:tcPr>
            <w:tcW w:w="120" w:type="dxa"/>
            <w:tcBorders/>
            <w:shd w:fill="DBE5F1" w:val="clear"/>
            <w:vAlign w:val="center"/>
          </w:tcPr>
          <w:p>
            <w:pPr>
              <w:pStyle w:val="TableContents"/>
              <w:bidi w:val="0"/>
              <w:spacing w:before="0" w:after="283"/>
              <w:jc w:val="left"/>
              <w:rPr/>
            </w:pPr>
            <w:r>
              <w:rPr/>
              <w:t>  </w:t>
            </w:r>
          </w:p>
        </w:tc>
        <w:tc>
          <w:tcPr>
            <w:tcW w:w="140" w:type="dxa"/>
            <w:tcBorders/>
            <w:shd w:fill="DBE5F1" w:val="clear"/>
            <w:vAlign w:val="center"/>
          </w:tcPr>
          <w:p>
            <w:pPr>
              <w:pStyle w:val="TableContents"/>
              <w:bidi w:val="0"/>
              <w:spacing w:before="0" w:after="283"/>
              <w:jc w:val="left"/>
              <w:rPr/>
            </w:pPr>
            <w:r>
              <w:rPr/>
              <w:t> </w:t>
            </w:r>
          </w:p>
        </w:tc>
        <w:tc>
          <w:tcPr>
            <w:tcW w:w="1355" w:type="dxa"/>
            <w:tcBorders/>
            <w:shd w:fill="DBE5F1" w:val="clear"/>
            <w:vAlign w:val="center"/>
          </w:tcPr>
          <w:p>
            <w:pPr>
              <w:pStyle w:val="TableContents"/>
              <w:bidi w:val="0"/>
              <w:spacing w:before="0" w:after="283"/>
              <w:jc w:val="right"/>
              <w:rPr/>
            </w:pPr>
            <w:r>
              <w:rPr/>
              <w:t>977</w:t>
            </w:r>
          </w:p>
        </w:tc>
        <w:tc>
          <w:tcPr>
            <w:tcW w:w="155"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40" w:type="dxa"/>
            <w:tcBorders/>
            <w:shd w:fill="DBE5F1" w:val="clear"/>
            <w:vAlign w:val="center"/>
          </w:tcPr>
          <w:p>
            <w:pPr>
              <w:pStyle w:val="TableContents"/>
              <w:bidi w:val="0"/>
              <w:spacing w:before="0" w:after="283"/>
              <w:jc w:val="left"/>
              <w:rPr/>
            </w:pPr>
            <w:r>
              <w:rPr/>
              <w:t> </w:t>
            </w:r>
          </w:p>
        </w:tc>
        <w:tc>
          <w:tcPr>
            <w:tcW w:w="1355" w:type="dxa"/>
            <w:tcBorders/>
            <w:shd w:fill="DBE5F1" w:val="clear"/>
            <w:vAlign w:val="center"/>
          </w:tcPr>
          <w:p>
            <w:pPr>
              <w:pStyle w:val="TableContents"/>
              <w:bidi w:val="0"/>
              <w:spacing w:before="0" w:after="283"/>
              <w:jc w:val="right"/>
              <w:rPr/>
            </w:pPr>
            <w:r>
              <w:rPr/>
              <w:t>1,614</w:t>
            </w:r>
          </w:p>
        </w:tc>
        <w:tc>
          <w:tcPr>
            <w:tcW w:w="170" w:type="dxa"/>
            <w:tcBorders/>
            <w:shd w:fill="DBE5F1"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0"/>
              <w:jc w:val="left"/>
              <w:rPr>
                <w:rFonts w:ascii="ARIAL" w:hAnsi="ARIAL"/>
                <w:sz w:val="20"/>
              </w:rPr>
            </w:pPr>
            <w:r>
              <w:rPr>
                <w:rFonts w:ascii="ARIAL" w:hAnsi="ARIAL"/>
                <w:sz w:val="20"/>
              </w:rPr>
              <w:t>Litigation costs and settlement(4)</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2,298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4505" w:type="dxa"/>
            <w:tcBorders/>
            <w:shd w:fill="DBE5F1" w:val="clear"/>
            <w:vAlign w:val="center"/>
          </w:tcPr>
          <w:p>
            <w:pPr>
              <w:pStyle w:val="TableContents"/>
              <w:bidi w:val="0"/>
              <w:spacing w:before="0" w:after="0"/>
              <w:jc w:val="left"/>
              <w:rPr>
                <w:rFonts w:ascii="ARIAL" w:hAnsi="ARIAL"/>
                <w:sz w:val="20"/>
              </w:rPr>
            </w:pPr>
            <w:r>
              <w:rPr>
                <w:rFonts w:ascii="ARIAL" w:hAnsi="ARIAL"/>
                <w:sz w:val="20"/>
              </w:rPr>
              <w:t>(Gain) loss on right of use assets(5)</w:t>
            </w:r>
          </w:p>
        </w:tc>
        <w:tc>
          <w:tcPr>
            <w:tcW w:w="120" w:type="dxa"/>
            <w:tcBorders/>
            <w:shd w:fill="DBE5F1" w:val="clear"/>
            <w:vAlign w:val="center"/>
          </w:tcPr>
          <w:p>
            <w:pPr>
              <w:pStyle w:val="TableContents"/>
              <w:bidi w:val="0"/>
              <w:spacing w:before="0" w:after="283"/>
              <w:jc w:val="left"/>
              <w:rPr/>
            </w:pPr>
            <w:r>
              <w:rPr/>
              <w:t>  </w:t>
            </w:r>
          </w:p>
        </w:tc>
        <w:tc>
          <w:tcPr>
            <w:tcW w:w="140" w:type="dxa"/>
            <w:tcBorders/>
            <w:shd w:fill="DBE5F1" w:val="clear"/>
            <w:vAlign w:val="center"/>
          </w:tcPr>
          <w:p>
            <w:pPr>
              <w:pStyle w:val="TableContents"/>
              <w:bidi w:val="0"/>
              <w:spacing w:before="0" w:after="283"/>
              <w:jc w:val="left"/>
              <w:rPr/>
            </w:pPr>
            <w:r>
              <w:rPr/>
              <w:t> </w:t>
            </w:r>
          </w:p>
        </w:tc>
        <w:tc>
          <w:tcPr>
            <w:tcW w:w="1355" w:type="dxa"/>
            <w:tcBorders/>
            <w:shd w:fill="DBE5F1" w:val="clear"/>
            <w:vAlign w:val="center"/>
          </w:tcPr>
          <w:p>
            <w:pPr>
              <w:pStyle w:val="TableContents"/>
              <w:bidi w:val="0"/>
              <w:spacing w:before="0" w:after="283"/>
              <w:jc w:val="right"/>
              <w:rPr/>
            </w:pPr>
            <w:r>
              <w:rPr/>
              <w:t>(289</w:t>
            </w:r>
          </w:p>
        </w:tc>
        <w:tc>
          <w:tcPr>
            <w:tcW w:w="155"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40" w:type="dxa"/>
            <w:tcBorders/>
            <w:shd w:fill="DBE5F1" w:val="clear"/>
            <w:vAlign w:val="center"/>
          </w:tcPr>
          <w:p>
            <w:pPr>
              <w:pStyle w:val="TableContents"/>
              <w:bidi w:val="0"/>
              <w:spacing w:before="0" w:after="283"/>
              <w:jc w:val="left"/>
              <w:rPr/>
            </w:pPr>
            <w:r>
              <w:rPr/>
              <w:t> </w:t>
            </w:r>
          </w:p>
        </w:tc>
        <w:tc>
          <w:tcPr>
            <w:tcW w:w="1355" w:type="dxa"/>
            <w:tcBorders/>
            <w:shd w:fill="DBE5F1" w:val="clear"/>
            <w:vAlign w:val="center"/>
          </w:tcPr>
          <w:p>
            <w:pPr>
              <w:pStyle w:val="TableContents"/>
              <w:bidi w:val="0"/>
              <w:spacing w:before="0" w:after="283"/>
              <w:jc w:val="right"/>
              <w:rPr/>
            </w:pPr>
            <w:r>
              <w:rPr/>
              <w:t>611</w:t>
            </w:r>
          </w:p>
        </w:tc>
        <w:tc>
          <w:tcPr>
            <w:tcW w:w="170" w:type="dxa"/>
            <w:tcBorders/>
            <w:shd w:fill="DBE5F1"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0"/>
              <w:jc w:val="left"/>
              <w:rPr>
                <w:rFonts w:ascii="ARIAL" w:hAnsi="ARIAL"/>
                <w:sz w:val="20"/>
              </w:rPr>
            </w:pPr>
            <w:r>
              <w:rPr>
                <w:rFonts w:ascii="ARIAL" w:hAnsi="ARIAL"/>
                <w:sz w:val="20"/>
              </w:rPr>
              <w:t>Loss on extinguishment of debt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2,196</w:t>
            </w:r>
          </w:p>
        </w:tc>
        <w:tc>
          <w:tcPr>
            <w:tcW w:w="17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3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3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505" w:type="dxa"/>
            <w:tcBorders/>
            <w:shd w:fill="DBE5F1" w:val="clear"/>
            <w:vAlign w:val="center"/>
          </w:tcPr>
          <w:p>
            <w:pPr>
              <w:pStyle w:val="TableContents"/>
              <w:bidi w:val="0"/>
              <w:spacing w:before="0" w:after="0"/>
              <w:jc w:val="left"/>
              <w:rPr>
                <w:rFonts w:ascii="ARIAL" w:hAnsi="ARIAL"/>
                <w:sz w:val="20"/>
              </w:rPr>
            </w:pPr>
            <w:r>
              <w:rPr>
                <w:rFonts w:ascii="ARIAL" w:hAnsi="ARIAL"/>
                <w:sz w:val="20"/>
              </w:rPr>
              <w:t>Adjusted EBITDA</w:t>
            </w:r>
          </w:p>
        </w:tc>
        <w:tc>
          <w:tcPr>
            <w:tcW w:w="120" w:type="dxa"/>
            <w:tcBorders/>
            <w:shd w:fill="DBE5F1" w:val="clear"/>
            <w:vAlign w:val="center"/>
          </w:tcPr>
          <w:p>
            <w:pPr>
              <w:pStyle w:val="TableContents"/>
              <w:bidi w:val="0"/>
              <w:spacing w:before="0" w:after="283"/>
              <w:jc w:val="left"/>
              <w:rPr/>
            </w:pPr>
            <w:r>
              <w:rPr/>
              <w:t>  </w:t>
            </w:r>
          </w:p>
        </w:tc>
        <w:tc>
          <w:tcPr>
            <w:tcW w:w="140" w:type="dxa"/>
            <w:tcBorders/>
            <w:shd w:fill="DBE5F1" w:val="clear"/>
            <w:vAlign w:val="center"/>
          </w:tcPr>
          <w:p>
            <w:pPr>
              <w:pStyle w:val="TableContents"/>
              <w:bidi w:val="0"/>
              <w:spacing w:before="0" w:after="283"/>
              <w:jc w:val="left"/>
              <w:rPr/>
            </w:pPr>
            <w:r>
              <w:rPr/>
              <w:t>$</w:t>
            </w:r>
          </w:p>
        </w:tc>
        <w:tc>
          <w:tcPr>
            <w:tcW w:w="1355" w:type="dxa"/>
            <w:tcBorders/>
            <w:shd w:fill="DBE5F1" w:val="clear"/>
            <w:vAlign w:val="center"/>
          </w:tcPr>
          <w:p>
            <w:pPr>
              <w:pStyle w:val="TableContents"/>
              <w:bidi w:val="0"/>
              <w:spacing w:before="0" w:after="283"/>
              <w:jc w:val="right"/>
              <w:rPr/>
            </w:pPr>
            <w:r>
              <w:rPr/>
              <w:t>(35,319</w:t>
            </w:r>
          </w:p>
        </w:tc>
        <w:tc>
          <w:tcPr>
            <w:tcW w:w="155" w:type="dxa"/>
            <w:tcBorders/>
            <w:shd w:fill="DBE5F1" w:val="clear"/>
            <w:vAlign w:val="center"/>
          </w:tcPr>
          <w:p>
            <w:pPr>
              <w:pStyle w:val="TableContents"/>
              <w:bidi w:val="0"/>
              <w:spacing w:before="0" w:after="283"/>
              <w:jc w:val="left"/>
              <w:rPr/>
            </w:pPr>
            <w:r>
              <w:rPr/>
              <w:t>) </w:t>
            </w:r>
          </w:p>
        </w:tc>
        <w:tc>
          <w:tcPr>
            <w:tcW w:w="60" w:type="dxa"/>
            <w:tcBorders/>
            <w:shd w:fill="DBE5F1" w:val="clear"/>
            <w:vAlign w:val="center"/>
          </w:tcPr>
          <w:p>
            <w:pPr>
              <w:pStyle w:val="TableContents"/>
              <w:bidi w:val="0"/>
              <w:spacing w:before="0" w:after="283"/>
              <w:jc w:val="left"/>
              <w:rPr/>
            </w:pPr>
            <w:r>
              <w:rPr/>
              <w:t> </w:t>
            </w:r>
          </w:p>
        </w:tc>
        <w:tc>
          <w:tcPr>
            <w:tcW w:w="140" w:type="dxa"/>
            <w:tcBorders/>
            <w:shd w:fill="DBE5F1" w:val="clear"/>
            <w:vAlign w:val="center"/>
          </w:tcPr>
          <w:p>
            <w:pPr>
              <w:pStyle w:val="TableContents"/>
              <w:bidi w:val="0"/>
              <w:spacing w:before="0" w:after="283"/>
              <w:jc w:val="left"/>
              <w:rPr/>
            </w:pPr>
            <w:r>
              <w:rPr/>
              <w:t>$</w:t>
            </w:r>
          </w:p>
        </w:tc>
        <w:tc>
          <w:tcPr>
            <w:tcW w:w="1355" w:type="dxa"/>
            <w:tcBorders/>
            <w:shd w:fill="DBE5F1" w:val="clear"/>
            <w:vAlign w:val="center"/>
          </w:tcPr>
          <w:p>
            <w:pPr>
              <w:pStyle w:val="TableContents"/>
              <w:bidi w:val="0"/>
              <w:spacing w:before="0" w:after="283"/>
              <w:jc w:val="right"/>
              <w:rPr/>
            </w:pPr>
            <w:r>
              <w:rPr/>
              <w:t>(26,715</w:t>
            </w:r>
          </w:p>
        </w:tc>
        <w:tc>
          <w:tcPr>
            <w:tcW w:w="170" w:type="dxa"/>
            <w:tcBorders/>
            <w:shd w:fill="DBE5F1" w:val="cle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3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3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(1)</w:t>
            </w:r>
          </w:p>
        </w:tc>
        <w:tc>
          <w:tcPr>
            <w:tcW w:w="9890" w:type="dxa"/>
            <w:tcBorders/>
            <w:vAlign w:val="center"/>
          </w:tcPr>
          <w:p>
            <w:pPr>
              <w:pStyle w:val="TableContents"/>
              <w:bidi w:val="0"/>
              <w:spacing w:before="0" w:after="0"/>
              <w:jc w:val="left"/>
              <w:rPr>
                <w:rFonts w:ascii="ARIAL" w:hAnsi="ARIAL"/>
                <w:sz w:val="18"/>
              </w:rPr>
            </w:pPr>
            <w:r>
              <w:rPr>
                <w:rFonts w:ascii="ARIAL" w:hAnsi="ARIAL"/>
                <w:sz w:val="18"/>
              </w:rPr>
              <w:t xml:space="preserve">Represents equity-based compensation related to grants made in the applicable year, as well as equity-based compensation related to the timing of the IPO, which includes previously issued stock appreciation rights (“SARs”) liability awards, modifications related to transaction vesting units, and grants made in conjunction with the IPO.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1"/>
        <w:gridCol w:w="9859"/>
      </w:tblGrid>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(2)</w:t>
            </w:r>
          </w:p>
        </w:tc>
        <w:tc>
          <w:tcPr>
            <w:tcW w:w="9859" w:type="dxa"/>
            <w:tcBorders/>
            <w:vAlign w:val="center"/>
          </w:tcPr>
          <w:p>
            <w:pPr>
              <w:pStyle w:val="TableContents"/>
              <w:bidi w:val="0"/>
              <w:spacing w:before="0" w:after="0"/>
              <w:jc w:val="left"/>
              <w:rPr>
                <w:rFonts w:ascii="ARIAL" w:hAnsi="ARIAL"/>
                <w:sz w:val="18"/>
              </w:rPr>
            </w:pPr>
            <w:r>
              <w:rPr>
                <w:rFonts w:ascii="ARIAL" w:hAnsi="ARIAL"/>
                <w:sz w:val="18"/>
              </w:rPr>
              <w:t xml:space="preserve">Represents legal, professional, accounting and other advisory fees related to a secondary offering that are considered nonrecurring and non-capitalizable. </w:t>
            </w:r>
          </w:p>
        </w:tc>
      </w:tr>
    </w:tbl>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75"/>
        <w:gridCol w:w="290"/>
        <w:gridCol w:w="783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(3)</w:t>
            </w:r>
          </w:p>
        </w:tc>
        <w:tc>
          <w:tcPr>
            <w:tcW w:w="7835" w:type="dxa"/>
            <w:tcBorders/>
            <w:vAlign w:val="center"/>
          </w:tcPr>
          <w:p>
            <w:pPr>
              <w:pStyle w:val="TableContents"/>
              <w:bidi w:val="0"/>
              <w:spacing w:before="0" w:after="0"/>
              <w:jc w:val="left"/>
              <w:rPr>
                <w:rFonts w:ascii="ARIAL" w:hAnsi="ARIAL"/>
                <w:sz w:val="18"/>
              </w:rPr>
            </w:pPr>
            <w:r>
              <w:rPr>
                <w:rFonts w:ascii="ARIAL" w:hAnsi="ARIAL"/>
                <w:sz w:val="18"/>
              </w:rPr>
              <w:t xml:space="preserve">Represents acquisition-related fees, such as legal and advisory fees, that are non-capitalizable.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(4)</w:t>
            </w:r>
          </w:p>
        </w:tc>
        <w:tc>
          <w:tcPr>
            <w:tcW w:w="9906" w:type="dxa"/>
            <w:tcBorders/>
            <w:vAlign w:val="center"/>
          </w:tcPr>
          <w:p>
            <w:pPr>
              <w:pStyle w:val="TableContents"/>
              <w:bidi w:val="0"/>
              <w:spacing w:before="0" w:after="0"/>
              <w:jc w:val="left"/>
              <w:rPr>
                <w:rFonts w:ascii="ARIAL" w:hAnsi="ARIAL"/>
                <w:sz w:val="18"/>
              </w:rPr>
            </w:pPr>
            <w:r>
              <w:rPr>
                <w:rFonts w:ascii="ARIAL" w:hAnsi="ARIAL"/>
                <w:sz w:val="18"/>
              </w:rPr>
              <w:t xml:space="preserve">Represents litigation costs considered outside of the ordinary course of business based on the following considerations which we assess regularly: (i) the frequency of similar cases that have been brought to date, or are expected to be brought within two years, (ii) complexity of the case, (iii) nature of the remedies sought, (iv) litigation posture of the Company, (v) counterparty involved, and (vi) the Company’s overall litigation strategy. This includes (a) $0.1 million in legal fees and a $0.9 million reserve for settlement related to a wage and hour class action lawsuit and (b) $1.1 million in legal fees related to legal action initiated by the Company seeking injunctive relief prohibiting member solicitation in violation of CMS regulations. Refer to Note 12, “Commitments and Contingencies” in our consolidated financial statements for more information regarding certain related litigation. </w:t>
            </w:r>
          </w:p>
        </w:tc>
      </w:tr>
    </w:tbl>
    <w:p>
      <w:pPr>
        <w:pStyle w:val="TextBody"/>
        <w:bidi w:val="0"/>
        <w:spacing w:before="0" w:after="0"/>
        <w:jc w:val="left"/>
        <w:rPr/>
      </w:pPr>
      <w:r>
        <w:rPr/>
        <w:t> </w:t>
      </w:r>
    </w:p>
    <w:tbl>
      <w:tblPr>
        <w:tblW w:w="10195" w:type="dxa"/>
        <w:jc w:val="left"/>
        <w:tblInd w:w="0" w:type="dxa"/>
        <w:tblLayout w:type="fixed"/>
        <w:tblCellMar>
          <w:top w:w="0" w:type="dxa"/>
          <w:left w:w="0" w:type="dxa"/>
          <w:bottom w:w="0" w:type="dxa"/>
          <w:right w:w="0" w:type="dxa"/>
        </w:tblCellMar>
      </w:tblPr>
      <w:tblGrid>
        <w:gridCol w:w="75"/>
        <w:gridCol w:w="290"/>
        <w:gridCol w:w="983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(5)</w:t>
            </w:r>
          </w:p>
        </w:tc>
        <w:tc>
          <w:tcPr>
            <w:tcW w:w="9830" w:type="dxa"/>
            <w:tcBorders/>
            <w:vAlign w:val="center"/>
          </w:tcPr>
          <w:p>
            <w:pPr>
              <w:pStyle w:val="TableContents"/>
              <w:bidi w:val="0"/>
              <w:spacing w:before="0" w:after="0"/>
              <w:jc w:val="left"/>
              <w:rPr>
                <w:rFonts w:ascii="ARIAL" w:hAnsi="ARIAL"/>
                <w:sz w:val="18"/>
              </w:rPr>
            </w:pPr>
            <w:r>
              <w:rPr>
                <w:rFonts w:ascii="ARIAL" w:hAnsi="ARIAL"/>
                <w:sz w:val="18"/>
              </w:rPr>
              <w:t xml:space="preserve">Represents gain or loss related to right of use (‘ROU”) assets that were terminated or subleased in the respective period.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89 </w:t>
      </w:r>
      <w:r>
        <w:br w:type="page"/>
      </w:r>
    </w:p>
    <w:p>
      <w:pPr>
        <w:pStyle w:val="HorizontalLine"/>
        <w:bidi w:val="0"/>
        <w:jc w:val="left"/>
        <w:rPr/>
      </w:pPr>
      <w:r>
        <w:rPr/>
      </w:r>
    </w:p>
    <w:p>
      <w:pPr>
        <w:pStyle w:val="TextBody"/>
        <w:bidi w:val="0"/>
        <w:spacing w:before="0" w:after="0"/>
        <w:jc w:val="center"/>
        <w:rPr/>
      </w:pPr>
      <w:r>
        <w:rPr/>
        <w:drawing>
          <wp:inline distT="0" distB="0" distL="0" distR="0">
            <wp:extent cx="7067550" cy="91440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7067550" cy="9144000"/>
                    </a:xfrm>
                    <a:prstGeom prst="rect">
                      <a:avLst/>
                    </a:prstGeom>
                  </pic:spPr>
                </pic:pic>
              </a:graphicData>
            </a:graphic>
          </wp:inline>
        </w:drawing>
      </w:r>
      <w:r>
        <w:rPr/>
        <w:t xml:space="preserve"> </w:t>
      </w:r>
      <w:r>
        <w:br w:type="page"/>
      </w:r>
    </w:p>
    <w:p>
      <w:pPr>
        <w:pStyle w:val="HorizontalLine"/>
        <w:bidi w:val="0"/>
        <w:jc w:val="left"/>
        <w:rPr/>
      </w:pPr>
      <w:r>
        <w:rPr/>
      </w:r>
    </w:p>
    <w:p>
      <w:pPr>
        <w:pStyle w:val="TextBody"/>
        <w:bidi w:val="0"/>
        <w:jc w:val="left"/>
        <w:rPr>
          <w:rFonts w:ascii="ARIAL" w:hAnsi="ARIAL"/>
          <w:color w:val="FFFFFF"/>
          <w:sz w:val="2"/>
        </w:rPr>
      </w:pPr>
      <w:r>
        <w:rPr>
          <w:rFonts w:ascii="ARIAL" w:hAnsi="ARIAL"/>
          <w:color w:val="FFFFFF"/>
          <w:sz w:val="2"/>
        </w:rPr>
        <w:t xml:space="preserve">=iJ: Alignment Healthcere Your vote P.O. BOX801 6, CARY, NC 27512·9903 matters! Have your ballot ready and please use one of the methods below for easy voting: [ Your control number Have the 12 digit control number located in the box above available when you access the website and follow the instructions. Scan QR for digital voting Alignment Healthcare, Inc. Internet: —.proxypush.com/ALHC • Cast your vote online Annual Meeting of Stockholders • Have your Proxy Card ready • Follow the simple instructions to record your vote For Stockholders of record as of April 9, 2024 Phone: 1-866-314-3346 Friday, june 7, 2024 9:00AM, Pacific Time • Use any touch-tone telephone Annual Meeting to be held live via the Internet- p lease visit • Have your Proxy Card ready www.proxydocs.com/ALHC for more details. • Follow the simple recorded instructions Mail: ~• Mark, sign and date your Proxy Card N • Fold and return your Proxy Card in the postage-paid YOUR VOTE IS IMPORTANT! envelope provided PLEASE VOTE BY: 9:00AM, Pacific Time, June 7, 2024. Virtual: You must register to attend the meeting online and/or participate at www.proxydocs.com/ALHC This proxy is being solicited on behalfof the Board of Directors The undersigned hereby appoints John Kao and Thomas Freeman (the “Named Proxies”), and each or either of them, as the true and lawful attorneys of the undersigned, with full power of substitution and revocation, and authorizes them. and each of them, to vote all the shares of capital stock of Alignment Healthcare,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retum this card. PLEASE BE SURE TO SIGN AND DATE THIS PROXY CARD AND MARK ON THE REVERSE SIDE YOUR VOTE IS IMPORTANT! PLEASE VOTE BY: INTERNET Go To: www.proxypush.com/ALHC Cast your vote online Have your Proxy Card ready Follow the simple instructions to record your vote PHONE Call 1-866-314-3346 Use any touch-tone telephone Have your Proxy Card ready Follow the simple recorded instructions MAIL Mark, sign and date your Proxy Card Fold and return your Proxy Card in the postage-paid envelope provided You must register to attend the meeting online and/or participate at www.proxydocs.com/ALHC P.O. BOX 8016, CARY, NC 27512-9903 Alignment Healthcare, Inc. Annual Meeting of Stockholders For Stockholders of record as of April 10, 2023 TIME: Tuesday, June 6, 2023, 8:00 AM Pacific Time PLACE: Annual Meeting to be held live via the Internet Please visit www.proxydocs.com/ALHC for more details. This proxy is being solicited on behalf of the Board of Directors The undersigned hereby appoints John Kao and Thomas Freeman (the “Named Proxies”), and each or either of them, as the true and lawful attorneys of the undersigned, with full power of substitution and revocation, and authorizes them, and each of them, to vote all the shares of capital stock of Alignment Healthcare,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 </w:t>
      </w:r>
    </w:p>
    <w:p>
      <w:pPr>
        <w:pStyle w:val="TextBody"/>
        <w:bidi w:val="0"/>
        <w:spacing w:before="0" w:after="0"/>
        <w:jc w:val="left"/>
        <w:rPr/>
      </w:pPr>
      <w:r>
        <w:rPr/>
        <w:t> </w:t>
      </w:r>
    </w:p>
    <w:p>
      <w:pPr>
        <w:pStyle w:val="TextBody"/>
        <w:bidi w:val="0"/>
        <w:spacing w:before="0" w:after="0"/>
        <w:jc w:val="center"/>
        <w:rPr/>
      </w:pPr>
      <w:r>
        <w:rPr/>
        <w:drawing>
          <wp:inline distT="0" distB="0" distL="0" distR="0">
            <wp:extent cx="7067550" cy="91440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7067550" cy="9144000"/>
                    </a:xfrm>
                    <a:prstGeom prst="rect">
                      <a:avLst/>
                    </a:prstGeom>
                  </pic:spPr>
                </pic:pic>
              </a:graphicData>
            </a:graphic>
          </wp:inline>
        </w:drawing>
      </w:r>
      <w:r>
        <w:rPr/>
        <w:t xml:space="preserve"> </w:t>
      </w:r>
      <w:r>
        <w:br w:type="page"/>
      </w:r>
    </w:p>
    <w:p>
      <w:pPr>
        <w:pStyle w:val="HorizontalLine"/>
        <w:bidi w:val="0"/>
        <w:jc w:val="left"/>
        <w:rPr/>
      </w:pPr>
      <w:r>
        <w:rPr/>
      </w:r>
    </w:p>
    <w:p>
      <w:pPr>
        <w:pStyle w:val="TextBody"/>
        <w:bidi w:val="0"/>
        <w:jc w:val="left"/>
        <w:rPr>
          <w:rFonts w:ascii="ARIAL" w:hAnsi="ARIAL"/>
          <w:color w:val="FFFFFF"/>
          <w:sz w:val="2"/>
        </w:rPr>
      </w:pPr>
      <w:r>
        <w:rPr>
          <w:rFonts w:ascii="ARIAL" w:hAnsi="ARIAL"/>
          <w:color w:val="FFFFFF"/>
          <w:sz w:val="2"/>
        </w:rPr>
        <w:t xml:space="preserve">Alignment Health care, Inc. Annual Meeting of Stockholders Please make your marks like this: ~ THE BOARD OF DIRECTORS RECOMMENDS A VOTE: FOR EACH DIRECTOR NOMINEE UNDER PROPOSAL 1 AND FOR PROPOSALS 2, 3, AND 4 BOARD OF DIRECTORS PROPOSAL YOUR VOTE RECOMMENDS 1. Election or Directors FOR w rr HHOLD 1.01 Yon Jorden D D • FOR 1.02 John Kao D D FOR 1.03 Joseph Konowiecki D D FOR 1.04 Margaret McCarthy D D FOR FOR AGAINST ABSTA:JN 2. Approve an amendment to our certificate of incorporation to retlect new Delaware law provisions D D D FOR regarding exculpation or officers. 3. Rat~y the appointment or Deloitte &amp; Touche LLP as our independent registered public accounting D D D FOR firm ror the year ending December 31, 2024. 4. Approve, on an advisory basis, the compensation or our Named E xecutive Officers. D D D FOR Yo u mus:l register to a ttend the mee ting online a nd/or pa rticipate at www.proxydocs.corn/ALHC Au thori/t&gt;cl Siguiti !Jrf’.;, · M1 1’i.l hta rnrnpltattacl rnr ynur in.;,Jn .flinn\ In hf’ F“Xf&gt;f l Jtt“f!. Plf&gt;rt.;p 1\ign f&gt;Xitflly .=.” yrn1r IJ.:tll1f’(~) .=lflrlflnr’ nn yn11r nrrnunt. H ht=oln in jninl ltan.anry. nil fJPI-=.nn’ o;.hnuk·! .;.ign. Tn•~IPF&gt;&lt;;, administrators. etc. should induc e title and authority. Corporations should provide full name of corporatb n and title of a!Jthori7f&gt;rl offirpr c;.igning tht=” ProxyNott=” Form . Signature (and Title~ applicable} D3te Signature (if he~d jointly) D3te </w:t>
      </w:r>
    </w:p>
    <w:p>
      <w:pPr>
        <w:pStyle w:val="TextBody"/>
        <w:bidi w:val="0"/>
        <w:spacing w:before="0" w:after="0"/>
        <w:jc w:val="left"/>
        <w:rPr/>
      </w:pPr>
      <w:r>
        <w:rPr/>
        <w:t> </w:t>
      </w:r>
    </w:p>
    <w:p>
      <w:pPr>
        <w:pStyle w:val="TextBody"/>
        <w:bidi w:val="0"/>
        <w:spacing w:before="0" w:after="0"/>
        <w:jc w:val="center"/>
        <w:rPr/>
      </w:pPr>
      <w:r>
        <w:rPr/>
        <w:drawing>
          <wp:inline distT="0" distB="0" distL="0" distR="0">
            <wp:extent cx="7067550" cy="91440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7067550" cy="9144000"/>
                    </a:xfrm>
                    <a:prstGeom prst="rect">
                      <a:avLst/>
                    </a:prstGeom>
                  </pic:spPr>
                </pic:pic>
              </a:graphicData>
            </a:graphic>
          </wp:inline>
        </w:drawing>
      </w:r>
      <w:r>
        <w:rPr/>
        <w:t xml:space="preserv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2.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1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image" Target="media/image26.jpeg"/><Relationship Id="rId30" Type="http://schemas.openxmlformats.org/officeDocument/2006/relationships/image" Target="media/image27.jpeg"/><Relationship Id="rId31" Type="http://schemas.openxmlformats.org/officeDocument/2006/relationships/image" Target="media/image28.jpeg"/><Relationship Id="rId32" Type="http://schemas.openxmlformats.org/officeDocument/2006/relationships/image" Target="media/image29.jpeg"/><Relationship Id="rId33" Type="http://schemas.openxmlformats.org/officeDocument/2006/relationships/image" Target="media/image30.jpeg"/><Relationship Id="rId34" Type="http://schemas.openxmlformats.org/officeDocument/2006/relationships/image" Target="media/image31.jpeg"/><Relationship Id="rId35" Type="http://schemas.openxmlformats.org/officeDocument/2006/relationships/image" Target="media/image32.jpeg"/><Relationship Id="rId36" Type="http://schemas.openxmlformats.org/officeDocument/2006/relationships/image" Target="media/image33.jpeg"/><Relationship Id="rId37" Type="http://schemas.openxmlformats.org/officeDocument/2006/relationships/image" Target="media/image34.jpeg"/><Relationship Id="rId38" Type="http://schemas.openxmlformats.org/officeDocument/2006/relationships/image" Target="media/image35.jpeg"/><Relationship Id="rId39" Type="http://schemas.openxmlformats.org/officeDocument/2006/relationships/image" Target="media/image36.jpeg"/><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96</Pages>
  <Words>45114</Words>
  <Characters>247592</Characters>
  <CharactersWithSpaces>296912</CharactersWithSpaces>
  <Paragraphs>7483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