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47"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0" w:lineRule="exact"/>
        <w:rPr>
          <w:rFonts w:ascii="MS PGothic" w:cs="MS PGothic" w:eastAsia="MS PGothic" w:hAnsi="MS PGothic"/>
          <w:sz w:val="18"/>
          <w:szCs w:val="18"/>
          <w:color w:val="auto"/>
        </w:rPr>
      </w:pPr>
    </w:p>
    <w:p>
      <w:pPr>
        <w:ind w:left="20" w:right="3259" w:firstLine="6"/>
        <w:spacing w:after="0" w:line="230" w:lineRule="exact"/>
        <w:tabs>
          <w:tab w:leader="none" w:pos="5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auto"/>
        </w:rPr>
        <w:t>Alignment Healthcare, Inc.</w:t>
      </w:r>
    </w:p>
    <w:p>
      <w:pPr>
        <w:spacing w:after="0" w:line="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0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6" w:lineRule="exact"/>
        <w:rPr>
          <w:rFonts w:ascii="MS PGothic" w:cs="MS PGothic" w:eastAsia="MS PGothic" w:hAnsi="MS PGothic"/>
          <w:sz w:val="18"/>
          <w:szCs w:val="18"/>
          <w:color w:val="auto"/>
        </w:rPr>
      </w:pPr>
    </w:p>
    <w:p>
      <w:pPr>
        <w:ind w:left="520" w:hanging="494"/>
        <w:spacing w:after="0"/>
        <w:tabs>
          <w:tab w:leader="none" w:pos="5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1673860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517525</wp:posOffset>
            </wp:positionV>
            <wp:extent cx="7157720" cy="8773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8773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911860</wp:posOffset>
            </wp:positionV>
            <wp:extent cx="2468880" cy="386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April 24,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behalf of the Alignment Healthcare (“Alignment”) Board of Directors, we cordially invite you to attend our Annual Meeting of Stockholders on Thursday, June 4, 2026, at 9:00 a.m. PDT. The Annual Meeting will be held virtually via audio-only webcast at www.proxydocs.com/ALHC. You can listen to the meeting live, submit questions and vote online during the Annual Meeting.</w:t>
      </w:r>
    </w:p>
    <w:p>
      <w:pPr>
        <w:spacing w:after="0" w:line="11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As stewards of Alignment Healthcare, the Board of Directors and management remain firmly focused on building a company that delivers Medicare Advantage (MA) done right. This means lowering costs by delivering better care – not less care – particularly for members with complex and chronic needs. Alignment’s Care Anywhere clinical model, supported by its proprietary AVA® technology platform, provides real-time visibility into member health and enables earlier intervention, better coordination and reduced avoidable utilization. In executing upon this model at scale, we believe we will create durable, long-term value for stockholders.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marked another strong step forward in our financial and operational performance.</w:t>
      </w:r>
    </w:p>
    <w:p>
      <w:pPr>
        <w:spacing w:after="0" w:line="17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We continued to take share in our markets and improve outcomes for our members while delivering positive operating cash flow. These results reflect the continued improvement of capabilities we have been building for years – care delivery, operational discipline and technology-enabled insight.</w:t>
      </w:r>
    </w:p>
    <w:p>
      <w:pPr>
        <w:spacing w:after="0" w:line="11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This progress was achieved in a dynamic MA environment marked by higher utilization, evolving risk adjustment standards and increased regulatory scrutiny, demonstrating the resilience of Alignment’s model amidst a year of significant disruption.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Performance in 2025 underscores the strength of our model and maturity of our financial profile:</w:t>
      </w:r>
    </w:p>
    <w:p>
      <w:pPr>
        <w:spacing w:after="0" w:line="158" w:lineRule="exact"/>
        <w:rPr>
          <w:sz w:val="20"/>
          <w:szCs w:val="20"/>
          <w:color w:val="auto"/>
        </w:rPr>
      </w:pPr>
    </w:p>
    <w:p>
      <w:pPr>
        <w:ind w:left="660" w:right="80" w:hanging="328"/>
        <w:spacing w:after="0" w:line="271" w:lineRule="auto"/>
        <w:tabs>
          <w:tab w:leader="none" w:pos="64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Adjusted EBITDA of $110 million</w:t>
      </w:r>
      <w:r>
        <w:rPr>
          <w:rFonts w:ascii="Arial" w:cs="Arial" w:eastAsia="Arial" w:hAnsi="Arial"/>
          <w:sz w:val="18"/>
          <w:szCs w:val="18"/>
          <w:color w:val="auto"/>
        </w:rPr>
        <w:t>, reflecting an adjusted EBITDA margin of 2.8%, with a net loss of $1.0 million (compared to a net</w:t>
      </w:r>
      <w:r>
        <w:rPr>
          <w:rFonts w:ascii="Arial" w:cs="Arial" w:eastAsia="Arial" w:hAnsi="Arial"/>
          <w:sz w:val="18"/>
          <w:szCs w:val="18"/>
          <w:b w:val="1"/>
          <w:bCs w:val="1"/>
          <w:color w:val="auto"/>
        </w:rPr>
        <w:t xml:space="preserve"> </w:t>
      </w:r>
      <w:r>
        <w:rPr>
          <w:rFonts w:ascii="Arial" w:cs="Arial" w:eastAsia="Arial" w:hAnsi="Arial"/>
          <w:sz w:val="18"/>
          <w:szCs w:val="18"/>
          <w:color w:val="auto"/>
        </w:rPr>
        <w:t>loss of $128.1 million in 2024)</w:t>
      </w:r>
    </w:p>
    <w:p>
      <w:pPr>
        <w:spacing w:after="0" w:line="113"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Membership of 236,300 as of Dec. 31, 2025</w:t>
      </w:r>
      <w:r>
        <w:rPr>
          <w:rFonts w:ascii="Arial" w:cs="Arial" w:eastAsia="Arial" w:hAnsi="Arial"/>
          <w:sz w:val="18"/>
          <w:szCs w:val="18"/>
          <w:color w:val="auto"/>
        </w:rPr>
        <w:t>, representing 25% year-over-year growth</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Full-year revenue of $3.9 billion, </w:t>
      </w:r>
      <w:r>
        <w:rPr>
          <w:rFonts w:ascii="Arial" w:cs="Arial" w:eastAsia="Arial" w:hAnsi="Arial"/>
          <w:sz w:val="18"/>
          <w:szCs w:val="18"/>
          <w:color w:val="auto"/>
        </w:rPr>
        <w:t>up 46% year over year</w:t>
      </w:r>
    </w:p>
    <w:p>
      <w:pPr>
        <w:spacing w:after="0" w:line="171" w:lineRule="exact"/>
        <w:rPr>
          <w:rFonts w:ascii="Arial" w:cs="Arial" w:eastAsia="Arial" w:hAnsi="Arial"/>
          <w:sz w:val="18"/>
          <w:szCs w:val="18"/>
          <w:color w:val="auto"/>
        </w:rPr>
      </w:pPr>
    </w:p>
    <w:p>
      <w:pPr>
        <w:ind w:left="660" w:right="280" w:hanging="328"/>
        <w:spacing w:after="0" w:line="287" w:lineRule="auto"/>
        <w:tabs>
          <w:tab w:leader="none" w:pos="64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100% of members enrolled in plans rated 4 Stars or better </w:t>
      </w:r>
      <w:r>
        <w:rPr>
          <w:rFonts w:ascii="Arial" w:cs="Arial" w:eastAsia="Arial" w:hAnsi="Arial"/>
          <w:sz w:val="18"/>
          <w:szCs w:val="18"/>
          <w:color w:val="auto"/>
        </w:rPr>
        <w:t>under the Centers for Medicare &amp; Medicaid Services 5-Star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Rating System for the second consecutive year</w:t>
      </w:r>
    </w:p>
    <w:p>
      <w:pPr>
        <w:spacing w:after="0" w:line="9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Looking ahead, we are focused on sustaining a culture of continuous improvement and making investments across people, processes and technology to ensure that we are scaling responsibly.</w:t>
      </w:r>
    </w:p>
    <w:p>
      <w:pPr>
        <w:spacing w:after="0" w:line="99" w:lineRule="exact"/>
        <w:rPr>
          <w:sz w:val="20"/>
          <w:szCs w:val="20"/>
          <w:color w:val="auto"/>
        </w:rPr>
      </w:pPr>
    </w:p>
    <w:p>
      <w:pPr>
        <w:jc w:val="both"/>
        <w:ind w:right="500"/>
        <w:spacing w:after="0" w:line="268" w:lineRule="auto"/>
        <w:rPr>
          <w:sz w:val="20"/>
          <w:szCs w:val="20"/>
          <w:color w:val="auto"/>
        </w:rPr>
      </w:pPr>
      <w:r>
        <w:rPr>
          <w:rFonts w:ascii="Arial" w:cs="Arial" w:eastAsia="Arial" w:hAnsi="Arial"/>
          <w:sz w:val="18"/>
          <w:szCs w:val="18"/>
          <w:color w:val="auto"/>
        </w:rPr>
        <w:t xml:space="preserve">In early 2026, Alignment was named one of </w:t>
      </w:r>
      <w:r>
        <w:rPr>
          <w:rFonts w:ascii="Arial" w:cs="Arial" w:eastAsia="Arial" w:hAnsi="Arial"/>
          <w:sz w:val="18"/>
          <w:szCs w:val="18"/>
          <w:b w:val="1"/>
          <w:bCs w:val="1"/>
          <w:i w:val="1"/>
          <w:iCs w:val="1"/>
          <w:color w:val="auto"/>
        </w:rPr>
        <w:t>Fortune</w:t>
      </w:r>
      <w:r>
        <w:rPr>
          <w:rFonts w:ascii="Arial" w:cs="Arial" w:eastAsia="Arial" w:hAnsi="Arial"/>
          <w:sz w:val="18"/>
          <w:szCs w:val="18"/>
          <w:color w:val="auto"/>
        </w:rPr>
        <w:t xml:space="preserve"> </w:t>
      </w:r>
      <w:r>
        <w:rPr>
          <w:rFonts w:ascii="Arial" w:cs="Arial" w:eastAsia="Arial" w:hAnsi="Arial"/>
          <w:sz w:val="18"/>
          <w:szCs w:val="18"/>
          <w:b w:val="1"/>
          <w:bCs w:val="1"/>
          <w:color w:val="auto"/>
        </w:rPr>
        <w:t>World’s Most Admired Companies</w:t>
      </w:r>
      <w:r>
        <w:rPr>
          <w:rFonts w:ascii="Arial" w:cs="Arial" w:eastAsia="Arial" w:hAnsi="Arial"/>
          <w:sz w:val="18"/>
          <w:szCs w:val="18"/>
          <w:color w:val="auto"/>
        </w:rPr>
        <w:t>™ for the first time, reflecting the company’s senior-first culture, clinical integrity and long-term view of value creation – qualities that have guided its growth since becoming a public company five years 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1118870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ind w:right="100"/>
        <w:spacing w:after="0" w:line="234" w:lineRule="auto"/>
        <w:rPr>
          <w:sz w:val="20"/>
          <w:szCs w:val="20"/>
          <w:color w:val="auto"/>
        </w:rPr>
      </w:pPr>
      <w:r>
        <w:rPr>
          <w:rFonts w:ascii="Arial" w:cs="Arial" w:eastAsia="Arial" w:hAnsi="Arial"/>
          <w:sz w:val="17"/>
          <w:szCs w:val="17"/>
          <w:color w:val="auto"/>
        </w:rPr>
        <w:t>As we continue to execute upon our mission of changing health care, your investment continues to play an important role in supporting Alignment’s long-term vision. We remain focused on execution, disciplined growth and serving our members. We look forward to connecting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you at the Annual Meeting and to continuing to share updates on our progress throughout the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98552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5520" cy="63436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206375</wp:posOffset>
            </wp:positionV>
            <wp:extent cx="4311650"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11650" cy="548640"/>
                    </a:xfrm>
                    <a:prstGeom prst="rect">
                      <a:avLst/>
                    </a:prstGeom>
                    <a:noFill/>
                  </pic:spPr>
                </pic:pic>
              </a:graphicData>
            </a:graphic>
          </wp:anchor>
        </w:drawing>
      </w:r>
    </w:p>
    <w:p>
      <w:pPr>
        <w:sectPr>
          <w:pgSz w:w="11900" w:h="16838" w:orient="portrait"/>
          <w:cols w:equalWidth="0" w:num="1">
            <w:col w:w="11200"/>
          </w:cols>
          <w:pgMar w:left="320" w:top="14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0"/>
        <w:spacing w:after="0"/>
        <w:rPr>
          <w:sz w:val="20"/>
          <w:szCs w:val="20"/>
          <w:color w:val="auto"/>
        </w:rPr>
      </w:pPr>
      <w:r>
        <w:rPr>
          <w:rFonts w:ascii="Arial" w:cs="Arial" w:eastAsia="Arial" w:hAnsi="Arial"/>
          <w:sz w:val="17"/>
          <w:szCs w:val="17"/>
          <w:b w:val="1"/>
          <w:bCs w:val="1"/>
          <w:color w:val="auto"/>
        </w:rPr>
        <w:t>John Kao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680"/>
        <w:spacing w:after="0"/>
        <w:rPr>
          <w:sz w:val="20"/>
          <w:szCs w:val="20"/>
          <w:color w:val="auto"/>
        </w:rPr>
      </w:pPr>
      <w:r>
        <w:rPr>
          <w:rFonts w:ascii="Arial" w:cs="Arial" w:eastAsia="Arial" w:hAnsi="Arial"/>
          <w:sz w:val="17"/>
          <w:szCs w:val="17"/>
          <w:b w:val="1"/>
          <w:bCs w:val="1"/>
          <w:color w:val="auto"/>
        </w:rPr>
        <w:t>Joseph Konowiecki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Margaret McCarthy</w:t>
      </w:r>
    </w:p>
    <w:p>
      <w:pPr>
        <w:spacing w:after="0" w:line="51" w:lineRule="exact"/>
        <w:rPr>
          <w:sz w:val="20"/>
          <w:szCs w:val="20"/>
          <w:color w:val="auto"/>
        </w:rPr>
      </w:pPr>
    </w:p>
    <w:p>
      <w:pPr>
        <w:sectPr>
          <w:pgSz w:w="11900" w:h="16838" w:orient="portrait"/>
          <w:cols w:equalWidth="0" w:num="3">
            <w:col w:w="2760" w:space="720"/>
            <w:col w:w="3360" w:space="720"/>
            <w:col w:w="3640"/>
          </w:cols>
          <w:pgMar w:left="320" w:top="1403" w:right="379" w:bottom="1440" w:gutter="0" w:footer="0" w:header="0"/>
          <w:type w:val="continuous"/>
        </w:sectPr>
      </w:pPr>
    </w:p>
    <w:p>
      <w:pPr>
        <w:ind w:left="8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Lead Independent Director</w:t>
      </w:r>
    </w:p>
    <w:p>
      <w:pPr>
        <w:spacing w:after="0" w:line="200" w:lineRule="exact"/>
        <w:rPr>
          <w:sz w:val="20"/>
          <w:szCs w:val="20"/>
          <w:color w:val="auto"/>
        </w:rPr>
      </w:pPr>
    </w:p>
    <w:p>
      <w:pPr>
        <w:sectPr>
          <w:pgSz w:w="11900" w:h="16838" w:orient="portrait"/>
          <w:cols w:equalWidth="0" w:num="3">
            <w:col w:w="2760" w:space="720"/>
            <w:col w:w="3360" w:space="720"/>
            <w:col w:w="3640"/>
          </w:cols>
          <w:pgMar w:left="320" w:top="1403" w:right="379" w:bottom="1440" w:gutter="0" w:footer="0" w:header="0"/>
          <w:type w:val="continuous"/>
        </w:sectPr>
      </w:pP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 xml:space="preserve">From </w:t>
      </w:r>
      <w:r>
        <w:rPr>
          <w:rFonts w:ascii="Arial" w:cs="Arial" w:eastAsia="Arial" w:hAnsi="Arial"/>
          <w:sz w:val="14"/>
          <w:szCs w:val="14"/>
          <w:i w:val="1"/>
          <w:iCs w:val="1"/>
          <w:color w:val="auto"/>
        </w:rPr>
        <w:t>Fortune</w:t>
      </w:r>
      <w:r>
        <w:rPr>
          <w:rFonts w:ascii="Arial" w:cs="Arial" w:eastAsia="Arial" w:hAnsi="Arial"/>
          <w:sz w:val="14"/>
          <w:szCs w:val="14"/>
          <w:color w:val="auto"/>
        </w:rPr>
        <w:t xml:space="preserve">, ©2026 </w:t>
      </w:r>
      <w:r>
        <w:rPr>
          <w:rFonts w:ascii="Arial" w:cs="Arial" w:eastAsia="Arial" w:hAnsi="Arial"/>
          <w:sz w:val="14"/>
          <w:szCs w:val="14"/>
          <w:i w:val="1"/>
          <w:iCs w:val="1"/>
          <w:color w:val="auto"/>
        </w:rPr>
        <w:t>Fortune</w:t>
      </w:r>
      <w:r>
        <w:rPr>
          <w:rFonts w:ascii="Arial" w:cs="Arial" w:eastAsia="Arial" w:hAnsi="Arial"/>
          <w:sz w:val="14"/>
          <w:szCs w:val="14"/>
          <w:color w:val="auto"/>
        </w:rPr>
        <w:t xml:space="preserve"> Media IP Limited. All rights reserved. Used under license. </w:t>
      </w:r>
      <w:r>
        <w:rPr>
          <w:rFonts w:ascii="Arial" w:cs="Arial" w:eastAsia="Arial" w:hAnsi="Arial"/>
          <w:sz w:val="14"/>
          <w:szCs w:val="14"/>
          <w:i w:val="1"/>
          <w:iCs w:val="1"/>
          <w:color w:val="auto"/>
        </w:rPr>
        <w:t>Fortune®</w:t>
      </w:r>
      <w:r>
        <w:rPr>
          <w:rFonts w:ascii="Arial" w:cs="Arial" w:eastAsia="Arial" w:hAnsi="Arial"/>
          <w:sz w:val="14"/>
          <w:szCs w:val="14"/>
          <w:color w:val="auto"/>
        </w:rPr>
        <w:t xml:space="preserve"> is a registered trademark and </w:t>
      </w:r>
      <w:r>
        <w:rPr>
          <w:rFonts w:ascii="Arial" w:cs="Arial" w:eastAsia="Arial" w:hAnsi="Arial"/>
          <w:sz w:val="14"/>
          <w:szCs w:val="14"/>
          <w:i w:val="1"/>
          <w:iCs w:val="1"/>
          <w:color w:val="auto"/>
        </w:rPr>
        <w:t>Fortune</w:t>
      </w:r>
      <w:r>
        <w:rPr>
          <w:rFonts w:ascii="Arial" w:cs="Arial" w:eastAsia="Arial" w:hAnsi="Arial"/>
          <w:sz w:val="14"/>
          <w:szCs w:val="14"/>
          <w:color w:val="auto"/>
        </w:rPr>
        <w:t xml:space="preserve"> World’s Most Admired Companies™ is a trademark of </w:t>
      </w:r>
      <w:r>
        <w:rPr>
          <w:rFonts w:ascii="Arial" w:cs="Arial" w:eastAsia="Arial" w:hAnsi="Arial"/>
          <w:sz w:val="14"/>
          <w:szCs w:val="14"/>
          <w:i w:val="1"/>
          <w:iCs w:val="1"/>
          <w:color w:val="auto"/>
        </w:rPr>
        <w:t>Fortune</w:t>
      </w:r>
      <w:r>
        <w:rPr>
          <w:rFonts w:ascii="Arial" w:cs="Arial" w:eastAsia="Arial" w:hAnsi="Arial"/>
          <w:sz w:val="14"/>
          <w:szCs w:val="14"/>
          <w:color w:val="auto"/>
        </w:rPr>
        <w:t xml:space="preserve"> Media IP Limited and is used under license. </w:t>
      </w:r>
      <w:r>
        <w:rPr>
          <w:rFonts w:ascii="Arial" w:cs="Arial" w:eastAsia="Arial" w:hAnsi="Arial"/>
          <w:sz w:val="14"/>
          <w:szCs w:val="14"/>
          <w:i w:val="1"/>
          <w:iCs w:val="1"/>
          <w:color w:val="auto"/>
        </w:rPr>
        <w:t>Fortune</w:t>
      </w:r>
      <w:r>
        <w:rPr>
          <w:rFonts w:ascii="Arial" w:cs="Arial" w:eastAsia="Arial" w:hAnsi="Arial"/>
          <w:sz w:val="14"/>
          <w:szCs w:val="14"/>
          <w:color w:val="auto"/>
        </w:rPr>
        <w:t xml:space="preserve"> and </w:t>
      </w:r>
      <w:r>
        <w:rPr>
          <w:rFonts w:ascii="Arial" w:cs="Arial" w:eastAsia="Arial" w:hAnsi="Arial"/>
          <w:sz w:val="14"/>
          <w:szCs w:val="14"/>
          <w:i w:val="1"/>
          <w:iCs w:val="1"/>
          <w:color w:val="auto"/>
        </w:rPr>
        <w:t>Fortune</w:t>
      </w:r>
      <w:r>
        <w:rPr>
          <w:rFonts w:ascii="Arial" w:cs="Arial" w:eastAsia="Arial" w:hAnsi="Arial"/>
          <w:sz w:val="14"/>
          <w:szCs w:val="14"/>
          <w:color w:val="auto"/>
        </w:rPr>
        <w:t xml:space="preserve"> Media IP Limited are not affiliated with, and do not endorse the products or services of, Alignment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3" w:right="37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2540000</wp:posOffset>
            </wp:positionH>
            <wp:positionV relativeFrom="page">
              <wp:posOffset>911860</wp:posOffset>
            </wp:positionV>
            <wp:extent cx="246888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900"/>
        <w:spacing w:after="0"/>
        <w:rPr>
          <w:sz w:val="20"/>
          <w:szCs w:val="20"/>
          <w:color w:val="auto"/>
        </w:rPr>
      </w:pPr>
      <w:r>
        <w:rPr>
          <w:rFonts w:ascii="Arial" w:cs="Arial" w:eastAsia="Arial" w:hAnsi="Arial"/>
          <w:sz w:val="20"/>
          <w:szCs w:val="20"/>
          <w:b w:val="1"/>
          <w:bCs w:val="1"/>
          <w:color w:val="auto"/>
        </w:rPr>
        <w:t>NOTICE OF 2026 ANNUAL MEETING OF STOCKHOLDERS</w:t>
      </w:r>
    </w:p>
    <w:p>
      <w:pPr>
        <w:spacing w:after="0" w:line="261" w:lineRule="exact"/>
        <w:rPr>
          <w:sz w:val="20"/>
          <w:szCs w:val="20"/>
          <w:color w:val="auto"/>
        </w:rPr>
      </w:pPr>
    </w:p>
    <w:p>
      <w:pPr>
        <w:ind w:left="1440"/>
        <w:spacing w:after="0"/>
        <w:tabs>
          <w:tab w:leader="none" w:pos="4940" w:val="left"/>
        </w:tabs>
        <w:rPr>
          <w:sz w:val="20"/>
          <w:szCs w:val="20"/>
          <w:color w:val="auto"/>
        </w:rPr>
      </w:pPr>
      <w:r>
        <w:rPr>
          <w:rFonts w:ascii="Arial" w:cs="Arial" w:eastAsia="Arial" w:hAnsi="Arial"/>
          <w:sz w:val="18"/>
          <w:szCs w:val="18"/>
          <w:b w:val="1"/>
          <w:bCs w:val="1"/>
          <w:color w:val="1F497D"/>
        </w:rPr>
        <w:t>Meeting Details</w:t>
      </w:r>
      <w:r>
        <w:rPr>
          <w:sz w:val="20"/>
          <w:szCs w:val="20"/>
          <w:color w:val="auto"/>
        </w:rPr>
        <w:tab/>
      </w:r>
      <w:r>
        <w:rPr>
          <w:rFonts w:ascii="Arial" w:cs="Arial" w:eastAsia="Arial" w:hAnsi="Arial"/>
          <w:sz w:val="17"/>
          <w:szCs w:val="17"/>
          <w:b w:val="1"/>
          <w:bCs w:val="1"/>
          <w:color w:val="1F497D"/>
        </w:rPr>
        <w:t>Items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8890</wp:posOffset>
            </wp:positionV>
            <wp:extent cx="2219960" cy="2339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19960" cy="2339975"/>
                    </a:xfrm>
                    <a:prstGeom prst="rect">
                      <a:avLst/>
                    </a:prstGeom>
                    <a:noFill/>
                  </pic:spPr>
                </pic:pic>
              </a:graphicData>
            </a:graphic>
          </wp:anchor>
        </w:drawing>
      </w:r>
    </w:p>
    <w:p>
      <w:pPr>
        <w:spacing w:after="0" w:line="192" w:lineRule="exact"/>
        <w:rPr>
          <w:sz w:val="20"/>
          <w:szCs w:val="20"/>
          <w:color w:val="auto"/>
        </w:rPr>
      </w:pPr>
    </w:p>
    <w:p>
      <w:pPr>
        <w:ind w:left="4960" w:right="1580" w:firstLine="405"/>
        <w:spacing w:after="0" w:line="287" w:lineRule="auto"/>
        <w:rPr>
          <w:sz w:val="20"/>
          <w:szCs w:val="20"/>
          <w:color w:val="auto"/>
        </w:rPr>
      </w:pPr>
      <w:r>
        <w:rPr>
          <w:rFonts w:ascii="Arial" w:cs="Arial" w:eastAsia="Arial" w:hAnsi="Arial"/>
          <w:sz w:val="18"/>
          <w:szCs w:val="18"/>
          <w:color w:val="auto"/>
        </w:rPr>
        <w:t>Matters to be voted on at the Annual Meeting are as follows:</w:t>
      </w:r>
    </w:p>
    <w:p>
      <w:pPr>
        <w:spacing w:after="0" w:line="153" w:lineRule="exact"/>
        <w:rPr>
          <w:sz w:val="20"/>
          <w:szCs w:val="20"/>
          <w:color w:val="auto"/>
        </w:rPr>
      </w:pPr>
    </w:p>
    <w:p>
      <w:pPr>
        <w:ind w:left="5620" w:right="1340" w:hanging="329"/>
        <w:spacing w:after="0" w:line="262" w:lineRule="auto"/>
        <w:tabs>
          <w:tab w:leader="none" w:pos="560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Election of three nominees identified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accompanying proxy statement to serve as Class II directors to hold office until the 2029 Annual Meeting of Stockholders;</w:t>
      </w:r>
    </w:p>
    <w:p>
      <w:pPr>
        <w:spacing w:after="0" w:line="135" w:lineRule="exact"/>
        <w:rPr>
          <w:rFonts w:ascii="Arial" w:cs="Arial" w:eastAsia="Arial" w:hAnsi="Arial"/>
          <w:sz w:val="18"/>
          <w:szCs w:val="18"/>
          <w:color w:val="auto"/>
        </w:rPr>
      </w:pPr>
    </w:p>
    <w:p>
      <w:pPr>
        <w:ind w:left="5620" w:right="1340" w:hanging="329"/>
        <w:spacing w:after="0" w:line="262" w:lineRule="auto"/>
        <w:tabs>
          <w:tab w:leader="none" w:pos="560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Ratification of the appointment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Deloitte &amp; Touche LLP as our independent registered public accounting firm for the year ending December 31, 2026; and</w:t>
      </w:r>
    </w:p>
    <w:p>
      <w:pPr>
        <w:spacing w:after="0" w:line="135" w:lineRule="exact"/>
        <w:rPr>
          <w:rFonts w:ascii="Arial" w:cs="Arial" w:eastAsia="Arial" w:hAnsi="Arial"/>
          <w:sz w:val="18"/>
          <w:szCs w:val="18"/>
          <w:color w:val="auto"/>
        </w:rPr>
      </w:pPr>
    </w:p>
    <w:p>
      <w:pPr>
        <w:ind w:left="5620" w:right="1420" w:hanging="329"/>
        <w:spacing w:after="0" w:line="291" w:lineRule="auto"/>
        <w:tabs>
          <w:tab w:leader="none" w:pos="5602"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Proposal 3</w:t>
      </w:r>
      <w:r>
        <w:rPr>
          <w:rFonts w:ascii="Arial" w:cs="Arial" w:eastAsia="Arial" w:hAnsi="Arial"/>
          <w:sz w:val="17"/>
          <w:szCs w:val="17"/>
          <w:color w:val="auto"/>
        </w:rPr>
        <w:t>: Approval, on a non-binding,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basis, of the compensation of our named executive officers (“Named Executive Officers” or “NEOs”).</w:t>
      </w:r>
    </w:p>
    <w:p>
      <w:pPr>
        <w:spacing w:after="0" w:line="200" w:lineRule="exact"/>
        <w:rPr>
          <w:sz w:val="20"/>
          <w:szCs w:val="20"/>
          <w:color w:val="auto"/>
        </w:rPr>
      </w:pPr>
    </w:p>
    <w:p>
      <w:pPr>
        <w:spacing w:after="0" w:line="2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Items of business may also include transacting such other business as may properly come before the 2026 Annual Meeting of Stockholders (the "Annual Meeting") or any adjournment of the meeting. The Proxy Statement accompanying this notice describes each of the items of business in more detail.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Access to the Meeting</w:t>
      </w:r>
    </w:p>
    <w:p>
      <w:pPr>
        <w:spacing w:after="0" w:line="225" w:lineRule="exact"/>
        <w:rPr>
          <w:sz w:val="20"/>
          <w:szCs w:val="20"/>
          <w:color w:val="auto"/>
        </w:rPr>
      </w:pPr>
    </w:p>
    <w:p>
      <w:pPr>
        <w:jc w:val="both"/>
        <w:ind w:right="340" w:firstLine="405"/>
        <w:spacing w:after="0" w:line="268" w:lineRule="auto"/>
        <w:rPr>
          <w:sz w:val="20"/>
          <w:szCs w:val="20"/>
          <w:color w:val="auto"/>
        </w:rPr>
      </w:pPr>
      <w:r>
        <w:rPr>
          <w:rFonts w:ascii="Arial" w:cs="Arial" w:eastAsia="Arial" w:hAnsi="Arial"/>
          <w:sz w:val="18"/>
          <w:szCs w:val="18"/>
          <w:color w:val="auto"/>
        </w:rPr>
        <w:t>The Annual Meeting will be held via live audio webcast available at www.proxydocs.com/ALHC. Please see the “</w:t>
      </w:r>
      <w:r>
        <w:rPr>
          <w:rFonts w:ascii="Arial" w:cs="Arial" w:eastAsia="Arial" w:hAnsi="Arial"/>
          <w:sz w:val="18"/>
          <w:szCs w:val="18"/>
          <w:i w:val="1"/>
          <w:iCs w:val="1"/>
          <w:color w:val="auto"/>
        </w:rPr>
        <w:t>Commonly Asked</w:t>
      </w:r>
      <w:r>
        <w:rPr>
          <w:rFonts w:ascii="Arial" w:cs="Arial" w:eastAsia="Arial" w:hAnsi="Arial"/>
          <w:sz w:val="18"/>
          <w:szCs w:val="18"/>
          <w:color w:val="auto"/>
        </w:rPr>
        <w:t xml:space="preserve"> </w:t>
      </w:r>
      <w:r>
        <w:rPr>
          <w:rFonts w:ascii="Arial" w:cs="Arial" w:eastAsia="Arial" w:hAnsi="Arial"/>
          <w:sz w:val="18"/>
          <w:szCs w:val="18"/>
          <w:i w:val="1"/>
          <w:iCs w:val="1"/>
          <w:color w:val="auto"/>
        </w:rPr>
        <w:t>Questions and Answers About the Annual Meeting</w:t>
      </w:r>
      <w:r>
        <w:rPr>
          <w:rFonts w:ascii="Arial" w:cs="Arial" w:eastAsia="Arial" w:hAnsi="Arial"/>
          <w:sz w:val="18"/>
          <w:szCs w:val="18"/>
          <w:color w:val="auto"/>
        </w:rPr>
        <w:t>” section in the attached Proxy Statement for information on registration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Stockholders will be able to participate, vote and submit questions from any location.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Record Date &amp; List of Stockholders</w:t>
      </w:r>
    </w:p>
    <w:p>
      <w:pPr>
        <w:spacing w:after="0" w:line="22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Our Board has set the record date as of April 6, 2026 (the “Record Date”). Only stockholders that owned Alignment common stock at the close of business on that day are entitled to notice of and may vote at the Annual Meeting or any adjournment of the meeting. A list of Alignment’s stockholders of record will be available at our corporate headquarters and principal executive offices located at 1100 W. Town &amp; Country Rd., Suite 1600, Orange, CA 92868 at least ten days prior to June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1174115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 w:name="page6"/>
    <w:bookmarkEnd w:id="5"/>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137795</wp:posOffset>
            </wp:positionV>
            <wp:extent cx="488315"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8315" cy="46291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By Internet</w:t>
      </w:r>
    </w:p>
    <w:p>
      <w:pPr>
        <w:spacing w:after="0" w:line="225" w:lineRule="exact"/>
        <w:rPr>
          <w:sz w:val="20"/>
          <w:szCs w:val="20"/>
          <w:color w:val="auto"/>
        </w:rPr>
      </w:pPr>
    </w:p>
    <w:p>
      <w:pPr>
        <w:ind w:left="1040" w:right="740"/>
        <w:spacing w:after="0" w:line="318" w:lineRule="auto"/>
        <w:rPr>
          <w:sz w:val="20"/>
          <w:szCs w:val="20"/>
          <w:color w:val="auto"/>
        </w:rPr>
      </w:pPr>
      <w:r>
        <w:rPr>
          <w:rFonts w:ascii="Arial" w:cs="Arial" w:eastAsia="Arial" w:hAnsi="Arial"/>
          <w:sz w:val="17"/>
          <w:szCs w:val="17"/>
          <w:color w:val="auto"/>
        </w:rPr>
        <w:t>Go to www.proxypush.com/ALHC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274320</wp:posOffset>
            </wp:positionV>
            <wp:extent cx="488315" cy="4629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831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By Mail</w:t>
      </w:r>
    </w:p>
    <w:p>
      <w:pPr>
        <w:spacing w:after="0" w:line="225" w:lineRule="exact"/>
        <w:rPr>
          <w:sz w:val="20"/>
          <w:szCs w:val="20"/>
          <w:color w:val="auto"/>
        </w:rPr>
      </w:pPr>
    </w:p>
    <w:p>
      <w:pPr>
        <w:ind w:left="1040" w:right="880"/>
        <w:spacing w:after="0" w:line="262" w:lineRule="auto"/>
        <w:rPr>
          <w:sz w:val="20"/>
          <w:szCs w:val="20"/>
          <w:color w:val="auto"/>
        </w:rPr>
      </w:pPr>
      <w:r>
        <w:rPr>
          <w:rFonts w:ascii="Arial" w:cs="Arial" w:eastAsia="Arial" w:hAnsi="Arial"/>
          <w:sz w:val="18"/>
          <w:szCs w:val="18"/>
          <w:color w:val="auto"/>
        </w:rPr>
        <w:t>Complete, sign, date and return your proxy card or voting instruction form in the envelope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-273050</wp:posOffset>
            </wp:positionV>
            <wp:extent cx="488950" cy="4800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8950" cy="4800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Dial toll-free 866-314-3346 using</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any touch-tone telephone and follow</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recorded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186055</wp:posOffset>
            </wp:positionV>
            <wp:extent cx="488950" cy="480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88950" cy="48006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Person (Virtual)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Attend our virtual Annual Meeting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and cast your vote using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webcast voting options.</w:t>
      </w:r>
    </w:p>
    <w:p>
      <w:pPr>
        <w:spacing w:after="0" w:line="446" w:lineRule="exact"/>
        <w:rPr>
          <w:sz w:val="20"/>
          <w:szCs w:val="20"/>
          <w:color w:val="auto"/>
        </w:rPr>
      </w:pPr>
    </w:p>
    <w:p>
      <w:pPr>
        <w:sectPr>
          <w:pgSz w:w="11900" w:h="16838" w:orient="portrait"/>
          <w:cols w:equalWidth="0" w:num="2">
            <w:col w:w="4440" w:space="720"/>
            <w:col w:w="6080"/>
          </w:cols>
          <w:pgMar w:left="320" w:top="1440" w:right="339" w:bottom="1440" w:gutter="0" w:footer="0" w:header="0"/>
        </w:sectPr>
      </w:pPr>
    </w:p>
    <w:p>
      <w:pPr>
        <w:spacing w:after="0" w:line="98" w:lineRule="exact"/>
        <w:rPr>
          <w:sz w:val="20"/>
          <w:szCs w:val="20"/>
          <w:color w:val="auto"/>
        </w:rPr>
      </w:pPr>
    </w:p>
    <w:p>
      <w:pPr>
        <w:ind w:right="480" w:firstLine="405"/>
        <w:spacing w:after="0" w:line="287" w:lineRule="auto"/>
        <w:rPr>
          <w:sz w:val="20"/>
          <w:szCs w:val="20"/>
          <w:color w:val="auto"/>
        </w:rPr>
      </w:pPr>
      <w:r>
        <w:rPr>
          <w:rFonts w:ascii="Arial" w:cs="Arial" w:eastAsia="Arial" w:hAnsi="Arial"/>
          <w:sz w:val="18"/>
          <w:szCs w:val="18"/>
          <w:color w:val="auto"/>
        </w:rPr>
        <w:t>Whether or not you expect to attend the Annual Meeting, please make sure you vote so that your shares will be represented at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148715" cy="694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4871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J. Joyce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line="207" w:lineRule="exact"/>
        <w:rPr>
          <w:sz w:val="20"/>
          <w:szCs w:val="20"/>
          <w:color w:val="auto"/>
        </w:rPr>
      </w:pPr>
    </w:p>
    <w:p>
      <w:pPr>
        <w:ind w:right="180"/>
        <w:spacing w:after="0" w:line="296" w:lineRule="auto"/>
        <w:rPr>
          <w:sz w:val="20"/>
          <w:szCs w:val="20"/>
          <w:color w:val="auto"/>
        </w:rPr>
      </w:pPr>
      <w:r>
        <w:rPr>
          <w:rFonts w:ascii="Arial" w:cs="Arial" w:eastAsia="Arial" w:hAnsi="Arial"/>
          <w:sz w:val="18"/>
          <w:szCs w:val="18"/>
          <w:b w:val="1"/>
          <w:bCs w:val="1"/>
          <w:color w:val="1F497D"/>
        </w:rPr>
        <w:t>IMPORTANT NOTICE REGARDING THE AVAILABILITY OF PROXY MATERIALS FOR THE ANNUAL MEETING OF STOCKHOLDERS TO BE HELD ON JUNE 4, 2026</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color w:val="auto"/>
        </w:rPr>
        <w:t xml:space="preserve">This Notice of Annual Meeting, the Proxy Statement and our fiscal year 2025 Annual Report are available on the investor relations section of our website at https://ir.alignmenthealth.com/. Additionally, you may access our proxy materials at </w:t>
      </w:r>
      <w:r>
        <w:rPr>
          <w:rFonts w:ascii="Arial" w:cs="Arial" w:eastAsia="Arial" w:hAnsi="Arial"/>
          <w:sz w:val="18"/>
          <w:szCs w:val="18"/>
          <w:b w:val="1"/>
          <w:bCs w:val="1"/>
          <w:u w:val="single" w:color="auto"/>
          <w:color w:val="auto"/>
        </w:rPr>
        <w:t>www.proxydocs.com/ALHC</w:t>
      </w:r>
      <w:r>
        <w:rPr>
          <w:rFonts w:ascii="Arial" w:cs="Arial" w:eastAsia="Arial" w:hAnsi="Arial"/>
          <w:sz w:val="18"/>
          <w:szCs w:val="18"/>
          <w:b w:val="1"/>
          <w:bCs w:val="1"/>
          <w:color w:val="auto"/>
        </w:rPr>
        <w:t>. We are taking advantage of U.S. Securities and Exchange Commission rules that allow us to furnish proxy materials to our stockholders on the Internet. These materials will be available on the Internet on or about April 24, 2026. We are sending a “Notice of Internet Availability of Proxy Materials" (“Notice of Availability”) to our stockholders of record instead of a paper proxy statement and annual report containing financial statements, unless paper copies have previously been requested. We believe that Internet delivery of our proxy materials allows us to provide our stockholders with the information they need, while lowering the costs of delivery and reducing the environmental impact of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1891030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9040" w:type="dxa"/>
            <w:vAlign w:val="bottom"/>
          </w:tcPr>
          <w:p>
            <w:pPr>
              <w:ind w:left="464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1"/>
                <w:szCs w:val="21"/>
                <w:color w:val="auto"/>
              </w:rPr>
            </w:pPr>
          </w:p>
        </w:tc>
      </w:tr>
      <w:tr>
        <w:trPr>
          <w:trHeight w:val="496"/>
        </w:trPr>
        <w:tc>
          <w:tcPr>
            <w:tcW w:w="9040" w:type="dxa"/>
            <w:vAlign w:val="bottom"/>
          </w:tcPr>
          <w:p>
            <w:pPr>
              <w:spacing w:after="0"/>
              <w:rPr>
                <w:sz w:val="20"/>
                <w:szCs w:val="20"/>
                <w:color w:val="auto"/>
              </w:rPr>
            </w:pPr>
            <w:r>
              <w:rPr>
                <w:rFonts w:ascii="Arial" w:cs="Arial" w:eastAsia="Arial" w:hAnsi="Arial"/>
                <w:sz w:val="18"/>
                <w:szCs w:val="18"/>
                <w:color w:val="auto"/>
              </w:rPr>
              <w:t>PROXY SUMMARY</w:t>
            </w:r>
          </w:p>
        </w:tc>
        <w:tc>
          <w:tcPr>
            <w:tcW w:w="21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PROPOSAL 1 – ELECTION OF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Continuing Directors</w:t>
            </w:r>
          </w:p>
        </w:tc>
        <w:tc>
          <w:tcPr>
            <w:tcW w:w="2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Nomination Criteria and Director Experience</w:t>
            </w:r>
          </w:p>
        </w:tc>
        <w:tc>
          <w:tcPr>
            <w:tcW w:w="2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CORPORATE GOVERNANCE</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Board and Corporate Governance Highlights</w:t>
            </w:r>
          </w:p>
        </w:tc>
        <w:tc>
          <w:tcPr>
            <w:tcW w:w="2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Board Composition and Director Independence</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Board Leadership Structure</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The Board’s Role in Risk Oversight</w:t>
            </w:r>
          </w:p>
        </w:tc>
        <w:tc>
          <w:tcPr>
            <w:tcW w:w="2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Board Committees</w:t>
            </w:r>
          </w:p>
        </w:tc>
        <w:tc>
          <w:tcPr>
            <w:tcW w:w="2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Audit Committee</w:t>
            </w:r>
          </w:p>
        </w:tc>
        <w:tc>
          <w:tcPr>
            <w:tcW w:w="2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Compensation Committee</w:t>
            </w:r>
          </w:p>
        </w:tc>
        <w:tc>
          <w:tcPr>
            <w:tcW w:w="2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Nominating, Corporate Governance &amp; Compliance Committee</w:t>
            </w:r>
          </w:p>
        </w:tc>
        <w:tc>
          <w:tcPr>
            <w:tcW w:w="21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Board Oversight of Corporate Responsibility and Sustainable Business Practices</w:t>
            </w:r>
          </w:p>
        </w:tc>
        <w:tc>
          <w:tcPr>
            <w:tcW w:w="2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Stockholder Engagement</w:t>
            </w: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Family Relationships</w:t>
            </w: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Compensation Committee Interlocks and Insider Participation</w:t>
            </w: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Code of Business Conduct and Ethics</w:t>
            </w:r>
          </w:p>
        </w:tc>
        <w:tc>
          <w:tcPr>
            <w:tcW w:w="2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Insider Trading Policy; Hedging and Other Transactions</w:t>
            </w:r>
          </w:p>
        </w:tc>
        <w:tc>
          <w:tcPr>
            <w:tcW w:w="2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Board Evaluation Practices</w:t>
            </w:r>
          </w:p>
        </w:tc>
        <w:tc>
          <w:tcPr>
            <w:tcW w:w="2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Board and Committee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Communications by Stockholders and Other Interested Parties with the Board</w:t>
            </w:r>
          </w:p>
        </w:tc>
        <w:tc>
          <w:tcPr>
            <w:tcW w:w="21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EXECUTIVE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COMPENSATION DISCUSSION AND ANALYSIS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Executive Summary</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Compensation Best Practices &amp; Policies</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What Guides Our Program</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Executive Compensation Decision-Making Process</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2025 Executive Compensation Program in Detail</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Other Compensation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Compensation Committee Report</w:t>
            </w:r>
          </w:p>
        </w:tc>
        <w:tc>
          <w:tcPr>
            <w:tcW w:w="2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EXECUTIVE AND DIRECTOR COMPENSATION</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9040" w:type="dxa"/>
            <w:vAlign w:val="bottom"/>
          </w:tcPr>
          <w:p>
            <w:pPr>
              <w:ind w:left="180"/>
              <w:spacing w:after="0"/>
              <w:rPr>
                <w:sz w:val="20"/>
                <w:szCs w:val="20"/>
                <w:color w:val="auto"/>
              </w:rPr>
            </w:pPr>
            <w:r>
              <w:rPr>
                <w:rFonts w:ascii="Arial" w:cs="Arial" w:eastAsia="Arial" w:hAnsi="Arial"/>
                <w:sz w:val="18"/>
                <w:szCs w:val="18"/>
                <w:color w:val="auto"/>
              </w:rPr>
              <w:t>Pay Versus Performance</w:t>
            </w:r>
          </w:p>
        </w:tc>
        <w:tc>
          <w:tcPr>
            <w:tcW w:w="21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9040" w:type="dxa"/>
            <w:vAlign w:val="bottom"/>
          </w:tcPr>
          <w:p>
            <w:pPr>
              <w:ind w:left="180"/>
              <w:spacing w:after="0"/>
              <w:rPr>
                <w:sz w:val="20"/>
                <w:szCs w:val="20"/>
                <w:color w:val="auto"/>
              </w:rPr>
            </w:pPr>
            <w:r>
              <w:rPr>
                <w:rFonts w:ascii="Arial" w:cs="Arial" w:eastAsia="Arial" w:hAnsi="Arial"/>
                <w:sz w:val="18"/>
                <w:szCs w:val="18"/>
                <w:color w:val="auto"/>
              </w:rPr>
              <w:t>CEO Pay Ratio</w:t>
            </w:r>
          </w:p>
        </w:tc>
        <w:tc>
          <w:tcPr>
            <w:tcW w:w="21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21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81"/>
        </w:trPr>
        <w:tc>
          <w:tcPr>
            <w:tcW w:w="9040" w:type="dxa"/>
            <w:vAlign w:val="bottom"/>
          </w:tcPr>
          <w:p>
            <w:pPr>
              <w:spacing w:after="0" w:line="181" w:lineRule="exact"/>
              <w:rPr>
                <w:sz w:val="20"/>
                <w:szCs w:val="20"/>
                <w:color w:val="auto"/>
              </w:rPr>
            </w:pPr>
            <w:r>
              <w:rPr>
                <w:rFonts w:ascii="Arial" w:cs="Arial" w:eastAsia="Arial" w:hAnsi="Arial"/>
                <w:sz w:val="18"/>
                <w:szCs w:val="18"/>
                <w:color w:val="auto"/>
              </w:rPr>
              <w:t>SECURITY OWNERSHIP OF CERTAIN BENEFICIAL</w:t>
            </w:r>
          </w:p>
        </w:tc>
        <w:tc>
          <w:tcPr>
            <w:tcW w:w="2160" w:type="dxa"/>
            <w:vAlign w:val="bottom"/>
          </w:tcPr>
          <w:p>
            <w:pPr>
              <w:jc w:val="right"/>
              <w:spacing w:after="0" w:line="181" w:lineRule="exact"/>
              <w:rPr>
                <w:sz w:val="20"/>
                <w:szCs w:val="20"/>
                <w:color w:val="auto"/>
              </w:rPr>
            </w:pPr>
            <w:r>
              <w:rPr>
                <w:rFonts w:ascii="Arial" w:cs="Arial" w:eastAsia="Arial" w:hAnsi="Arial"/>
                <w:sz w:val="18"/>
                <w:szCs w:val="18"/>
                <w:color w:val="auto"/>
              </w:rPr>
              <w:t>78</w:t>
            </w:r>
          </w:p>
        </w:tc>
      </w:tr>
      <w:tr>
        <w:trPr>
          <w:trHeight w:val="238"/>
        </w:trPr>
        <w:tc>
          <w:tcPr>
            <w:tcW w:w="9040" w:type="dxa"/>
            <w:vAlign w:val="bottom"/>
          </w:tcPr>
          <w:p>
            <w:pPr>
              <w:spacing w:after="0"/>
              <w:rPr>
                <w:sz w:val="20"/>
                <w:szCs w:val="20"/>
                <w:color w:val="auto"/>
              </w:rPr>
            </w:pPr>
            <w:r>
              <w:rPr>
                <w:rFonts w:ascii="Arial" w:cs="Arial" w:eastAsia="Arial" w:hAnsi="Arial"/>
                <w:sz w:val="18"/>
                <w:szCs w:val="18"/>
                <w:color w:val="auto"/>
              </w:rPr>
              <w:t>OWNERS AND MANAGEMENT</w:t>
            </w:r>
          </w:p>
        </w:tc>
        <w:tc>
          <w:tcPr>
            <w:tcW w:w="2160" w:type="dxa"/>
            <w:vAlign w:val="bottom"/>
          </w:tcPr>
          <w:p>
            <w:pPr>
              <w:spacing w:after="0"/>
              <w:rPr>
                <w:sz w:val="20"/>
                <w:szCs w:val="20"/>
                <w:color w:val="auto"/>
              </w:rPr>
            </w:pPr>
          </w:p>
        </w:tc>
      </w:tr>
      <w:tr>
        <w:trPr>
          <w:trHeight w:val="181"/>
        </w:trPr>
        <w:tc>
          <w:tcPr>
            <w:tcW w:w="9040" w:type="dxa"/>
            <w:vAlign w:val="bottom"/>
          </w:tcPr>
          <w:p>
            <w:pPr>
              <w:spacing w:after="0" w:line="181" w:lineRule="exact"/>
              <w:rPr>
                <w:sz w:val="20"/>
                <w:szCs w:val="20"/>
                <w:color w:val="auto"/>
              </w:rPr>
            </w:pPr>
            <w:r>
              <w:rPr>
                <w:rFonts w:ascii="Arial" w:cs="Arial" w:eastAsia="Arial" w:hAnsi="Arial"/>
                <w:sz w:val="18"/>
                <w:szCs w:val="18"/>
                <w:color w:val="auto"/>
              </w:rPr>
              <w:t>PROPOSAL 2 – RATIFICATION OF APPOINTMENT OF INDEPENDENT</w:t>
            </w:r>
          </w:p>
        </w:tc>
        <w:tc>
          <w:tcPr>
            <w:tcW w:w="2160" w:type="dxa"/>
            <w:vAlign w:val="bottom"/>
          </w:tcPr>
          <w:p>
            <w:pPr>
              <w:jc w:val="right"/>
              <w:spacing w:after="0" w:line="181" w:lineRule="exact"/>
              <w:rPr>
                <w:sz w:val="20"/>
                <w:szCs w:val="20"/>
                <w:color w:val="auto"/>
              </w:rPr>
            </w:pPr>
            <w:r>
              <w:rPr>
                <w:rFonts w:ascii="Arial" w:cs="Arial" w:eastAsia="Arial" w:hAnsi="Arial"/>
                <w:sz w:val="18"/>
                <w:szCs w:val="18"/>
                <w:color w:val="auto"/>
              </w:rPr>
              <w:t>81</w:t>
            </w:r>
          </w:p>
        </w:tc>
      </w:tr>
      <w:tr>
        <w:trPr>
          <w:trHeight w:val="238"/>
        </w:trPr>
        <w:tc>
          <w:tcPr>
            <w:tcW w:w="9040" w:type="dxa"/>
            <w:vAlign w:val="bottom"/>
          </w:tcPr>
          <w:p>
            <w:pPr>
              <w:spacing w:after="0"/>
              <w:rPr>
                <w:sz w:val="20"/>
                <w:szCs w:val="20"/>
                <w:color w:val="auto"/>
              </w:rPr>
            </w:pPr>
            <w:r>
              <w:rPr>
                <w:rFonts w:ascii="Arial" w:cs="Arial" w:eastAsia="Arial" w:hAnsi="Arial"/>
                <w:sz w:val="18"/>
                <w:szCs w:val="18"/>
                <w:color w:val="auto"/>
              </w:rPr>
              <w:t>REGISTERED PUBLIC ACCOUNTING FIRM</w:t>
            </w:r>
          </w:p>
        </w:tc>
        <w:tc>
          <w:tcPr>
            <w:tcW w:w="2160" w:type="dxa"/>
            <w:vAlign w:val="bottom"/>
          </w:tcPr>
          <w:p>
            <w:pPr>
              <w:spacing w:after="0"/>
              <w:rPr>
                <w:sz w:val="20"/>
                <w:szCs w:val="20"/>
                <w:color w:val="auto"/>
              </w:rPr>
            </w:pP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AUDIT COMMITTEE REPORT</w:t>
            </w:r>
          </w:p>
        </w:tc>
        <w:tc>
          <w:tcPr>
            <w:tcW w:w="21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PROPOSAL 3 – NON-BINDING ADVISORY VOTE ON EXECUTIVE COMPENSATION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COMMONLY ASKED QUESTIONS AND ANSWERS ABOUT THE ANNUAL MEETING</w:t>
            </w:r>
          </w:p>
        </w:tc>
        <w:tc>
          <w:tcPr>
            <w:tcW w:w="21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OTHER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CAUTIONARY NOTE REGARDING FORWARD-LOOKING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9040" w:type="dxa"/>
            <w:vAlign w:val="bottom"/>
          </w:tcPr>
          <w:p>
            <w:pPr>
              <w:spacing w:after="0"/>
              <w:rPr>
                <w:sz w:val="20"/>
                <w:szCs w:val="20"/>
                <w:color w:val="auto"/>
              </w:rPr>
            </w:pPr>
            <w:r>
              <w:rPr>
                <w:rFonts w:ascii="Arial" w:cs="Arial" w:eastAsia="Arial" w:hAnsi="Arial"/>
                <w:sz w:val="18"/>
                <w:szCs w:val="18"/>
                <w:color w:val="auto"/>
              </w:rPr>
              <w:t>WEBSITE REFERENCES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9"/>
        </w:trPr>
        <w:tc>
          <w:tcPr>
            <w:tcW w:w="9040" w:type="dxa"/>
            <w:vAlign w:val="bottom"/>
          </w:tcPr>
          <w:p>
            <w:pPr>
              <w:spacing w:after="0"/>
              <w:rPr>
                <w:sz w:val="20"/>
                <w:szCs w:val="20"/>
                <w:color w:val="auto"/>
              </w:rPr>
            </w:pPr>
            <w:r>
              <w:rPr>
                <w:rFonts w:ascii="Arial" w:cs="Arial" w:eastAsia="Arial" w:hAnsi="Arial"/>
                <w:sz w:val="18"/>
                <w:szCs w:val="18"/>
                <w:color w:val="auto"/>
              </w:rPr>
              <w:t>AVAILABILITY OF SEC FILINGS, CODE OF CONDUCT AND COMMITTEE CHARTERS</w:t>
            </w:r>
          </w:p>
        </w:tc>
        <w:tc>
          <w:tcPr>
            <w:tcW w:w="2160" w:type="dxa"/>
            <w:vAlign w:val="bottom"/>
          </w:tcPr>
          <w:p>
            <w:pPr>
              <w:jc w:val="right"/>
              <w:spacing w:after="0"/>
              <w:rPr>
                <w:sz w:val="20"/>
                <w:szCs w:val="20"/>
                <w:color w:val="auto"/>
              </w:rPr>
            </w:pPr>
            <w:r>
              <w:rPr>
                <w:rFonts w:ascii="Arial" w:cs="Arial" w:eastAsia="Arial" w:hAnsi="Arial"/>
                <w:sz w:val="18"/>
                <w:szCs w:val="18"/>
                <w:color w:val="auto"/>
              </w:rPr>
              <w:t>91</w:t>
            </w:r>
          </w:p>
        </w:tc>
      </w:tr>
    </w:tbl>
    <w:p>
      <w:pPr>
        <w:spacing w:after="0" w:line="200" w:lineRule="exact"/>
        <w:rPr>
          <w:sz w:val="20"/>
          <w:szCs w:val="20"/>
          <w:color w:val="auto"/>
        </w:rPr>
      </w:pPr>
    </w:p>
    <w:p>
      <w:pPr>
        <w:sectPr>
          <w:pgSz w:w="11900" w:h="16838" w:orient="portrait"/>
          <w:cols w:equalWidth="0" w:num="1">
            <w:col w:w="11200"/>
          </w:cols>
          <w:pgMar w:left="340" w:top="14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type w:val="continuous"/>
        </w:sectPr>
      </w:pPr>
    </w:p>
    <w:bookmarkStart w:id="7" w:name="page8"/>
    <w:bookmarkEnd w:id="7"/>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r>
              <w:rPr>
                <w:rFonts w:ascii="Arial" w:cs="Arial" w:eastAsia="Arial" w:hAnsi="Arial"/>
                <w:sz w:val="18"/>
                <w:szCs w:val="18"/>
                <w:color w:val="auto"/>
              </w:rPr>
              <w:t>WHERE TO FIND ADDITIONAL INFORMATION</w:t>
            </w:r>
          </w:p>
        </w:tc>
        <w:tc>
          <w:tcPr>
            <w:tcW w:w="36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7560" w:type="dxa"/>
            <w:vAlign w:val="bottom"/>
          </w:tcPr>
          <w:p>
            <w:pPr>
              <w:spacing w:after="0"/>
              <w:rPr>
                <w:sz w:val="20"/>
                <w:szCs w:val="20"/>
                <w:color w:val="auto"/>
              </w:rPr>
            </w:pPr>
            <w:r>
              <w:rPr>
                <w:rFonts w:ascii="Arial" w:cs="Arial" w:eastAsia="Arial" w:hAnsi="Arial"/>
                <w:sz w:val="18"/>
                <w:szCs w:val="18"/>
                <w:color w:val="auto"/>
              </w:rPr>
              <w:t>COST OF PROXY SOLICITATION</w:t>
            </w:r>
          </w:p>
        </w:tc>
        <w:tc>
          <w:tcPr>
            <w:tcW w:w="36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9"/>
        </w:trPr>
        <w:tc>
          <w:tcPr>
            <w:tcW w:w="7560" w:type="dxa"/>
            <w:vAlign w:val="bottom"/>
          </w:tcPr>
          <w:p>
            <w:pPr>
              <w:spacing w:after="0"/>
              <w:rPr>
                <w:sz w:val="20"/>
                <w:szCs w:val="20"/>
                <w:color w:val="auto"/>
              </w:rPr>
            </w:pPr>
            <w:r>
              <w:rPr>
                <w:rFonts w:ascii="Arial" w:cs="Arial" w:eastAsia="Arial" w:hAnsi="Arial"/>
                <w:sz w:val="18"/>
                <w:szCs w:val="18"/>
                <w:color w:val="auto"/>
              </w:rPr>
              <w:t>APPENDIX – NON-GAAP FINANCIAL MEASURES</w:t>
            </w:r>
          </w:p>
        </w:tc>
        <w:tc>
          <w:tcPr>
            <w:tcW w:w="364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PROXY SUMMARY</w:t>
      </w:r>
    </w:p>
    <w:p>
      <w:pPr>
        <w:spacing w:after="0" w:line="227" w:lineRule="exact"/>
        <w:rPr>
          <w:sz w:val="20"/>
          <w:szCs w:val="20"/>
          <w:color w:val="auto"/>
        </w:rPr>
      </w:pPr>
    </w:p>
    <w:p>
      <w:pPr>
        <w:ind w:right="120" w:firstLine="405"/>
        <w:spacing w:after="0" w:line="267" w:lineRule="auto"/>
        <w:rPr>
          <w:sz w:val="20"/>
          <w:szCs w:val="20"/>
          <w:color w:val="auto"/>
        </w:rPr>
      </w:pPr>
      <w:r>
        <w:rPr>
          <w:rFonts w:ascii="Arial" w:cs="Arial" w:eastAsia="Arial" w:hAnsi="Arial"/>
          <w:sz w:val="18"/>
          <w:szCs w:val="18"/>
          <w:i w:val="1"/>
          <w:iCs w:val="1"/>
          <w:color w:val="auto"/>
        </w:rPr>
        <w:t>This summary highlights certain information contained elsewhere in our proxy statement. This summary does not contain all of the information that you should consider, and you should carefully read the entire proxy statement and our 2025 Annual Report to Stockholders before voting.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About Alignment Healthcare</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a next generation, consumer-centric and clinically focused platform designed to improve the health 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We believe our plans are differentiated because of our unique ability to manage costs by delivering proactive care and managing chronic conditions through an integrated clinical and technology model. Our operations primarily consist of Medicare Advantage Plans in the states of California, North Carolina, Nevada, Arizona and Texas. Our ultimate goal is to bring this differentiated, advocacy-driven healthcare experience to millions of senior consumers in the United States and to become the most trusted senior healthcare brand in the country.</w:t>
      </w:r>
    </w:p>
    <w:p>
      <w:pPr>
        <w:spacing w:after="0" w:line="127" w:lineRule="exact"/>
        <w:rPr>
          <w:sz w:val="20"/>
          <w:szCs w:val="20"/>
          <w:color w:val="auto"/>
        </w:rPr>
      </w:pPr>
    </w:p>
    <w:p>
      <w:pPr>
        <w:ind w:right="260" w:firstLine="405"/>
        <w:spacing w:after="0" w:line="287" w:lineRule="auto"/>
        <w:rPr>
          <w:sz w:val="20"/>
          <w:szCs w:val="20"/>
          <w:color w:val="auto"/>
        </w:rPr>
      </w:pPr>
      <w:r>
        <w:rPr>
          <w:rFonts w:ascii="Arial" w:cs="Arial" w:eastAsia="Arial" w:hAnsi="Arial"/>
          <w:sz w:val="18"/>
          <w:szCs w:val="18"/>
          <w:color w:val="auto"/>
        </w:rPr>
        <w:t>Our model is based on a flywheel concept, referred to as our “virtuous cycle,” which reflects our unique ability to manage health care expenditures while maintaining quality and member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126365</wp:posOffset>
            </wp:positionV>
            <wp:extent cx="2134235" cy="21259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3423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ability to deliver lower health care costs while improving the consumer’s experience is a unique competitive advantage. From a clinical standpoint, we achieved an inpatient admissions per thousand rate in the low-140s for our at-risk members. These outcomes are achieved through our high-touch clinical model, which proactively manages chronic conditions and assists with post-discharge care navigation. This differentiation has led to our demonstrated ability to rapidly scale, as evidenced by the expansion of our model to 45 markets across five states covering approximately 275,300 health plan members as of January 1, 2026 and approximately 80% of gross sales sourced through plan switchers from a competing MA plan. We believe we have proven that our model is highly predictable and repeatable across different markets and will enable strong growth on a national level as we pursue our vision of becoming the most trusted senior health care brand in the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9" w:name="page10"/>
    <w:bookmarkEnd w:id="9"/>
    <w:p>
      <w:pPr>
        <w:spacing w:after="0" w:line="139" w:lineRule="exact"/>
        <w:rPr>
          <w:sz w:val="20"/>
          <w:szCs w:val="20"/>
          <w:color w:val="auto"/>
        </w:rPr>
      </w:pPr>
    </w:p>
    <w:p>
      <w:pPr>
        <w:ind w:right="60" w:firstLine="405"/>
        <w:spacing w:after="0" w:line="287" w:lineRule="auto"/>
        <w:rPr>
          <w:sz w:val="20"/>
          <w:szCs w:val="20"/>
          <w:color w:val="auto"/>
        </w:rPr>
      </w:pPr>
      <w:r>
        <w:rPr>
          <w:rFonts w:ascii="Arial" w:cs="Arial" w:eastAsia="Arial" w:hAnsi="Arial"/>
          <w:sz w:val="18"/>
          <w:szCs w:val="18"/>
          <w:color w:val="auto"/>
        </w:rPr>
        <w:t>Our platform was developed to align with the six core principles that we believe will be required to successfully deliver health care in the 21st century and that we believe represent our key competitive strengths. Our platform enables us to:</w:t>
      </w:r>
    </w:p>
    <w:p>
      <w:pPr>
        <w:spacing w:after="0" w:line="11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data, technology and analytics to power all aspects of our model;</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consumers directly and develop products to meet their needs;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proactively manage and coordinate care for our most vulnerable members;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empower providers and employ flexible care delivery models;</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design and deploy innovative value-based payment models;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cultivate a culture of innovation.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Proxy Statement Voting Roadmap</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Proposal</w:t>
            </w:r>
          </w:p>
        </w:tc>
        <w:tc>
          <w:tcPr>
            <w:tcW w:w="20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Voting Matter</w:t>
            </w:r>
          </w:p>
        </w:tc>
        <w:tc>
          <w:tcPr>
            <w:tcW w:w="47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Board Vote Recommendation</w:t>
            </w:r>
          </w:p>
        </w:tc>
        <w:tc>
          <w:tcPr>
            <w:tcW w:w="2900" w:type="dxa"/>
            <w:vAlign w:val="bottom"/>
            <w:tcBorders>
              <w:bottom w:val="single" w:sz="8" w:color="auto"/>
            </w:tcBorders>
          </w:tcPr>
          <w:p>
            <w:pPr>
              <w:ind w:left="1960"/>
              <w:spacing w:after="0"/>
              <w:rPr>
                <w:sz w:val="20"/>
                <w:szCs w:val="20"/>
                <w:color w:val="auto"/>
              </w:rPr>
            </w:pPr>
            <w:r>
              <w:rPr>
                <w:rFonts w:ascii="Arial" w:cs="Arial" w:eastAsia="Arial" w:hAnsi="Arial"/>
                <w:sz w:val="16"/>
                <w:szCs w:val="16"/>
                <w:b w:val="1"/>
                <w:bCs w:val="1"/>
                <w:color w:val="auto"/>
              </w:rPr>
              <w:t>See Page</w:t>
            </w:r>
          </w:p>
        </w:tc>
      </w:tr>
      <w:tr>
        <w:trPr>
          <w:trHeight w:val="74"/>
        </w:trPr>
        <w:tc>
          <w:tcPr>
            <w:tcW w:w="1620" w:type="dxa"/>
            <w:vAlign w:val="bottom"/>
          </w:tcPr>
          <w:p>
            <w:pPr>
              <w:spacing w:after="0"/>
              <w:rPr>
                <w:sz w:val="6"/>
                <w:szCs w:val="6"/>
                <w:color w:val="auto"/>
              </w:rPr>
            </w:pPr>
          </w:p>
        </w:tc>
        <w:tc>
          <w:tcPr>
            <w:tcW w:w="2000" w:type="dxa"/>
            <w:vAlign w:val="bottom"/>
            <w:shd w:val="clear" w:color="auto" w:fill="DBE5F1"/>
          </w:tcPr>
          <w:p>
            <w:pPr>
              <w:spacing w:after="0"/>
              <w:rPr>
                <w:sz w:val="6"/>
                <w:szCs w:val="6"/>
                <w:color w:val="auto"/>
              </w:rPr>
            </w:pPr>
          </w:p>
        </w:tc>
        <w:tc>
          <w:tcPr>
            <w:tcW w:w="4720" w:type="dxa"/>
            <w:vAlign w:val="bottom"/>
            <w:shd w:val="clear" w:color="auto" w:fill="DBE5F1"/>
          </w:tcPr>
          <w:p>
            <w:pPr>
              <w:spacing w:after="0"/>
              <w:rPr>
                <w:sz w:val="6"/>
                <w:szCs w:val="6"/>
                <w:color w:val="auto"/>
              </w:rPr>
            </w:pPr>
          </w:p>
        </w:tc>
        <w:tc>
          <w:tcPr>
            <w:tcW w:w="2900" w:type="dxa"/>
            <w:vAlign w:val="bottom"/>
            <w:shd w:val="clear" w:color="auto" w:fill="DBE5F1"/>
          </w:tcPr>
          <w:p>
            <w:pPr>
              <w:spacing w:after="0"/>
              <w:rPr>
                <w:sz w:val="6"/>
                <w:szCs w:val="6"/>
                <w:color w:val="auto"/>
              </w:rPr>
            </w:pPr>
          </w:p>
        </w:tc>
      </w:tr>
      <w:tr>
        <w:trPr>
          <w:trHeight w:val="236"/>
        </w:trPr>
        <w:tc>
          <w:tcPr>
            <w:tcW w:w="1620" w:type="dxa"/>
            <w:vAlign w:val="bottom"/>
          </w:tcPr>
          <w:p>
            <w:pPr>
              <w:spacing w:after="0"/>
              <w:rPr>
                <w:sz w:val="20"/>
                <w:szCs w:val="20"/>
                <w:color w:val="auto"/>
              </w:rPr>
            </w:pPr>
          </w:p>
        </w:tc>
        <w:tc>
          <w:tcPr>
            <w:tcW w:w="2000" w:type="dxa"/>
            <w:vAlign w:val="bottom"/>
          </w:tcPr>
          <w:p>
            <w:pPr>
              <w:ind w:left="60"/>
              <w:spacing w:after="0"/>
              <w:rPr>
                <w:sz w:val="20"/>
                <w:szCs w:val="20"/>
                <w:color w:val="auto"/>
              </w:rPr>
            </w:pPr>
            <w:r>
              <w:rPr>
                <w:rFonts w:ascii="Arial" w:cs="Arial" w:eastAsia="Arial" w:hAnsi="Arial"/>
                <w:sz w:val="16"/>
                <w:szCs w:val="16"/>
                <w:color w:val="auto"/>
              </w:rPr>
              <w:t>Election of Directors</w:t>
            </w:r>
          </w:p>
        </w:tc>
        <w:tc>
          <w:tcPr>
            <w:tcW w:w="4720" w:type="dxa"/>
            <w:vAlign w:val="bottom"/>
          </w:tcPr>
          <w:p>
            <w:pPr>
              <w:ind w:left="480"/>
              <w:spacing w:after="0"/>
              <w:rPr>
                <w:sz w:val="20"/>
                <w:szCs w:val="20"/>
                <w:color w:val="auto"/>
              </w:rPr>
            </w:pPr>
            <w:r>
              <w:rPr>
                <w:rFonts w:ascii="Arial" w:cs="Arial" w:eastAsia="Arial" w:hAnsi="Arial"/>
                <w:sz w:val="16"/>
                <w:szCs w:val="16"/>
                <w:b w:val="1"/>
                <w:bCs w:val="1"/>
                <w:color w:val="auto"/>
              </w:rPr>
              <w:t>FOR EACH NOMINEE</w:t>
            </w:r>
          </w:p>
        </w:tc>
        <w:tc>
          <w:tcPr>
            <w:tcW w:w="2900" w:type="dxa"/>
            <w:vAlign w:val="bottom"/>
          </w:tcPr>
          <w:p>
            <w:pPr>
              <w:ind w:left="1960"/>
              <w:spacing w:after="0"/>
              <w:rPr>
                <w:sz w:val="20"/>
                <w:szCs w:val="20"/>
                <w:color w:val="auto"/>
              </w:rPr>
            </w:pPr>
            <w:r>
              <w:rPr>
                <w:rFonts w:ascii="Arial" w:cs="Arial" w:eastAsia="Arial" w:hAnsi="Arial"/>
                <w:sz w:val="16"/>
                <w:szCs w:val="16"/>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814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14" w:lineRule="exact"/>
        <w:rPr>
          <w:sz w:val="20"/>
          <w:szCs w:val="20"/>
          <w:color w:val="auto"/>
        </w:rPr>
      </w:pPr>
    </w:p>
    <w:p>
      <w:pPr>
        <w:ind w:left="4700" w:right="1080" w:hanging="327"/>
        <w:spacing w:after="0" w:line="275" w:lineRule="auto"/>
        <w:tabs>
          <w:tab w:leader="none" w:pos="4689"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Class II nominees are highly experienced and have the qualifications and skills necessary to oversee the Company and advance its vision to become the most trusted senior health care brand in the country.</w:t>
      </w:r>
    </w:p>
    <w:p>
      <w:pPr>
        <w:spacing w:after="0" w:line="2" w:lineRule="exact"/>
        <w:rPr>
          <w:rFonts w:ascii="Arial" w:cs="Arial" w:eastAsia="Arial" w:hAnsi="Arial"/>
          <w:sz w:val="16"/>
          <w:szCs w:val="16"/>
          <w:color w:val="auto"/>
        </w:rPr>
      </w:pPr>
    </w:p>
    <w:p>
      <w:pPr>
        <w:ind w:left="4680" w:hanging="307"/>
        <w:spacing w:after="0"/>
        <w:tabs>
          <w:tab w:leader="none" w:pos="4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Class II nominees are independent.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ind w:left="1680"/>
              <w:spacing w:after="0"/>
              <w:rPr>
                <w:sz w:val="20"/>
                <w:szCs w:val="20"/>
                <w:color w:val="auto"/>
              </w:rPr>
            </w:pPr>
            <w:r>
              <w:rPr>
                <w:rFonts w:ascii="Arial" w:cs="Arial" w:eastAsia="Arial" w:hAnsi="Arial"/>
                <w:sz w:val="16"/>
                <w:szCs w:val="16"/>
                <w:color w:val="auto"/>
              </w:rPr>
              <w:t>Ratification of Independent</w:t>
            </w:r>
          </w:p>
        </w:tc>
        <w:tc>
          <w:tcPr>
            <w:tcW w:w="6160" w:type="dxa"/>
            <w:vAlign w:val="bottom"/>
          </w:tcPr>
          <w:p>
            <w:pPr>
              <w:ind w:left="120"/>
              <w:spacing w:after="0"/>
              <w:rPr>
                <w:sz w:val="20"/>
                <w:szCs w:val="20"/>
                <w:color w:val="auto"/>
              </w:rPr>
            </w:pPr>
            <w:r>
              <w:rPr>
                <w:rFonts w:ascii="Arial" w:cs="Arial" w:eastAsia="Arial" w:hAnsi="Arial"/>
                <w:sz w:val="16"/>
                <w:szCs w:val="16"/>
                <w:b w:val="1"/>
                <w:bCs w:val="1"/>
                <w:color w:val="auto"/>
              </w:rPr>
              <w:t>FOR</w:t>
            </w:r>
          </w:p>
        </w:tc>
        <w:tc>
          <w:tcPr>
            <w:tcW w:w="1100" w:type="dxa"/>
            <w:vAlign w:val="bottom"/>
          </w:tcPr>
          <w:p>
            <w:pPr>
              <w:jc w:val="right"/>
              <w:ind w:right="67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48"/>
        </w:trPr>
        <w:tc>
          <w:tcPr>
            <w:tcW w:w="3980" w:type="dxa"/>
            <w:vAlign w:val="bottom"/>
          </w:tcPr>
          <w:p>
            <w:pPr>
              <w:ind w:left="1680"/>
              <w:spacing w:after="0" w:line="148" w:lineRule="exact"/>
              <w:rPr>
                <w:sz w:val="20"/>
                <w:szCs w:val="20"/>
                <w:color w:val="auto"/>
              </w:rPr>
            </w:pPr>
            <w:r>
              <w:rPr>
                <w:rFonts w:ascii="Arial" w:cs="Arial" w:eastAsia="Arial" w:hAnsi="Arial"/>
                <w:sz w:val="16"/>
                <w:szCs w:val="16"/>
                <w:color w:val="auto"/>
              </w:rPr>
              <w:t>Registered Public Accounting</w:t>
            </w:r>
          </w:p>
        </w:tc>
        <w:tc>
          <w:tcPr>
            <w:tcW w:w="6160" w:type="dxa"/>
            <w:vAlign w:val="bottom"/>
            <w:vMerge w:val="restart"/>
          </w:tcPr>
          <w:p>
            <w:pPr>
              <w:ind w:left="400"/>
              <w:spacing w:after="0"/>
              <w:rPr>
                <w:sz w:val="20"/>
                <w:szCs w:val="20"/>
                <w:color w:val="auto"/>
              </w:rPr>
            </w:pPr>
            <w:r>
              <w:rPr>
                <w:rFonts w:ascii="Arial" w:cs="Arial" w:eastAsia="Arial" w:hAnsi="Arial"/>
                <w:sz w:val="16"/>
                <w:szCs w:val="16"/>
                <w:color w:val="auto"/>
              </w:rPr>
              <w:t>•   Deloitte continues to perform at a high level and remains independent and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980" w:type="dxa"/>
            <w:vAlign w:val="bottom"/>
            <w:vMerge w:val="restart"/>
          </w:tcPr>
          <w:p>
            <w:pPr>
              <w:ind w:left="1680"/>
              <w:spacing w:after="0"/>
              <w:rPr>
                <w:sz w:val="20"/>
                <w:szCs w:val="20"/>
                <w:color w:val="auto"/>
              </w:rPr>
            </w:pPr>
            <w:r>
              <w:rPr>
                <w:rFonts w:ascii="Arial" w:cs="Arial" w:eastAsia="Arial" w:hAnsi="Arial"/>
                <w:sz w:val="16"/>
                <w:szCs w:val="16"/>
                <w:color w:val="auto"/>
              </w:rPr>
              <w:t>Firm</w:t>
            </w:r>
          </w:p>
        </w:tc>
        <w:tc>
          <w:tcPr>
            <w:tcW w:w="61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980" w:type="dxa"/>
            <w:vAlign w:val="bottom"/>
            <w:vMerge w:val="continue"/>
          </w:tcPr>
          <w:p>
            <w:pPr>
              <w:spacing w:after="0"/>
              <w:rPr>
                <w:sz w:val="6"/>
                <w:szCs w:val="6"/>
                <w:color w:val="auto"/>
              </w:rPr>
            </w:pPr>
          </w:p>
        </w:tc>
        <w:tc>
          <w:tcPr>
            <w:tcW w:w="6160" w:type="dxa"/>
            <w:vAlign w:val="bottom"/>
            <w:vMerge w:val="restart"/>
          </w:tcPr>
          <w:p>
            <w:pPr>
              <w:ind w:left="720"/>
              <w:spacing w:after="0"/>
              <w:rPr>
                <w:sz w:val="20"/>
                <w:szCs w:val="20"/>
                <w:color w:val="auto"/>
              </w:rPr>
            </w:pPr>
            <w:r>
              <w:rPr>
                <w:rFonts w:ascii="Arial" w:cs="Arial" w:eastAsia="Arial" w:hAnsi="Arial"/>
                <w:sz w:val="16"/>
                <w:szCs w:val="16"/>
                <w:color w:val="auto"/>
              </w:rPr>
              <w:t>objective</w:t>
            </w: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616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1"/>
        </w:trPr>
        <w:tc>
          <w:tcPr>
            <w:tcW w:w="3980" w:type="dxa"/>
            <w:vAlign w:val="bottom"/>
          </w:tcPr>
          <w:p>
            <w:pPr>
              <w:spacing w:after="0"/>
              <w:rPr>
                <w:sz w:val="20"/>
                <w:szCs w:val="20"/>
                <w:color w:val="auto"/>
              </w:rPr>
            </w:pPr>
          </w:p>
        </w:tc>
        <w:tc>
          <w:tcPr>
            <w:tcW w:w="6160" w:type="dxa"/>
            <w:vAlign w:val="bottom"/>
          </w:tcPr>
          <w:p>
            <w:pPr>
              <w:ind w:left="400"/>
              <w:spacing w:after="0"/>
              <w:rPr>
                <w:sz w:val="20"/>
                <w:szCs w:val="20"/>
                <w:color w:val="auto"/>
              </w:rPr>
            </w:pPr>
            <w:r>
              <w:rPr>
                <w:rFonts w:ascii="Arial" w:cs="Arial" w:eastAsia="Arial" w:hAnsi="Arial"/>
                <w:sz w:val="16"/>
                <w:szCs w:val="16"/>
                <w:color w:val="auto"/>
              </w:rPr>
              <w:t>•   Deloitte has deep institutional knowledge of our industry, operations,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6"/>
                <w:szCs w:val="16"/>
                <w:color w:val="auto"/>
              </w:rPr>
              <w:t>business, accounting policies and internal controls</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3980" w:type="dxa"/>
            <w:vAlign w:val="bottom"/>
          </w:tcPr>
          <w:p>
            <w:pPr>
              <w:spacing w:after="0"/>
              <w:rPr>
                <w:sz w:val="6"/>
                <w:szCs w:val="6"/>
                <w:color w:val="auto"/>
              </w:rPr>
            </w:pPr>
          </w:p>
        </w:tc>
        <w:tc>
          <w:tcPr>
            <w:tcW w:w="6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3980" w:type="dxa"/>
            <w:vAlign w:val="bottom"/>
            <w:shd w:val="clear" w:color="auto" w:fill="DBE5F1"/>
          </w:tcPr>
          <w:p>
            <w:pPr>
              <w:spacing w:after="0"/>
              <w:rPr>
                <w:sz w:val="9"/>
                <w:szCs w:val="9"/>
                <w:color w:val="auto"/>
              </w:rPr>
            </w:pPr>
          </w:p>
        </w:tc>
        <w:tc>
          <w:tcPr>
            <w:tcW w:w="6160" w:type="dxa"/>
            <w:vAlign w:val="bottom"/>
            <w:shd w:val="clear" w:color="auto" w:fill="DBE5F1"/>
          </w:tcPr>
          <w:p>
            <w:pPr>
              <w:spacing w:after="0"/>
              <w:rPr>
                <w:sz w:val="9"/>
                <w:szCs w:val="9"/>
                <w:color w:val="auto"/>
              </w:rPr>
            </w:pPr>
          </w:p>
        </w:tc>
        <w:tc>
          <w:tcPr>
            <w:tcW w:w="110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77"/>
        </w:trPr>
        <w:tc>
          <w:tcPr>
            <w:tcW w:w="3980" w:type="dxa"/>
            <w:vAlign w:val="bottom"/>
          </w:tcPr>
          <w:p>
            <w:pPr>
              <w:ind w:left="1680"/>
              <w:spacing w:after="0" w:line="178" w:lineRule="exact"/>
              <w:rPr>
                <w:sz w:val="20"/>
                <w:szCs w:val="20"/>
                <w:color w:val="auto"/>
              </w:rPr>
            </w:pPr>
            <w:r>
              <w:rPr>
                <w:rFonts w:ascii="Arial" w:cs="Arial" w:eastAsia="Arial" w:hAnsi="Arial"/>
                <w:sz w:val="16"/>
                <w:szCs w:val="16"/>
                <w:color w:val="auto"/>
              </w:rPr>
              <w:t>Non-Binding, Advisory Vote on</w:t>
            </w:r>
          </w:p>
        </w:tc>
        <w:tc>
          <w:tcPr>
            <w:tcW w:w="6160" w:type="dxa"/>
            <w:vAlign w:val="bottom"/>
          </w:tcPr>
          <w:p>
            <w:pPr>
              <w:ind w:left="120"/>
              <w:spacing w:after="0" w:line="178" w:lineRule="exact"/>
              <w:rPr>
                <w:sz w:val="20"/>
                <w:szCs w:val="20"/>
                <w:color w:val="auto"/>
              </w:rPr>
            </w:pPr>
            <w:r>
              <w:rPr>
                <w:rFonts w:ascii="Arial" w:cs="Arial" w:eastAsia="Arial" w:hAnsi="Arial"/>
                <w:sz w:val="16"/>
                <w:szCs w:val="16"/>
                <w:b w:val="1"/>
                <w:bCs w:val="1"/>
                <w:color w:val="auto"/>
              </w:rPr>
              <w:t>FOR</w:t>
            </w:r>
          </w:p>
        </w:tc>
        <w:tc>
          <w:tcPr>
            <w:tcW w:w="1100" w:type="dxa"/>
            <w:vAlign w:val="bottom"/>
          </w:tcPr>
          <w:p>
            <w:pPr>
              <w:jc w:val="right"/>
              <w:ind w:right="679"/>
              <w:spacing w:after="0" w:line="178" w:lineRule="exact"/>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-934720</wp:posOffset>
            </wp:positionV>
            <wp:extent cx="7132320" cy="2108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1088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5"/>
        </w:trPr>
        <w:tc>
          <w:tcPr>
            <w:tcW w:w="3920" w:type="dxa"/>
            <w:vAlign w:val="bottom"/>
          </w:tcPr>
          <w:p>
            <w:pPr>
              <w:ind w:left="1680"/>
              <w:spacing w:after="0"/>
              <w:rPr>
                <w:sz w:val="20"/>
                <w:szCs w:val="20"/>
                <w:color w:val="auto"/>
              </w:rPr>
            </w:pPr>
            <w:r>
              <w:rPr>
                <w:rFonts w:ascii="Arial" w:cs="Arial" w:eastAsia="Arial" w:hAnsi="Arial"/>
                <w:sz w:val="16"/>
                <w:szCs w:val="16"/>
                <w:color w:val="auto"/>
              </w:rPr>
              <w:t>Executive Compensation</w:t>
            </w:r>
          </w:p>
        </w:tc>
        <w:tc>
          <w:tcPr>
            <w:tcW w:w="7320" w:type="dxa"/>
            <w:vAlign w:val="bottom"/>
            <w:vMerge w:val="restart"/>
          </w:tcPr>
          <w:p>
            <w:pPr>
              <w:ind w:left="460"/>
              <w:spacing w:after="0"/>
              <w:rPr>
                <w:sz w:val="20"/>
                <w:szCs w:val="20"/>
                <w:color w:val="auto"/>
              </w:rPr>
            </w:pPr>
            <w:r>
              <w:rPr>
                <w:rFonts w:ascii="Arial" w:cs="Arial" w:eastAsia="Arial" w:hAnsi="Arial"/>
                <w:sz w:val="16"/>
                <w:szCs w:val="16"/>
                <w:color w:val="auto"/>
              </w:rPr>
              <w:t>•   NEO target compensation is set using peer market data, with actual payouts</w:t>
            </w:r>
          </w:p>
        </w:tc>
        <w:tc>
          <w:tcPr>
            <w:tcW w:w="0" w:type="dxa"/>
            <w:vAlign w:val="bottom"/>
          </w:tcPr>
          <w:p>
            <w:pPr>
              <w:spacing w:after="0"/>
              <w:rPr>
                <w:sz w:val="1"/>
                <w:szCs w:val="1"/>
                <w:color w:val="auto"/>
              </w:rPr>
            </w:pPr>
          </w:p>
        </w:tc>
      </w:tr>
      <w:tr>
        <w:trPr>
          <w:trHeight w:val="66"/>
        </w:trPr>
        <w:tc>
          <w:tcPr>
            <w:tcW w:w="3920" w:type="dxa"/>
            <w:vAlign w:val="bottom"/>
          </w:tcPr>
          <w:p>
            <w:pPr>
              <w:spacing w:after="0"/>
              <w:rPr>
                <w:sz w:val="5"/>
                <w:szCs w:val="5"/>
                <w:color w:val="auto"/>
              </w:rPr>
            </w:pPr>
          </w:p>
        </w:tc>
        <w:tc>
          <w:tcPr>
            <w:tcW w:w="73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7320" w:type="dxa"/>
            <w:vAlign w:val="bottom"/>
          </w:tcPr>
          <w:p>
            <w:pPr>
              <w:ind w:left="780"/>
              <w:spacing w:after="0"/>
              <w:rPr>
                <w:sz w:val="20"/>
                <w:szCs w:val="20"/>
                <w:color w:val="auto"/>
              </w:rPr>
            </w:pPr>
            <w:r>
              <w:rPr>
                <w:rFonts w:ascii="Arial" w:cs="Arial" w:eastAsia="Arial" w:hAnsi="Arial"/>
                <w:sz w:val="16"/>
                <w:szCs w:val="16"/>
                <w:color w:val="auto"/>
              </w:rPr>
              <w:t>determined solely by performance outcomes across key membership and</w:t>
            </w: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7320" w:type="dxa"/>
            <w:vAlign w:val="bottom"/>
          </w:tcPr>
          <w:p>
            <w:pPr>
              <w:ind w:left="780"/>
              <w:spacing w:after="0"/>
              <w:rPr>
                <w:sz w:val="20"/>
                <w:szCs w:val="20"/>
                <w:color w:val="auto"/>
              </w:rPr>
            </w:pPr>
            <w:r>
              <w:rPr>
                <w:rFonts w:ascii="Arial" w:cs="Arial" w:eastAsia="Arial" w:hAnsi="Arial"/>
                <w:sz w:val="16"/>
                <w:szCs w:val="16"/>
                <w:color w:val="auto"/>
              </w:rPr>
              <w:t>financial metrics</w:t>
            </w: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7320" w:type="dxa"/>
            <w:vAlign w:val="bottom"/>
          </w:tcPr>
          <w:p>
            <w:pPr>
              <w:ind w:left="460"/>
              <w:spacing w:after="0"/>
              <w:rPr>
                <w:sz w:val="20"/>
                <w:szCs w:val="20"/>
                <w:color w:val="auto"/>
              </w:rPr>
            </w:pPr>
            <w:r>
              <w:rPr>
                <w:rFonts w:ascii="Arial" w:cs="Arial" w:eastAsia="Arial" w:hAnsi="Arial"/>
                <w:sz w:val="16"/>
                <w:szCs w:val="16"/>
                <w:color w:val="auto"/>
              </w:rPr>
              <w:t>•   A substantial majority of NEO pay is delivered through performance-based</w:t>
            </w: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7320" w:type="dxa"/>
            <w:vAlign w:val="bottom"/>
          </w:tcPr>
          <w:p>
            <w:pPr>
              <w:ind w:left="780"/>
              <w:spacing w:after="0"/>
              <w:rPr>
                <w:sz w:val="20"/>
                <w:szCs w:val="20"/>
                <w:color w:val="auto"/>
              </w:rPr>
            </w:pPr>
            <w:r>
              <w:rPr>
                <w:rFonts w:ascii="Arial" w:cs="Arial" w:eastAsia="Arial" w:hAnsi="Arial"/>
                <w:sz w:val="16"/>
                <w:szCs w:val="16"/>
                <w:color w:val="auto"/>
              </w:rPr>
              <w:t>incentives</w:t>
            </w: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7320" w:type="dxa"/>
            <w:vAlign w:val="bottom"/>
          </w:tcPr>
          <w:p>
            <w:pPr>
              <w:ind w:left="460"/>
              <w:spacing w:after="0"/>
              <w:rPr>
                <w:sz w:val="20"/>
                <w:szCs w:val="20"/>
                <w:color w:val="auto"/>
              </w:rPr>
            </w:pPr>
            <w:r>
              <w:rPr>
                <w:rFonts w:ascii="Arial" w:cs="Arial" w:eastAsia="Arial" w:hAnsi="Arial"/>
                <w:sz w:val="16"/>
                <w:szCs w:val="16"/>
                <w:color w:val="auto"/>
              </w:rPr>
              <w:t>•   Long-term pay-for-performance alignment is reinforced by PSUs with a</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7320" w:type="dxa"/>
            <w:vAlign w:val="bottom"/>
          </w:tcPr>
          <w:p>
            <w:pPr>
              <w:ind w:left="780"/>
              <w:spacing w:after="0"/>
              <w:rPr>
                <w:sz w:val="20"/>
                <w:szCs w:val="20"/>
                <w:color w:val="auto"/>
              </w:rPr>
            </w:pPr>
            <w:r>
              <w:rPr>
                <w:rFonts w:ascii="Arial" w:cs="Arial" w:eastAsia="Arial" w:hAnsi="Arial"/>
                <w:sz w:val="16"/>
                <w:szCs w:val="16"/>
                <w:color w:val="auto"/>
              </w:rPr>
              <w:t>performance period in the third year, directly tying executive rewards to long-</w:t>
            </w:r>
          </w:p>
        </w:tc>
        <w:tc>
          <w:tcPr>
            <w:tcW w:w="0" w:type="dxa"/>
            <w:vAlign w:val="bottom"/>
          </w:tcPr>
          <w:p>
            <w:pPr>
              <w:spacing w:after="0"/>
              <w:rPr>
                <w:sz w:val="1"/>
                <w:szCs w:val="1"/>
                <w:color w:val="auto"/>
              </w:rPr>
            </w:pPr>
          </w:p>
        </w:tc>
      </w:tr>
      <w:tr>
        <w:trPr>
          <w:trHeight w:val="215"/>
        </w:trPr>
        <w:tc>
          <w:tcPr>
            <w:tcW w:w="3920" w:type="dxa"/>
            <w:vAlign w:val="bottom"/>
          </w:tcPr>
          <w:p>
            <w:pPr>
              <w:spacing w:after="0"/>
              <w:rPr>
                <w:sz w:val="18"/>
                <w:szCs w:val="18"/>
                <w:color w:val="auto"/>
              </w:rPr>
            </w:pPr>
          </w:p>
        </w:tc>
        <w:tc>
          <w:tcPr>
            <w:tcW w:w="7320" w:type="dxa"/>
            <w:vAlign w:val="bottom"/>
          </w:tcPr>
          <w:p>
            <w:pPr>
              <w:ind w:left="780"/>
              <w:spacing w:after="0"/>
              <w:rPr>
                <w:sz w:val="20"/>
                <w:szCs w:val="20"/>
                <w:color w:val="auto"/>
              </w:rPr>
            </w:pPr>
            <w:r>
              <w:rPr>
                <w:rFonts w:ascii="Arial" w:cs="Arial" w:eastAsia="Arial" w:hAnsi="Arial"/>
                <w:sz w:val="16"/>
                <w:szCs w:val="16"/>
                <w:color w:val="auto"/>
              </w:rPr>
              <w:t>term financial results and stockholder value creation</w:t>
            </w:r>
          </w:p>
        </w:tc>
        <w:tc>
          <w:tcPr>
            <w:tcW w:w="0" w:type="dxa"/>
            <w:vAlign w:val="bottom"/>
          </w:tcPr>
          <w:p>
            <w:pPr>
              <w:spacing w:after="0"/>
              <w:rPr>
                <w:sz w:val="1"/>
                <w:szCs w:val="1"/>
                <w:color w:val="auto"/>
              </w:rPr>
            </w:pPr>
          </w:p>
        </w:tc>
      </w:tr>
      <w:tr>
        <w:trPr>
          <w:trHeight w:val="83"/>
        </w:trPr>
        <w:tc>
          <w:tcPr>
            <w:tcW w:w="3920" w:type="dxa"/>
            <w:vAlign w:val="bottom"/>
            <w:tcBorders>
              <w:bottom w:val="single" w:sz="8" w:color="95B3D7"/>
            </w:tcBorders>
          </w:tcPr>
          <w:p>
            <w:pPr>
              <w:spacing w:after="0"/>
              <w:rPr>
                <w:sz w:val="7"/>
                <w:szCs w:val="7"/>
                <w:color w:val="auto"/>
              </w:rPr>
            </w:pPr>
          </w:p>
        </w:tc>
        <w:tc>
          <w:tcPr>
            <w:tcW w:w="7320" w:type="dxa"/>
            <w:vAlign w:val="bottom"/>
            <w:tcBorders>
              <w:bottom w:val="single" w:sz="8" w:color="95B3D7"/>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Our Director Nominees</w:t>
      </w:r>
    </w:p>
    <w:p>
      <w:pPr>
        <w:spacing w:after="0" w:line="185" w:lineRule="exact"/>
        <w:rPr>
          <w:sz w:val="20"/>
          <w:szCs w:val="20"/>
          <w:color w:val="auto"/>
        </w:rPr>
      </w:pPr>
    </w:p>
    <w:p>
      <w:pPr>
        <w:ind w:right="80" w:firstLine="401"/>
        <w:spacing w:after="0" w:line="287" w:lineRule="auto"/>
        <w:rPr>
          <w:sz w:val="20"/>
          <w:szCs w:val="20"/>
          <w:color w:val="auto"/>
        </w:rPr>
      </w:pPr>
      <w:r>
        <w:rPr>
          <w:rFonts w:ascii="Arial" w:cs="Arial" w:eastAsia="Arial" w:hAnsi="Arial"/>
          <w:sz w:val="18"/>
          <w:szCs w:val="18"/>
          <w:color w:val="auto"/>
        </w:rPr>
        <w:t>You are being asked to vote on the election of the three Class II Directors listed below. For additional information about each nominee’s background and experience, please see “</w:t>
      </w:r>
      <w:r>
        <w:rPr>
          <w:rFonts w:ascii="Arial" w:cs="Arial" w:eastAsia="Arial" w:hAnsi="Arial"/>
          <w:sz w:val="18"/>
          <w:szCs w:val="18"/>
          <w:i w:val="1"/>
          <w:iCs w:val="1"/>
          <w:color w:val="auto"/>
        </w:rPr>
        <w:t>Proposal 1 – Election of Directors</w:t>
      </w:r>
      <w:r>
        <w:rPr>
          <w:rFonts w:ascii="Arial" w:cs="Arial" w:eastAsia="Arial" w:hAnsi="Arial"/>
          <w:sz w:val="18"/>
          <w:szCs w:val="18"/>
          <w:color w:val="auto"/>
        </w:rPr>
        <w:t>” beginning on page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Name</w:t>
            </w:r>
          </w:p>
        </w:tc>
        <w:tc>
          <w:tcPr>
            <w:tcW w:w="820" w:type="dxa"/>
            <w:vAlign w:val="bottom"/>
            <w:tcBorders>
              <w:bottom w:val="single" w:sz="8" w:color="auto"/>
            </w:tcBorders>
          </w:tcPr>
          <w:p>
            <w:pPr>
              <w:jc w:val="center"/>
              <w:ind w:left="119"/>
              <w:spacing w:after="0"/>
              <w:rPr>
                <w:sz w:val="20"/>
                <w:szCs w:val="20"/>
                <w:color w:val="auto"/>
              </w:rPr>
            </w:pPr>
            <w:r>
              <w:rPr>
                <w:rFonts w:ascii="Arial" w:cs="Arial" w:eastAsia="Arial" w:hAnsi="Arial"/>
                <w:sz w:val="16"/>
                <w:szCs w:val="16"/>
                <w:b w:val="1"/>
                <w:bCs w:val="1"/>
                <w:color w:val="auto"/>
                <w:w w:val="99"/>
              </w:rPr>
              <w:t>Age</w:t>
            </w:r>
          </w:p>
        </w:tc>
        <w:tc>
          <w:tcPr>
            <w:tcW w:w="15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Director Since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Independent</w:t>
            </w:r>
          </w:p>
        </w:tc>
        <w:tc>
          <w:tcPr>
            <w:tcW w:w="350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Selected Skills &amp; Qualifications</w:t>
            </w:r>
          </w:p>
        </w:tc>
        <w:tc>
          <w:tcPr>
            <w:tcW w:w="20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Committees</w:t>
            </w:r>
          </w:p>
        </w:tc>
        <w:tc>
          <w:tcPr>
            <w:tcW w:w="0" w:type="dxa"/>
            <w:vAlign w:val="bottom"/>
          </w:tcPr>
          <w:p>
            <w:pPr>
              <w:spacing w:after="0"/>
              <w:rPr>
                <w:sz w:val="1"/>
                <w:szCs w:val="1"/>
                <w:color w:val="auto"/>
              </w:rPr>
            </w:pPr>
          </w:p>
        </w:tc>
      </w:tr>
      <w:tr>
        <w:trPr>
          <w:trHeight w:val="221"/>
        </w:trPr>
        <w:tc>
          <w:tcPr>
            <w:tcW w:w="1900" w:type="dxa"/>
            <w:vAlign w:val="bottom"/>
            <w:shd w:val="clear" w:color="auto" w:fill="DBE5F1"/>
          </w:tcPr>
          <w:p>
            <w:pPr>
              <w:ind w:left="80"/>
              <w:spacing w:after="0"/>
              <w:rPr>
                <w:sz w:val="20"/>
                <w:szCs w:val="20"/>
                <w:color w:val="auto"/>
              </w:rPr>
            </w:pPr>
            <w:r>
              <w:rPr>
                <w:rFonts w:ascii="Arial" w:cs="Arial" w:eastAsia="Arial" w:hAnsi="Arial"/>
                <w:sz w:val="16"/>
                <w:szCs w:val="16"/>
                <w:color w:val="auto"/>
              </w:rPr>
              <w:t>Jody Bilney</w:t>
            </w:r>
          </w:p>
        </w:tc>
        <w:tc>
          <w:tcPr>
            <w:tcW w:w="820" w:type="dxa"/>
            <w:vAlign w:val="bottom"/>
            <w:shd w:val="clear" w:color="auto" w:fill="DBE5F1"/>
          </w:tcPr>
          <w:p>
            <w:pPr>
              <w:jc w:val="center"/>
              <w:ind w:left="119"/>
              <w:spacing w:after="0"/>
              <w:rPr>
                <w:sz w:val="20"/>
                <w:szCs w:val="20"/>
                <w:color w:val="auto"/>
              </w:rPr>
            </w:pPr>
            <w:r>
              <w:rPr>
                <w:rFonts w:ascii="Arial" w:cs="Arial" w:eastAsia="Arial" w:hAnsi="Arial"/>
                <w:sz w:val="16"/>
                <w:szCs w:val="16"/>
                <w:color w:val="auto"/>
              </w:rPr>
              <w:t>64</w:t>
            </w:r>
          </w:p>
        </w:tc>
        <w:tc>
          <w:tcPr>
            <w:tcW w:w="1500" w:type="dxa"/>
            <w:vAlign w:val="bottom"/>
            <w:shd w:val="clear" w:color="auto" w:fill="DBE5F1"/>
          </w:tcPr>
          <w:p>
            <w:pPr>
              <w:jc w:val="center"/>
              <w:ind w:right="19"/>
              <w:spacing w:after="0"/>
              <w:rPr>
                <w:sz w:val="20"/>
                <w:szCs w:val="20"/>
                <w:color w:val="auto"/>
              </w:rPr>
            </w:pPr>
            <w:r>
              <w:rPr>
                <w:rFonts w:ascii="Arial" w:cs="Arial" w:eastAsia="Arial" w:hAnsi="Arial"/>
                <w:sz w:val="16"/>
                <w:szCs w:val="16"/>
                <w:color w:val="auto"/>
              </w:rPr>
              <w:t>2022</w:t>
            </w:r>
          </w:p>
        </w:tc>
        <w:tc>
          <w:tcPr>
            <w:tcW w:w="14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4"/>
              </w:rPr>
              <w:t>Yes</w:t>
            </w:r>
          </w:p>
        </w:tc>
        <w:tc>
          <w:tcPr>
            <w:tcW w:w="440" w:type="dxa"/>
            <w:vAlign w:val="bottom"/>
            <w:vMerge w:val="restart"/>
            <w:shd w:val="clear" w:color="auto" w:fill="DBE5F1"/>
          </w:tcPr>
          <w:p>
            <w:pPr>
              <w:ind w:left="240"/>
              <w:spacing w:after="0"/>
              <w:rPr>
                <w:sz w:val="20"/>
                <w:szCs w:val="20"/>
                <w:color w:val="auto"/>
              </w:rPr>
            </w:pPr>
            <w:r>
              <w:rPr>
                <w:rFonts w:ascii="Arial" w:cs="Arial" w:eastAsia="Arial" w:hAnsi="Arial"/>
                <w:sz w:val="16"/>
                <w:szCs w:val="16"/>
                <w:color w:val="auto"/>
              </w:rPr>
              <w:t>•</w:t>
            </w:r>
          </w:p>
        </w:tc>
        <w:tc>
          <w:tcPr>
            <w:tcW w:w="306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Executive Leadership</w:t>
            </w:r>
          </w:p>
        </w:tc>
        <w:tc>
          <w:tcPr>
            <w:tcW w:w="2080" w:type="dxa"/>
            <w:vAlign w:val="bottom"/>
            <w:shd w:val="clear" w:color="auto" w:fill="DBE5F1"/>
          </w:tcPr>
          <w:p>
            <w:pPr>
              <w:ind w:left="20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82"/>
        </w:trPr>
        <w:tc>
          <w:tcPr>
            <w:tcW w:w="1900" w:type="dxa"/>
            <w:vAlign w:val="bottom"/>
            <w:shd w:val="clear" w:color="auto" w:fill="DBE5F1"/>
          </w:tcPr>
          <w:p>
            <w:pPr>
              <w:spacing w:after="0"/>
              <w:rPr>
                <w:sz w:val="7"/>
                <w:szCs w:val="7"/>
                <w:color w:val="auto"/>
              </w:rPr>
            </w:pPr>
          </w:p>
        </w:tc>
        <w:tc>
          <w:tcPr>
            <w:tcW w:w="820" w:type="dxa"/>
            <w:vAlign w:val="bottom"/>
            <w:shd w:val="clear" w:color="auto" w:fill="DBE5F1"/>
          </w:tcPr>
          <w:p>
            <w:pPr>
              <w:spacing w:after="0"/>
              <w:rPr>
                <w:sz w:val="7"/>
                <w:szCs w:val="7"/>
                <w:color w:val="auto"/>
              </w:rPr>
            </w:pPr>
          </w:p>
        </w:tc>
        <w:tc>
          <w:tcPr>
            <w:tcW w:w="1500" w:type="dxa"/>
            <w:vAlign w:val="bottom"/>
            <w:shd w:val="clear" w:color="auto" w:fill="DBE5F1"/>
          </w:tcPr>
          <w:p>
            <w:pPr>
              <w:spacing w:after="0"/>
              <w:rPr>
                <w:sz w:val="7"/>
                <w:szCs w:val="7"/>
                <w:color w:val="auto"/>
              </w:rPr>
            </w:pPr>
          </w:p>
        </w:tc>
        <w:tc>
          <w:tcPr>
            <w:tcW w:w="1440" w:type="dxa"/>
            <w:vAlign w:val="bottom"/>
            <w:shd w:val="clear" w:color="auto" w:fill="DBE5F1"/>
          </w:tcPr>
          <w:p>
            <w:pPr>
              <w:spacing w:after="0"/>
              <w:rPr>
                <w:sz w:val="7"/>
                <w:szCs w:val="7"/>
                <w:color w:val="auto"/>
              </w:rPr>
            </w:pPr>
          </w:p>
        </w:tc>
        <w:tc>
          <w:tcPr>
            <w:tcW w:w="440" w:type="dxa"/>
            <w:vAlign w:val="bottom"/>
            <w:vMerge w:val="continue"/>
            <w:shd w:val="clear" w:color="auto" w:fill="DBE5F1"/>
          </w:tcPr>
          <w:p>
            <w:pPr>
              <w:spacing w:after="0"/>
              <w:rPr>
                <w:sz w:val="7"/>
                <w:szCs w:val="7"/>
                <w:color w:val="auto"/>
              </w:rPr>
            </w:pPr>
          </w:p>
        </w:tc>
        <w:tc>
          <w:tcPr>
            <w:tcW w:w="3060" w:type="dxa"/>
            <w:vAlign w:val="bottom"/>
            <w:vMerge w:val="continue"/>
            <w:shd w:val="clear" w:color="auto" w:fill="DBE5F1"/>
          </w:tcPr>
          <w:p>
            <w:pPr>
              <w:spacing w:after="0"/>
              <w:rPr>
                <w:sz w:val="7"/>
                <w:szCs w:val="7"/>
                <w:color w:val="auto"/>
              </w:rPr>
            </w:pPr>
          </w:p>
        </w:tc>
        <w:tc>
          <w:tcPr>
            <w:tcW w:w="208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900" w:type="dxa"/>
            <w:vAlign w:val="bottom"/>
            <w:shd w:val="clear" w:color="auto" w:fill="DBE5F1"/>
          </w:tcPr>
          <w:p>
            <w:pPr>
              <w:spacing w:after="0"/>
              <w:rPr>
                <w:sz w:val="17"/>
                <w:szCs w:val="17"/>
                <w:color w:val="auto"/>
              </w:rPr>
            </w:pPr>
          </w:p>
        </w:tc>
        <w:tc>
          <w:tcPr>
            <w:tcW w:w="820" w:type="dxa"/>
            <w:vAlign w:val="bottom"/>
            <w:shd w:val="clear" w:color="auto" w:fill="DBE5F1"/>
          </w:tcPr>
          <w:p>
            <w:pPr>
              <w:spacing w:after="0"/>
              <w:rPr>
                <w:sz w:val="17"/>
                <w:szCs w:val="17"/>
                <w:color w:val="auto"/>
              </w:rPr>
            </w:pPr>
          </w:p>
        </w:tc>
        <w:tc>
          <w:tcPr>
            <w:tcW w:w="1500" w:type="dxa"/>
            <w:vAlign w:val="bottom"/>
            <w:shd w:val="clear" w:color="auto" w:fill="DBE5F1"/>
          </w:tcPr>
          <w:p>
            <w:pPr>
              <w:spacing w:after="0"/>
              <w:rPr>
                <w:sz w:val="17"/>
                <w:szCs w:val="17"/>
                <w:color w:val="auto"/>
              </w:rPr>
            </w:pPr>
          </w:p>
        </w:tc>
        <w:tc>
          <w:tcPr>
            <w:tcW w:w="1440" w:type="dxa"/>
            <w:vAlign w:val="bottom"/>
            <w:shd w:val="clear" w:color="auto" w:fill="DBE5F1"/>
          </w:tcPr>
          <w:p>
            <w:pPr>
              <w:spacing w:after="0"/>
              <w:rPr>
                <w:sz w:val="17"/>
                <w:szCs w:val="17"/>
                <w:color w:val="auto"/>
              </w:rPr>
            </w:pPr>
          </w:p>
        </w:tc>
        <w:tc>
          <w:tcPr>
            <w:tcW w:w="3500" w:type="dxa"/>
            <w:vAlign w:val="bottom"/>
            <w:gridSpan w:val="2"/>
            <w:shd w:val="clear" w:color="auto" w:fill="DBE5F1"/>
          </w:tcPr>
          <w:p>
            <w:pPr>
              <w:ind w:left="240"/>
              <w:spacing w:after="0"/>
              <w:rPr>
                <w:sz w:val="20"/>
                <w:szCs w:val="20"/>
                <w:color w:val="auto"/>
              </w:rPr>
            </w:pPr>
            <w:r>
              <w:rPr>
                <w:rFonts w:ascii="Arial" w:cs="Arial" w:eastAsia="Arial" w:hAnsi="Arial"/>
                <w:sz w:val="16"/>
                <w:szCs w:val="16"/>
                <w:color w:val="auto"/>
              </w:rPr>
              <w:t>•   Health Care Industry Experience</w:t>
            </w:r>
          </w:p>
        </w:tc>
        <w:tc>
          <w:tcPr>
            <w:tcW w:w="20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DBE5F1"/>
          </w:tcPr>
          <w:p>
            <w:pPr>
              <w:spacing w:after="0"/>
              <w:rPr>
                <w:sz w:val="16"/>
                <w:szCs w:val="16"/>
                <w:color w:val="auto"/>
              </w:rPr>
            </w:pPr>
          </w:p>
        </w:tc>
        <w:tc>
          <w:tcPr>
            <w:tcW w:w="820" w:type="dxa"/>
            <w:vAlign w:val="bottom"/>
            <w:shd w:val="clear" w:color="auto" w:fill="DBE5F1"/>
          </w:tcPr>
          <w:p>
            <w:pPr>
              <w:spacing w:after="0"/>
              <w:rPr>
                <w:sz w:val="16"/>
                <w:szCs w:val="16"/>
                <w:color w:val="auto"/>
              </w:rPr>
            </w:pPr>
          </w:p>
        </w:tc>
        <w:tc>
          <w:tcPr>
            <w:tcW w:w="1500" w:type="dxa"/>
            <w:vAlign w:val="bottom"/>
            <w:shd w:val="clear" w:color="auto" w:fill="DBE5F1"/>
          </w:tcPr>
          <w:p>
            <w:pPr>
              <w:spacing w:after="0"/>
              <w:rPr>
                <w:sz w:val="16"/>
                <w:szCs w:val="16"/>
                <w:color w:val="auto"/>
              </w:rPr>
            </w:pPr>
          </w:p>
        </w:tc>
        <w:tc>
          <w:tcPr>
            <w:tcW w:w="1440" w:type="dxa"/>
            <w:vAlign w:val="bottom"/>
            <w:shd w:val="clear" w:color="auto" w:fill="DBE5F1"/>
          </w:tcPr>
          <w:p>
            <w:pPr>
              <w:spacing w:after="0"/>
              <w:rPr>
                <w:sz w:val="16"/>
                <w:szCs w:val="16"/>
                <w:color w:val="auto"/>
              </w:rPr>
            </w:pPr>
          </w:p>
        </w:tc>
        <w:tc>
          <w:tcPr>
            <w:tcW w:w="440" w:type="dxa"/>
            <w:vAlign w:val="bottom"/>
            <w:shd w:val="clear" w:color="auto" w:fill="DBE5F1"/>
          </w:tcPr>
          <w:p>
            <w:pPr>
              <w:ind w:left="240"/>
              <w:spacing w:after="0"/>
              <w:rPr>
                <w:sz w:val="20"/>
                <w:szCs w:val="20"/>
                <w:color w:val="auto"/>
              </w:rPr>
            </w:pPr>
            <w:r>
              <w:rPr>
                <w:rFonts w:ascii="Arial" w:cs="Arial" w:eastAsia="Arial" w:hAnsi="Arial"/>
                <w:sz w:val="16"/>
                <w:szCs w:val="16"/>
                <w:color w:val="auto"/>
              </w:rPr>
              <w:t>•</w:t>
            </w:r>
          </w:p>
        </w:tc>
        <w:tc>
          <w:tcPr>
            <w:tcW w:w="30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Audit Committee Experience</w:t>
            </w:r>
          </w:p>
        </w:tc>
        <w:tc>
          <w:tcPr>
            <w:tcW w:w="20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900" w:type="dxa"/>
            <w:vAlign w:val="bottom"/>
            <w:shd w:val="clear" w:color="auto" w:fill="DBE5F1"/>
          </w:tcPr>
          <w:p>
            <w:pPr>
              <w:spacing w:after="0"/>
              <w:rPr>
                <w:sz w:val="18"/>
                <w:szCs w:val="18"/>
                <w:color w:val="auto"/>
              </w:rPr>
            </w:pPr>
          </w:p>
        </w:tc>
        <w:tc>
          <w:tcPr>
            <w:tcW w:w="820" w:type="dxa"/>
            <w:vAlign w:val="bottom"/>
            <w:shd w:val="clear" w:color="auto" w:fill="DBE5F1"/>
          </w:tcPr>
          <w:p>
            <w:pPr>
              <w:spacing w:after="0"/>
              <w:rPr>
                <w:sz w:val="18"/>
                <w:szCs w:val="18"/>
                <w:color w:val="auto"/>
              </w:rPr>
            </w:pPr>
          </w:p>
        </w:tc>
        <w:tc>
          <w:tcPr>
            <w:tcW w:w="1500" w:type="dxa"/>
            <w:vAlign w:val="bottom"/>
            <w:shd w:val="clear" w:color="auto" w:fill="DBE5F1"/>
          </w:tcPr>
          <w:p>
            <w:pPr>
              <w:spacing w:after="0"/>
              <w:rPr>
                <w:sz w:val="18"/>
                <w:szCs w:val="18"/>
                <w:color w:val="auto"/>
              </w:rPr>
            </w:pPr>
          </w:p>
        </w:tc>
        <w:tc>
          <w:tcPr>
            <w:tcW w:w="1440" w:type="dxa"/>
            <w:vAlign w:val="bottom"/>
            <w:shd w:val="clear" w:color="auto" w:fill="DBE5F1"/>
          </w:tcPr>
          <w:p>
            <w:pPr>
              <w:spacing w:after="0"/>
              <w:rPr>
                <w:sz w:val="18"/>
                <w:szCs w:val="18"/>
                <w:color w:val="auto"/>
              </w:rPr>
            </w:pPr>
          </w:p>
        </w:tc>
        <w:tc>
          <w:tcPr>
            <w:tcW w:w="3500" w:type="dxa"/>
            <w:vAlign w:val="bottom"/>
            <w:gridSpan w:val="2"/>
            <w:shd w:val="clear" w:color="auto" w:fill="DBE5F1"/>
          </w:tcPr>
          <w:p>
            <w:pPr>
              <w:ind w:left="240"/>
              <w:spacing w:after="0"/>
              <w:rPr>
                <w:sz w:val="20"/>
                <w:szCs w:val="20"/>
                <w:color w:val="auto"/>
              </w:rPr>
            </w:pPr>
            <w:r>
              <w:rPr>
                <w:rFonts w:ascii="Arial" w:cs="Arial" w:eastAsia="Arial" w:hAnsi="Arial"/>
                <w:sz w:val="16"/>
                <w:szCs w:val="16"/>
                <w:color w:val="auto"/>
              </w:rPr>
              <w:t>•   Direct Consumer Markets Experience</w:t>
            </w:r>
          </w:p>
        </w:tc>
        <w:tc>
          <w:tcPr>
            <w:tcW w:w="20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1900" w:type="dxa"/>
            <w:vAlign w:val="bottom"/>
            <w:shd w:val="clear" w:color="auto" w:fill="DBE5F1"/>
          </w:tcPr>
          <w:p>
            <w:pPr>
              <w:spacing w:after="0"/>
              <w:rPr>
                <w:sz w:val="11"/>
                <w:szCs w:val="11"/>
                <w:color w:val="auto"/>
              </w:rPr>
            </w:pPr>
          </w:p>
        </w:tc>
        <w:tc>
          <w:tcPr>
            <w:tcW w:w="820" w:type="dxa"/>
            <w:vAlign w:val="bottom"/>
            <w:shd w:val="clear" w:color="auto" w:fill="DBE5F1"/>
          </w:tcPr>
          <w:p>
            <w:pPr>
              <w:spacing w:after="0"/>
              <w:rPr>
                <w:sz w:val="11"/>
                <w:szCs w:val="11"/>
                <w:color w:val="auto"/>
              </w:rPr>
            </w:pPr>
          </w:p>
        </w:tc>
        <w:tc>
          <w:tcPr>
            <w:tcW w:w="1500" w:type="dxa"/>
            <w:vAlign w:val="bottom"/>
            <w:shd w:val="clear" w:color="auto" w:fill="DBE5F1"/>
          </w:tcPr>
          <w:p>
            <w:pPr>
              <w:spacing w:after="0"/>
              <w:rPr>
                <w:sz w:val="11"/>
                <w:szCs w:val="11"/>
                <w:color w:val="auto"/>
              </w:rPr>
            </w:pPr>
          </w:p>
        </w:tc>
        <w:tc>
          <w:tcPr>
            <w:tcW w:w="1440" w:type="dxa"/>
            <w:vAlign w:val="bottom"/>
            <w:shd w:val="clear" w:color="auto" w:fill="DBE5F1"/>
          </w:tcPr>
          <w:p>
            <w:pPr>
              <w:spacing w:after="0"/>
              <w:rPr>
                <w:sz w:val="11"/>
                <w:szCs w:val="11"/>
                <w:color w:val="auto"/>
              </w:rPr>
            </w:pPr>
          </w:p>
        </w:tc>
        <w:tc>
          <w:tcPr>
            <w:tcW w:w="440" w:type="dxa"/>
            <w:vAlign w:val="bottom"/>
            <w:shd w:val="clear" w:color="auto" w:fill="DBE5F1"/>
          </w:tcPr>
          <w:p>
            <w:pPr>
              <w:spacing w:after="0"/>
              <w:rPr>
                <w:sz w:val="11"/>
                <w:szCs w:val="11"/>
                <w:color w:val="auto"/>
              </w:rPr>
            </w:pPr>
          </w:p>
        </w:tc>
        <w:tc>
          <w:tcPr>
            <w:tcW w:w="3060" w:type="dxa"/>
            <w:vAlign w:val="bottom"/>
            <w:shd w:val="clear" w:color="auto" w:fill="DBE5F1"/>
          </w:tcPr>
          <w:p>
            <w:pPr>
              <w:spacing w:after="0"/>
              <w:rPr>
                <w:sz w:val="11"/>
                <w:szCs w:val="11"/>
                <w:color w:val="auto"/>
              </w:rPr>
            </w:pPr>
          </w:p>
        </w:tc>
        <w:tc>
          <w:tcPr>
            <w:tcW w:w="208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80"/>
              <w:spacing w:after="0" w:line="162" w:lineRule="exact"/>
              <w:rPr>
                <w:sz w:val="20"/>
                <w:szCs w:val="20"/>
                <w:color w:val="auto"/>
              </w:rPr>
            </w:pPr>
            <w:r>
              <w:rPr>
                <w:rFonts w:ascii="Arial" w:cs="Arial" w:eastAsia="Arial" w:hAnsi="Arial"/>
                <w:sz w:val="16"/>
                <w:szCs w:val="16"/>
                <w:color w:val="auto"/>
              </w:rPr>
              <w:t>David Hodgson</w:t>
            </w:r>
          </w:p>
        </w:tc>
        <w:tc>
          <w:tcPr>
            <w:tcW w:w="820" w:type="dxa"/>
            <w:vAlign w:val="bottom"/>
          </w:tcPr>
          <w:p>
            <w:pPr>
              <w:jc w:val="center"/>
              <w:ind w:left="119"/>
              <w:spacing w:after="0" w:line="162" w:lineRule="exact"/>
              <w:rPr>
                <w:sz w:val="20"/>
                <w:szCs w:val="20"/>
                <w:color w:val="auto"/>
              </w:rPr>
            </w:pPr>
            <w:r>
              <w:rPr>
                <w:rFonts w:ascii="Arial" w:cs="Arial" w:eastAsia="Arial" w:hAnsi="Arial"/>
                <w:sz w:val="16"/>
                <w:szCs w:val="16"/>
                <w:color w:val="auto"/>
              </w:rPr>
              <w:t>69</w:t>
            </w:r>
          </w:p>
        </w:tc>
        <w:tc>
          <w:tcPr>
            <w:tcW w:w="1500" w:type="dxa"/>
            <w:vAlign w:val="bottom"/>
          </w:tcPr>
          <w:p>
            <w:pPr>
              <w:jc w:val="center"/>
              <w:ind w:right="19"/>
              <w:spacing w:after="0" w:line="162" w:lineRule="exact"/>
              <w:rPr>
                <w:sz w:val="20"/>
                <w:szCs w:val="20"/>
                <w:color w:val="auto"/>
              </w:rPr>
            </w:pPr>
            <w:r>
              <w:rPr>
                <w:rFonts w:ascii="Arial" w:cs="Arial" w:eastAsia="Arial" w:hAnsi="Arial"/>
                <w:sz w:val="16"/>
                <w:szCs w:val="16"/>
                <w:color w:val="auto"/>
              </w:rPr>
              <w:t>2018</w:t>
            </w:r>
          </w:p>
        </w:tc>
        <w:tc>
          <w:tcPr>
            <w:tcW w:w="1440" w:type="dxa"/>
            <w:vAlign w:val="bottom"/>
          </w:tcPr>
          <w:p>
            <w:pPr>
              <w:jc w:val="center"/>
              <w:spacing w:after="0" w:line="162" w:lineRule="exact"/>
              <w:rPr>
                <w:sz w:val="20"/>
                <w:szCs w:val="20"/>
                <w:color w:val="auto"/>
              </w:rPr>
            </w:pPr>
            <w:r>
              <w:rPr>
                <w:rFonts w:ascii="Arial" w:cs="Arial" w:eastAsia="Arial" w:hAnsi="Arial"/>
                <w:sz w:val="16"/>
                <w:szCs w:val="16"/>
                <w:color w:val="auto"/>
                <w:w w:val="94"/>
              </w:rPr>
              <w:t>Yes</w:t>
            </w:r>
          </w:p>
        </w:tc>
        <w:tc>
          <w:tcPr>
            <w:tcW w:w="440" w:type="dxa"/>
            <w:vAlign w:val="bottom"/>
            <w:vMerge w:val="restart"/>
          </w:tcPr>
          <w:p>
            <w:pPr>
              <w:ind w:left="240"/>
              <w:spacing w:after="0"/>
              <w:rPr>
                <w:sz w:val="20"/>
                <w:szCs w:val="20"/>
                <w:color w:val="auto"/>
              </w:rPr>
            </w:pPr>
            <w:r>
              <w:rPr>
                <w:rFonts w:ascii="Arial" w:cs="Arial" w:eastAsia="Arial" w:hAnsi="Arial"/>
                <w:sz w:val="16"/>
                <w:szCs w:val="16"/>
                <w:color w:val="auto"/>
              </w:rPr>
              <w:t>•</w:t>
            </w:r>
          </w:p>
        </w:tc>
        <w:tc>
          <w:tcPr>
            <w:tcW w:w="3060" w:type="dxa"/>
            <w:vAlign w:val="bottom"/>
            <w:vMerge w:val="restart"/>
          </w:tcPr>
          <w:p>
            <w:pPr>
              <w:ind w:left="120"/>
              <w:spacing w:after="0"/>
              <w:rPr>
                <w:sz w:val="20"/>
                <w:szCs w:val="20"/>
                <w:color w:val="auto"/>
              </w:rPr>
            </w:pPr>
            <w:r>
              <w:rPr>
                <w:rFonts w:ascii="Arial" w:cs="Arial" w:eastAsia="Arial" w:hAnsi="Arial"/>
                <w:sz w:val="16"/>
                <w:szCs w:val="16"/>
                <w:color w:val="auto"/>
              </w:rPr>
              <w:t>Nominating / Governance Experience</w:t>
            </w:r>
          </w:p>
        </w:tc>
        <w:tc>
          <w:tcPr>
            <w:tcW w:w="2080" w:type="dxa"/>
            <w:vAlign w:val="bottom"/>
          </w:tcPr>
          <w:p>
            <w:pPr>
              <w:ind w:left="200"/>
              <w:spacing w:after="0" w:line="162" w:lineRule="exact"/>
              <w:rPr>
                <w:sz w:val="20"/>
                <w:szCs w:val="20"/>
                <w:color w:val="auto"/>
              </w:rPr>
            </w:pPr>
            <w:r>
              <w:rPr>
                <w:rFonts w:ascii="Arial" w:cs="Arial" w:eastAsia="Arial" w:hAnsi="Arial"/>
                <w:sz w:val="16"/>
                <w:szCs w:val="16"/>
                <w:color w:val="auto"/>
              </w:rPr>
              <w:t>Nominating, Corporate</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2080" w:type="dxa"/>
            <w:vAlign w:val="bottom"/>
          </w:tcPr>
          <w:p>
            <w:pPr>
              <w:ind w:left="200"/>
              <w:spacing w:after="0" w:line="162" w:lineRule="exact"/>
              <w:rPr>
                <w:sz w:val="20"/>
                <w:szCs w:val="20"/>
                <w:color w:val="auto"/>
              </w:rPr>
            </w:pPr>
            <w:r>
              <w:rPr>
                <w:rFonts w:ascii="Arial" w:cs="Arial" w:eastAsia="Arial" w:hAnsi="Arial"/>
                <w:sz w:val="16"/>
                <w:szCs w:val="16"/>
                <w:color w:val="auto"/>
              </w:rPr>
              <w:t>Governance and</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ind w:left="240"/>
              <w:spacing w:after="0" w:line="162" w:lineRule="exact"/>
              <w:rPr>
                <w:sz w:val="20"/>
                <w:szCs w:val="20"/>
                <w:color w:val="auto"/>
              </w:rPr>
            </w:pPr>
            <w:r>
              <w:rPr>
                <w:rFonts w:ascii="Arial" w:cs="Arial" w:eastAsia="Arial" w:hAnsi="Arial"/>
                <w:sz w:val="16"/>
                <w:szCs w:val="16"/>
                <w:color w:val="auto"/>
              </w:rPr>
              <w:t>•</w:t>
            </w:r>
          </w:p>
        </w:tc>
        <w:tc>
          <w:tcPr>
            <w:tcW w:w="3060" w:type="dxa"/>
            <w:vAlign w:val="bottom"/>
          </w:tcPr>
          <w:p>
            <w:pPr>
              <w:ind w:left="120"/>
              <w:spacing w:after="0" w:line="162" w:lineRule="exact"/>
              <w:rPr>
                <w:sz w:val="20"/>
                <w:szCs w:val="20"/>
                <w:color w:val="auto"/>
              </w:rPr>
            </w:pPr>
            <w:r>
              <w:rPr>
                <w:rFonts w:ascii="Arial" w:cs="Arial" w:eastAsia="Arial" w:hAnsi="Arial"/>
                <w:sz w:val="16"/>
                <w:szCs w:val="16"/>
                <w:color w:val="auto"/>
              </w:rPr>
              <w:t>Health Care Industry Experience</w:t>
            </w:r>
          </w:p>
        </w:tc>
        <w:tc>
          <w:tcPr>
            <w:tcW w:w="2080" w:type="dxa"/>
            <w:vAlign w:val="bottom"/>
          </w:tcPr>
          <w:p>
            <w:pPr>
              <w:ind w:left="200"/>
              <w:spacing w:after="0" w:line="162" w:lineRule="exact"/>
              <w:rPr>
                <w:sz w:val="20"/>
                <w:szCs w:val="20"/>
                <w:color w:val="auto"/>
              </w:rPr>
            </w:pPr>
            <w:r>
              <w:rPr>
                <w:rFonts w:ascii="Arial" w:cs="Arial" w:eastAsia="Arial" w:hAnsi="Arial"/>
                <w:sz w:val="16"/>
                <w:szCs w:val="16"/>
                <w:color w:val="auto"/>
              </w:rPr>
              <w:t>Compliance ("NCGCC")</w:t>
            </w:r>
          </w:p>
        </w:tc>
        <w:tc>
          <w:tcPr>
            <w:tcW w:w="0" w:type="dxa"/>
            <w:vAlign w:val="bottom"/>
          </w:tcPr>
          <w:p>
            <w:pPr>
              <w:spacing w:after="0"/>
              <w:rPr>
                <w:sz w:val="1"/>
                <w:szCs w:val="1"/>
                <w:color w:val="auto"/>
              </w:rPr>
            </w:pPr>
          </w:p>
        </w:tc>
      </w:tr>
      <w:tr>
        <w:trPr>
          <w:trHeight w:val="249"/>
        </w:trPr>
        <w:tc>
          <w:tcPr>
            <w:tcW w:w="1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40" w:type="dxa"/>
            <w:vAlign w:val="bottom"/>
          </w:tcPr>
          <w:p>
            <w:pPr>
              <w:ind w:left="240"/>
              <w:spacing w:after="0"/>
              <w:rPr>
                <w:sz w:val="20"/>
                <w:szCs w:val="20"/>
                <w:color w:val="auto"/>
              </w:rPr>
            </w:pPr>
            <w:r>
              <w:rPr>
                <w:rFonts w:ascii="Arial" w:cs="Arial" w:eastAsia="Arial" w:hAnsi="Arial"/>
                <w:sz w:val="16"/>
                <w:szCs w:val="16"/>
                <w:color w:val="auto"/>
              </w:rPr>
              <w:t>•</w:t>
            </w:r>
          </w:p>
        </w:tc>
        <w:tc>
          <w:tcPr>
            <w:tcW w:w="3060" w:type="dxa"/>
            <w:vAlign w:val="bottom"/>
          </w:tcPr>
          <w:p>
            <w:pPr>
              <w:ind w:left="120"/>
              <w:spacing w:after="0"/>
              <w:rPr>
                <w:sz w:val="20"/>
                <w:szCs w:val="20"/>
                <w:color w:val="auto"/>
              </w:rPr>
            </w:pPr>
            <w:r>
              <w:rPr>
                <w:rFonts w:ascii="Arial" w:cs="Arial" w:eastAsia="Arial" w:hAnsi="Arial"/>
                <w:sz w:val="16"/>
                <w:szCs w:val="16"/>
                <w:color w:val="auto"/>
              </w:rPr>
              <w:t>Capital Markets</w:t>
            </w:r>
          </w:p>
        </w:tc>
        <w:tc>
          <w:tcPr>
            <w:tcW w:w="2080" w:type="dxa"/>
            <w:vAlign w:val="bottom"/>
          </w:tcPr>
          <w:p>
            <w:pPr>
              <w:ind w:left="200"/>
              <w:spacing w:after="0"/>
              <w:rPr>
                <w:sz w:val="20"/>
                <w:szCs w:val="20"/>
                <w:color w:val="auto"/>
              </w:rPr>
            </w:pPr>
            <w:r>
              <w:rPr>
                <w:rFonts w:ascii="Arial" w:cs="Arial" w:eastAsia="Arial" w:hAnsi="Arial"/>
                <w:sz w:val="16"/>
                <w:szCs w:val="16"/>
                <w:color w:val="auto"/>
              </w:rPr>
              <w:t>(Chair)</w:t>
            </w:r>
          </w:p>
        </w:tc>
        <w:tc>
          <w:tcPr>
            <w:tcW w:w="0" w:type="dxa"/>
            <w:vAlign w:val="bottom"/>
          </w:tcPr>
          <w:p>
            <w:pPr>
              <w:spacing w:after="0"/>
              <w:rPr>
                <w:sz w:val="1"/>
                <w:szCs w:val="1"/>
                <w:color w:val="auto"/>
              </w:rPr>
            </w:pPr>
          </w:p>
        </w:tc>
      </w:tr>
      <w:tr>
        <w:trPr>
          <w:trHeight w:val="235"/>
        </w:trPr>
        <w:tc>
          <w:tcPr>
            <w:tcW w:w="1900" w:type="dxa"/>
            <w:vAlign w:val="bottom"/>
            <w:shd w:val="clear" w:color="auto" w:fill="DBE5F1"/>
          </w:tcPr>
          <w:p>
            <w:pPr>
              <w:ind w:left="80"/>
              <w:spacing w:after="0"/>
              <w:rPr>
                <w:sz w:val="20"/>
                <w:szCs w:val="20"/>
                <w:color w:val="auto"/>
              </w:rPr>
            </w:pPr>
            <w:r>
              <w:rPr>
                <w:rFonts w:ascii="Arial" w:cs="Arial" w:eastAsia="Arial" w:hAnsi="Arial"/>
                <w:sz w:val="16"/>
                <w:szCs w:val="16"/>
                <w:color w:val="auto"/>
              </w:rPr>
              <w:t>Jacqueline Kosecoff</w:t>
            </w:r>
          </w:p>
        </w:tc>
        <w:tc>
          <w:tcPr>
            <w:tcW w:w="820" w:type="dxa"/>
            <w:vAlign w:val="bottom"/>
            <w:shd w:val="clear" w:color="auto" w:fill="DBE5F1"/>
          </w:tcPr>
          <w:p>
            <w:pPr>
              <w:jc w:val="center"/>
              <w:ind w:left="119"/>
              <w:spacing w:after="0"/>
              <w:rPr>
                <w:sz w:val="20"/>
                <w:szCs w:val="20"/>
                <w:color w:val="auto"/>
              </w:rPr>
            </w:pPr>
            <w:r>
              <w:rPr>
                <w:rFonts w:ascii="Arial" w:cs="Arial" w:eastAsia="Arial" w:hAnsi="Arial"/>
                <w:sz w:val="16"/>
                <w:szCs w:val="16"/>
                <w:color w:val="auto"/>
              </w:rPr>
              <w:t>76</w:t>
            </w:r>
          </w:p>
        </w:tc>
        <w:tc>
          <w:tcPr>
            <w:tcW w:w="1500" w:type="dxa"/>
            <w:vAlign w:val="bottom"/>
            <w:shd w:val="clear" w:color="auto" w:fill="DBE5F1"/>
          </w:tcPr>
          <w:p>
            <w:pPr>
              <w:jc w:val="center"/>
              <w:ind w:right="19"/>
              <w:spacing w:after="0"/>
              <w:rPr>
                <w:sz w:val="20"/>
                <w:szCs w:val="20"/>
                <w:color w:val="auto"/>
              </w:rPr>
            </w:pPr>
            <w:r>
              <w:rPr>
                <w:rFonts w:ascii="Arial" w:cs="Arial" w:eastAsia="Arial" w:hAnsi="Arial"/>
                <w:sz w:val="16"/>
                <w:szCs w:val="16"/>
                <w:color w:val="auto"/>
              </w:rPr>
              <w:t>2017</w:t>
            </w:r>
          </w:p>
        </w:tc>
        <w:tc>
          <w:tcPr>
            <w:tcW w:w="14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4"/>
              </w:rPr>
              <w:t>Yes</w:t>
            </w:r>
          </w:p>
        </w:tc>
        <w:tc>
          <w:tcPr>
            <w:tcW w:w="440" w:type="dxa"/>
            <w:vAlign w:val="bottom"/>
            <w:vMerge w:val="restart"/>
            <w:shd w:val="clear" w:color="auto" w:fill="DBE5F1"/>
          </w:tcPr>
          <w:p>
            <w:pPr>
              <w:ind w:left="240"/>
              <w:spacing w:after="0"/>
              <w:rPr>
                <w:sz w:val="20"/>
                <w:szCs w:val="20"/>
                <w:color w:val="auto"/>
              </w:rPr>
            </w:pPr>
            <w:r>
              <w:rPr>
                <w:rFonts w:ascii="Arial" w:cs="Arial" w:eastAsia="Arial" w:hAnsi="Arial"/>
                <w:sz w:val="16"/>
                <w:szCs w:val="16"/>
                <w:color w:val="auto"/>
              </w:rPr>
              <w:t>•</w:t>
            </w:r>
          </w:p>
        </w:tc>
        <w:tc>
          <w:tcPr>
            <w:tcW w:w="306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Executive Leadership</w:t>
            </w:r>
          </w:p>
        </w:tc>
        <w:tc>
          <w:tcPr>
            <w:tcW w:w="2080" w:type="dxa"/>
            <w:vAlign w:val="bottom"/>
            <w:shd w:val="clear" w:color="auto" w:fill="DBE5F1"/>
          </w:tcPr>
          <w:p>
            <w:pPr>
              <w:ind w:left="200"/>
              <w:spacing w:after="0"/>
              <w:rPr>
                <w:sz w:val="20"/>
                <w:szCs w:val="20"/>
                <w:color w:val="auto"/>
              </w:rPr>
            </w:pPr>
            <w:r>
              <w:rPr>
                <w:rFonts w:ascii="Arial" w:cs="Arial" w:eastAsia="Arial" w:hAnsi="Arial"/>
                <w:sz w:val="16"/>
                <w:szCs w:val="16"/>
                <w:color w:val="auto"/>
              </w:rPr>
              <w:t>Compensation (Chair)</w:t>
            </w:r>
          </w:p>
        </w:tc>
        <w:tc>
          <w:tcPr>
            <w:tcW w:w="0" w:type="dxa"/>
            <w:vAlign w:val="bottom"/>
          </w:tcPr>
          <w:p>
            <w:pPr>
              <w:spacing w:after="0"/>
              <w:rPr>
                <w:sz w:val="1"/>
                <w:szCs w:val="1"/>
                <w:color w:val="auto"/>
              </w:rPr>
            </w:pPr>
          </w:p>
        </w:tc>
      </w:tr>
      <w:tr>
        <w:trPr>
          <w:trHeight w:val="108"/>
        </w:trPr>
        <w:tc>
          <w:tcPr>
            <w:tcW w:w="1900" w:type="dxa"/>
            <w:vAlign w:val="bottom"/>
            <w:shd w:val="clear" w:color="auto" w:fill="DBE5F1"/>
          </w:tcPr>
          <w:p>
            <w:pPr>
              <w:spacing w:after="0"/>
              <w:rPr>
                <w:sz w:val="9"/>
                <w:szCs w:val="9"/>
                <w:color w:val="auto"/>
              </w:rPr>
            </w:pPr>
          </w:p>
        </w:tc>
        <w:tc>
          <w:tcPr>
            <w:tcW w:w="820" w:type="dxa"/>
            <w:vAlign w:val="bottom"/>
            <w:shd w:val="clear" w:color="auto" w:fill="DBE5F1"/>
          </w:tcPr>
          <w:p>
            <w:pPr>
              <w:spacing w:after="0"/>
              <w:rPr>
                <w:sz w:val="9"/>
                <w:szCs w:val="9"/>
                <w:color w:val="auto"/>
              </w:rPr>
            </w:pPr>
          </w:p>
        </w:tc>
        <w:tc>
          <w:tcPr>
            <w:tcW w:w="1500" w:type="dxa"/>
            <w:vAlign w:val="bottom"/>
            <w:shd w:val="clear" w:color="auto" w:fill="DBE5F1"/>
          </w:tcPr>
          <w:p>
            <w:pPr>
              <w:spacing w:after="0"/>
              <w:rPr>
                <w:sz w:val="9"/>
                <w:szCs w:val="9"/>
                <w:color w:val="auto"/>
              </w:rPr>
            </w:pPr>
          </w:p>
        </w:tc>
        <w:tc>
          <w:tcPr>
            <w:tcW w:w="1440" w:type="dxa"/>
            <w:vAlign w:val="bottom"/>
            <w:shd w:val="clear" w:color="auto" w:fill="DBE5F1"/>
          </w:tcPr>
          <w:p>
            <w:pPr>
              <w:spacing w:after="0"/>
              <w:rPr>
                <w:sz w:val="9"/>
                <w:szCs w:val="9"/>
                <w:color w:val="auto"/>
              </w:rPr>
            </w:pPr>
          </w:p>
        </w:tc>
        <w:tc>
          <w:tcPr>
            <w:tcW w:w="440" w:type="dxa"/>
            <w:vAlign w:val="bottom"/>
            <w:vMerge w:val="continue"/>
            <w:shd w:val="clear" w:color="auto" w:fill="DBE5F1"/>
          </w:tcPr>
          <w:p>
            <w:pPr>
              <w:spacing w:after="0"/>
              <w:rPr>
                <w:sz w:val="9"/>
                <w:szCs w:val="9"/>
                <w:color w:val="auto"/>
              </w:rPr>
            </w:pPr>
          </w:p>
        </w:tc>
        <w:tc>
          <w:tcPr>
            <w:tcW w:w="3060" w:type="dxa"/>
            <w:vAlign w:val="bottom"/>
            <w:vMerge w:val="continue"/>
            <w:shd w:val="clear" w:color="auto" w:fill="DBE5F1"/>
          </w:tcPr>
          <w:p>
            <w:pPr>
              <w:spacing w:after="0"/>
              <w:rPr>
                <w:sz w:val="9"/>
                <w:szCs w:val="9"/>
                <w:color w:val="auto"/>
              </w:rPr>
            </w:pPr>
          </w:p>
        </w:tc>
        <w:tc>
          <w:tcPr>
            <w:tcW w:w="2080" w:type="dxa"/>
            <w:vAlign w:val="bottom"/>
            <w:vMerge w:val="restart"/>
            <w:shd w:val="clear" w:color="auto" w:fill="DBE5F1"/>
          </w:tcPr>
          <w:p>
            <w:pPr>
              <w:ind w:left="200"/>
              <w:spacing w:after="0"/>
              <w:rPr>
                <w:sz w:val="20"/>
                <w:szCs w:val="20"/>
                <w:color w:val="auto"/>
              </w:rPr>
            </w:pPr>
            <w:r>
              <w:rPr>
                <w:rFonts w:ascii="Arial" w:cs="Arial" w:eastAsia="Arial" w:hAnsi="Arial"/>
                <w:sz w:val="16"/>
                <w:szCs w:val="16"/>
                <w:color w:val="auto"/>
              </w:rPr>
              <w:t>NCGCC</w:t>
            </w:r>
          </w:p>
        </w:tc>
        <w:tc>
          <w:tcPr>
            <w:tcW w:w="0" w:type="dxa"/>
            <w:vAlign w:val="bottom"/>
          </w:tcPr>
          <w:p>
            <w:pPr>
              <w:spacing w:after="0"/>
              <w:rPr>
                <w:sz w:val="1"/>
                <w:szCs w:val="1"/>
                <w:color w:val="auto"/>
              </w:rPr>
            </w:pPr>
          </w:p>
        </w:tc>
      </w:tr>
      <w:tr>
        <w:trPr>
          <w:trHeight w:val="203"/>
        </w:trPr>
        <w:tc>
          <w:tcPr>
            <w:tcW w:w="1900" w:type="dxa"/>
            <w:vAlign w:val="bottom"/>
            <w:shd w:val="clear" w:color="auto" w:fill="DBE5F1"/>
          </w:tcPr>
          <w:p>
            <w:pPr>
              <w:spacing w:after="0"/>
              <w:rPr>
                <w:sz w:val="17"/>
                <w:szCs w:val="17"/>
                <w:color w:val="auto"/>
              </w:rPr>
            </w:pPr>
          </w:p>
        </w:tc>
        <w:tc>
          <w:tcPr>
            <w:tcW w:w="820" w:type="dxa"/>
            <w:vAlign w:val="bottom"/>
            <w:shd w:val="clear" w:color="auto" w:fill="DBE5F1"/>
          </w:tcPr>
          <w:p>
            <w:pPr>
              <w:spacing w:after="0"/>
              <w:rPr>
                <w:sz w:val="17"/>
                <w:szCs w:val="17"/>
                <w:color w:val="auto"/>
              </w:rPr>
            </w:pPr>
          </w:p>
        </w:tc>
        <w:tc>
          <w:tcPr>
            <w:tcW w:w="1500" w:type="dxa"/>
            <w:vAlign w:val="bottom"/>
            <w:shd w:val="clear" w:color="auto" w:fill="DBE5F1"/>
          </w:tcPr>
          <w:p>
            <w:pPr>
              <w:spacing w:after="0"/>
              <w:rPr>
                <w:sz w:val="17"/>
                <w:szCs w:val="17"/>
                <w:color w:val="auto"/>
              </w:rPr>
            </w:pPr>
          </w:p>
        </w:tc>
        <w:tc>
          <w:tcPr>
            <w:tcW w:w="1440" w:type="dxa"/>
            <w:vAlign w:val="bottom"/>
            <w:shd w:val="clear" w:color="auto" w:fill="DBE5F1"/>
          </w:tcPr>
          <w:p>
            <w:pPr>
              <w:spacing w:after="0"/>
              <w:rPr>
                <w:sz w:val="17"/>
                <w:szCs w:val="17"/>
                <w:color w:val="auto"/>
              </w:rPr>
            </w:pPr>
          </w:p>
        </w:tc>
        <w:tc>
          <w:tcPr>
            <w:tcW w:w="3500" w:type="dxa"/>
            <w:vAlign w:val="bottom"/>
            <w:gridSpan w:val="2"/>
            <w:vMerge w:val="restart"/>
            <w:shd w:val="clear" w:color="auto" w:fill="DBE5F1"/>
          </w:tcPr>
          <w:p>
            <w:pPr>
              <w:ind w:left="240"/>
              <w:spacing w:after="0"/>
              <w:rPr>
                <w:sz w:val="20"/>
                <w:szCs w:val="20"/>
                <w:color w:val="auto"/>
              </w:rPr>
            </w:pPr>
            <w:r>
              <w:rPr>
                <w:rFonts w:ascii="Arial" w:cs="Arial" w:eastAsia="Arial" w:hAnsi="Arial"/>
                <w:sz w:val="16"/>
                <w:szCs w:val="16"/>
                <w:color w:val="auto"/>
              </w:rPr>
              <w:t>•   Health Care Industry Experience</w:t>
            </w:r>
          </w:p>
        </w:tc>
        <w:tc>
          <w:tcPr>
            <w:tcW w:w="2080" w:type="dxa"/>
            <w:vAlign w:val="bottom"/>
            <w:vMerge w:val="continue"/>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1900" w:type="dxa"/>
            <w:vAlign w:val="bottom"/>
            <w:shd w:val="clear" w:color="auto" w:fill="DBE5F1"/>
          </w:tcPr>
          <w:p>
            <w:pPr>
              <w:spacing w:after="0"/>
              <w:rPr>
                <w:sz w:val="7"/>
                <w:szCs w:val="7"/>
                <w:color w:val="auto"/>
              </w:rPr>
            </w:pPr>
          </w:p>
        </w:tc>
        <w:tc>
          <w:tcPr>
            <w:tcW w:w="820" w:type="dxa"/>
            <w:vAlign w:val="bottom"/>
            <w:shd w:val="clear" w:color="auto" w:fill="DBE5F1"/>
          </w:tcPr>
          <w:p>
            <w:pPr>
              <w:spacing w:after="0"/>
              <w:rPr>
                <w:sz w:val="7"/>
                <w:szCs w:val="7"/>
                <w:color w:val="auto"/>
              </w:rPr>
            </w:pPr>
          </w:p>
        </w:tc>
        <w:tc>
          <w:tcPr>
            <w:tcW w:w="1500" w:type="dxa"/>
            <w:vAlign w:val="bottom"/>
            <w:shd w:val="clear" w:color="auto" w:fill="DBE5F1"/>
          </w:tcPr>
          <w:p>
            <w:pPr>
              <w:spacing w:after="0"/>
              <w:rPr>
                <w:sz w:val="7"/>
                <w:szCs w:val="7"/>
                <w:color w:val="auto"/>
              </w:rPr>
            </w:pPr>
          </w:p>
        </w:tc>
        <w:tc>
          <w:tcPr>
            <w:tcW w:w="1440" w:type="dxa"/>
            <w:vAlign w:val="bottom"/>
            <w:shd w:val="clear" w:color="auto" w:fill="DBE5F1"/>
          </w:tcPr>
          <w:p>
            <w:pPr>
              <w:spacing w:after="0"/>
              <w:rPr>
                <w:sz w:val="7"/>
                <w:szCs w:val="7"/>
                <w:color w:val="auto"/>
              </w:rPr>
            </w:pPr>
          </w:p>
        </w:tc>
        <w:tc>
          <w:tcPr>
            <w:tcW w:w="3500" w:type="dxa"/>
            <w:vAlign w:val="bottom"/>
            <w:gridSpan w:val="2"/>
            <w:vMerge w:val="continue"/>
            <w:shd w:val="clear" w:color="auto" w:fill="DBE5F1"/>
          </w:tcPr>
          <w:p>
            <w:pPr>
              <w:spacing w:after="0"/>
              <w:rPr>
                <w:sz w:val="7"/>
                <w:szCs w:val="7"/>
                <w:color w:val="auto"/>
              </w:rPr>
            </w:pPr>
          </w:p>
        </w:tc>
        <w:tc>
          <w:tcPr>
            <w:tcW w:w="208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DBE5F1"/>
          </w:tcPr>
          <w:p>
            <w:pPr>
              <w:spacing w:after="0"/>
              <w:rPr>
                <w:sz w:val="16"/>
                <w:szCs w:val="16"/>
                <w:color w:val="auto"/>
              </w:rPr>
            </w:pPr>
          </w:p>
        </w:tc>
        <w:tc>
          <w:tcPr>
            <w:tcW w:w="820" w:type="dxa"/>
            <w:vAlign w:val="bottom"/>
            <w:shd w:val="clear" w:color="auto" w:fill="DBE5F1"/>
          </w:tcPr>
          <w:p>
            <w:pPr>
              <w:spacing w:after="0"/>
              <w:rPr>
                <w:sz w:val="16"/>
                <w:szCs w:val="16"/>
                <w:color w:val="auto"/>
              </w:rPr>
            </w:pPr>
          </w:p>
        </w:tc>
        <w:tc>
          <w:tcPr>
            <w:tcW w:w="1500" w:type="dxa"/>
            <w:vAlign w:val="bottom"/>
            <w:shd w:val="clear" w:color="auto" w:fill="DBE5F1"/>
          </w:tcPr>
          <w:p>
            <w:pPr>
              <w:spacing w:after="0"/>
              <w:rPr>
                <w:sz w:val="16"/>
                <w:szCs w:val="16"/>
                <w:color w:val="auto"/>
              </w:rPr>
            </w:pPr>
          </w:p>
        </w:tc>
        <w:tc>
          <w:tcPr>
            <w:tcW w:w="1440" w:type="dxa"/>
            <w:vAlign w:val="bottom"/>
            <w:shd w:val="clear" w:color="auto" w:fill="DBE5F1"/>
          </w:tcPr>
          <w:p>
            <w:pPr>
              <w:spacing w:after="0"/>
              <w:rPr>
                <w:sz w:val="16"/>
                <w:szCs w:val="16"/>
                <w:color w:val="auto"/>
              </w:rPr>
            </w:pPr>
          </w:p>
        </w:tc>
        <w:tc>
          <w:tcPr>
            <w:tcW w:w="440" w:type="dxa"/>
            <w:vAlign w:val="bottom"/>
            <w:shd w:val="clear" w:color="auto" w:fill="DBE5F1"/>
          </w:tcPr>
          <w:p>
            <w:pPr>
              <w:ind w:left="240"/>
              <w:spacing w:after="0"/>
              <w:rPr>
                <w:sz w:val="20"/>
                <w:szCs w:val="20"/>
                <w:color w:val="auto"/>
              </w:rPr>
            </w:pPr>
            <w:r>
              <w:rPr>
                <w:rFonts w:ascii="Arial" w:cs="Arial" w:eastAsia="Arial" w:hAnsi="Arial"/>
                <w:sz w:val="16"/>
                <w:szCs w:val="16"/>
                <w:color w:val="auto"/>
              </w:rPr>
              <w:t>•</w:t>
            </w:r>
          </w:p>
        </w:tc>
        <w:tc>
          <w:tcPr>
            <w:tcW w:w="3060" w:type="dxa"/>
            <w:vAlign w:val="bottom"/>
            <w:shd w:val="clear" w:color="auto" w:fill="DBE5F1"/>
          </w:tcPr>
          <w:p>
            <w:pPr>
              <w:ind w:left="120"/>
              <w:spacing w:after="0"/>
              <w:rPr>
                <w:sz w:val="20"/>
                <w:szCs w:val="20"/>
                <w:color w:val="auto"/>
              </w:rPr>
            </w:pPr>
            <w:r>
              <w:rPr>
                <w:rFonts w:ascii="Arial" w:cs="Arial" w:eastAsia="Arial" w:hAnsi="Arial"/>
                <w:sz w:val="16"/>
                <w:szCs w:val="16"/>
                <w:color w:val="auto"/>
              </w:rPr>
              <w:t>Compensation Committee Experience</w:t>
            </w:r>
          </w:p>
        </w:tc>
        <w:tc>
          <w:tcPr>
            <w:tcW w:w="208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900" w:type="dxa"/>
            <w:vAlign w:val="bottom"/>
            <w:tcBorders>
              <w:bottom w:val="single" w:sz="8" w:color="DBE5F1"/>
            </w:tcBorders>
            <w:shd w:val="clear" w:color="auto" w:fill="DBE5F1"/>
          </w:tcPr>
          <w:p>
            <w:pPr>
              <w:spacing w:after="0"/>
              <w:rPr>
                <w:sz w:val="19"/>
                <w:szCs w:val="19"/>
                <w:color w:val="auto"/>
              </w:rPr>
            </w:pPr>
          </w:p>
        </w:tc>
        <w:tc>
          <w:tcPr>
            <w:tcW w:w="820" w:type="dxa"/>
            <w:vAlign w:val="bottom"/>
            <w:tcBorders>
              <w:bottom w:val="single" w:sz="8" w:color="DBE5F1"/>
            </w:tcBorders>
            <w:shd w:val="clear" w:color="auto" w:fill="DBE5F1"/>
          </w:tcPr>
          <w:p>
            <w:pPr>
              <w:spacing w:after="0"/>
              <w:rPr>
                <w:sz w:val="19"/>
                <w:szCs w:val="19"/>
                <w:color w:val="auto"/>
              </w:rPr>
            </w:pPr>
          </w:p>
        </w:tc>
        <w:tc>
          <w:tcPr>
            <w:tcW w:w="1500" w:type="dxa"/>
            <w:vAlign w:val="bottom"/>
            <w:tcBorders>
              <w:bottom w:val="single" w:sz="8" w:color="DBE5F1"/>
            </w:tcBorders>
            <w:shd w:val="clear" w:color="auto" w:fill="DBE5F1"/>
          </w:tcPr>
          <w:p>
            <w:pPr>
              <w:spacing w:after="0"/>
              <w:rPr>
                <w:sz w:val="19"/>
                <w:szCs w:val="19"/>
                <w:color w:val="auto"/>
              </w:rPr>
            </w:pPr>
          </w:p>
        </w:tc>
        <w:tc>
          <w:tcPr>
            <w:tcW w:w="1440" w:type="dxa"/>
            <w:vAlign w:val="bottom"/>
            <w:tcBorders>
              <w:bottom w:val="single" w:sz="8" w:color="DBE5F1"/>
            </w:tcBorders>
            <w:shd w:val="clear" w:color="auto" w:fill="DBE5F1"/>
          </w:tcPr>
          <w:p>
            <w:pPr>
              <w:spacing w:after="0"/>
              <w:rPr>
                <w:sz w:val="19"/>
                <w:szCs w:val="19"/>
                <w:color w:val="auto"/>
              </w:rPr>
            </w:pPr>
          </w:p>
        </w:tc>
        <w:tc>
          <w:tcPr>
            <w:tcW w:w="3500" w:type="dxa"/>
            <w:vAlign w:val="bottom"/>
            <w:tcBorders>
              <w:bottom w:val="single" w:sz="8" w:color="DBE5F1"/>
            </w:tcBorders>
            <w:gridSpan w:val="2"/>
            <w:shd w:val="clear" w:color="auto" w:fill="DBE5F1"/>
          </w:tcPr>
          <w:p>
            <w:pPr>
              <w:ind w:left="240"/>
              <w:spacing w:after="0"/>
              <w:rPr>
                <w:sz w:val="20"/>
                <w:szCs w:val="20"/>
                <w:color w:val="auto"/>
              </w:rPr>
            </w:pPr>
            <w:r>
              <w:rPr>
                <w:rFonts w:ascii="Arial" w:cs="Arial" w:eastAsia="Arial" w:hAnsi="Arial"/>
                <w:sz w:val="16"/>
                <w:szCs w:val="16"/>
                <w:color w:val="auto"/>
              </w:rPr>
              <w:t>•   Direct Consumer Markets Experience</w:t>
            </w:r>
          </w:p>
        </w:tc>
        <w:tc>
          <w:tcPr>
            <w:tcW w:w="2080" w:type="dxa"/>
            <w:vAlign w:val="bottom"/>
            <w:tcBorders>
              <w:bottom w:val="single" w:sz="8" w:color="DBE5F1"/>
            </w:tcBorders>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95B3D7"/>
          </w:tcPr>
          <w:p>
            <w:pPr>
              <w:spacing w:after="0" w:line="20" w:lineRule="exact"/>
              <w:rPr>
                <w:sz w:val="1"/>
                <w:szCs w:val="1"/>
                <w:color w:val="auto"/>
              </w:rPr>
            </w:pPr>
          </w:p>
        </w:tc>
        <w:tc>
          <w:tcPr>
            <w:tcW w:w="820" w:type="dxa"/>
            <w:vAlign w:val="bottom"/>
            <w:shd w:val="clear" w:color="auto" w:fill="95B3D7"/>
          </w:tcPr>
          <w:p>
            <w:pPr>
              <w:spacing w:after="0" w:line="20" w:lineRule="exact"/>
              <w:rPr>
                <w:sz w:val="1"/>
                <w:szCs w:val="1"/>
                <w:color w:val="auto"/>
              </w:rPr>
            </w:pPr>
          </w:p>
        </w:tc>
        <w:tc>
          <w:tcPr>
            <w:tcW w:w="1500" w:type="dxa"/>
            <w:vAlign w:val="bottom"/>
            <w:shd w:val="clear" w:color="auto" w:fill="95B3D7"/>
          </w:tcPr>
          <w:p>
            <w:pPr>
              <w:spacing w:after="0" w:line="20" w:lineRule="exact"/>
              <w:rPr>
                <w:sz w:val="1"/>
                <w:szCs w:val="1"/>
                <w:color w:val="auto"/>
              </w:rPr>
            </w:pPr>
          </w:p>
        </w:tc>
        <w:tc>
          <w:tcPr>
            <w:tcW w:w="1440" w:type="dxa"/>
            <w:vAlign w:val="bottom"/>
            <w:shd w:val="clear" w:color="auto" w:fill="95B3D7"/>
          </w:tcPr>
          <w:p>
            <w:pPr>
              <w:spacing w:after="0" w:line="20" w:lineRule="exact"/>
              <w:rPr>
                <w:sz w:val="1"/>
                <w:szCs w:val="1"/>
                <w:color w:val="auto"/>
              </w:rPr>
            </w:pPr>
          </w:p>
        </w:tc>
        <w:tc>
          <w:tcPr>
            <w:tcW w:w="440" w:type="dxa"/>
            <w:vAlign w:val="bottom"/>
            <w:shd w:val="clear" w:color="auto" w:fill="95B3D7"/>
          </w:tcPr>
          <w:p>
            <w:pPr>
              <w:spacing w:after="0" w:line="20" w:lineRule="exact"/>
              <w:rPr>
                <w:sz w:val="1"/>
                <w:szCs w:val="1"/>
                <w:color w:val="auto"/>
              </w:rPr>
            </w:pPr>
          </w:p>
        </w:tc>
        <w:tc>
          <w:tcPr>
            <w:tcW w:w="3060" w:type="dxa"/>
            <w:vAlign w:val="bottom"/>
            <w:shd w:val="clear" w:color="auto" w:fill="95B3D7"/>
          </w:tcPr>
          <w:p>
            <w:pPr>
              <w:spacing w:after="0" w:line="20" w:lineRule="exact"/>
              <w:rPr>
                <w:sz w:val="1"/>
                <w:szCs w:val="1"/>
                <w:color w:val="auto"/>
              </w:rPr>
            </w:pPr>
          </w:p>
        </w:tc>
        <w:tc>
          <w:tcPr>
            <w:tcW w:w="208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Stockholder Engagement Highlights</w:t>
      </w:r>
    </w:p>
    <w:p>
      <w:pPr>
        <w:spacing w:after="0" w:line="104"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In 2025-26, we continued our robust stockholder engagement program. We proactively engage with stockholders and other stakeholders throughout the year to learn more about their perspectives on significant issues, including company performance and strategy, executive</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compensation and governance matters. We take feedback and insights from our engagement with stockholders and other stakeholders into consideration as we review and evolve our practices and disclosures, and share this feedback with our Board, as appropriate. For more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see “</w:t>
      </w:r>
      <w:r>
        <w:rPr>
          <w:rFonts w:ascii="Arial" w:cs="Arial" w:eastAsia="Arial" w:hAnsi="Arial"/>
          <w:sz w:val="18"/>
          <w:szCs w:val="18"/>
          <w:i w:val="1"/>
          <w:iCs w:val="1"/>
          <w:color w:val="auto"/>
        </w:rPr>
        <w:t>Corporate Governance—Stockholder Engagement</w:t>
      </w:r>
      <w:r>
        <w:rPr>
          <w:rFonts w:ascii="Arial" w:cs="Arial" w:eastAsia="Arial" w:hAnsi="Arial"/>
          <w:sz w:val="18"/>
          <w:szCs w:val="18"/>
          <w:color w:val="auto"/>
        </w:rPr>
        <w:t>” on page 34.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Corporate Governance Highlights</w:t>
      </w:r>
    </w:p>
    <w:p>
      <w:pPr>
        <w:spacing w:after="0" w:line="104" w:lineRule="exact"/>
        <w:rPr>
          <w:sz w:val="20"/>
          <w:szCs w:val="20"/>
          <w:color w:val="auto"/>
        </w:rPr>
      </w:pPr>
    </w:p>
    <w:p>
      <w:pPr>
        <w:ind w:right="20" w:firstLine="401"/>
        <w:spacing w:after="0" w:line="251" w:lineRule="auto"/>
        <w:rPr>
          <w:sz w:val="20"/>
          <w:szCs w:val="20"/>
          <w:color w:val="auto"/>
        </w:rPr>
      </w:pPr>
      <w:r>
        <w:rPr>
          <w:rFonts w:ascii="Arial" w:cs="Arial" w:eastAsia="Arial" w:hAnsi="Arial"/>
          <w:sz w:val="17"/>
          <w:szCs w:val="17"/>
          <w:color w:val="auto"/>
        </w:rPr>
        <w:t>We are committed to governance practices that promote the long-term interests of our stockholders, strengthen Board and management accountability and continue to build trust in our Company. The Board regularly reviews our governance profile to ensure that it reflects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evolving governance landscape applicable to our Company and appropriately supports and serves the best interests of the Company and our stockholders. For more information, see “</w:t>
      </w:r>
      <w:r>
        <w:rPr>
          <w:rFonts w:ascii="Arial" w:cs="Arial" w:eastAsia="Arial" w:hAnsi="Arial"/>
          <w:sz w:val="18"/>
          <w:szCs w:val="18"/>
          <w:i w:val="1"/>
          <w:iCs w:val="1"/>
          <w:color w:val="auto"/>
        </w:rPr>
        <w:t>Corporate Governance</w:t>
      </w:r>
      <w:r>
        <w:rPr>
          <w:rFonts w:ascii="Arial" w:cs="Arial" w:eastAsia="Arial" w:hAnsi="Arial"/>
          <w:sz w:val="18"/>
          <w:szCs w:val="18"/>
          <w:color w:val="auto"/>
        </w:rPr>
        <w:t>” beginning on page 23.</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235"/>
        </w:trPr>
        <w:tc>
          <w:tcPr>
            <w:tcW w:w="3940" w:type="dxa"/>
            <w:vAlign w:val="bottom"/>
            <w:tcBorders>
              <w:top w:val="single" w:sz="8" w:color="auto"/>
            </w:tcBorders>
            <w:shd w:val="clear" w:color="auto" w:fill="DBE5F1"/>
          </w:tcPr>
          <w:p>
            <w:pPr>
              <w:ind w:left="60"/>
              <w:spacing w:after="0"/>
              <w:rPr>
                <w:sz w:val="20"/>
                <w:szCs w:val="20"/>
                <w:color w:val="auto"/>
              </w:rPr>
            </w:pPr>
            <w:r>
              <w:rPr>
                <w:rFonts w:ascii="Arial" w:cs="Arial" w:eastAsia="Arial" w:hAnsi="Arial"/>
                <w:sz w:val="16"/>
                <w:szCs w:val="16"/>
                <w:b w:val="1"/>
                <w:bCs w:val="1"/>
                <w:i w:val="1"/>
                <w:iCs w:val="1"/>
                <w:color w:val="auto"/>
              </w:rPr>
              <w:t>Board Structure &amp; Composition</w:t>
            </w:r>
          </w:p>
        </w:tc>
        <w:tc>
          <w:tcPr>
            <w:tcW w:w="320" w:type="dxa"/>
            <w:vAlign w:val="bottom"/>
            <w:tcBorders>
              <w:top w:val="single" w:sz="8" w:color="auto"/>
            </w:tcBorders>
            <w:shd w:val="clear" w:color="auto" w:fill="DBE5F1"/>
          </w:tcPr>
          <w:p>
            <w:pPr>
              <w:spacing w:after="0"/>
              <w:rPr>
                <w:sz w:val="20"/>
                <w:szCs w:val="20"/>
                <w:color w:val="auto"/>
              </w:rPr>
            </w:pPr>
          </w:p>
        </w:tc>
        <w:tc>
          <w:tcPr>
            <w:tcW w:w="3200" w:type="dxa"/>
            <w:vAlign w:val="bottom"/>
            <w:tcBorders>
              <w:top w:val="single" w:sz="8" w:color="auto"/>
            </w:tcBorders>
            <w:shd w:val="clear" w:color="auto" w:fill="DBE5F1"/>
          </w:tcPr>
          <w:p>
            <w:pPr>
              <w:spacing w:after="0"/>
              <w:rPr>
                <w:sz w:val="20"/>
                <w:szCs w:val="20"/>
                <w:color w:val="auto"/>
              </w:rPr>
            </w:pPr>
          </w:p>
        </w:tc>
        <w:tc>
          <w:tcPr>
            <w:tcW w:w="368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7 of 9 Directors, and all Board Committee</w:t>
            </w:r>
          </w:p>
        </w:tc>
        <w:tc>
          <w:tcPr>
            <w:tcW w:w="320" w:type="dxa"/>
            <w:vAlign w:val="bottom"/>
            <w:shd w:val="clear" w:color="auto" w:fill="DBE5F1"/>
          </w:tcPr>
          <w:p>
            <w:pPr>
              <w:ind w:left="140"/>
              <w:spacing w:after="0"/>
              <w:rPr>
                <w:sz w:val="20"/>
                <w:szCs w:val="20"/>
                <w:color w:val="auto"/>
              </w:rPr>
            </w:pPr>
            <w:r>
              <w:rPr>
                <w:rFonts w:ascii="Arial" w:cs="Arial" w:eastAsia="Arial" w:hAnsi="Arial"/>
                <w:sz w:val="18"/>
                <w:szCs w:val="18"/>
                <w:color w:val="auto"/>
              </w:rPr>
              <w:t>•</w:t>
            </w:r>
          </w:p>
        </w:tc>
        <w:tc>
          <w:tcPr>
            <w:tcW w:w="3200" w:type="dxa"/>
            <w:vAlign w:val="bottom"/>
            <w:shd w:val="clear" w:color="auto" w:fill="DBE5F1"/>
          </w:tcPr>
          <w:p>
            <w:pPr>
              <w:ind w:left="120"/>
              <w:spacing w:after="0"/>
              <w:rPr>
                <w:sz w:val="20"/>
                <w:szCs w:val="20"/>
                <w:color w:val="auto"/>
              </w:rPr>
            </w:pPr>
            <w:r>
              <w:rPr>
                <w:rFonts w:ascii="Arial" w:cs="Arial" w:eastAsia="Arial" w:hAnsi="Arial"/>
                <w:sz w:val="16"/>
                <w:szCs w:val="16"/>
                <w:color w:val="auto"/>
              </w:rPr>
              <w:t>Lead Independent Director empowered</w:t>
            </w:r>
          </w:p>
        </w:tc>
        <w:tc>
          <w:tcPr>
            <w:tcW w:w="36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Annual assessment and determination of</w:t>
            </w:r>
          </w:p>
        </w:tc>
        <w:tc>
          <w:tcPr>
            <w:tcW w:w="0" w:type="dxa"/>
            <w:vAlign w:val="bottom"/>
          </w:tcPr>
          <w:p>
            <w:pPr>
              <w:spacing w:after="0"/>
              <w:rPr>
                <w:sz w:val="1"/>
                <w:szCs w:val="1"/>
                <w:color w:val="auto"/>
              </w:rPr>
            </w:pPr>
          </w:p>
        </w:tc>
      </w:tr>
      <w:tr>
        <w:trPr>
          <w:trHeight w:val="203"/>
        </w:trPr>
        <w:tc>
          <w:tcPr>
            <w:tcW w:w="3940" w:type="dxa"/>
            <w:vAlign w:val="bottom"/>
            <w:shd w:val="clear" w:color="auto" w:fill="DBE5F1"/>
          </w:tcPr>
          <w:p>
            <w:pPr>
              <w:ind w:left="520"/>
              <w:spacing w:after="0"/>
              <w:rPr>
                <w:sz w:val="20"/>
                <w:szCs w:val="20"/>
                <w:color w:val="auto"/>
              </w:rPr>
            </w:pPr>
            <w:r>
              <w:rPr>
                <w:rFonts w:ascii="Arial" w:cs="Arial" w:eastAsia="Arial" w:hAnsi="Arial"/>
                <w:sz w:val="16"/>
                <w:szCs w:val="16"/>
                <w:color w:val="auto"/>
              </w:rPr>
              <w:t>members, are independent</w:t>
            </w:r>
          </w:p>
        </w:tc>
        <w:tc>
          <w:tcPr>
            <w:tcW w:w="320" w:type="dxa"/>
            <w:vAlign w:val="bottom"/>
            <w:shd w:val="clear" w:color="auto" w:fill="DBE5F1"/>
          </w:tcPr>
          <w:p>
            <w:pPr>
              <w:spacing w:after="0"/>
              <w:rPr>
                <w:sz w:val="17"/>
                <w:szCs w:val="17"/>
                <w:color w:val="auto"/>
              </w:rPr>
            </w:pPr>
          </w:p>
        </w:tc>
        <w:tc>
          <w:tcPr>
            <w:tcW w:w="3200" w:type="dxa"/>
            <w:vAlign w:val="bottom"/>
            <w:shd w:val="clear" w:color="auto" w:fill="DBE5F1"/>
          </w:tcPr>
          <w:p>
            <w:pPr>
              <w:ind w:left="140"/>
              <w:spacing w:after="0"/>
              <w:rPr>
                <w:sz w:val="20"/>
                <w:szCs w:val="20"/>
                <w:color w:val="auto"/>
              </w:rPr>
            </w:pPr>
            <w:r>
              <w:rPr>
                <w:rFonts w:ascii="Arial" w:cs="Arial" w:eastAsia="Arial" w:hAnsi="Arial"/>
                <w:sz w:val="16"/>
                <w:szCs w:val="16"/>
                <w:color w:val="auto"/>
              </w:rPr>
              <w:t>with agenda-setting authority and active</w:t>
            </w:r>
          </w:p>
        </w:tc>
        <w:tc>
          <w:tcPr>
            <w:tcW w:w="3680" w:type="dxa"/>
            <w:vAlign w:val="bottom"/>
            <w:shd w:val="clear" w:color="auto" w:fill="DBE5F1"/>
          </w:tcPr>
          <w:p>
            <w:pPr>
              <w:ind w:left="420"/>
              <w:spacing w:after="0"/>
              <w:rPr>
                <w:sz w:val="20"/>
                <w:szCs w:val="20"/>
                <w:color w:val="auto"/>
              </w:rPr>
            </w:pPr>
            <w:r>
              <w:rPr>
                <w:rFonts w:ascii="Arial" w:cs="Arial" w:eastAsia="Arial" w:hAnsi="Arial"/>
                <w:sz w:val="16"/>
                <w:szCs w:val="16"/>
                <w:color w:val="auto"/>
              </w:rPr>
              <w:t>optimal Board leadership structure</w:t>
            </w:r>
          </w:p>
        </w:tc>
        <w:tc>
          <w:tcPr>
            <w:tcW w:w="0" w:type="dxa"/>
            <w:vAlign w:val="bottom"/>
          </w:tcPr>
          <w:p>
            <w:pPr>
              <w:spacing w:after="0"/>
              <w:rPr>
                <w:sz w:val="1"/>
                <w:szCs w:val="1"/>
                <w:color w:val="auto"/>
              </w:rPr>
            </w:pPr>
          </w:p>
        </w:tc>
      </w:tr>
      <w:tr>
        <w:trPr>
          <w:trHeight w:val="189"/>
        </w:trPr>
        <w:tc>
          <w:tcPr>
            <w:tcW w:w="3940" w:type="dxa"/>
            <w:vAlign w:val="bottom"/>
            <w:vMerge w:val="restart"/>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Board composed of a mix of long-tenured and</w:t>
            </w:r>
          </w:p>
        </w:tc>
        <w:tc>
          <w:tcPr>
            <w:tcW w:w="320" w:type="dxa"/>
            <w:vAlign w:val="bottom"/>
            <w:shd w:val="clear" w:color="auto" w:fill="DBE5F1"/>
          </w:tcPr>
          <w:p>
            <w:pPr>
              <w:spacing w:after="0"/>
              <w:rPr>
                <w:sz w:val="16"/>
                <w:szCs w:val="16"/>
                <w:color w:val="auto"/>
              </w:rPr>
            </w:pPr>
          </w:p>
        </w:tc>
        <w:tc>
          <w:tcPr>
            <w:tcW w:w="3200" w:type="dxa"/>
            <w:vAlign w:val="bottom"/>
            <w:shd w:val="clear" w:color="auto" w:fill="DBE5F1"/>
          </w:tcPr>
          <w:p>
            <w:pPr>
              <w:ind w:left="140"/>
              <w:spacing w:after="0"/>
              <w:rPr>
                <w:sz w:val="20"/>
                <w:szCs w:val="20"/>
                <w:color w:val="auto"/>
              </w:rPr>
            </w:pPr>
            <w:r>
              <w:rPr>
                <w:rFonts w:ascii="Arial" w:cs="Arial" w:eastAsia="Arial" w:hAnsi="Arial"/>
                <w:sz w:val="16"/>
                <w:szCs w:val="16"/>
                <w:color w:val="auto"/>
              </w:rPr>
              <w:t>involvement in oversight of Board</w:t>
            </w:r>
          </w:p>
        </w:tc>
        <w:tc>
          <w:tcPr>
            <w:tcW w:w="3680" w:type="dxa"/>
            <w:vAlign w:val="bottom"/>
            <w:vMerge w:val="restart"/>
            <w:shd w:val="clear" w:color="auto" w:fill="DBE5F1"/>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Commitment to Board diversity of</w:t>
            </w:r>
          </w:p>
        </w:tc>
        <w:tc>
          <w:tcPr>
            <w:tcW w:w="0" w:type="dxa"/>
            <w:vAlign w:val="bottom"/>
          </w:tcPr>
          <w:p>
            <w:pPr>
              <w:spacing w:after="0"/>
              <w:rPr>
                <w:sz w:val="1"/>
                <w:szCs w:val="1"/>
                <w:color w:val="auto"/>
              </w:rPr>
            </w:pPr>
          </w:p>
        </w:tc>
      </w:tr>
      <w:tr>
        <w:trPr>
          <w:trHeight w:val="108"/>
        </w:trPr>
        <w:tc>
          <w:tcPr>
            <w:tcW w:w="3940" w:type="dxa"/>
            <w:vAlign w:val="bottom"/>
            <w:vMerge w:val="continue"/>
            <w:shd w:val="clear" w:color="auto" w:fill="DBE5F1"/>
          </w:tcPr>
          <w:p>
            <w:pPr>
              <w:spacing w:after="0"/>
              <w:rPr>
                <w:sz w:val="9"/>
                <w:szCs w:val="9"/>
                <w:color w:val="auto"/>
              </w:rPr>
            </w:pPr>
          </w:p>
        </w:tc>
        <w:tc>
          <w:tcPr>
            <w:tcW w:w="320" w:type="dxa"/>
            <w:vAlign w:val="bottom"/>
            <w:shd w:val="clear" w:color="auto" w:fill="DBE5F1"/>
          </w:tcPr>
          <w:p>
            <w:pPr>
              <w:spacing w:after="0"/>
              <w:rPr>
                <w:sz w:val="9"/>
                <w:szCs w:val="9"/>
                <w:color w:val="auto"/>
              </w:rPr>
            </w:pPr>
          </w:p>
        </w:tc>
        <w:tc>
          <w:tcPr>
            <w:tcW w:w="32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functions, elected annually by the</w:t>
            </w:r>
          </w:p>
        </w:tc>
        <w:tc>
          <w:tcPr>
            <w:tcW w:w="368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4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new directors</w:t>
            </w:r>
          </w:p>
        </w:tc>
        <w:tc>
          <w:tcPr>
            <w:tcW w:w="320" w:type="dxa"/>
            <w:vAlign w:val="bottom"/>
            <w:shd w:val="clear" w:color="auto" w:fill="DBE5F1"/>
          </w:tcPr>
          <w:p>
            <w:pPr>
              <w:spacing w:after="0"/>
              <w:rPr>
                <w:sz w:val="7"/>
                <w:szCs w:val="7"/>
                <w:color w:val="auto"/>
              </w:rPr>
            </w:pPr>
          </w:p>
        </w:tc>
        <w:tc>
          <w:tcPr>
            <w:tcW w:w="3200" w:type="dxa"/>
            <w:vAlign w:val="bottom"/>
            <w:vMerge w:val="continue"/>
            <w:shd w:val="clear" w:color="auto" w:fill="DBE5F1"/>
          </w:tcPr>
          <w:p>
            <w:pPr>
              <w:spacing w:after="0"/>
              <w:rPr>
                <w:sz w:val="7"/>
                <w:szCs w:val="7"/>
                <w:color w:val="auto"/>
              </w:rPr>
            </w:pPr>
          </w:p>
        </w:tc>
        <w:tc>
          <w:tcPr>
            <w:tcW w:w="3680" w:type="dxa"/>
            <w:vAlign w:val="bottom"/>
            <w:vMerge w:val="restart"/>
            <w:shd w:val="clear" w:color="auto" w:fill="DBE5F1"/>
          </w:tcPr>
          <w:p>
            <w:pPr>
              <w:ind w:left="420"/>
              <w:spacing w:after="0"/>
              <w:rPr>
                <w:sz w:val="20"/>
                <w:szCs w:val="20"/>
                <w:color w:val="auto"/>
              </w:rPr>
            </w:pPr>
            <w:r>
              <w:rPr>
                <w:rFonts w:ascii="Arial" w:cs="Arial" w:eastAsia="Arial" w:hAnsi="Arial"/>
                <w:sz w:val="16"/>
                <w:szCs w:val="16"/>
                <w:color w:val="auto"/>
              </w:rPr>
              <w:t>perspective, gender, and race or ethnicity</w:t>
            </w:r>
          </w:p>
        </w:tc>
        <w:tc>
          <w:tcPr>
            <w:tcW w:w="0" w:type="dxa"/>
            <w:vAlign w:val="bottom"/>
          </w:tcPr>
          <w:p>
            <w:pPr>
              <w:spacing w:after="0"/>
              <w:rPr>
                <w:sz w:val="1"/>
                <w:szCs w:val="1"/>
                <w:color w:val="auto"/>
              </w:rPr>
            </w:pPr>
          </w:p>
        </w:tc>
      </w:tr>
      <w:tr>
        <w:trPr>
          <w:trHeight w:val="134"/>
        </w:trPr>
        <w:tc>
          <w:tcPr>
            <w:tcW w:w="3940" w:type="dxa"/>
            <w:vAlign w:val="bottom"/>
            <w:vMerge w:val="continue"/>
            <w:shd w:val="clear" w:color="auto" w:fill="DBE5F1"/>
          </w:tcPr>
          <w:p>
            <w:pPr>
              <w:spacing w:after="0"/>
              <w:rPr>
                <w:sz w:val="11"/>
                <w:szCs w:val="11"/>
                <w:color w:val="auto"/>
              </w:rPr>
            </w:pPr>
          </w:p>
        </w:tc>
        <w:tc>
          <w:tcPr>
            <w:tcW w:w="320" w:type="dxa"/>
            <w:vAlign w:val="bottom"/>
            <w:shd w:val="clear" w:color="auto" w:fill="DBE5F1"/>
          </w:tcPr>
          <w:p>
            <w:pPr>
              <w:spacing w:after="0"/>
              <w:rPr>
                <w:sz w:val="11"/>
                <w:szCs w:val="11"/>
                <w:color w:val="auto"/>
              </w:rPr>
            </w:pPr>
          </w:p>
        </w:tc>
        <w:tc>
          <w:tcPr>
            <w:tcW w:w="32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independent directors</w:t>
            </w:r>
          </w:p>
        </w:tc>
        <w:tc>
          <w:tcPr>
            <w:tcW w:w="368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940" w:type="dxa"/>
            <w:vAlign w:val="bottom"/>
            <w:vMerge w:val="restart"/>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Directors reflect a variety of experiences and</w:t>
            </w:r>
          </w:p>
        </w:tc>
        <w:tc>
          <w:tcPr>
            <w:tcW w:w="320" w:type="dxa"/>
            <w:vAlign w:val="bottom"/>
            <w:shd w:val="clear" w:color="auto" w:fill="DBE5F1"/>
          </w:tcPr>
          <w:p>
            <w:pPr>
              <w:spacing w:after="0"/>
              <w:rPr>
                <w:sz w:val="7"/>
                <w:szCs w:val="7"/>
                <w:color w:val="auto"/>
              </w:rPr>
            </w:pPr>
          </w:p>
        </w:tc>
        <w:tc>
          <w:tcPr>
            <w:tcW w:w="3200" w:type="dxa"/>
            <w:vAlign w:val="bottom"/>
            <w:vMerge w:val="continue"/>
            <w:shd w:val="clear" w:color="auto" w:fill="DBE5F1"/>
          </w:tcPr>
          <w:p>
            <w:pPr>
              <w:spacing w:after="0"/>
              <w:rPr>
                <w:sz w:val="7"/>
                <w:szCs w:val="7"/>
                <w:color w:val="auto"/>
              </w:rPr>
            </w:pPr>
          </w:p>
        </w:tc>
        <w:tc>
          <w:tcPr>
            <w:tcW w:w="3680" w:type="dxa"/>
            <w:vAlign w:val="bottom"/>
            <w:vMerge w:val="restart"/>
            <w:shd w:val="clear" w:color="auto" w:fill="DBE5F1"/>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Directors attended about 96% of Board and</w:t>
            </w:r>
          </w:p>
        </w:tc>
        <w:tc>
          <w:tcPr>
            <w:tcW w:w="0" w:type="dxa"/>
            <w:vAlign w:val="bottom"/>
          </w:tcPr>
          <w:p>
            <w:pPr>
              <w:spacing w:after="0"/>
              <w:rPr>
                <w:sz w:val="1"/>
                <w:szCs w:val="1"/>
                <w:color w:val="auto"/>
              </w:rPr>
            </w:pPr>
          </w:p>
        </w:tc>
      </w:tr>
      <w:tr>
        <w:trPr>
          <w:trHeight w:val="204"/>
        </w:trPr>
        <w:tc>
          <w:tcPr>
            <w:tcW w:w="3940" w:type="dxa"/>
            <w:vAlign w:val="bottom"/>
            <w:vMerge w:val="continue"/>
            <w:shd w:val="clear" w:color="auto" w:fill="DBE5F1"/>
          </w:tcPr>
          <w:p>
            <w:pPr>
              <w:spacing w:after="0"/>
              <w:rPr>
                <w:sz w:val="17"/>
                <w:szCs w:val="17"/>
                <w:color w:val="auto"/>
              </w:rPr>
            </w:pPr>
          </w:p>
        </w:tc>
        <w:tc>
          <w:tcPr>
            <w:tcW w:w="32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w:t>
            </w:r>
          </w:p>
        </w:tc>
        <w:tc>
          <w:tcPr>
            <w:tcW w:w="320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Active and empowered committee chairs,</w:t>
            </w:r>
          </w:p>
        </w:tc>
        <w:tc>
          <w:tcPr>
            <w:tcW w:w="3680" w:type="dxa"/>
            <w:vAlign w:val="bottom"/>
            <w:vMerge w:val="continue"/>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94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skills that give the Board the collective</w:t>
            </w:r>
          </w:p>
        </w:tc>
        <w:tc>
          <w:tcPr>
            <w:tcW w:w="320" w:type="dxa"/>
            <w:vAlign w:val="bottom"/>
            <w:vMerge w:val="continue"/>
            <w:shd w:val="clear" w:color="auto" w:fill="DBE5F1"/>
          </w:tcPr>
          <w:p>
            <w:pPr>
              <w:spacing w:after="0"/>
              <w:rPr>
                <w:sz w:val="8"/>
                <w:szCs w:val="8"/>
                <w:color w:val="auto"/>
              </w:rPr>
            </w:pPr>
          </w:p>
        </w:tc>
        <w:tc>
          <w:tcPr>
            <w:tcW w:w="3200" w:type="dxa"/>
            <w:vAlign w:val="bottom"/>
            <w:vMerge w:val="continue"/>
            <w:shd w:val="clear" w:color="auto" w:fill="DBE5F1"/>
          </w:tcPr>
          <w:p>
            <w:pPr>
              <w:spacing w:after="0"/>
              <w:rPr>
                <w:sz w:val="8"/>
                <w:szCs w:val="8"/>
                <w:color w:val="auto"/>
              </w:rPr>
            </w:pPr>
          </w:p>
        </w:tc>
        <w:tc>
          <w:tcPr>
            <w:tcW w:w="3680" w:type="dxa"/>
            <w:vAlign w:val="bottom"/>
            <w:vMerge w:val="restart"/>
            <w:shd w:val="clear" w:color="auto" w:fill="DBE5F1"/>
          </w:tcPr>
          <w:p>
            <w:pPr>
              <w:ind w:left="420"/>
              <w:spacing w:after="0"/>
              <w:rPr>
                <w:sz w:val="20"/>
                <w:szCs w:val="20"/>
                <w:color w:val="auto"/>
              </w:rPr>
            </w:pPr>
            <w:r>
              <w:rPr>
                <w:rFonts w:ascii="Arial" w:cs="Arial" w:eastAsia="Arial" w:hAnsi="Arial"/>
                <w:sz w:val="16"/>
                <w:szCs w:val="16"/>
                <w:color w:val="auto"/>
              </w:rPr>
              <w:t>Committee meetings combined in 2025</w:t>
            </w:r>
          </w:p>
        </w:tc>
        <w:tc>
          <w:tcPr>
            <w:tcW w:w="0" w:type="dxa"/>
            <w:vAlign w:val="bottom"/>
          </w:tcPr>
          <w:p>
            <w:pPr>
              <w:spacing w:after="0"/>
              <w:rPr>
                <w:sz w:val="1"/>
                <w:szCs w:val="1"/>
                <w:color w:val="auto"/>
              </w:rPr>
            </w:pPr>
          </w:p>
        </w:tc>
      </w:tr>
      <w:tr>
        <w:trPr>
          <w:trHeight w:val="108"/>
        </w:trPr>
        <w:tc>
          <w:tcPr>
            <w:tcW w:w="3940" w:type="dxa"/>
            <w:vAlign w:val="bottom"/>
            <w:vMerge w:val="continue"/>
            <w:shd w:val="clear" w:color="auto" w:fill="DBE5F1"/>
          </w:tcPr>
          <w:p>
            <w:pPr>
              <w:spacing w:after="0"/>
              <w:rPr>
                <w:sz w:val="9"/>
                <w:szCs w:val="9"/>
                <w:color w:val="auto"/>
              </w:rPr>
            </w:pPr>
          </w:p>
        </w:tc>
        <w:tc>
          <w:tcPr>
            <w:tcW w:w="320" w:type="dxa"/>
            <w:vAlign w:val="bottom"/>
            <w:shd w:val="clear" w:color="auto" w:fill="DBE5F1"/>
          </w:tcPr>
          <w:p>
            <w:pPr>
              <w:spacing w:after="0"/>
              <w:rPr>
                <w:sz w:val="9"/>
                <w:szCs w:val="9"/>
                <w:color w:val="auto"/>
              </w:rPr>
            </w:pPr>
          </w:p>
        </w:tc>
        <w:tc>
          <w:tcPr>
            <w:tcW w:w="32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all of whom are independent</w:t>
            </w:r>
          </w:p>
        </w:tc>
        <w:tc>
          <w:tcPr>
            <w:tcW w:w="368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94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capability necessary to oversee the</w:t>
            </w:r>
          </w:p>
        </w:tc>
        <w:tc>
          <w:tcPr>
            <w:tcW w:w="320" w:type="dxa"/>
            <w:vAlign w:val="bottom"/>
            <w:shd w:val="clear" w:color="auto" w:fill="DBE5F1"/>
          </w:tcPr>
          <w:p>
            <w:pPr>
              <w:spacing w:after="0"/>
              <w:rPr>
                <w:sz w:val="9"/>
                <w:szCs w:val="9"/>
                <w:color w:val="auto"/>
              </w:rPr>
            </w:pPr>
          </w:p>
        </w:tc>
        <w:tc>
          <w:tcPr>
            <w:tcW w:w="3200" w:type="dxa"/>
            <w:vAlign w:val="bottom"/>
            <w:vMerge w:val="continue"/>
            <w:shd w:val="clear" w:color="auto" w:fill="DBE5F1"/>
          </w:tcPr>
          <w:p>
            <w:pPr>
              <w:spacing w:after="0"/>
              <w:rPr>
                <w:sz w:val="9"/>
                <w:szCs w:val="9"/>
                <w:color w:val="auto"/>
              </w:rPr>
            </w:pPr>
          </w:p>
        </w:tc>
        <w:tc>
          <w:tcPr>
            <w:tcW w:w="368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940" w:type="dxa"/>
            <w:vAlign w:val="bottom"/>
            <w:vMerge w:val="continue"/>
            <w:shd w:val="clear" w:color="auto" w:fill="DBE5F1"/>
          </w:tcPr>
          <w:p>
            <w:pPr>
              <w:spacing w:after="0"/>
              <w:rPr>
                <w:sz w:val="7"/>
                <w:szCs w:val="7"/>
                <w:color w:val="auto"/>
              </w:rPr>
            </w:pPr>
          </w:p>
        </w:tc>
        <w:tc>
          <w:tcPr>
            <w:tcW w:w="320" w:type="dxa"/>
            <w:vAlign w:val="bottom"/>
            <w:shd w:val="clear" w:color="auto" w:fill="DBE5F1"/>
          </w:tcPr>
          <w:p>
            <w:pPr>
              <w:spacing w:after="0"/>
              <w:rPr>
                <w:sz w:val="7"/>
                <w:szCs w:val="7"/>
                <w:color w:val="auto"/>
              </w:rPr>
            </w:pPr>
          </w:p>
        </w:tc>
        <w:tc>
          <w:tcPr>
            <w:tcW w:w="3200" w:type="dxa"/>
            <w:vAlign w:val="bottom"/>
            <w:shd w:val="clear" w:color="auto" w:fill="DBE5F1"/>
          </w:tcPr>
          <w:p>
            <w:pPr>
              <w:spacing w:after="0"/>
              <w:rPr>
                <w:sz w:val="7"/>
                <w:szCs w:val="7"/>
                <w:color w:val="auto"/>
              </w:rPr>
            </w:pPr>
          </w:p>
        </w:tc>
        <w:tc>
          <w:tcPr>
            <w:tcW w:w="368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940" w:type="dxa"/>
            <w:vAlign w:val="bottom"/>
            <w:shd w:val="clear" w:color="auto" w:fill="DBE5F1"/>
          </w:tcPr>
          <w:p>
            <w:pPr>
              <w:ind w:left="520"/>
              <w:spacing w:after="0"/>
              <w:rPr>
                <w:sz w:val="20"/>
                <w:szCs w:val="20"/>
                <w:color w:val="auto"/>
              </w:rPr>
            </w:pPr>
            <w:r>
              <w:rPr>
                <w:rFonts w:ascii="Arial" w:cs="Arial" w:eastAsia="Arial" w:hAnsi="Arial"/>
                <w:sz w:val="16"/>
                <w:szCs w:val="16"/>
                <w:color w:val="auto"/>
              </w:rPr>
              <w:t>Company’s activities</w:t>
            </w:r>
          </w:p>
        </w:tc>
        <w:tc>
          <w:tcPr>
            <w:tcW w:w="320" w:type="dxa"/>
            <w:vAlign w:val="bottom"/>
            <w:shd w:val="clear" w:color="auto" w:fill="DBE5F1"/>
          </w:tcPr>
          <w:p>
            <w:pPr>
              <w:spacing w:after="0"/>
              <w:rPr>
                <w:sz w:val="18"/>
                <w:szCs w:val="18"/>
                <w:color w:val="auto"/>
              </w:rPr>
            </w:pPr>
          </w:p>
        </w:tc>
        <w:tc>
          <w:tcPr>
            <w:tcW w:w="3200" w:type="dxa"/>
            <w:vAlign w:val="bottom"/>
            <w:shd w:val="clear" w:color="auto" w:fill="DBE5F1"/>
          </w:tcPr>
          <w:p>
            <w:pPr>
              <w:spacing w:after="0"/>
              <w:rPr>
                <w:sz w:val="18"/>
                <w:szCs w:val="18"/>
                <w:color w:val="auto"/>
              </w:rPr>
            </w:pPr>
          </w:p>
        </w:tc>
        <w:tc>
          <w:tcPr>
            <w:tcW w:w="36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940" w:type="dxa"/>
            <w:vAlign w:val="bottom"/>
            <w:tcBorders>
              <w:bottom w:val="single" w:sz="8" w:color="auto"/>
            </w:tcBorders>
            <w:shd w:val="clear" w:color="auto" w:fill="DBE5F1"/>
          </w:tcPr>
          <w:p>
            <w:pPr>
              <w:spacing w:after="0"/>
              <w:rPr>
                <w:sz w:val="10"/>
                <w:szCs w:val="10"/>
                <w:color w:val="auto"/>
              </w:rPr>
            </w:pPr>
          </w:p>
        </w:tc>
        <w:tc>
          <w:tcPr>
            <w:tcW w:w="320" w:type="dxa"/>
            <w:vAlign w:val="bottom"/>
            <w:tcBorders>
              <w:bottom w:val="single" w:sz="8" w:color="auto"/>
            </w:tcBorders>
            <w:shd w:val="clear" w:color="auto" w:fill="DBE5F1"/>
          </w:tcPr>
          <w:p>
            <w:pPr>
              <w:spacing w:after="0"/>
              <w:rPr>
                <w:sz w:val="10"/>
                <w:szCs w:val="10"/>
                <w:color w:val="auto"/>
              </w:rPr>
            </w:pPr>
          </w:p>
        </w:tc>
        <w:tc>
          <w:tcPr>
            <w:tcW w:w="3200" w:type="dxa"/>
            <w:vAlign w:val="bottom"/>
            <w:tcBorders>
              <w:bottom w:val="single" w:sz="8" w:color="auto"/>
            </w:tcBorders>
            <w:shd w:val="clear" w:color="auto" w:fill="DBE5F1"/>
          </w:tcPr>
          <w:p>
            <w:pPr>
              <w:spacing w:after="0"/>
              <w:rPr>
                <w:sz w:val="10"/>
                <w:szCs w:val="10"/>
                <w:color w:val="auto"/>
              </w:rPr>
            </w:pPr>
          </w:p>
        </w:tc>
        <w:tc>
          <w:tcPr>
            <w:tcW w:w="3680" w:type="dxa"/>
            <w:vAlign w:val="bottom"/>
            <w:tcBorders>
              <w:bottom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929005</wp:posOffset>
            </wp:positionV>
            <wp:extent cx="70719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i w:val="1"/>
          <w:iCs w:val="1"/>
          <w:color w:val="auto"/>
        </w:rPr>
        <w:t>Good Governance Practices</w:t>
      </w:r>
    </w:p>
    <w:p>
      <w:pPr>
        <w:sectPr>
          <w:pgSz w:w="11900" w:h="16838" w:orient="portrait"/>
          <w:cols w:equalWidth="0" w:num="1">
            <w:col w:w="11200"/>
          </w:cols>
          <w:pgMar w:left="320" w:top="1440" w:right="379" w:bottom="1440" w:gutter="0" w:footer="0" w:header="0"/>
        </w:sectPr>
      </w:pPr>
    </w:p>
    <w:p>
      <w:pPr>
        <w:spacing w:after="0" w:line="152" w:lineRule="exact"/>
        <w:rPr>
          <w:sz w:val="20"/>
          <w:szCs w:val="20"/>
          <w:color w:val="auto"/>
        </w:rPr>
      </w:pPr>
    </w:p>
    <w:p>
      <w:pPr>
        <w:ind w:left="520" w:right="200" w:hanging="333"/>
        <w:spacing w:after="0" w:line="274" w:lineRule="auto"/>
        <w:tabs>
          <w:tab w:leader="none" w:pos="502" w:val="left"/>
        </w:tabs>
        <w:numPr>
          <w:ilvl w:val="0"/>
          <w:numId w:val="8"/>
        </w:numPr>
        <w:rPr>
          <w:rFonts w:ascii="Arial" w:cs="Arial" w:eastAsia="Arial" w:hAnsi="Arial"/>
          <w:sz w:val="18"/>
          <w:szCs w:val="18"/>
          <w:color w:val="auto"/>
        </w:rPr>
      </w:pPr>
      <w:r>
        <w:rPr>
          <w:rFonts w:ascii="Arial" w:cs="Arial" w:eastAsia="Arial" w:hAnsi="Arial"/>
          <w:sz w:val="16"/>
          <w:szCs w:val="16"/>
          <w:color w:val="auto"/>
        </w:rPr>
        <w:t>Ongoing Board assessment and refreshment led by the NCGCC</w:t>
      </w:r>
    </w:p>
    <w:p>
      <w:pPr>
        <w:spacing w:after="0" w:line="53" w:lineRule="exact"/>
        <w:rPr>
          <w:rFonts w:ascii="Arial" w:cs="Arial" w:eastAsia="Arial" w:hAnsi="Arial"/>
          <w:sz w:val="18"/>
          <w:szCs w:val="18"/>
          <w:color w:val="auto"/>
        </w:rPr>
      </w:pPr>
    </w:p>
    <w:p>
      <w:pPr>
        <w:ind w:left="500" w:hanging="313"/>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6"/>
          <w:szCs w:val="16"/>
          <w:color w:val="auto"/>
        </w:rPr>
        <w:t>Annual Board and Committee self-assessments</w:t>
      </w:r>
    </w:p>
    <w:p>
      <w:pPr>
        <w:spacing w:after="0" w:line="90" w:lineRule="exact"/>
        <w:rPr>
          <w:rFonts w:ascii="Arial" w:cs="Arial" w:eastAsia="Arial" w:hAnsi="Arial"/>
          <w:sz w:val="18"/>
          <w:szCs w:val="18"/>
          <w:color w:val="auto"/>
        </w:rPr>
      </w:pPr>
    </w:p>
    <w:p>
      <w:pPr>
        <w:ind w:left="520" w:right="120" w:hanging="333"/>
        <w:spacing w:after="0" w:line="274" w:lineRule="auto"/>
        <w:tabs>
          <w:tab w:leader="none" w:pos="502" w:val="left"/>
        </w:tabs>
        <w:numPr>
          <w:ilvl w:val="0"/>
          <w:numId w:val="8"/>
        </w:numPr>
        <w:rPr>
          <w:rFonts w:ascii="Arial" w:cs="Arial" w:eastAsia="Arial" w:hAnsi="Arial"/>
          <w:sz w:val="18"/>
          <w:szCs w:val="18"/>
          <w:color w:val="auto"/>
        </w:rPr>
      </w:pPr>
      <w:r>
        <w:rPr>
          <w:rFonts w:ascii="Arial" w:cs="Arial" w:eastAsia="Arial" w:hAnsi="Arial"/>
          <w:sz w:val="16"/>
          <w:szCs w:val="16"/>
          <w:color w:val="auto"/>
        </w:rPr>
        <w:t>Insider trading policy, including prohibitions on pledging and short-sales</w:t>
      </w:r>
    </w:p>
    <w:p>
      <w:pPr>
        <w:spacing w:after="0" w:line="53" w:lineRule="exact"/>
        <w:rPr>
          <w:rFonts w:ascii="Arial" w:cs="Arial" w:eastAsia="Arial" w:hAnsi="Arial"/>
          <w:sz w:val="18"/>
          <w:szCs w:val="18"/>
          <w:color w:val="auto"/>
        </w:rPr>
      </w:pPr>
    </w:p>
    <w:p>
      <w:pPr>
        <w:ind w:left="500" w:hanging="313"/>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6"/>
          <w:szCs w:val="16"/>
          <w:color w:val="auto"/>
        </w:rPr>
        <w:t>Incentive-based compensation clawback policy</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tabs>
          <w:tab w:leader="none" w:pos="280" w:val="left"/>
          <w:tab w:leader="none" w:pos="3520" w:val="left"/>
          <w:tab w:leader="none" w:pos="3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Regular executive sessions of the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Robust stockholder engagement program,</w:t>
      </w:r>
    </w:p>
    <w:p>
      <w:pPr>
        <w:spacing w:after="0" w:line="30" w:lineRule="exact"/>
        <w:rPr>
          <w:sz w:val="20"/>
          <w:szCs w:val="20"/>
          <w:color w:val="auto"/>
        </w:rPr>
      </w:pPr>
    </w:p>
    <w:p>
      <w:pPr>
        <w:ind w:left="320"/>
        <w:spacing w:after="0"/>
        <w:tabs>
          <w:tab w:leader="none" w:pos="3840" w:val="left"/>
        </w:tabs>
        <w:rPr>
          <w:sz w:val="20"/>
          <w:szCs w:val="20"/>
          <w:color w:val="auto"/>
        </w:rPr>
      </w:pPr>
      <w:r>
        <w:rPr>
          <w:rFonts w:ascii="Arial" w:cs="Arial" w:eastAsia="Arial" w:hAnsi="Arial"/>
          <w:sz w:val="16"/>
          <w:szCs w:val="16"/>
          <w:color w:val="auto"/>
        </w:rPr>
        <w:t>independent directors at meetings of the</w:t>
      </w:r>
      <w:r>
        <w:rPr>
          <w:sz w:val="20"/>
          <w:szCs w:val="20"/>
          <w:color w:val="auto"/>
        </w:rPr>
        <w:tab/>
      </w:r>
      <w:r>
        <w:rPr>
          <w:rFonts w:ascii="Arial" w:cs="Arial" w:eastAsia="Arial" w:hAnsi="Arial"/>
          <w:sz w:val="16"/>
          <w:szCs w:val="16"/>
          <w:color w:val="auto"/>
        </w:rPr>
        <w:t>with the participation of our Chairman, to</w:t>
      </w:r>
    </w:p>
    <w:p>
      <w:pPr>
        <w:spacing w:after="0" w:line="5" w:lineRule="exact"/>
        <w:rPr>
          <w:sz w:val="20"/>
          <w:szCs w:val="20"/>
          <w:color w:val="auto"/>
        </w:rPr>
      </w:pPr>
    </w:p>
    <w:p>
      <w:pPr>
        <w:ind w:left="320"/>
        <w:spacing w:after="0"/>
        <w:tabs>
          <w:tab w:leader="none" w:pos="3840" w:val="left"/>
        </w:tabs>
        <w:rPr>
          <w:sz w:val="20"/>
          <w:szCs w:val="20"/>
          <w:color w:val="auto"/>
        </w:rPr>
      </w:pPr>
      <w:r>
        <w:rPr>
          <w:rFonts w:ascii="Arial" w:cs="Arial" w:eastAsia="Arial" w:hAnsi="Arial"/>
          <w:sz w:val="16"/>
          <w:szCs w:val="16"/>
          <w:color w:val="auto"/>
        </w:rPr>
        <w:t>Board, without management present</w:t>
      </w:r>
      <w:r>
        <w:rPr>
          <w:sz w:val="20"/>
          <w:szCs w:val="20"/>
          <w:color w:val="auto"/>
        </w:rPr>
        <w:tab/>
      </w:r>
      <w:r>
        <w:rPr>
          <w:rFonts w:ascii="Arial" w:cs="Arial" w:eastAsia="Arial" w:hAnsi="Arial"/>
          <w:sz w:val="16"/>
          <w:szCs w:val="16"/>
          <w:color w:val="auto"/>
        </w:rPr>
        <w:t>share our perspectives and solicit feedback</w:t>
      </w:r>
    </w:p>
    <w:p>
      <w:pPr>
        <w:spacing w:after="0" w:line="7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Officer and director stock ownership</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requirements</w:t>
      </w:r>
    </w:p>
    <w:p>
      <w:pPr>
        <w:spacing w:after="0" w:line="7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Code of Conduct overseen by Board</w:t>
      </w:r>
    </w:p>
    <w:p>
      <w:pPr>
        <w:spacing w:after="0" w:line="237" w:lineRule="exact"/>
        <w:rPr>
          <w:sz w:val="20"/>
          <w:szCs w:val="20"/>
          <w:color w:val="auto"/>
        </w:rPr>
      </w:pPr>
    </w:p>
    <w:p>
      <w:pPr>
        <w:sectPr>
          <w:pgSz w:w="11900" w:h="16838" w:orient="portrait"/>
          <w:cols w:equalWidth="0" w:num="2">
            <w:col w:w="3920" w:space="220"/>
            <w:col w:w="7060"/>
          </w:cols>
          <w:pgMar w:left="320" w:top="1440" w:right="379" w:bottom="1440" w:gutter="0" w:footer="0" w:header="0"/>
          <w:type w:val="continuous"/>
        </w:sectPr>
      </w:pPr>
    </w:p>
    <w:tbl>
      <w:tblPr>
        <w:tblLayout w:type="fixed"/>
        <w:tblInd w:w="60" w:type="dxa"/>
        <w:tblCellMar>
          <w:top w:w="0" w:type="dxa"/>
          <w:left w:w="0" w:type="dxa"/>
          <w:bottom w:w="0" w:type="dxa"/>
          <w:right w:w="0" w:type="dxa"/>
        </w:tblCellMar>
      </w:tblPr>
      <w:tr>
        <w:trPr>
          <w:trHeight w:val="236"/>
        </w:trPr>
        <w:tc>
          <w:tcPr>
            <w:tcW w:w="3900" w:type="dxa"/>
            <w:vAlign w:val="bottom"/>
            <w:tcBorders>
              <w:top w:val="single" w:sz="8" w:color="auto"/>
            </w:tcBorders>
            <w:gridSpan w:val="2"/>
            <w:shd w:val="clear" w:color="auto" w:fill="DBE5F1"/>
          </w:tcPr>
          <w:p>
            <w:pPr>
              <w:ind w:left="60"/>
              <w:spacing w:after="0"/>
              <w:rPr>
                <w:sz w:val="20"/>
                <w:szCs w:val="20"/>
                <w:color w:val="auto"/>
              </w:rPr>
            </w:pPr>
            <w:r>
              <w:rPr>
                <w:rFonts w:ascii="Arial" w:cs="Arial" w:eastAsia="Arial" w:hAnsi="Arial"/>
                <w:sz w:val="16"/>
                <w:szCs w:val="16"/>
                <w:b w:val="1"/>
                <w:bCs w:val="1"/>
                <w:i w:val="1"/>
                <w:iCs w:val="1"/>
                <w:color w:val="auto"/>
              </w:rPr>
              <w:t>Board Operations and Oversight</w:t>
            </w:r>
          </w:p>
        </w:tc>
        <w:tc>
          <w:tcPr>
            <w:tcW w:w="3560" w:type="dxa"/>
            <w:vAlign w:val="bottom"/>
            <w:tcBorders>
              <w:top w:val="single" w:sz="8" w:color="auto"/>
            </w:tcBorders>
            <w:shd w:val="clear" w:color="auto" w:fill="DBE5F1"/>
          </w:tcPr>
          <w:p>
            <w:pPr>
              <w:spacing w:after="0"/>
              <w:rPr>
                <w:sz w:val="20"/>
                <w:szCs w:val="20"/>
                <w:color w:val="auto"/>
              </w:rPr>
            </w:pPr>
          </w:p>
        </w:tc>
        <w:tc>
          <w:tcPr>
            <w:tcW w:w="368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320" w:type="dxa"/>
            <w:vAlign w:val="bottom"/>
            <w:shd w:val="clear" w:color="auto" w:fill="DBE5F1"/>
          </w:tcPr>
          <w:p>
            <w:pPr>
              <w:ind w:left="120"/>
              <w:spacing w:after="0"/>
              <w:rPr>
                <w:sz w:val="20"/>
                <w:szCs w:val="20"/>
                <w:color w:val="auto"/>
              </w:rPr>
            </w:pPr>
            <w:r>
              <w:rPr>
                <w:rFonts w:ascii="Arial" w:cs="Arial" w:eastAsia="Arial" w:hAnsi="Arial"/>
                <w:sz w:val="18"/>
                <w:szCs w:val="18"/>
                <w:color w:val="auto"/>
              </w:rPr>
              <w:t>•</w:t>
            </w:r>
          </w:p>
        </w:tc>
        <w:tc>
          <w:tcPr>
            <w:tcW w:w="3580" w:type="dxa"/>
            <w:vAlign w:val="bottom"/>
            <w:shd w:val="clear" w:color="auto" w:fill="DBE5F1"/>
          </w:tcPr>
          <w:p>
            <w:pPr>
              <w:ind w:left="120"/>
              <w:spacing w:after="0"/>
              <w:rPr>
                <w:sz w:val="20"/>
                <w:szCs w:val="20"/>
                <w:color w:val="auto"/>
              </w:rPr>
            </w:pPr>
            <w:r>
              <w:rPr>
                <w:rFonts w:ascii="Arial" w:cs="Arial" w:eastAsia="Arial" w:hAnsi="Arial"/>
                <w:sz w:val="16"/>
                <w:szCs w:val="16"/>
                <w:color w:val="auto"/>
              </w:rPr>
              <w:t>Active board oversight of strategic planning</w:t>
            </w:r>
          </w:p>
        </w:tc>
        <w:tc>
          <w:tcPr>
            <w:tcW w:w="3560" w:type="dxa"/>
            <w:vAlign w:val="bottom"/>
            <w:shd w:val="clear" w:color="auto" w:fill="DBE5F1"/>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Audit Committee oversight of financial</w:t>
            </w:r>
          </w:p>
        </w:tc>
        <w:tc>
          <w:tcPr>
            <w:tcW w:w="3680" w:type="dxa"/>
            <w:vAlign w:val="bottom"/>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Direct access by the Board to members of</w:t>
            </w:r>
          </w:p>
        </w:tc>
        <w:tc>
          <w:tcPr>
            <w:tcW w:w="0" w:type="dxa"/>
            <w:vAlign w:val="bottom"/>
          </w:tcPr>
          <w:p>
            <w:pPr>
              <w:spacing w:after="0"/>
              <w:rPr>
                <w:sz w:val="1"/>
                <w:szCs w:val="1"/>
                <w:color w:val="auto"/>
              </w:rPr>
            </w:pPr>
          </w:p>
        </w:tc>
      </w:tr>
      <w:tr>
        <w:trPr>
          <w:trHeight w:val="189"/>
        </w:trPr>
        <w:tc>
          <w:tcPr>
            <w:tcW w:w="320" w:type="dxa"/>
            <w:vAlign w:val="bottom"/>
            <w:vMerge w:val="restart"/>
            <w:shd w:val="clear" w:color="auto" w:fill="DBE5F1"/>
          </w:tcPr>
          <w:p>
            <w:pPr>
              <w:ind w:left="120"/>
              <w:spacing w:after="0"/>
              <w:rPr>
                <w:sz w:val="20"/>
                <w:szCs w:val="20"/>
                <w:color w:val="auto"/>
              </w:rPr>
            </w:pPr>
            <w:r>
              <w:rPr>
                <w:rFonts w:ascii="Arial" w:cs="Arial" w:eastAsia="Arial" w:hAnsi="Arial"/>
                <w:sz w:val="18"/>
                <w:szCs w:val="18"/>
                <w:color w:val="auto"/>
              </w:rPr>
              <w:t>•</w:t>
            </w: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Robust oversight framework to assess and</w:t>
            </w:r>
          </w:p>
        </w:tc>
        <w:tc>
          <w:tcPr>
            <w:tcW w:w="3560" w:type="dxa"/>
            <w:vAlign w:val="bottom"/>
            <w:shd w:val="clear" w:color="auto" w:fill="DBE5F1"/>
          </w:tcPr>
          <w:p>
            <w:pPr>
              <w:ind w:left="500"/>
              <w:spacing w:after="0"/>
              <w:rPr>
                <w:sz w:val="20"/>
                <w:szCs w:val="20"/>
                <w:color w:val="auto"/>
              </w:rPr>
            </w:pPr>
            <w:r>
              <w:rPr>
                <w:rFonts w:ascii="Arial" w:cs="Arial" w:eastAsia="Arial" w:hAnsi="Arial"/>
                <w:sz w:val="16"/>
                <w:szCs w:val="16"/>
                <w:color w:val="auto"/>
              </w:rPr>
              <w:t>risks, cybersecurity</w:t>
            </w:r>
          </w:p>
        </w:tc>
        <w:tc>
          <w:tcPr>
            <w:tcW w:w="3680" w:type="dxa"/>
            <w:vAlign w:val="bottom"/>
            <w:shd w:val="clear" w:color="auto" w:fill="DBE5F1"/>
          </w:tcPr>
          <w:p>
            <w:pPr>
              <w:ind w:left="480"/>
              <w:spacing w:after="0"/>
              <w:rPr>
                <w:sz w:val="20"/>
                <w:szCs w:val="20"/>
                <w:color w:val="auto"/>
              </w:rPr>
            </w:pPr>
            <w:r>
              <w:rPr>
                <w:rFonts w:ascii="Arial" w:cs="Arial" w:eastAsia="Arial" w:hAnsi="Arial"/>
                <w:sz w:val="16"/>
                <w:szCs w:val="16"/>
                <w:color w:val="auto"/>
              </w:rPr>
              <w:t>management, including Chief Compliance</w:t>
            </w:r>
          </w:p>
        </w:tc>
        <w:tc>
          <w:tcPr>
            <w:tcW w:w="0" w:type="dxa"/>
            <w:vAlign w:val="bottom"/>
          </w:tcPr>
          <w:p>
            <w:pPr>
              <w:spacing w:after="0"/>
              <w:rPr>
                <w:sz w:val="1"/>
                <w:szCs w:val="1"/>
                <w:color w:val="auto"/>
              </w:rPr>
            </w:pPr>
          </w:p>
        </w:tc>
      </w:tr>
      <w:tr>
        <w:trPr>
          <w:trHeight w:val="108"/>
        </w:trPr>
        <w:tc>
          <w:tcPr>
            <w:tcW w:w="320" w:type="dxa"/>
            <w:vAlign w:val="bottom"/>
            <w:vMerge w:val="continue"/>
            <w:shd w:val="clear" w:color="auto" w:fill="DBE5F1"/>
          </w:tcPr>
          <w:p>
            <w:pPr>
              <w:spacing w:after="0"/>
              <w:rPr>
                <w:sz w:val="9"/>
                <w:szCs w:val="9"/>
                <w:color w:val="auto"/>
              </w:rPr>
            </w:pPr>
          </w:p>
        </w:tc>
        <w:tc>
          <w:tcPr>
            <w:tcW w:w="358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NCGCC oversight of nominating process</w:t>
            </w:r>
          </w:p>
        </w:tc>
        <w:tc>
          <w:tcPr>
            <w:tcW w:w="368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Officer</w:t>
            </w:r>
          </w:p>
        </w:tc>
        <w:tc>
          <w:tcPr>
            <w:tcW w:w="0" w:type="dxa"/>
            <w:vAlign w:val="bottom"/>
          </w:tcPr>
          <w:p>
            <w:pPr>
              <w:spacing w:after="0"/>
              <w:rPr>
                <w:sz w:val="1"/>
                <w:szCs w:val="1"/>
                <w:color w:val="auto"/>
              </w:rPr>
            </w:pPr>
          </w:p>
        </w:tc>
      </w:tr>
      <w:tr>
        <w:trPr>
          <w:trHeight w:val="107"/>
        </w:trPr>
        <w:tc>
          <w:tcPr>
            <w:tcW w:w="320" w:type="dxa"/>
            <w:vAlign w:val="bottom"/>
            <w:shd w:val="clear" w:color="auto" w:fill="DBE5F1"/>
          </w:tcPr>
          <w:p>
            <w:pPr>
              <w:spacing w:after="0"/>
              <w:rPr>
                <w:sz w:val="9"/>
                <w:szCs w:val="9"/>
                <w:color w:val="auto"/>
              </w:rPr>
            </w:pPr>
          </w:p>
        </w:tc>
        <w:tc>
          <w:tcPr>
            <w:tcW w:w="358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manage risks</w:t>
            </w:r>
          </w:p>
        </w:tc>
        <w:tc>
          <w:tcPr>
            <w:tcW w:w="3560" w:type="dxa"/>
            <w:vAlign w:val="bottom"/>
            <w:vMerge w:val="continue"/>
            <w:shd w:val="clear" w:color="auto" w:fill="DBE5F1"/>
          </w:tcPr>
          <w:p>
            <w:pPr>
              <w:spacing w:after="0"/>
              <w:rPr>
                <w:sz w:val="9"/>
                <w:szCs w:val="9"/>
                <w:color w:val="auto"/>
              </w:rPr>
            </w:pPr>
          </w:p>
        </w:tc>
        <w:tc>
          <w:tcPr>
            <w:tcW w:w="368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20" w:type="dxa"/>
            <w:vAlign w:val="bottom"/>
            <w:shd w:val="clear" w:color="auto" w:fill="DBE5F1"/>
          </w:tcPr>
          <w:p>
            <w:pPr>
              <w:spacing w:after="0"/>
              <w:rPr>
                <w:sz w:val="8"/>
                <w:szCs w:val="8"/>
                <w:color w:val="auto"/>
              </w:rPr>
            </w:pPr>
          </w:p>
        </w:tc>
        <w:tc>
          <w:tcPr>
            <w:tcW w:w="3580" w:type="dxa"/>
            <w:vAlign w:val="bottom"/>
            <w:vMerge w:val="continue"/>
            <w:shd w:val="clear" w:color="auto" w:fill="DBE5F1"/>
          </w:tcPr>
          <w:p>
            <w:pPr>
              <w:spacing w:after="0"/>
              <w:rPr>
                <w:sz w:val="8"/>
                <w:szCs w:val="8"/>
                <w:color w:val="auto"/>
              </w:rPr>
            </w:pPr>
          </w:p>
        </w:tc>
        <w:tc>
          <w:tcPr>
            <w:tcW w:w="3560" w:type="dxa"/>
            <w:vAlign w:val="bottom"/>
            <w:vMerge w:val="continue"/>
            <w:shd w:val="clear" w:color="auto" w:fill="DBE5F1"/>
          </w:tcPr>
          <w:p>
            <w:pPr>
              <w:spacing w:after="0"/>
              <w:rPr>
                <w:sz w:val="8"/>
                <w:szCs w:val="8"/>
                <w:color w:val="auto"/>
              </w:rPr>
            </w:pPr>
          </w:p>
        </w:tc>
        <w:tc>
          <w:tcPr>
            <w:tcW w:w="3680" w:type="dxa"/>
            <w:vAlign w:val="bottom"/>
            <w:vMerge w:val="restart"/>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Regular briefings on corporate governance</w:t>
            </w:r>
          </w:p>
        </w:tc>
        <w:tc>
          <w:tcPr>
            <w:tcW w:w="0" w:type="dxa"/>
            <w:vAlign w:val="bottom"/>
          </w:tcPr>
          <w:p>
            <w:pPr>
              <w:spacing w:after="0"/>
              <w:rPr>
                <w:sz w:val="1"/>
                <w:szCs w:val="1"/>
                <w:color w:val="auto"/>
              </w:rPr>
            </w:pPr>
          </w:p>
        </w:tc>
      </w:tr>
      <w:tr>
        <w:trPr>
          <w:trHeight w:val="189"/>
        </w:trPr>
        <w:tc>
          <w:tcPr>
            <w:tcW w:w="320" w:type="dxa"/>
            <w:vAlign w:val="bottom"/>
            <w:vMerge w:val="restart"/>
            <w:shd w:val="clear" w:color="auto" w:fill="DBE5F1"/>
          </w:tcPr>
          <w:p>
            <w:pPr>
              <w:ind w:left="120"/>
              <w:spacing w:after="0"/>
              <w:rPr>
                <w:sz w:val="20"/>
                <w:szCs w:val="20"/>
                <w:color w:val="auto"/>
              </w:rPr>
            </w:pPr>
            <w:r>
              <w:rPr>
                <w:rFonts w:ascii="Arial" w:cs="Arial" w:eastAsia="Arial" w:hAnsi="Arial"/>
                <w:sz w:val="18"/>
                <w:szCs w:val="18"/>
                <w:color w:val="auto"/>
              </w:rPr>
              <w:t>•</w:t>
            </w: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Committee charters provide clear allocation of</w:t>
            </w:r>
          </w:p>
        </w:tc>
        <w:tc>
          <w:tcPr>
            <w:tcW w:w="3560" w:type="dxa"/>
            <w:vAlign w:val="bottom"/>
            <w:shd w:val="clear" w:color="auto" w:fill="DBE5F1"/>
          </w:tcPr>
          <w:p>
            <w:pPr>
              <w:ind w:left="500"/>
              <w:spacing w:after="0"/>
              <w:rPr>
                <w:sz w:val="20"/>
                <w:szCs w:val="20"/>
                <w:color w:val="auto"/>
              </w:rPr>
            </w:pPr>
            <w:r>
              <w:rPr>
                <w:rFonts w:ascii="Arial" w:cs="Arial" w:eastAsia="Arial" w:hAnsi="Arial"/>
                <w:sz w:val="16"/>
                <w:szCs w:val="16"/>
                <w:color w:val="auto"/>
              </w:rPr>
              <w:t>and criteria, legal and regulatory</w:t>
            </w:r>
          </w:p>
        </w:tc>
        <w:tc>
          <w:tcPr>
            <w:tcW w:w="368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20" w:type="dxa"/>
            <w:vAlign w:val="bottom"/>
            <w:vMerge w:val="continue"/>
            <w:shd w:val="clear" w:color="auto" w:fill="DBE5F1"/>
          </w:tcPr>
          <w:p>
            <w:pPr>
              <w:spacing w:after="0"/>
              <w:rPr>
                <w:sz w:val="9"/>
                <w:szCs w:val="9"/>
                <w:color w:val="auto"/>
              </w:rPr>
            </w:pPr>
          </w:p>
        </w:tc>
        <w:tc>
          <w:tcPr>
            <w:tcW w:w="358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compliance</w:t>
            </w:r>
          </w:p>
        </w:tc>
        <w:tc>
          <w:tcPr>
            <w:tcW w:w="368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practices and emerging corporate</w:t>
            </w:r>
          </w:p>
        </w:tc>
        <w:tc>
          <w:tcPr>
            <w:tcW w:w="0" w:type="dxa"/>
            <w:vAlign w:val="bottom"/>
          </w:tcPr>
          <w:p>
            <w:pPr>
              <w:spacing w:after="0"/>
              <w:rPr>
                <w:sz w:val="1"/>
                <w:szCs w:val="1"/>
                <w:color w:val="auto"/>
              </w:rPr>
            </w:pPr>
          </w:p>
        </w:tc>
      </w:tr>
      <w:tr>
        <w:trPr>
          <w:trHeight w:val="81"/>
        </w:trPr>
        <w:tc>
          <w:tcPr>
            <w:tcW w:w="320" w:type="dxa"/>
            <w:vAlign w:val="bottom"/>
            <w:shd w:val="clear" w:color="auto" w:fill="DBE5F1"/>
          </w:tcPr>
          <w:p>
            <w:pPr>
              <w:spacing w:after="0"/>
              <w:rPr>
                <w:sz w:val="7"/>
                <w:szCs w:val="7"/>
                <w:color w:val="auto"/>
              </w:rPr>
            </w:pPr>
          </w:p>
        </w:tc>
        <w:tc>
          <w:tcPr>
            <w:tcW w:w="358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committee and full Board oversight roles</w:t>
            </w:r>
          </w:p>
        </w:tc>
        <w:tc>
          <w:tcPr>
            <w:tcW w:w="3560" w:type="dxa"/>
            <w:vAlign w:val="bottom"/>
            <w:vMerge w:val="continue"/>
            <w:shd w:val="clear" w:color="auto" w:fill="DBE5F1"/>
          </w:tcPr>
          <w:p>
            <w:pPr>
              <w:spacing w:after="0"/>
              <w:rPr>
                <w:sz w:val="7"/>
                <w:szCs w:val="7"/>
                <w:color w:val="auto"/>
              </w:rPr>
            </w:pPr>
          </w:p>
        </w:tc>
        <w:tc>
          <w:tcPr>
            <w:tcW w:w="368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DBE5F1"/>
          </w:tcPr>
          <w:p>
            <w:pPr>
              <w:spacing w:after="0"/>
              <w:rPr>
                <w:sz w:val="11"/>
                <w:szCs w:val="11"/>
                <w:color w:val="auto"/>
              </w:rPr>
            </w:pPr>
          </w:p>
        </w:tc>
        <w:tc>
          <w:tcPr>
            <w:tcW w:w="3580" w:type="dxa"/>
            <w:vAlign w:val="bottom"/>
            <w:vMerge w:val="continue"/>
            <w:shd w:val="clear" w:color="auto" w:fill="DBE5F1"/>
          </w:tcPr>
          <w:p>
            <w:pPr>
              <w:spacing w:after="0"/>
              <w:rPr>
                <w:sz w:val="11"/>
                <w:szCs w:val="11"/>
                <w:color w:val="auto"/>
              </w:rPr>
            </w:pPr>
          </w:p>
        </w:tc>
        <w:tc>
          <w:tcPr>
            <w:tcW w:w="3560" w:type="dxa"/>
            <w:vAlign w:val="bottom"/>
            <w:vMerge w:val="restart"/>
            <w:shd w:val="clear" w:color="auto" w:fill="DBE5F1"/>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Compensation Committee oversight of</w:t>
            </w:r>
          </w:p>
        </w:tc>
        <w:tc>
          <w:tcPr>
            <w:tcW w:w="368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governance issues</w:t>
            </w:r>
          </w:p>
        </w:tc>
        <w:tc>
          <w:tcPr>
            <w:tcW w:w="0" w:type="dxa"/>
            <w:vAlign w:val="bottom"/>
          </w:tcPr>
          <w:p>
            <w:pPr>
              <w:spacing w:after="0"/>
              <w:rPr>
                <w:sz w:val="1"/>
                <w:szCs w:val="1"/>
                <w:color w:val="auto"/>
              </w:rPr>
            </w:pPr>
          </w:p>
        </w:tc>
      </w:tr>
      <w:tr>
        <w:trPr>
          <w:trHeight w:val="81"/>
        </w:trPr>
        <w:tc>
          <w:tcPr>
            <w:tcW w:w="320" w:type="dxa"/>
            <w:vAlign w:val="bottom"/>
            <w:vMerge w:val="restart"/>
            <w:shd w:val="clear" w:color="auto" w:fill="DBE5F1"/>
          </w:tcPr>
          <w:p>
            <w:pPr>
              <w:ind w:left="120"/>
              <w:spacing w:after="0"/>
              <w:rPr>
                <w:sz w:val="20"/>
                <w:szCs w:val="20"/>
                <w:color w:val="auto"/>
              </w:rPr>
            </w:pPr>
            <w:r>
              <w:rPr>
                <w:rFonts w:ascii="Arial" w:cs="Arial" w:eastAsia="Arial" w:hAnsi="Arial"/>
                <w:sz w:val="18"/>
                <w:szCs w:val="18"/>
                <w:color w:val="auto"/>
              </w:rPr>
              <w:t>•</w:t>
            </w:r>
          </w:p>
        </w:tc>
        <w:tc>
          <w:tcPr>
            <w:tcW w:w="3580" w:type="dxa"/>
            <w:vAlign w:val="bottom"/>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8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20" w:type="dxa"/>
            <w:vAlign w:val="bottom"/>
            <w:vMerge w:val="continue"/>
            <w:shd w:val="clear" w:color="auto" w:fill="DBE5F1"/>
          </w:tcPr>
          <w:p>
            <w:pPr>
              <w:spacing w:after="0"/>
              <w:rPr>
                <w:sz w:val="8"/>
                <w:szCs w:val="8"/>
                <w:color w:val="auto"/>
              </w:rPr>
            </w:pPr>
          </w:p>
        </w:tc>
        <w:tc>
          <w:tcPr>
            <w:tcW w:w="35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Regular talent and succession planning</w:t>
            </w:r>
          </w:p>
        </w:tc>
        <w:tc>
          <w:tcPr>
            <w:tcW w:w="3560" w:type="dxa"/>
            <w:vAlign w:val="bottom"/>
            <w:vMerge w:val="continue"/>
            <w:shd w:val="clear" w:color="auto" w:fill="DBE5F1"/>
          </w:tcPr>
          <w:p>
            <w:pPr>
              <w:spacing w:after="0"/>
              <w:rPr>
                <w:sz w:val="8"/>
                <w:szCs w:val="8"/>
                <w:color w:val="auto"/>
              </w:rPr>
            </w:pPr>
          </w:p>
        </w:tc>
        <w:tc>
          <w:tcPr>
            <w:tcW w:w="3680" w:type="dxa"/>
            <w:vAlign w:val="bottom"/>
            <w:vMerge w:val="restart"/>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Monthly “teach-in” board sessions</w:t>
            </w:r>
          </w:p>
        </w:tc>
        <w:tc>
          <w:tcPr>
            <w:tcW w:w="0" w:type="dxa"/>
            <w:vAlign w:val="bottom"/>
          </w:tcPr>
          <w:p>
            <w:pPr>
              <w:spacing w:after="0"/>
              <w:rPr>
                <w:sz w:val="1"/>
                <w:szCs w:val="1"/>
                <w:color w:val="auto"/>
              </w:rPr>
            </w:pPr>
          </w:p>
        </w:tc>
      </w:tr>
      <w:tr>
        <w:trPr>
          <w:trHeight w:val="108"/>
        </w:trPr>
        <w:tc>
          <w:tcPr>
            <w:tcW w:w="320" w:type="dxa"/>
            <w:vAlign w:val="bottom"/>
            <w:vMerge w:val="continue"/>
            <w:shd w:val="clear" w:color="auto" w:fill="DBE5F1"/>
          </w:tcPr>
          <w:p>
            <w:pPr>
              <w:spacing w:after="0"/>
              <w:rPr>
                <w:sz w:val="9"/>
                <w:szCs w:val="9"/>
                <w:color w:val="auto"/>
              </w:rPr>
            </w:pPr>
          </w:p>
        </w:tc>
        <w:tc>
          <w:tcPr>
            <w:tcW w:w="358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compensation program, annual CEO</w:t>
            </w:r>
          </w:p>
        </w:tc>
        <w:tc>
          <w:tcPr>
            <w:tcW w:w="368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320" w:type="dxa"/>
            <w:vAlign w:val="bottom"/>
            <w:shd w:val="clear" w:color="auto" w:fill="DBE5F1"/>
          </w:tcPr>
          <w:p>
            <w:pPr>
              <w:spacing w:after="0"/>
              <w:rPr>
                <w:sz w:val="8"/>
                <w:szCs w:val="8"/>
                <w:color w:val="auto"/>
              </w:rPr>
            </w:pPr>
          </w:p>
        </w:tc>
        <w:tc>
          <w:tcPr>
            <w:tcW w:w="358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discussions</w:t>
            </w:r>
          </w:p>
        </w:tc>
        <w:tc>
          <w:tcPr>
            <w:tcW w:w="3560" w:type="dxa"/>
            <w:vAlign w:val="bottom"/>
            <w:vMerge w:val="continue"/>
            <w:shd w:val="clear" w:color="auto" w:fill="DBE5F1"/>
          </w:tcPr>
          <w:p>
            <w:pPr>
              <w:spacing w:after="0"/>
              <w:rPr>
                <w:sz w:val="8"/>
                <w:szCs w:val="8"/>
                <w:color w:val="auto"/>
              </w:rPr>
            </w:pPr>
          </w:p>
        </w:tc>
        <w:tc>
          <w:tcPr>
            <w:tcW w:w="368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20" w:type="dxa"/>
            <w:vAlign w:val="bottom"/>
            <w:shd w:val="clear" w:color="auto" w:fill="DBE5F1"/>
          </w:tcPr>
          <w:p>
            <w:pPr>
              <w:spacing w:after="0"/>
              <w:rPr>
                <w:sz w:val="10"/>
                <w:szCs w:val="10"/>
                <w:color w:val="auto"/>
              </w:rPr>
            </w:pPr>
          </w:p>
        </w:tc>
        <w:tc>
          <w:tcPr>
            <w:tcW w:w="3580" w:type="dxa"/>
            <w:vAlign w:val="bottom"/>
            <w:vMerge w:val="continue"/>
            <w:shd w:val="clear" w:color="auto" w:fill="DBE5F1"/>
          </w:tcPr>
          <w:p>
            <w:pPr>
              <w:spacing w:after="0"/>
              <w:rPr>
                <w:sz w:val="10"/>
                <w:szCs w:val="10"/>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evaluation</w:t>
            </w:r>
          </w:p>
        </w:tc>
        <w:tc>
          <w:tcPr>
            <w:tcW w:w="368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addressing key strategic areas</w:t>
            </w:r>
          </w:p>
        </w:tc>
        <w:tc>
          <w:tcPr>
            <w:tcW w:w="0" w:type="dxa"/>
            <w:vAlign w:val="bottom"/>
          </w:tcPr>
          <w:p>
            <w:pPr>
              <w:spacing w:after="0"/>
              <w:rPr>
                <w:sz w:val="1"/>
                <w:szCs w:val="1"/>
                <w:color w:val="auto"/>
              </w:rPr>
            </w:pPr>
          </w:p>
        </w:tc>
      </w:tr>
      <w:tr>
        <w:trPr>
          <w:trHeight w:val="94"/>
        </w:trPr>
        <w:tc>
          <w:tcPr>
            <w:tcW w:w="320" w:type="dxa"/>
            <w:vAlign w:val="bottom"/>
            <w:shd w:val="clear" w:color="auto" w:fill="DBE5F1"/>
          </w:tcPr>
          <w:p>
            <w:pPr>
              <w:spacing w:after="0"/>
              <w:rPr>
                <w:sz w:val="8"/>
                <w:szCs w:val="8"/>
                <w:color w:val="auto"/>
              </w:rPr>
            </w:pPr>
          </w:p>
        </w:tc>
        <w:tc>
          <w:tcPr>
            <w:tcW w:w="3580" w:type="dxa"/>
            <w:vAlign w:val="bottom"/>
            <w:shd w:val="clear" w:color="auto" w:fill="DBE5F1"/>
          </w:tcPr>
          <w:p>
            <w:pPr>
              <w:spacing w:after="0"/>
              <w:rPr>
                <w:sz w:val="8"/>
                <w:szCs w:val="8"/>
                <w:color w:val="auto"/>
              </w:rPr>
            </w:pPr>
          </w:p>
        </w:tc>
        <w:tc>
          <w:tcPr>
            <w:tcW w:w="3560" w:type="dxa"/>
            <w:vAlign w:val="bottom"/>
            <w:vMerge w:val="continue"/>
            <w:shd w:val="clear" w:color="auto" w:fill="DBE5F1"/>
          </w:tcPr>
          <w:p>
            <w:pPr>
              <w:spacing w:after="0"/>
              <w:rPr>
                <w:sz w:val="8"/>
                <w:szCs w:val="8"/>
                <w:color w:val="auto"/>
              </w:rPr>
            </w:pPr>
          </w:p>
        </w:tc>
        <w:tc>
          <w:tcPr>
            <w:tcW w:w="368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20" w:type="dxa"/>
            <w:vAlign w:val="bottom"/>
            <w:tcBorders>
              <w:bottom w:val="single" w:sz="8" w:color="auto"/>
            </w:tcBorders>
            <w:shd w:val="clear" w:color="auto" w:fill="DBE5F1"/>
          </w:tcPr>
          <w:p>
            <w:pPr>
              <w:spacing w:after="0"/>
              <w:rPr>
                <w:sz w:val="9"/>
                <w:szCs w:val="9"/>
                <w:color w:val="auto"/>
              </w:rPr>
            </w:pPr>
          </w:p>
        </w:tc>
        <w:tc>
          <w:tcPr>
            <w:tcW w:w="3580" w:type="dxa"/>
            <w:vAlign w:val="bottom"/>
            <w:tcBorders>
              <w:bottom w:val="single" w:sz="8" w:color="auto"/>
            </w:tcBorders>
            <w:shd w:val="clear" w:color="auto" w:fill="DBE5F1"/>
          </w:tcPr>
          <w:p>
            <w:pPr>
              <w:spacing w:after="0"/>
              <w:rPr>
                <w:sz w:val="9"/>
                <w:szCs w:val="9"/>
                <w:color w:val="auto"/>
              </w:rPr>
            </w:pPr>
          </w:p>
        </w:tc>
        <w:tc>
          <w:tcPr>
            <w:tcW w:w="3560" w:type="dxa"/>
            <w:vAlign w:val="bottom"/>
            <w:tcBorders>
              <w:bottom w:val="single" w:sz="8" w:color="auto"/>
            </w:tcBorders>
            <w:shd w:val="clear" w:color="auto" w:fill="DBE5F1"/>
          </w:tcPr>
          <w:p>
            <w:pPr>
              <w:spacing w:after="0"/>
              <w:rPr>
                <w:sz w:val="9"/>
                <w:szCs w:val="9"/>
                <w:color w:val="auto"/>
              </w:rPr>
            </w:pPr>
          </w:p>
        </w:tc>
        <w:tc>
          <w:tcPr>
            <w:tcW w:w="3680" w:type="dxa"/>
            <w:vAlign w:val="bottom"/>
            <w:tcBorders>
              <w:bottom w:val="single" w:sz="8" w:color="auto"/>
            </w:tcBorders>
            <w:shd w:val="clear" w:color="auto" w:fill="DBE5F1"/>
          </w:tcPr>
          <w:p>
            <w:pPr>
              <w:spacing w:after="0"/>
              <w:rPr>
                <w:sz w:val="9"/>
                <w:szCs w:val="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Compensation Highlights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executive compensation philosophy is to directly align pay outcomes with Company performance, long-term stockholder value creation, and the attraction, retention and motivation of high-performing executives, while maintaining strong compensation governance and reinforcing our cultural values. The Compensation Committee reviews and approves the elements of our executive compensation program at least annually, with input from an independent compensation consultant and a focus on market competitiveness, pay-for-performance alignment and risk management. Our 2025 executive compensation program continued to reflect this philosophy by emphasizing at-risk, performance-based compensation tied to both annual and long-term financial and strategic objectives. A significant portion of total compensation is delivered through long-term equity incentives, aligning executives’ interests with those of our stockholders and promoting sustained value creation over time. Additional details regarding our executive compensation program are provided in the “Compensation Discussion and Analysis” section of this proxy statement beginning on page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2" w:name="page13"/>
    <w:bookmarkEnd w:id="12"/>
    <w:p>
      <w:pPr>
        <w:ind w:firstLine="405"/>
        <w:spacing w:after="0" w:line="287" w:lineRule="auto"/>
        <w:rPr>
          <w:sz w:val="20"/>
          <w:szCs w:val="20"/>
          <w:color w:val="auto"/>
        </w:rPr>
      </w:pPr>
      <w:r>
        <w:rPr>
          <w:rFonts w:ascii="Arial" w:cs="Arial" w:eastAsia="Arial" w:hAnsi="Arial"/>
          <w:sz w:val="18"/>
          <w:szCs w:val="18"/>
          <w:color w:val="auto"/>
        </w:rPr>
        <w:t>We believe the following practices and policies promote sound compensation governance and align the interests of our executives with those of our stockholders: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34925</wp:posOffset>
            </wp:positionV>
            <wp:extent cx="5366385" cy="8572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66385" cy="857250"/>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sectPr>
      </w:pPr>
    </w:p>
    <w:p>
      <w:pPr>
        <w:spacing w:after="0" w:line="63" w:lineRule="exact"/>
        <w:rPr>
          <w:sz w:val="20"/>
          <w:szCs w:val="20"/>
          <w:color w:val="auto"/>
        </w:rPr>
      </w:pPr>
    </w:p>
    <w:p>
      <w:pPr>
        <w:ind w:left="1880" w:right="80"/>
        <w:spacing w:after="0" w:line="221" w:lineRule="auto"/>
        <w:rPr>
          <w:sz w:val="20"/>
          <w:szCs w:val="20"/>
          <w:color w:val="auto"/>
        </w:rPr>
      </w:pPr>
      <w:r>
        <w:rPr>
          <w:rFonts w:ascii="Arial" w:cs="Arial" w:eastAsia="Arial" w:hAnsi="Arial"/>
          <w:sz w:val="18"/>
          <w:szCs w:val="18"/>
          <w:color w:val="auto"/>
        </w:rPr>
        <w:t>Emphasize variable pay over fixed pay, with a significant portion tied to pre-established</w:t>
      </w:r>
    </w:p>
    <w:p>
      <w:pPr>
        <w:spacing w:after="0" w:line="1" w:lineRule="exact"/>
        <w:rPr>
          <w:sz w:val="20"/>
          <w:szCs w:val="20"/>
          <w:color w:val="auto"/>
        </w:rPr>
      </w:pPr>
    </w:p>
    <w:p>
      <w:pPr>
        <w:ind w:left="1880"/>
        <w:spacing w:after="0" w:line="229" w:lineRule="auto"/>
        <w:rPr>
          <w:sz w:val="20"/>
          <w:szCs w:val="20"/>
          <w:color w:val="auto"/>
        </w:rPr>
      </w:pPr>
      <w:r>
        <w:rPr>
          <w:rFonts w:ascii="Arial" w:cs="Arial" w:eastAsia="Arial" w:hAnsi="Arial"/>
          <w:sz w:val="18"/>
          <w:szCs w:val="18"/>
          <w:color w:val="auto"/>
        </w:rPr>
        <w:t>performance goals focused on long-term value creation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760"/>
        <w:spacing w:after="0" w:line="234" w:lineRule="auto"/>
        <w:rPr>
          <w:sz w:val="20"/>
          <w:szCs w:val="20"/>
          <w:color w:val="auto"/>
        </w:rPr>
      </w:pPr>
      <w:r>
        <w:rPr>
          <w:rFonts w:ascii="Arial" w:cs="Arial" w:eastAsia="Arial" w:hAnsi="Arial"/>
          <w:sz w:val="17"/>
          <w:szCs w:val="17"/>
          <w:color w:val="auto"/>
        </w:rPr>
        <w:t>Engage an independent compensation consultant to evaluate and advise the</w:t>
      </w:r>
    </w:p>
    <w:p>
      <w:pPr>
        <w:spacing w:after="0" w:line="1" w:lineRule="exact"/>
        <w:rPr>
          <w:sz w:val="20"/>
          <w:szCs w:val="20"/>
          <w:color w:val="auto"/>
        </w:rPr>
      </w:pPr>
    </w:p>
    <w:p>
      <w:pPr>
        <w:ind w:right="1400"/>
        <w:spacing w:after="0" w:line="221" w:lineRule="auto"/>
        <w:rPr>
          <w:sz w:val="20"/>
          <w:szCs w:val="20"/>
          <w:color w:val="auto"/>
        </w:rPr>
      </w:pPr>
      <w:r>
        <w:rPr>
          <w:rFonts w:ascii="Arial" w:cs="Arial" w:eastAsia="Arial" w:hAnsi="Arial"/>
          <w:sz w:val="18"/>
          <w:szCs w:val="18"/>
          <w:color w:val="auto"/>
        </w:rPr>
        <w:t>Compensation Committee on our executive compensation program design and pay decisions</w:t>
      </w:r>
    </w:p>
    <w:p>
      <w:pPr>
        <w:spacing w:after="0" w:line="4" w:lineRule="exact"/>
        <w:rPr>
          <w:sz w:val="20"/>
          <w:szCs w:val="20"/>
          <w:color w:val="auto"/>
        </w:rPr>
      </w:pPr>
    </w:p>
    <w:p>
      <w:pPr>
        <w:sectPr>
          <w:pgSz w:w="11900" w:h="16838" w:orient="portrait"/>
          <w:cols w:equalWidth="0" w:num="2">
            <w:col w:w="5600" w:space="680"/>
            <w:col w:w="4840"/>
          </w:cols>
          <w:pgMar w:left="320" w:top="1417" w:right="459" w:bottom="1440" w:gutter="0" w:footer="0" w:header="0"/>
          <w:type w:val="continuous"/>
        </w:sectPr>
      </w:pPr>
    </w:p>
    <w:p>
      <w:pPr>
        <w:ind w:left="1880"/>
        <w:spacing w:after="0" w:line="221" w:lineRule="auto"/>
        <w:rPr>
          <w:sz w:val="20"/>
          <w:szCs w:val="20"/>
          <w:color w:val="auto"/>
        </w:rPr>
      </w:pPr>
      <w:r>
        <w:rPr>
          <w:rFonts w:ascii="Arial" w:cs="Arial" w:eastAsia="Arial" w:hAnsi="Arial"/>
          <w:sz w:val="18"/>
          <w:szCs w:val="18"/>
          <w:color w:val="auto"/>
        </w:rPr>
        <w:t>Cap maximum vesting or payout levels under our incentive compensation awards, which are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aligned with competitive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349250</wp:posOffset>
            </wp:positionV>
            <wp:extent cx="24003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360"/>
        <w:spacing w:after="0"/>
        <w:rPr>
          <w:sz w:val="20"/>
          <w:szCs w:val="20"/>
          <w:color w:val="auto"/>
        </w:rPr>
      </w:pPr>
      <w:r>
        <w:rPr>
          <w:rFonts w:ascii="Arial" w:cs="Arial" w:eastAsia="Arial" w:hAnsi="Arial"/>
          <w:sz w:val="18"/>
          <w:szCs w:val="18"/>
          <w:color w:val="auto"/>
        </w:rPr>
        <w:t>Annually review and approve peer group for comparative compensation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460375</wp:posOffset>
            </wp:positionV>
            <wp:extent cx="240030" cy="240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75" w:lineRule="exact"/>
        <w:rPr>
          <w:sz w:val="20"/>
          <w:szCs w:val="20"/>
          <w:color w:val="auto"/>
        </w:rPr>
      </w:pPr>
    </w:p>
    <w:p>
      <w:pPr>
        <w:sectPr>
          <w:pgSz w:w="11900" w:h="16838" w:orient="portrait"/>
          <w:cols w:equalWidth="0" w:num="2">
            <w:col w:w="5580" w:space="700"/>
            <w:col w:w="4840"/>
          </w:cols>
          <w:pgMar w:left="320" w:top="1417" w:right="459" w:bottom="1440" w:gutter="0" w:footer="0" w:header="0"/>
          <w:type w:val="continuous"/>
        </w:sectPr>
      </w:pPr>
    </w:p>
    <w:p>
      <w:pPr>
        <w:spacing w:after="0" w:line="318"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4620" w:type="dxa"/>
            <w:vAlign w:val="bottom"/>
            <w:shd w:val="clear" w:color="auto" w:fill="DBE5F1"/>
          </w:tcPr>
          <w:p>
            <w:pPr>
              <w:ind w:left="480"/>
              <w:spacing w:after="0"/>
              <w:rPr>
                <w:sz w:val="20"/>
                <w:szCs w:val="20"/>
                <w:color w:val="auto"/>
              </w:rPr>
            </w:pPr>
            <w:r>
              <w:rPr>
                <w:rFonts w:ascii="Arial" w:cs="Arial" w:eastAsia="Arial" w:hAnsi="Arial"/>
                <w:sz w:val="18"/>
                <w:szCs w:val="18"/>
                <w:color w:val="auto"/>
              </w:rPr>
              <w:t>Conduct an annual advisory vote on the</w:t>
            </w:r>
          </w:p>
        </w:tc>
        <w:tc>
          <w:tcPr>
            <w:tcW w:w="3820" w:type="dxa"/>
            <w:vAlign w:val="bottom"/>
            <w:shd w:val="clear" w:color="auto" w:fill="DBE5F1"/>
          </w:tcPr>
          <w:p>
            <w:pPr>
              <w:ind w:left="260"/>
              <w:spacing w:after="0"/>
              <w:rPr>
                <w:sz w:val="20"/>
                <w:szCs w:val="20"/>
                <w:color w:val="auto"/>
              </w:rPr>
            </w:pPr>
            <w:r>
              <w:rPr>
                <w:rFonts w:ascii="Arial" w:cs="Arial" w:eastAsia="Arial" w:hAnsi="Arial"/>
                <w:sz w:val="18"/>
                <w:szCs w:val="18"/>
                <w:color w:val="auto"/>
              </w:rPr>
              <w:t>Maintain stock ownership guidelines for our</w:t>
            </w:r>
          </w:p>
        </w:tc>
      </w:tr>
      <w:tr>
        <w:trPr>
          <w:trHeight w:val="239"/>
        </w:trPr>
        <w:tc>
          <w:tcPr>
            <w:tcW w:w="4620" w:type="dxa"/>
            <w:vAlign w:val="bottom"/>
            <w:shd w:val="clear" w:color="auto" w:fill="DBE5F1"/>
          </w:tcPr>
          <w:p>
            <w:pPr>
              <w:ind w:left="480"/>
              <w:spacing w:after="0"/>
              <w:rPr>
                <w:sz w:val="20"/>
                <w:szCs w:val="20"/>
                <w:color w:val="auto"/>
              </w:rPr>
            </w:pPr>
            <w:r>
              <w:rPr>
                <w:rFonts w:ascii="Arial" w:cs="Arial" w:eastAsia="Arial" w:hAnsi="Arial"/>
                <w:sz w:val="18"/>
                <w:szCs w:val="18"/>
                <w:color w:val="auto"/>
              </w:rPr>
              <w:t>compensation of our NEOs</w:t>
            </w:r>
          </w:p>
        </w:tc>
        <w:tc>
          <w:tcPr>
            <w:tcW w:w="3820" w:type="dxa"/>
            <w:vAlign w:val="bottom"/>
            <w:shd w:val="clear" w:color="auto" w:fill="DBE5F1"/>
          </w:tcPr>
          <w:p>
            <w:pPr>
              <w:ind w:left="260"/>
              <w:spacing w:after="0"/>
              <w:rPr>
                <w:sz w:val="20"/>
                <w:szCs w:val="20"/>
                <w:color w:val="auto"/>
              </w:rPr>
            </w:pPr>
            <w:r>
              <w:rPr>
                <w:rFonts w:ascii="Arial" w:cs="Arial" w:eastAsia="Arial" w:hAnsi="Arial"/>
                <w:sz w:val="18"/>
                <w:szCs w:val="18"/>
                <w:color w:val="auto"/>
              </w:rPr>
              <w:t>executive officers and Board of Directors</w:t>
            </w:r>
          </w:p>
        </w:tc>
      </w:tr>
      <w:tr>
        <w:trPr>
          <w:trHeight w:val="166"/>
        </w:trPr>
        <w:tc>
          <w:tcPr>
            <w:tcW w:w="4620" w:type="dxa"/>
            <w:vAlign w:val="bottom"/>
            <w:shd w:val="clear" w:color="auto" w:fill="DBE5F1"/>
          </w:tcPr>
          <w:p>
            <w:pPr>
              <w:spacing w:after="0"/>
              <w:rPr>
                <w:sz w:val="14"/>
                <w:szCs w:val="14"/>
                <w:color w:val="auto"/>
              </w:rPr>
            </w:pPr>
          </w:p>
        </w:tc>
        <w:tc>
          <w:tcPr>
            <w:tcW w:w="3820" w:type="dxa"/>
            <w:vAlign w:val="bottom"/>
            <w:shd w:val="clear" w:color="auto" w:fill="DBE5F1"/>
          </w:tcPr>
          <w:p>
            <w:pPr>
              <w:spacing w:after="0"/>
              <w:rPr>
                <w:sz w:val="14"/>
                <w:szCs w:val="14"/>
                <w:color w:val="auto"/>
              </w:rPr>
            </w:pPr>
          </w:p>
        </w:tc>
      </w:tr>
      <w:tr>
        <w:trPr>
          <w:trHeight w:val="176"/>
        </w:trPr>
        <w:tc>
          <w:tcPr>
            <w:tcW w:w="4620" w:type="dxa"/>
            <w:vAlign w:val="bottom"/>
          </w:tcPr>
          <w:p>
            <w:pPr>
              <w:ind w:left="480"/>
              <w:spacing w:after="0" w:line="176" w:lineRule="exact"/>
              <w:rPr>
                <w:sz w:val="20"/>
                <w:szCs w:val="20"/>
                <w:color w:val="auto"/>
              </w:rPr>
            </w:pPr>
            <w:r>
              <w:rPr>
                <w:rFonts w:ascii="Arial" w:cs="Arial" w:eastAsia="Arial" w:hAnsi="Arial"/>
                <w:sz w:val="18"/>
                <w:szCs w:val="18"/>
                <w:color w:val="auto"/>
              </w:rPr>
              <w:t>Maintain anti-hedging and anti-pledging policies</w:t>
            </w:r>
          </w:p>
        </w:tc>
        <w:tc>
          <w:tcPr>
            <w:tcW w:w="3820" w:type="dxa"/>
            <w:vAlign w:val="bottom"/>
          </w:tcPr>
          <w:p>
            <w:pPr>
              <w:ind w:left="260"/>
              <w:spacing w:after="0" w:line="176" w:lineRule="exact"/>
              <w:rPr>
                <w:sz w:val="20"/>
                <w:szCs w:val="20"/>
                <w:color w:val="auto"/>
              </w:rPr>
            </w:pPr>
            <w:r>
              <w:rPr>
                <w:rFonts w:ascii="Arial" w:cs="Arial" w:eastAsia="Arial" w:hAnsi="Arial"/>
                <w:sz w:val="18"/>
                <w:szCs w:val="18"/>
                <w:color w:val="auto"/>
              </w:rPr>
              <w:t>Conduct annual risk assessment of all</w:t>
            </w:r>
          </w:p>
        </w:tc>
      </w:tr>
      <w:tr>
        <w:trPr>
          <w:trHeight w:val="239"/>
        </w:trPr>
        <w:tc>
          <w:tcPr>
            <w:tcW w:w="4620" w:type="dxa"/>
            <w:vAlign w:val="bottom"/>
          </w:tcPr>
          <w:p>
            <w:pPr>
              <w:spacing w:after="0"/>
              <w:rPr>
                <w:sz w:val="20"/>
                <w:szCs w:val="20"/>
                <w:color w:val="auto"/>
              </w:rPr>
            </w:pPr>
          </w:p>
        </w:tc>
        <w:tc>
          <w:tcPr>
            <w:tcW w:w="3820" w:type="dxa"/>
            <w:vAlign w:val="bottom"/>
          </w:tcPr>
          <w:p>
            <w:pPr>
              <w:ind w:left="260"/>
              <w:spacing w:after="0"/>
              <w:rPr>
                <w:sz w:val="20"/>
                <w:szCs w:val="20"/>
                <w:color w:val="auto"/>
              </w:rPr>
            </w:pPr>
            <w:r>
              <w:rPr>
                <w:rFonts w:ascii="Arial" w:cs="Arial" w:eastAsia="Arial" w:hAnsi="Arial"/>
                <w:sz w:val="18"/>
                <w:szCs w:val="18"/>
                <w:color w:val="auto"/>
              </w:rPr>
              <w:t>compensation plans and programs</w:t>
            </w:r>
          </w:p>
        </w:tc>
      </w:tr>
      <w:tr>
        <w:trPr>
          <w:trHeight w:val="274"/>
        </w:trPr>
        <w:tc>
          <w:tcPr>
            <w:tcW w:w="4620" w:type="dxa"/>
            <w:vAlign w:val="bottom"/>
          </w:tcPr>
          <w:p>
            <w:pPr>
              <w:spacing w:after="0"/>
              <w:rPr>
                <w:sz w:val="23"/>
                <w:szCs w:val="23"/>
                <w:color w:val="auto"/>
              </w:rPr>
            </w:pPr>
          </w:p>
        </w:tc>
        <w:tc>
          <w:tcPr>
            <w:tcW w:w="3820" w:type="dxa"/>
            <w:vAlign w:val="bottom"/>
          </w:tcPr>
          <w:p>
            <w:pPr>
              <w:spacing w:after="0"/>
              <w:rPr>
                <w:sz w:val="23"/>
                <w:szCs w:val="23"/>
                <w:color w:val="auto"/>
              </w:rPr>
            </w:pPr>
          </w:p>
        </w:tc>
      </w:tr>
      <w:tr>
        <w:trPr>
          <w:trHeight w:val="176"/>
        </w:trPr>
        <w:tc>
          <w:tcPr>
            <w:tcW w:w="4620" w:type="dxa"/>
            <w:vAlign w:val="bottom"/>
            <w:shd w:val="clear" w:color="auto" w:fill="DBE5F1"/>
          </w:tcPr>
          <w:p>
            <w:pPr>
              <w:ind w:left="480"/>
              <w:spacing w:after="0" w:line="176" w:lineRule="exact"/>
              <w:rPr>
                <w:sz w:val="20"/>
                <w:szCs w:val="20"/>
                <w:color w:val="auto"/>
              </w:rPr>
            </w:pPr>
            <w:r>
              <w:rPr>
                <w:rFonts w:ascii="Arial" w:cs="Arial" w:eastAsia="Arial" w:hAnsi="Arial"/>
                <w:sz w:val="18"/>
                <w:szCs w:val="18"/>
                <w:color w:val="auto"/>
              </w:rPr>
              <w:t>Maintain a Clawback Policy applicable to cash</w:t>
            </w:r>
          </w:p>
        </w:tc>
        <w:tc>
          <w:tcPr>
            <w:tcW w:w="3820" w:type="dxa"/>
            <w:vAlign w:val="bottom"/>
            <w:shd w:val="clear" w:color="auto" w:fill="DBE5F1"/>
          </w:tcPr>
          <w:p>
            <w:pPr>
              <w:spacing w:after="0"/>
              <w:rPr>
                <w:sz w:val="15"/>
                <w:szCs w:val="15"/>
                <w:color w:val="auto"/>
              </w:rPr>
            </w:pPr>
          </w:p>
        </w:tc>
      </w:tr>
      <w:tr>
        <w:trPr>
          <w:trHeight w:val="184"/>
        </w:trPr>
        <w:tc>
          <w:tcPr>
            <w:tcW w:w="4620" w:type="dxa"/>
            <w:vAlign w:val="bottom"/>
            <w:shd w:val="clear" w:color="auto" w:fill="DBE5F1"/>
          </w:tcPr>
          <w:p>
            <w:pPr>
              <w:ind w:left="480"/>
              <w:spacing w:after="0" w:line="183" w:lineRule="exact"/>
              <w:rPr>
                <w:sz w:val="20"/>
                <w:szCs w:val="20"/>
                <w:color w:val="auto"/>
              </w:rPr>
            </w:pPr>
            <w:r>
              <w:rPr>
                <w:rFonts w:ascii="Arial" w:cs="Arial" w:eastAsia="Arial" w:hAnsi="Arial"/>
                <w:sz w:val="18"/>
                <w:szCs w:val="18"/>
                <w:color w:val="auto"/>
              </w:rPr>
              <w:t>incentive compensation and equity awards in the</w:t>
            </w:r>
          </w:p>
        </w:tc>
        <w:tc>
          <w:tcPr>
            <w:tcW w:w="3820" w:type="dxa"/>
            <w:vAlign w:val="bottom"/>
            <w:shd w:val="clear" w:color="auto" w:fill="DBE5F1"/>
          </w:tcPr>
          <w:p>
            <w:pPr>
              <w:spacing w:after="0"/>
              <w:rPr>
                <w:sz w:val="15"/>
                <w:szCs w:val="15"/>
                <w:color w:val="auto"/>
              </w:rPr>
            </w:pPr>
          </w:p>
        </w:tc>
      </w:tr>
      <w:tr>
        <w:trPr>
          <w:trHeight w:val="181"/>
        </w:trPr>
        <w:tc>
          <w:tcPr>
            <w:tcW w:w="4620" w:type="dxa"/>
            <w:vAlign w:val="bottom"/>
            <w:shd w:val="clear" w:color="auto" w:fill="DBE5F1"/>
          </w:tcPr>
          <w:p>
            <w:pPr>
              <w:ind w:left="480"/>
              <w:spacing w:after="0" w:line="181" w:lineRule="exact"/>
              <w:rPr>
                <w:sz w:val="20"/>
                <w:szCs w:val="20"/>
                <w:color w:val="auto"/>
              </w:rPr>
            </w:pPr>
            <w:r>
              <w:rPr>
                <w:rFonts w:ascii="Arial" w:cs="Arial" w:eastAsia="Arial" w:hAnsi="Arial"/>
                <w:sz w:val="18"/>
                <w:szCs w:val="18"/>
                <w:color w:val="auto"/>
              </w:rPr>
              <w:t>event of a financial restatement, consistent with</w:t>
            </w:r>
          </w:p>
        </w:tc>
        <w:tc>
          <w:tcPr>
            <w:tcW w:w="3820" w:type="dxa"/>
            <w:vAlign w:val="bottom"/>
            <w:shd w:val="clear" w:color="auto" w:fill="DBE5F1"/>
          </w:tcPr>
          <w:p>
            <w:pPr>
              <w:spacing w:after="0"/>
              <w:rPr>
                <w:sz w:val="15"/>
                <w:szCs w:val="15"/>
                <w:color w:val="auto"/>
              </w:rPr>
            </w:pPr>
          </w:p>
        </w:tc>
      </w:tr>
      <w:tr>
        <w:trPr>
          <w:trHeight w:val="239"/>
        </w:trPr>
        <w:tc>
          <w:tcPr>
            <w:tcW w:w="4620" w:type="dxa"/>
            <w:vAlign w:val="bottom"/>
            <w:shd w:val="clear" w:color="auto" w:fill="DBE5F1"/>
          </w:tcPr>
          <w:p>
            <w:pPr>
              <w:ind w:left="480"/>
              <w:spacing w:after="0"/>
              <w:rPr>
                <w:sz w:val="20"/>
                <w:szCs w:val="20"/>
                <w:color w:val="auto"/>
              </w:rPr>
            </w:pPr>
            <w:r>
              <w:rPr>
                <w:rFonts w:ascii="Arial" w:cs="Arial" w:eastAsia="Arial" w:hAnsi="Arial"/>
                <w:sz w:val="18"/>
                <w:szCs w:val="18"/>
                <w:color w:val="auto"/>
              </w:rPr>
              <w:t>SEC and Nasdaq requirements</w:t>
            </w:r>
          </w:p>
        </w:tc>
        <w:tc>
          <w:tcPr>
            <w:tcW w:w="3820" w:type="dxa"/>
            <w:vAlign w:val="bottom"/>
            <w:shd w:val="clear" w:color="auto" w:fill="DBE5F1"/>
          </w:tcPr>
          <w:p>
            <w:pPr>
              <w:spacing w:after="0"/>
              <w:rPr>
                <w:sz w:val="20"/>
                <w:szCs w:val="20"/>
                <w:color w:val="auto"/>
              </w:rPr>
            </w:pPr>
          </w:p>
        </w:tc>
      </w:tr>
      <w:tr>
        <w:trPr>
          <w:trHeight w:val="99"/>
        </w:trPr>
        <w:tc>
          <w:tcPr>
            <w:tcW w:w="4620" w:type="dxa"/>
            <w:vAlign w:val="bottom"/>
            <w:shd w:val="clear" w:color="auto" w:fill="DBE5F1"/>
          </w:tcPr>
          <w:p>
            <w:pPr>
              <w:spacing w:after="0"/>
              <w:rPr>
                <w:sz w:val="8"/>
                <w:szCs w:val="8"/>
                <w:color w:val="auto"/>
              </w:rPr>
            </w:pPr>
          </w:p>
        </w:tc>
        <w:tc>
          <w:tcPr>
            <w:tcW w:w="3820" w:type="dxa"/>
            <w:vAlign w:val="bottom"/>
            <w:shd w:val="clear" w:color="auto" w:fill="DBE5F1"/>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-993775</wp:posOffset>
            </wp:positionV>
            <wp:extent cx="240030" cy="2400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-993775</wp:posOffset>
            </wp:positionV>
            <wp:extent cx="24003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-556895</wp:posOffset>
            </wp:positionV>
            <wp:extent cx="240030" cy="240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What We Don't Do</w:t>
      </w:r>
    </w:p>
    <w:p>
      <w:pPr>
        <w:spacing w:after="0" w:line="4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620" w:type="dxa"/>
            <w:vAlign w:val="bottom"/>
            <w:tcBorders>
              <w:top w:val="single" w:sz="8" w:color="auto"/>
            </w:tcBorders>
            <w:shd w:val="clear" w:color="auto" w:fill="DBE5F1"/>
          </w:tcPr>
          <w:p>
            <w:pPr>
              <w:ind w:left="480"/>
              <w:spacing w:after="0" w:line="184" w:lineRule="exact"/>
              <w:rPr>
                <w:sz w:val="20"/>
                <w:szCs w:val="20"/>
                <w:color w:val="auto"/>
              </w:rPr>
            </w:pPr>
            <w:r>
              <w:rPr>
                <w:rFonts w:ascii="Arial" w:cs="Arial" w:eastAsia="Arial" w:hAnsi="Arial"/>
                <w:sz w:val="18"/>
                <w:szCs w:val="18"/>
                <w:color w:val="auto"/>
              </w:rPr>
              <w:t>No guaranteed or uncapped incentive payouts in</w:t>
            </w:r>
          </w:p>
        </w:tc>
        <w:tc>
          <w:tcPr>
            <w:tcW w:w="3820" w:type="dxa"/>
            <w:vAlign w:val="bottom"/>
            <w:tcBorders>
              <w:top w:val="single" w:sz="8" w:color="auto"/>
            </w:tcBorders>
            <w:shd w:val="clear" w:color="auto" w:fill="DBE5F1"/>
          </w:tcPr>
          <w:p>
            <w:pPr>
              <w:ind w:left="260"/>
              <w:spacing w:after="0" w:line="184" w:lineRule="exact"/>
              <w:rPr>
                <w:sz w:val="20"/>
                <w:szCs w:val="20"/>
                <w:color w:val="auto"/>
              </w:rPr>
            </w:pPr>
            <w:r>
              <w:rPr>
                <w:rFonts w:ascii="Arial" w:cs="Arial" w:eastAsia="Arial" w:hAnsi="Arial"/>
                <w:sz w:val="18"/>
                <w:szCs w:val="18"/>
                <w:color w:val="auto"/>
              </w:rPr>
              <w:t>No option or stock appreciation rights</w:t>
            </w:r>
          </w:p>
        </w:tc>
      </w:tr>
      <w:tr>
        <w:trPr>
          <w:trHeight w:val="239"/>
        </w:trPr>
        <w:tc>
          <w:tcPr>
            <w:tcW w:w="4620" w:type="dxa"/>
            <w:vAlign w:val="bottom"/>
            <w:shd w:val="clear" w:color="auto" w:fill="DBE5F1"/>
          </w:tcPr>
          <w:p>
            <w:pPr>
              <w:ind w:left="480"/>
              <w:spacing w:after="0"/>
              <w:rPr>
                <w:sz w:val="20"/>
                <w:szCs w:val="20"/>
                <w:color w:val="auto"/>
              </w:rPr>
            </w:pPr>
            <w:r>
              <w:rPr>
                <w:rFonts w:ascii="Arial" w:cs="Arial" w:eastAsia="Arial" w:hAnsi="Arial"/>
                <w:sz w:val="18"/>
                <w:szCs w:val="18"/>
                <w:color w:val="auto"/>
              </w:rPr>
              <w:t>our annual bonus plan</w:t>
            </w:r>
          </w:p>
        </w:tc>
        <w:tc>
          <w:tcPr>
            <w:tcW w:w="3820" w:type="dxa"/>
            <w:vAlign w:val="bottom"/>
            <w:shd w:val="clear" w:color="auto" w:fill="DBE5F1"/>
          </w:tcPr>
          <w:p>
            <w:pPr>
              <w:ind w:left="260"/>
              <w:spacing w:after="0"/>
              <w:rPr>
                <w:sz w:val="20"/>
                <w:szCs w:val="20"/>
                <w:color w:val="auto"/>
              </w:rPr>
            </w:pPr>
            <w:r>
              <w:rPr>
                <w:rFonts w:ascii="Arial" w:cs="Arial" w:eastAsia="Arial" w:hAnsi="Arial"/>
                <w:sz w:val="18"/>
                <w:szCs w:val="18"/>
                <w:color w:val="auto"/>
              </w:rPr>
              <w:t>granted below fair market value</w:t>
            </w:r>
          </w:p>
        </w:tc>
      </w:tr>
      <w:tr>
        <w:trPr>
          <w:trHeight w:val="328"/>
        </w:trPr>
        <w:tc>
          <w:tcPr>
            <w:tcW w:w="4620" w:type="dxa"/>
            <w:vAlign w:val="bottom"/>
            <w:shd w:val="clear" w:color="auto" w:fill="DBE5F1"/>
          </w:tcPr>
          <w:p>
            <w:pPr>
              <w:spacing w:after="0"/>
              <w:rPr>
                <w:sz w:val="24"/>
                <w:szCs w:val="24"/>
                <w:color w:val="auto"/>
              </w:rPr>
            </w:pPr>
          </w:p>
        </w:tc>
        <w:tc>
          <w:tcPr>
            <w:tcW w:w="3820" w:type="dxa"/>
            <w:vAlign w:val="bottom"/>
            <w:shd w:val="clear" w:color="auto" w:fill="DBE5F1"/>
          </w:tcPr>
          <w:p>
            <w:pPr>
              <w:spacing w:after="0"/>
              <w:rPr>
                <w:sz w:val="24"/>
                <w:szCs w:val="24"/>
                <w:color w:val="auto"/>
              </w:rPr>
            </w:pPr>
          </w:p>
        </w:tc>
      </w:tr>
      <w:tr>
        <w:trPr>
          <w:trHeight w:val="175"/>
        </w:trPr>
        <w:tc>
          <w:tcPr>
            <w:tcW w:w="4620" w:type="dxa"/>
            <w:vAlign w:val="bottom"/>
          </w:tcPr>
          <w:p>
            <w:pPr>
              <w:ind w:left="480"/>
              <w:spacing w:after="0" w:line="176" w:lineRule="exact"/>
              <w:rPr>
                <w:sz w:val="20"/>
                <w:szCs w:val="20"/>
                <w:color w:val="auto"/>
              </w:rPr>
            </w:pPr>
            <w:r>
              <w:rPr>
                <w:rFonts w:ascii="Arial" w:cs="Arial" w:eastAsia="Arial" w:hAnsi="Arial"/>
                <w:sz w:val="18"/>
                <w:szCs w:val="18"/>
                <w:color w:val="auto"/>
              </w:rPr>
              <w:t>No significant perquisites</w:t>
            </w:r>
          </w:p>
        </w:tc>
        <w:tc>
          <w:tcPr>
            <w:tcW w:w="3820" w:type="dxa"/>
            <w:vAlign w:val="bottom"/>
          </w:tcPr>
          <w:p>
            <w:pPr>
              <w:ind w:left="260"/>
              <w:spacing w:after="0" w:line="176" w:lineRule="exact"/>
              <w:rPr>
                <w:sz w:val="20"/>
                <w:szCs w:val="20"/>
                <w:color w:val="auto"/>
              </w:rPr>
            </w:pPr>
            <w:r>
              <w:rPr>
                <w:rFonts w:ascii="Arial" w:cs="Arial" w:eastAsia="Arial" w:hAnsi="Arial"/>
                <w:sz w:val="18"/>
                <w:szCs w:val="18"/>
                <w:color w:val="auto"/>
              </w:rPr>
              <w:t>No repricing or exchange of underwater</w:t>
            </w:r>
          </w:p>
        </w:tc>
      </w:tr>
      <w:tr>
        <w:trPr>
          <w:trHeight w:val="239"/>
        </w:trPr>
        <w:tc>
          <w:tcPr>
            <w:tcW w:w="4620" w:type="dxa"/>
            <w:vAlign w:val="bottom"/>
          </w:tcPr>
          <w:p>
            <w:pPr>
              <w:spacing w:after="0"/>
              <w:rPr>
                <w:sz w:val="20"/>
                <w:szCs w:val="20"/>
                <w:color w:val="auto"/>
              </w:rPr>
            </w:pPr>
          </w:p>
        </w:tc>
        <w:tc>
          <w:tcPr>
            <w:tcW w:w="3820" w:type="dxa"/>
            <w:vAlign w:val="bottom"/>
          </w:tcPr>
          <w:p>
            <w:pPr>
              <w:ind w:left="260"/>
              <w:spacing w:after="0"/>
              <w:rPr>
                <w:sz w:val="20"/>
                <w:szCs w:val="20"/>
                <w:color w:val="auto"/>
              </w:rPr>
            </w:pPr>
            <w:r>
              <w:rPr>
                <w:rFonts w:ascii="Arial" w:cs="Arial" w:eastAsia="Arial" w:hAnsi="Arial"/>
                <w:sz w:val="18"/>
                <w:szCs w:val="18"/>
                <w:color w:val="auto"/>
              </w:rPr>
              <w:t>options without stockholder approval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-734060</wp:posOffset>
            </wp:positionV>
            <wp:extent cx="24003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-734060</wp:posOffset>
            </wp:positionV>
            <wp:extent cx="240030" cy="2400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-262255</wp:posOffset>
            </wp:positionV>
            <wp:extent cx="240030" cy="2400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-262255</wp:posOffset>
            </wp:positionV>
            <wp:extent cx="240030" cy="2400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type w:val="continuous"/>
        </w:sectPr>
      </w:pPr>
    </w:p>
    <w:p>
      <w:pPr>
        <w:spacing w:after="0" w:line="323" w:lineRule="exact"/>
        <w:rPr>
          <w:sz w:val="20"/>
          <w:szCs w:val="20"/>
          <w:color w:val="auto"/>
        </w:rPr>
      </w:pPr>
    </w:p>
    <w:p>
      <w:pPr>
        <w:ind w:left="1880" w:right="560"/>
        <w:spacing w:after="0"/>
        <w:rPr>
          <w:sz w:val="20"/>
          <w:szCs w:val="20"/>
          <w:color w:val="auto"/>
        </w:rPr>
      </w:pPr>
      <w:r>
        <w:rPr>
          <w:rFonts w:ascii="Arial" w:cs="Arial" w:eastAsia="Arial" w:hAnsi="Arial"/>
          <w:sz w:val="18"/>
          <w:szCs w:val="18"/>
          <w:color w:val="auto"/>
        </w:rPr>
        <w:t>No tax gross-ups, other than for certain relocation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-259080</wp:posOffset>
            </wp:positionV>
            <wp:extent cx="5366385" cy="420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6638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1440"/>
        <w:spacing w:after="0" w:line="227" w:lineRule="auto"/>
        <w:rPr>
          <w:sz w:val="20"/>
          <w:szCs w:val="20"/>
          <w:color w:val="auto"/>
        </w:rPr>
      </w:pPr>
      <w:r>
        <w:rPr>
          <w:rFonts w:ascii="Arial" w:cs="Arial" w:eastAsia="Arial" w:hAnsi="Arial"/>
          <w:sz w:val="18"/>
          <w:szCs w:val="18"/>
          <w:color w:val="auto"/>
        </w:rPr>
        <w:t>No dividend equivalents on unearned restricted stock units or performance share units</w:t>
      </w:r>
    </w:p>
    <w:p>
      <w:pPr>
        <w:spacing w:after="0" w:line="200" w:lineRule="exact"/>
        <w:rPr>
          <w:sz w:val="20"/>
          <w:szCs w:val="20"/>
          <w:color w:val="auto"/>
        </w:rPr>
      </w:pPr>
    </w:p>
    <w:p>
      <w:pPr>
        <w:sectPr>
          <w:pgSz w:w="11900" w:h="16838" w:orient="portrait"/>
          <w:cols w:equalWidth="0" w:num="2">
            <w:col w:w="5560" w:space="720"/>
            <w:col w:w="4840"/>
          </w:cols>
          <w:pgMar w:left="320" w:top="1417"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1440" w:gutter="0" w:footer="0" w:header="0"/>
          <w:type w:val="continuous"/>
        </w:sectPr>
      </w:pPr>
    </w:p>
    <w:bookmarkStart w:id="13" w:name="page14"/>
    <w:bookmarkEnd w:id="13"/>
    <w:p>
      <w:pPr>
        <w:spacing w:after="0" w:line="193" w:lineRule="exact"/>
        <w:rPr>
          <w:sz w:val="20"/>
          <w:szCs w:val="20"/>
          <w:color w:val="auto"/>
        </w:rPr>
      </w:pPr>
    </w:p>
    <w:p>
      <w:pPr>
        <w:ind w:right="120" w:firstLine="486"/>
        <w:spacing w:after="0" w:line="287" w:lineRule="auto"/>
        <w:rPr>
          <w:sz w:val="20"/>
          <w:szCs w:val="20"/>
          <w:color w:val="auto"/>
        </w:rPr>
      </w:pPr>
      <w:r>
        <w:rPr>
          <w:rFonts w:ascii="Arial" w:cs="Arial" w:eastAsia="Arial" w:hAnsi="Arial"/>
          <w:sz w:val="18"/>
          <w:szCs w:val="18"/>
          <w:color w:val="auto"/>
        </w:rPr>
        <w:t>The following table illustrates the elements of pay we currently employ, the manner in which we position these elements relative to the market and the objectives achieved by each element: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ind w:left="520"/>
              <w:spacing w:after="0"/>
              <w:rPr>
                <w:sz w:val="20"/>
                <w:szCs w:val="20"/>
                <w:color w:val="auto"/>
              </w:rPr>
            </w:pPr>
            <w:r>
              <w:rPr>
                <w:rFonts w:ascii="Arial" w:cs="Arial" w:eastAsia="Arial" w:hAnsi="Arial"/>
                <w:sz w:val="16"/>
                <w:szCs w:val="16"/>
                <w:b w:val="1"/>
                <w:bCs w:val="1"/>
                <w:color w:val="auto"/>
              </w:rPr>
              <w:t>Element</w:t>
            </w:r>
          </w:p>
        </w:tc>
        <w:tc>
          <w:tcPr>
            <w:tcW w:w="4340" w:type="dxa"/>
            <w:vAlign w:val="bottom"/>
          </w:tcPr>
          <w:p>
            <w:pPr>
              <w:ind w:left="1520"/>
              <w:spacing w:after="0"/>
              <w:rPr>
                <w:sz w:val="20"/>
                <w:szCs w:val="20"/>
                <w:color w:val="auto"/>
              </w:rPr>
            </w:pPr>
            <w:r>
              <w:rPr>
                <w:rFonts w:ascii="Arial" w:cs="Arial" w:eastAsia="Arial" w:hAnsi="Arial"/>
                <w:sz w:val="16"/>
                <w:szCs w:val="16"/>
                <w:b w:val="1"/>
                <w:bCs w:val="1"/>
                <w:color w:val="auto"/>
              </w:rPr>
              <w:t>Primary Objective</w:t>
            </w:r>
          </w:p>
        </w:tc>
        <w:tc>
          <w:tcPr>
            <w:tcW w:w="880" w:type="dxa"/>
            <w:vAlign w:val="bottom"/>
          </w:tcPr>
          <w:p>
            <w:pPr>
              <w:spacing w:after="0"/>
              <w:rPr>
                <w:sz w:val="19"/>
                <w:szCs w:val="19"/>
                <w:color w:val="auto"/>
              </w:rPr>
            </w:pPr>
          </w:p>
        </w:tc>
        <w:tc>
          <w:tcPr>
            <w:tcW w:w="4360" w:type="dxa"/>
            <w:vAlign w:val="bottom"/>
          </w:tcPr>
          <w:p>
            <w:pPr>
              <w:ind w:left="900"/>
              <w:spacing w:after="0"/>
              <w:rPr>
                <w:sz w:val="20"/>
                <w:szCs w:val="20"/>
                <w:color w:val="auto"/>
              </w:rPr>
            </w:pPr>
            <w:r>
              <w:rPr>
                <w:rFonts w:ascii="Arial" w:cs="Arial" w:eastAsia="Arial" w:hAnsi="Arial"/>
                <w:sz w:val="16"/>
                <w:szCs w:val="16"/>
                <w:b w:val="1"/>
                <w:bCs w:val="1"/>
                <w:color w:val="auto"/>
              </w:rPr>
              <w:t>Determination Factors</w:t>
            </w: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Base Salary</w:t>
            </w:r>
          </w:p>
        </w:tc>
        <w:tc>
          <w:tcPr>
            <w:tcW w:w="4340" w:type="dxa"/>
            <w:vAlign w:val="bottom"/>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Attract and retain high-performing and experienced</w:t>
            </w:r>
          </w:p>
        </w:tc>
        <w:tc>
          <w:tcPr>
            <w:tcW w:w="524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Value of role in competitive marketplace</w:t>
            </w:r>
          </w:p>
        </w:tc>
        <w:tc>
          <w:tcPr>
            <w:tcW w:w="0" w:type="dxa"/>
            <w:vAlign w:val="bottom"/>
          </w:tcPr>
          <w:p>
            <w:pPr>
              <w:spacing w:after="0"/>
              <w:rPr>
                <w:sz w:val="1"/>
                <w:szCs w:val="1"/>
                <w:color w:val="auto"/>
              </w:rPr>
            </w:pPr>
          </w:p>
        </w:tc>
      </w:tr>
      <w:tr>
        <w:trPr>
          <w:trHeight w:val="189"/>
        </w:trPr>
        <w:tc>
          <w:tcPr>
            <w:tcW w:w="1660" w:type="dxa"/>
            <w:vAlign w:val="bottom"/>
            <w:shd w:val="clear" w:color="auto" w:fill="DBE5F1"/>
          </w:tcPr>
          <w:p>
            <w:pPr>
              <w:spacing w:after="0"/>
              <w:rPr>
                <w:sz w:val="16"/>
                <w:szCs w:val="16"/>
                <w:color w:val="auto"/>
              </w:rPr>
            </w:pPr>
          </w:p>
        </w:tc>
        <w:tc>
          <w:tcPr>
            <w:tcW w:w="4340" w:type="dxa"/>
            <w:vAlign w:val="bottom"/>
            <w:shd w:val="clear" w:color="auto" w:fill="DBE5F1"/>
          </w:tcPr>
          <w:p>
            <w:pPr>
              <w:ind w:left="420"/>
              <w:spacing w:after="0"/>
              <w:rPr>
                <w:sz w:val="20"/>
                <w:szCs w:val="20"/>
                <w:color w:val="auto"/>
              </w:rPr>
            </w:pPr>
            <w:r>
              <w:rPr>
                <w:rFonts w:ascii="Arial" w:cs="Arial" w:eastAsia="Arial" w:hAnsi="Arial"/>
                <w:sz w:val="16"/>
                <w:szCs w:val="16"/>
                <w:color w:val="auto"/>
              </w:rPr>
              <w:t>individuals</w:t>
            </w:r>
          </w:p>
        </w:tc>
        <w:tc>
          <w:tcPr>
            <w:tcW w:w="5240" w:type="dxa"/>
            <w:vAlign w:val="bottom"/>
            <w:gridSpan w:val="2"/>
            <w:shd w:val="clear" w:color="auto" w:fill="DBE5F1"/>
          </w:tcPr>
          <w:p>
            <w:pPr>
              <w:ind w:left="14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Value of role to the Company</w:t>
            </w:r>
          </w:p>
        </w:tc>
        <w:tc>
          <w:tcPr>
            <w:tcW w:w="0" w:type="dxa"/>
            <w:vAlign w:val="bottom"/>
          </w:tcPr>
          <w:p>
            <w:pPr>
              <w:spacing w:after="0"/>
              <w:rPr>
                <w:sz w:val="1"/>
                <w:szCs w:val="1"/>
                <w:color w:val="auto"/>
              </w:rPr>
            </w:pPr>
          </w:p>
        </w:tc>
      </w:tr>
      <w:tr>
        <w:trPr>
          <w:trHeight w:val="234"/>
        </w:trPr>
        <w:tc>
          <w:tcPr>
            <w:tcW w:w="1660" w:type="dxa"/>
            <w:vAlign w:val="bottom"/>
            <w:shd w:val="clear" w:color="auto" w:fill="DBE5F1"/>
          </w:tcPr>
          <w:p>
            <w:pPr>
              <w:spacing w:after="0"/>
              <w:rPr>
                <w:sz w:val="20"/>
                <w:szCs w:val="20"/>
                <w:color w:val="auto"/>
              </w:rPr>
            </w:pPr>
          </w:p>
        </w:tc>
        <w:tc>
          <w:tcPr>
            <w:tcW w:w="4340" w:type="dxa"/>
            <w:vAlign w:val="bottom"/>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Provide steady source of income so executives can</w:t>
            </w:r>
          </w:p>
        </w:tc>
        <w:tc>
          <w:tcPr>
            <w:tcW w:w="524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Skills, experience and performance of individual compared to</w:t>
            </w:r>
          </w:p>
        </w:tc>
        <w:tc>
          <w:tcPr>
            <w:tcW w:w="0" w:type="dxa"/>
            <w:vAlign w:val="bottom"/>
          </w:tcPr>
          <w:p>
            <w:pPr>
              <w:spacing w:after="0"/>
              <w:rPr>
                <w:sz w:val="1"/>
                <w:szCs w:val="1"/>
                <w:color w:val="auto"/>
              </w:rPr>
            </w:pPr>
          </w:p>
        </w:tc>
      </w:tr>
      <w:tr>
        <w:trPr>
          <w:trHeight w:val="242"/>
        </w:trPr>
        <w:tc>
          <w:tcPr>
            <w:tcW w:w="1660" w:type="dxa"/>
            <w:vAlign w:val="bottom"/>
            <w:shd w:val="clear" w:color="auto" w:fill="DBE5F1"/>
          </w:tcPr>
          <w:p>
            <w:pPr>
              <w:spacing w:after="0"/>
              <w:rPr>
                <w:sz w:val="21"/>
                <w:szCs w:val="21"/>
                <w:color w:val="auto"/>
              </w:rPr>
            </w:pPr>
          </w:p>
        </w:tc>
        <w:tc>
          <w:tcPr>
            <w:tcW w:w="4340" w:type="dxa"/>
            <w:vAlign w:val="bottom"/>
            <w:shd w:val="clear" w:color="auto" w:fill="DBE5F1"/>
          </w:tcPr>
          <w:p>
            <w:pPr>
              <w:ind w:left="420"/>
              <w:spacing w:after="0"/>
              <w:rPr>
                <w:sz w:val="20"/>
                <w:szCs w:val="20"/>
                <w:color w:val="auto"/>
              </w:rPr>
            </w:pPr>
            <w:r>
              <w:rPr>
                <w:rFonts w:ascii="Arial" w:cs="Arial" w:eastAsia="Arial" w:hAnsi="Arial"/>
                <w:sz w:val="16"/>
                <w:szCs w:val="16"/>
                <w:color w:val="auto"/>
              </w:rPr>
              <w:t>focus on the needs of the business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the market as well as others in the Company</w:t>
            </w:r>
          </w:p>
        </w:tc>
        <w:tc>
          <w:tcPr>
            <w:tcW w:w="0" w:type="dxa"/>
            <w:vAlign w:val="bottom"/>
          </w:tcPr>
          <w:p>
            <w:pPr>
              <w:spacing w:after="0"/>
              <w:rPr>
                <w:sz w:val="1"/>
                <w:szCs w:val="1"/>
                <w:color w:val="auto"/>
              </w:rPr>
            </w:pPr>
          </w:p>
        </w:tc>
      </w:tr>
      <w:tr>
        <w:trPr>
          <w:trHeight w:val="124"/>
        </w:trPr>
        <w:tc>
          <w:tcPr>
            <w:tcW w:w="1660" w:type="dxa"/>
            <w:vAlign w:val="bottom"/>
            <w:shd w:val="clear" w:color="auto" w:fill="DBE5F1"/>
          </w:tcPr>
          <w:p>
            <w:pPr>
              <w:spacing w:after="0"/>
              <w:rPr>
                <w:sz w:val="10"/>
                <w:szCs w:val="10"/>
                <w:color w:val="auto"/>
              </w:rPr>
            </w:pPr>
          </w:p>
        </w:tc>
        <w:tc>
          <w:tcPr>
            <w:tcW w:w="4340" w:type="dxa"/>
            <w:vAlign w:val="bottom"/>
            <w:shd w:val="clear" w:color="auto" w:fill="DBE5F1"/>
          </w:tcPr>
          <w:p>
            <w:pPr>
              <w:spacing w:after="0"/>
              <w:rPr>
                <w:sz w:val="10"/>
                <w:szCs w:val="10"/>
                <w:color w:val="auto"/>
              </w:rPr>
            </w:pPr>
          </w:p>
        </w:tc>
        <w:tc>
          <w:tcPr>
            <w:tcW w:w="5240" w:type="dxa"/>
            <w:vAlign w:val="bottom"/>
            <w:gridSpan w:val="2"/>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Annual Cash</w:t>
            </w:r>
          </w:p>
        </w:tc>
        <w:tc>
          <w:tcPr>
            <w:tcW w:w="4340" w:type="dxa"/>
            <w:vAlign w:val="bottom"/>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Motivate executives to achieve challenging short-</w:t>
            </w: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Target awards based on competitive marketplace, level of</w:t>
            </w:r>
          </w:p>
        </w:tc>
        <w:tc>
          <w:tcPr>
            <w:tcW w:w="0" w:type="dxa"/>
            <w:vAlign w:val="bottom"/>
          </w:tcPr>
          <w:p>
            <w:pPr>
              <w:spacing w:after="0"/>
              <w:rPr>
                <w:sz w:val="1"/>
                <w:szCs w:val="1"/>
                <w:color w:val="auto"/>
              </w:rPr>
            </w:pPr>
          </w:p>
        </w:tc>
      </w:tr>
      <w:tr>
        <w:trPr>
          <w:trHeight w:val="211"/>
        </w:trPr>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Incentives</w:t>
            </w:r>
          </w:p>
        </w:tc>
        <w:tc>
          <w:tcPr>
            <w:tcW w:w="4340" w:type="dxa"/>
            <w:vAlign w:val="bottom"/>
          </w:tcPr>
          <w:p>
            <w:pPr>
              <w:ind w:left="460"/>
              <w:spacing w:after="0"/>
              <w:rPr>
                <w:sz w:val="20"/>
                <w:szCs w:val="20"/>
                <w:color w:val="auto"/>
              </w:rPr>
            </w:pPr>
            <w:r>
              <w:rPr>
                <w:rFonts w:ascii="Arial" w:cs="Arial" w:eastAsia="Arial" w:hAnsi="Arial"/>
                <w:sz w:val="16"/>
                <w:szCs w:val="16"/>
                <w:color w:val="auto"/>
              </w:rPr>
              <w:t>term performance goals</w:t>
            </w: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position, skills and performance of executive</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Align with annual financial objectives</w:t>
            </w: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For 2025, the award to our CEO was based 100% on the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achievement against certain corporate metrics: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80" w:type="dxa"/>
            <w:vAlign w:val="bottom"/>
          </w:tcPr>
          <w:p>
            <w:pPr>
              <w:ind w:left="800"/>
              <w:spacing w:after="0"/>
              <w:rPr>
                <w:sz w:val="20"/>
                <w:szCs w:val="20"/>
                <w:color w:val="auto"/>
              </w:rPr>
            </w:pPr>
            <w:r>
              <w:rPr>
                <w:rFonts w:ascii="Arial" w:cs="Arial" w:eastAsia="Arial" w:hAnsi="Arial"/>
                <w:sz w:val="16"/>
                <w:szCs w:val="16"/>
                <w:color w:val="auto"/>
              </w:rPr>
              <w:t>•</w:t>
            </w:r>
          </w:p>
        </w:tc>
        <w:tc>
          <w:tcPr>
            <w:tcW w:w="4360" w:type="dxa"/>
            <w:vAlign w:val="bottom"/>
          </w:tcPr>
          <w:p>
            <w:pPr>
              <w:ind w:left="240"/>
              <w:spacing w:after="0"/>
              <w:rPr>
                <w:sz w:val="20"/>
                <w:szCs w:val="20"/>
                <w:color w:val="auto"/>
              </w:rPr>
            </w:pPr>
            <w:r>
              <w:rPr>
                <w:rFonts w:ascii="Arial" w:cs="Arial" w:eastAsia="Arial" w:hAnsi="Arial"/>
                <w:sz w:val="16"/>
                <w:szCs w:val="16"/>
                <w:color w:val="auto"/>
              </w:rPr>
              <w:t>Health Plan Membership</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80" w:type="dxa"/>
            <w:vAlign w:val="bottom"/>
          </w:tcPr>
          <w:p>
            <w:pPr>
              <w:ind w:left="800"/>
              <w:spacing w:after="0"/>
              <w:rPr>
                <w:sz w:val="20"/>
                <w:szCs w:val="20"/>
                <w:color w:val="auto"/>
              </w:rPr>
            </w:pPr>
            <w:r>
              <w:rPr>
                <w:rFonts w:ascii="Arial" w:cs="Arial" w:eastAsia="Arial" w:hAnsi="Arial"/>
                <w:sz w:val="16"/>
                <w:szCs w:val="16"/>
                <w:color w:val="auto"/>
              </w:rPr>
              <w:t>•</w:t>
            </w:r>
          </w:p>
        </w:tc>
        <w:tc>
          <w:tcPr>
            <w:tcW w:w="4360" w:type="dxa"/>
            <w:vAlign w:val="bottom"/>
          </w:tcPr>
          <w:p>
            <w:pPr>
              <w:ind w:left="240"/>
              <w:spacing w:after="0"/>
              <w:rPr>
                <w:sz w:val="20"/>
                <w:szCs w:val="20"/>
                <w:color w:val="auto"/>
              </w:rPr>
            </w:pPr>
            <w:r>
              <w:rPr>
                <w:rFonts w:ascii="Arial" w:cs="Arial" w:eastAsia="Arial" w:hAnsi="Arial"/>
                <w:sz w:val="16"/>
                <w:szCs w:val="16"/>
                <w:color w:val="auto"/>
              </w:rPr>
              <w:t>Adjusted Gross Profit</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240" w:type="dxa"/>
            <w:vAlign w:val="bottom"/>
            <w:gridSpan w:val="2"/>
          </w:tcPr>
          <w:p>
            <w:pPr>
              <w:ind w:left="800"/>
              <w:spacing w:after="0"/>
              <w:rPr>
                <w:sz w:val="20"/>
                <w:szCs w:val="20"/>
                <w:color w:val="auto"/>
              </w:rPr>
            </w:pPr>
            <w:r>
              <w:rPr>
                <w:rFonts w:ascii="Arial" w:cs="Arial" w:eastAsia="Arial" w:hAnsi="Arial"/>
                <w:sz w:val="16"/>
                <w:szCs w:val="16"/>
                <w:color w:val="auto"/>
              </w:rPr>
              <w:t>•   Adjusted EBITDA minus Capital Expenditures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140"/>
              <w:spacing w:after="0"/>
              <w:rPr>
                <w:sz w:val="20"/>
                <w:szCs w:val="20"/>
                <w:color w:val="auto"/>
              </w:rPr>
            </w:pPr>
            <w:r>
              <w:rPr>
                <w:rFonts w:ascii="Arial" w:cs="Arial" w:eastAsia="Arial" w:hAnsi="Arial"/>
                <w:sz w:val="16"/>
                <w:szCs w:val="16"/>
                <w:color w:val="auto"/>
              </w:rPr>
              <w:t>•   For our other NEOs, 75% of actual awards was based on these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corporate metrics, with 25% of actual awards based on</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achievement of individual and/or departmental goals</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Awards are subject to a 25% holdback and a modifier (-25% to</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+35%) to the subsequent payout, if any, based on the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Company’s CMS Star Ratings, with potential payouts ranging</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from 0% to 200% of target bonus</w:t>
            </w: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2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Long-Term Equity</w:t>
            </w:r>
          </w:p>
        </w:tc>
        <w:tc>
          <w:tcPr>
            <w:tcW w:w="43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Align executives’ interests with those of our</w:t>
            </w:r>
          </w:p>
        </w:tc>
        <w:tc>
          <w:tcPr>
            <w:tcW w:w="524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Awards based on competitive marketplace, current value of</w:t>
            </w:r>
          </w:p>
        </w:tc>
        <w:tc>
          <w:tcPr>
            <w:tcW w:w="0" w:type="dxa"/>
            <w:vAlign w:val="bottom"/>
          </w:tcPr>
          <w:p>
            <w:pPr>
              <w:spacing w:after="0"/>
              <w:rPr>
                <w:sz w:val="1"/>
                <w:szCs w:val="1"/>
                <w:color w:val="auto"/>
              </w:rPr>
            </w:pPr>
          </w:p>
        </w:tc>
      </w:tr>
      <w:tr>
        <w:trPr>
          <w:trHeight w:val="211"/>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Incentives</w:t>
            </w: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stockholders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unvested equity holdings, level of position, skills and</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2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Align with long-term business strategy</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performance of the executive</w:t>
            </w:r>
          </w:p>
        </w:tc>
        <w:tc>
          <w:tcPr>
            <w:tcW w:w="0" w:type="dxa"/>
            <w:vAlign w:val="bottom"/>
          </w:tcPr>
          <w:p>
            <w:pPr>
              <w:spacing w:after="0"/>
              <w:rPr>
                <w:sz w:val="1"/>
                <w:szCs w:val="1"/>
                <w:color w:val="auto"/>
              </w:rPr>
            </w:pPr>
          </w:p>
        </w:tc>
      </w:tr>
      <w:tr>
        <w:trPr>
          <w:trHeight w:val="234"/>
        </w:trPr>
        <w:tc>
          <w:tcPr>
            <w:tcW w:w="1660" w:type="dxa"/>
            <w:vAlign w:val="bottom"/>
            <w:shd w:val="clear" w:color="auto" w:fill="DBE5F1"/>
          </w:tcPr>
          <w:p>
            <w:pPr>
              <w:spacing w:after="0"/>
              <w:rPr>
                <w:sz w:val="20"/>
                <w:szCs w:val="20"/>
                <w:color w:val="auto"/>
              </w:rPr>
            </w:pPr>
          </w:p>
        </w:tc>
        <w:tc>
          <w:tcPr>
            <w:tcW w:w="43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Retain executive talent through multi-year vesting</w:t>
            </w:r>
          </w:p>
        </w:tc>
        <w:tc>
          <w:tcPr>
            <w:tcW w:w="524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For 2025, awards were issued 50% in the form of RSUs that</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schedules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vest over three years and 50% in the form of PSUs that have a</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2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Motivate sustainable performance that creates long-</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three-year time-vesting period and are earned, if at all, based on</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term value for stockholders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achievement of the following metrics for the third year (i.e., fiscal</w:t>
            </w:r>
          </w:p>
        </w:tc>
        <w:tc>
          <w:tcPr>
            <w:tcW w:w="0" w:type="dxa"/>
            <w:vAlign w:val="bottom"/>
          </w:tcPr>
          <w:p>
            <w:pPr>
              <w:spacing w:after="0"/>
              <w:rPr>
                <w:sz w:val="1"/>
                <w:szCs w:val="1"/>
                <w:color w:val="auto"/>
              </w:rPr>
            </w:pPr>
          </w:p>
        </w:tc>
      </w:tr>
      <w:tr>
        <w:trPr>
          <w:trHeight w:val="216"/>
        </w:trPr>
        <w:tc>
          <w:tcPr>
            <w:tcW w:w="1660" w:type="dxa"/>
            <w:vAlign w:val="bottom"/>
            <w:shd w:val="clear" w:color="auto" w:fill="DBE5F1"/>
          </w:tcPr>
          <w:p>
            <w:pPr>
              <w:spacing w:after="0"/>
              <w:rPr>
                <w:sz w:val="18"/>
                <w:szCs w:val="18"/>
                <w:color w:val="auto"/>
              </w:rPr>
            </w:pPr>
          </w:p>
        </w:tc>
        <w:tc>
          <w:tcPr>
            <w:tcW w:w="43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Foster our purpose and values to build teams that</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year 2027):</w:t>
            </w:r>
          </w:p>
        </w:tc>
        <w:tc>
          <w:tcPr>
            <w:tcW w:w="0" w:type="dxa"/>
            <w:vAlign w:val="bottom"/>
          </w:tcPr>
          <w:p>
            <w:pPr>
              <w:spacing w:after="0"/>
              <w:rPr>
                <w:sz w:val="1"/>
                <w:szCs w:val="1"/>
                <w:color w:val="auto"/>
              </w:rPr>
            </w:pPr>
          </w:p>
        </w:tc>
      </w:tr>
      <w:tr>
        <w:trPr>
          <w:trHeight w:val="175"/>
        </w:trPr>
        <w:tc>
          <w:tcPr>
            <w:tcW w:w="1660" w:type="dxa"/>
            <w:vAlign w:val="bottom"/>
            <w:shd w:val="clear" w:color="auto" w:fill="DBE5F1"/>
          </w:tcPr>
          <w:p>
            <w:pPr>
              <w:spacing w:after="0"/>
              <w:rPr>
                <w:sz w:val="15"/>
                <w:szCs w:val="15"/>
                <w:color w:val="auto"/>
              </w:rPr>
            </w:pPr>
          </w:p>
        </w:tc>
        <w:tc>
          <w:tcPr>
            <w:tcW w:w="434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think and act like owners</w:t>
            </w:r>
          </w:p>
        </w:tc>
        <w:tc>
          <w:tcPr>
            <w:tcW w:w="880" w:type="dxa"/>
            <w:vAlign w:val="bottom"/>
            <w:shd w:val="clear" w:color="auto" w:fill="DBE5F1"/>
          </w:tcPr>
          <w:p>
            <w:pPr>
              <w:ind w:left="500"/>
              <w:spacing w:after="0" w:line="175" w:lineRule="exact"/>
              <w:rPr>
                <w:sz w:val="20"/>
                <w:szCs w:val="20"/>
                <w:color w:val="auto"/>
              </w:rPr>
            </w:pPr>
            <w:r>
              <w:rPr>
                <w:rFonts w:ascii="Arial" w:cs="Arial" w:eastAsia="Arial" w:hAnsi="Arial"/>
                <w:sz w:val="16"/>
                <w:szCs w:val="16"/>
                <w:color w:val="auto"/>
              </w:rPr>
              <w:t>o</w:t>
            </w:r>
          </w:p>
        </w:tc>
        <w:tc>
          <w:tcPr>
            <w:tcW w:w="4360" w:type="dxa"/>
            <w:vAlign w:val="bottom"/>
            <w:shd w:val="clear" w:color="auto" w:fill="DBE5F1"/>
          </w:tcPr>
          <w:p>
            <w:pPr>
              <w:ind w:left="20"/>
              <w:spacing w:after="0" w:line="175"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80"/>
        </w:trPr>
        <w:tc>
          <w:tcPr>
            <w:tcW w:w="1660" w:type="dxa"/>
            <w:vAlign w:val="bottom"/>
            <w:shd w:val="clear" w:color="auto" w:fill="DBE5F1"/>
          </w:tcPr>
          <w:p>
            <w:pPr>
              <w:spacing w:after="0"/>
              <w:rPr>
                <w:sz w:val="6"/>
                <w:szCs w:val="6"/>
                <w:color w:val="auto"/>
              </w:rPr>
            </w:pPr>
          </w:p>
        </w:tc>
        <w:tc>
          <w:tcPr>
            <w:tcW w:w="4340" w:type="dxa"/>
            <w:vAlign w:val="bottom"/>
            <w:vMerge w:val="continue"/>
            <w:shd w:val="clear" w:color="auto" w:fill="DBE5F1"/>
          </w:tcPr>
          <w:p>
            <w:pPr>
              <w:spacing w:after="0"/>
              <w:rPr>
                <w:sz w:val="6"/>
                <w:szCs w:val="6"/>
                <w:color w:val="auto"/>
              </w:rPr>
            </w:pPr>
          </w:p>
        </w:tc>
        <w:tc>
          <w:tcPr>
            <w:tcW w:w="88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o</w:t>
            </w:r>
          </w:p>
        </w:tc>
        <w:tc>
          <w:tcPr>
            <w:tcW w:w="4360" w:type="dxa"/>
            <w:vAlign w:val="bottom"/>
            <w:vMerge w:val="restart"/>
            <w:shd w:val="clear" w:color="auto" w:fill="DBE5F1"/>
          </w:tcPr>
          <w:p>
            <w:pPr>
              <w:ind w:left="20"/>
              <w:spacing w:after="0"/>
              <w:rPr>
                <w:sz w:val="20"/>
                <w:szCs w:val="20"/>
                <w:color w:val="auto"/>
              </w:rPr>
            </w:pPr>
            <w:r>
              <w:rPr>
                <w:rFonts w:ascii="Arial" w:cs="Arial" w:eastAsia="Arial" w:hAnsi="Arial"/>
                <w:sz w:val="16"/>
                <w:szCs w:val="16"/>
                <w:color w:val="auto"/>
              </w:rPr>
              <w:t>Adjusted EBITDA</w:t>
            </w:r>
          </w:p>
        </w:tc>
        <w:tc>
          <w:tcPr>
            <w:tcW w:w="0" w:type="dxa"/>
            <w:vAlign w:val="bottom"/>
          </w:tcPr>
          <w:p>
            <w:pPr>
              <w:spacing w:after="0"/>
              <w:rPr>
                <w:sz w:val="1"/>
                <w:szCs w:val="1"/>
                <w:color w:val="auto"/>
              </w:rPr>
            </w:pPr>
          </w:p>
        </w:tc>
      </w:tr>
      <w:tr>
        <w:trPr>
          <w:trHeight w:val="144"/>
        </w:trPr>
        <w:tc>
          <w:tcPr>
            <w:tcW w:w="1660" w:type="dxa"/>
            <w:vAlign w:val="bottom"/>
            <w:tcBorders>
              <w:bottom w:val="single" w:sz="8" w:color="DBE5F1"/>
            </w:tcBorders>
            <w:shd w:val="clear" w:color="auto" w:fill="DBE5F1"/>
          </w:tcPr>
          <w:p>
            <w:pPr>
              <w:spacing w:after="0"/>
              <w:rPr>
                <w:sz w:val="12"/>
                <w:szCs w:val="12"/>
                <w:color w:val="auto"/>
              </w:rPr>
            </w:pPr>
          </w:p>
        </w:tc>
        <w:tc>
          <w:tcPr>
            <w:tcW w:w="4340" w:type="dxa"/>
            <w:vAlign w:val="bottom"/>
            <w:tcBorders>
              <w:bottom w:val="single" w:sz="8" w:color="DBE5F1"/>
            </w:tcBorders>
            <w:shd w:val="clear" w:color="auto" w:fill="DBE5F1"/>
          </w:tcPr>
          <w:p>
            <w:pPr>
              <w:spacing w:after="0"/>
              <w:rPr>
                <w:sz w:val="12"/>
                <w:szCs w:val="12"/>
                <w:color w:val="auto"/>
              </w:rPr>
            </w:pPr>
          </w:p>
        </w:tc>
        <w:tc>
          <w:tcPr>
            <w:tcW w:w="880" w:type="dxa"/>
            <w:vAlign w:val="bottom"/>
            <w:tcBorders>
              <w:bottom w:val="single" w:sz="8" w:color="DBE5F1"/>
            </w:tcBorders>
            <w:vMerge w:val="continue"/>
            <w:shd w:val="clear" w:color="auto" w:fill="DBE5F1"/>
          </w:tcPr>
          <w:p>
            <w:pPr>
              <w:spacing w:after="0"/>
              <w:rPr>
                <w:sz w:val="12"/>
                <w:szCs w:val="12"/>
                <w:color w:val="auto"/>
              </w:rPr>
            </w:pPr>
          </w:p>
        </w:tc>
        <w:tc>
          <w:tcPr>
            <w:tcW w:w="4360" w:type="dxa"/>
            <w:vAlign w:val="bottom"/>
            <w:tcBorders>
              <w:bottom w:val="single" w:sz="8" w:color="DBE5F1"/>
            </w:tcBorders>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95B3D7"/>
          </w:tcPr>
          <w:p>
            <w:pPr>
              <w:spacing w:after="0" w:line="20" w:lineRule="exact"/>
              <w:rPr>
                <w:sz w:val="1"/>
                <w:szCs w:val="1"/>
                <w:color w:val="auto"/>
              </w:rPr>
            </w:pPr>
          </w:p>
        </w:tc>
        <w:tc>
          <w:tcPr>
            <w:tcW w:w="4340" w:type="dxa"/>
            <w:vAlign w:val="bottom"/>
            <w:shd w:val="clear" w:color="auto" w:fill="95B3D7"/>
          </w:tcPr>
          <w:p>
            <w:pPr>
              <w:spacing w:after="0" w:line="20" w:lineRule="exact"/>
              <w:rPr>
                <w:sz w:val="1"/>
                <w:szCs w:val="1"/>
                <w:color w:val="auto"/>
              </w:rPr>
            </w:pPr>
          </w:p>
        </w:tc>
        <w:tc>
          <w:tcPr>
            <w:tcW w:w="880" w:type="dxa"/>
            <w:vAlign w:val="bottom"/>
            <w:shd w:val="clear" w:color="auto" w:fill="95B3D7"/>
          </w:tcPr>
          <w:p>
            <w:pPr>
              <w:spacing w:after="0" w:line="20" w:lineRule="exact"/>
              <w:rPr>
                <w:sz w:val="1"/>
                <w:szCs w:val="1"/>
                <w:color w:val="auto"/>
              </w:rPr>
            </w:pPr>
          </w:p>
        </w:tc>
        <w:tc>
          <w:tcPr>
            <w:tcW w:w="436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0" w:firstLine="401"/>
        <w:spacing w:after="0" w:line="268" w:lineRule="auto"/>
        <w:rPr>
          <w:sz w:val="20"/>
          <w:szCs w:val="20"/>
          <w:color w:val="auto"/>
        </w:rPr>
      </w:pPr>
      <w:r>
        <w:rPr>
          <w:rFonts w:ascii="Arial" w:cs="Arial" w:eastAsia="Arial" w:hAnsi="Arial"/>
          <w:sz w:val="18"/>
          <w:szCs w:val="18"/>
          <w:color w:val="auto"/>
        </w:rPr>
        <w:t>For more information regarding our executive compensation program, please see “</w:t>
      </w:r>
      <w:r>
        <w:rPr>
          <w:rFonts w:ascii="Arial" w:cs="Arial" w:eastAsia="Arial" w:hAnsi="Arial"/>
          <w:sz w:val="18"/>
          <w:szCs w:val="18"/>
          <w:i w:val="1"/>
          <w:iCs w:val="1"/>
          <w:color w:val="auto"/>
        </w:rPr>
        <w:t>Compensation Discussion and Analysis—2025</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Program in Detail</w:t>
      </w:r>
      <w:r>
        <w:rPr>
          <w:rFonts w:ascii="Arial" w:cs="Arial" w:eastAsia="Arial" w:hAnsi="Arial"/>
          <w:sz w:val="18"/>
          <w:szCs w:val="18"/>
          <w:color w:val="auto"/>
        </w:rPr>
        <w:t>” beginning on page 48. For information regarding the 2025 compensation paid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please see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beginning on page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ind w:firstLine="401"/>
        <w:spacing w:after="0" w:line="287" w:lineRule="auto"/>
        <w:rPr>
          <w:sz w:val="20"/>
          <w:szCs w:val="20"/>
          <w:color w:val="auto"/>
        </w:rPr>
      </w:pPr>
      <w:r>
        <w:rPr>
          <w:rFonts w:ascii="Arial" w:cs="Arial" w:eastAsia="Arial" w:hAnsi="Arial"/>
          <w:sz w:val="18"/>
          <w:szCs w:val="18"/>
          <w:color w:val="auto"/>
        </w:rPr>
        <w:t>Our Board recommends that the nominees below be elected as Class II members of the Board at the Annual Meeting for a term expiring at the 2029 Meeting of Stockholders:</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205B"/>
        </w:rPr>
        <w:t>Jody Bilney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Director Since</w:t>
      </w:r>
      <w:r>
        <w:rPr>
          <w:rFonts w:ascii="Arial" w:cs="Arial" w:eastAsia="Arial" w:hAnsi="Arial"/>
          <w:sz w:val="14"/>
          <w:szCs w:val="14"/>
          <w:color w:val="0050AA"/>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-1210310</wp:posOffset>
            </wp:positionV>
            <wp:extent cx="1148715" cy="1080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Ms. Bilney has served as a member of our Board since January 2022. Ms. Bilney served as the Chief Consumer Officer of Humana, Inc., a health insurance provider, from April 2013 until her retirement in March 2020. Prior to that, she served in various senior executive marketing roles with Bloomin’ Brands, Inc. from 2006 through March 2013, most recently serving as Executive Vice President and Chief Brand Officer. Prior to joining Bloomin’ Brands, she held senior executive positions with Openwave Systems, Inc., Charles Schwab &amp; Co., Inc., and Verizon Communications, Inc. Ms. Bilney has served as a director of Cracker Barrel Old Country Store, Inc. since 2022. She previously served as a director of Chuy’s Holdings, Inc. from 2021 to 2024 and of Masonite International Corp. from 2014 to 2024. She also serves on various private-company boards in the health care and fitness industries and serves as an advisor to private equity firms. She earned a Bachelor of Science degree in Economics, with a minor in Marketing, from Clemson University. Ms. Bilney is a valuable member of our Board because of her leadership and industry-specific and marketing experience.</w:t>
      </w:r>
    </w:p>
    <w:p>
      <w:pPr>
        <w:spacing w:after="0" w:line="286" w:lineRule="exact"/>
        <w:rPr>
          <w:sz w:val="20"/>
          <w:szCs w:val="20"/>
          <w:color w:val="auto"/>
        </w:rPr>
      </w:pPr>
    </w:p>
    <w:p>
      <w:pPr>
        <w:sectPr>
          <w:pgSz w:w="11900" w:h="16838" w:orient="portrait"/>
          <w:cols w:equalWidth="0" w:num="2">
            <w:col w:w="1880" w:space="720"/>
            <w:col w:w="8640"/>
          </w:cols>
          <w:pgMar w:left="320" w:top="1417" w:right="339" w:bottom="1440" w:gutter="0" w:footer="0" w:header="0"/>
          <w:type w:val="continuous"/>
        </w:sectPr>
      </w:pP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Yes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64</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COMMITTEE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Audit Committee</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620" w:type="dxa"/>
            <w:vAlign w:val="bottom"/>
          </w:tcPr>
          <w:p>
            <w:pPr>
              <w:ind w:left="20"/>
              <w:spacing w:after="0"/>
              <w:rPr>
                <w:sz w:val="20"/>
                <w:szCs w:val="20"/>
                <w:color w:val="auto"/>
              </w:rPr>
            </w:pPr>
            <w:r>
              <w:rPr>
                <w:rFonts w:ascii="Arial" w:cs="Arial" w:eastAsia="Arial" w:hAnsi="Arial"/>
                <w:sz w:val="13"/>
                <w:szCs w:val="13"/>
                <w:b w:val="1"/>
                <w:bCs w:val="1"/>
                <w:color w:val="0050AA"/>
              </w:rPr>
              <w:t>KEY EXPERIENCE &amp; QUALIFICATIONS</w:t>
            </w:r>
          </w:p>
        </w:tc>
        <w:tc>
          <w:tcPr>
            <w:tcW w:w="5620" w:type="dxa"/>
            <w:vAlign w:val="bottom"/>
          </w:tcPr>
          <w:p>
            <w:pPr>
              <w:spacing w:after="0"/>
              <w:rPr>
                <w:sz w:val="16"/>
                <w:szCs w:val="16"/>
                <w:color w:val="auto"/>
              </w:rPr>
            </w:pPr>
          </w:p>
        </w:tc>
      </w:tr>
      <w:tr>
        <w:trPr>
          <w:trHeight w:val="200"/>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Executive Leadership</w:t>
            </w:r>
          </w:p>
        </w:tc>
        <w:tc>
          <w:tcPr>
            <w:tcW w:w="56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Direct Consumer Markets Experience</w:t>
            </w:r>
          </w:p>
        </w:tc>
      </w:tr>
      <w:tr>
        <w:trPr>
          <w:trHeight w:val="203"/>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Health Care Industry Experience</w:t>
            </w:r>
          </w:p>
        </w:tc>
        <w:tc>
          <w:tcPr>
            <w:tcW w:w="56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Social Media / Marketing Experience</w:t>
            </w:r>
          </w:p>
        </w:tc>
      </w:tr>
      <w:tr>
        <w:trPr>
          <w:trHeight w:val="207"/>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Audit Committee Experience</w:t>
            </w:r>
          </w:p>
        </w:tc>
        <w:tc>
          <w:tcPr>
            <w:tcW w:w="5620" w:type="dxa"/>
            <w:vAlign w:val="bottom"/>
            <w:shd w:val="clear" w:color="auto" w:fill="DBE5F1"/>
          </w:tcPr>
          <w:p>
            <w:pPr>
              <w:spacing w:after="0"/>
              <w:rPr>
                <w:sz w:val="17"/>
                <w:szCs w:val="17"/>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OTHER PUBLIC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20" w:hanging="81"/>
        <w:spacing w:after="0"/>
        <w:tabs>
          <w:tab w:leader="none" w:pos="120" w:val="left"/>
        </w:tabs>
        <w:numPr>
          <w:ilvl w:val="0"/>
          <w:numId w:val="9"/>
        </w:numPr>
        <w:rPr>
          <w:rFonts w:ascii="Arial" w:cs="Arial" w:eastAsia="Arial" w:hAnsi="Arial"/>
          <w:sz w:val="13"/>
          <w:szCs w:val="13"/>
          <w:b w:val="1"/>
          <w:bCs w:val="1"/>
          <w:color w:val="008CD7"/>
        </w:rPr>
      </w:pPr>
      <w:r>
        <w:rPr>
          <w:rFonts w:ascii="Arial" w:cs="Arial" w:eastAsia="Arial" w:hAnsi="Arial"/>
          <w:sz w:val="13"/>
          <w:szCs w:val="13"/>
          <w:color w:val="00205B"/>
        </w:rPr>
        <w:t>Cracker Barrel Old Country Store, Inc.</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205B"/>
        </w:rPr>
        <w:t>David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2400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66" w:lineRule="exact"/>
        <w:rPr>
          <w:sz w:val="20"/>
          <w:szCs w:val="20"/>
          <w:color w:val="auto"/>
        </w:rPr>
      </w:pPr>
    </w:p>
    <w:p>
      <w:pPr>
        <w:jc w:val="both"/>
        <w:ind w:left="2600" w:right="280"/>
        <w:spacing w:after="0" w:line="241" w:lineRule="auto"/>
        <w:rPr>
          <w:sz w:val="20"/>
          <w:szCs w:val="20"/>
          <w:color w:val="auto"/>
        </w:rPr>
      </w:pPr>
      <w:r>
        <w:rPr>
          <w:rFonts w:ascii="Arial" w:cs="Arial" w:eastAsia="Arial" w:hAnsi="Arial"/>
          <w:sz w:val="16"/>
          <w:szCs w:val="16"/>
          <w:color w:val="auto"/>
        </w:rPr>
        <w:t>Mr. Hodgson has served as a member of our Board since 2014. Mr. Hodgson is a Managing Director, Vice Chairman, and a member of the Partnership Committee of General Atlantic. He joined General Atlantic in 1982 and has over 40 years of experience identifying and assisting portfolio companies worldwide in all areas of their development.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-334010</wp:posOffset>
            </wp:positionV>
            <wp:extent cx="1148715" cy="1080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ind w:left="2600" w:right="120"/>
        <w:spacing w:after="0" w:line="237" w:lineRule="auto"/>
        <w:rPr>
          <w:sz w:val="20"/>
          <w:szCs w:val="20"/>
          <w:color w:val="auto"/>
        </w:rPr>
      </w:pPr>
      <w:r>
        <w:rPr>
          <w:rFonts w:ascii="Arial" w:cs="Arial" w:eastAsia="Arial" w:hAnsi="Arial"/>
          <w:sz w:val="16"/>
          <w:szCs w:val="16"/>
          <w:color w:val="auto"/>
        </w:rPr>
        <w:t>Hodgson is a board member for multiple public and private companies. He is former Chair and current member of the Board of Trustees of Johns Hopkins Medicine. He serves on the board of directors of Johns Hopkins HealthCare and Johns Hopkins Medicine International. He is Chair of the Manhattan Theatre Club, serves on the Dartmouth President’s Leadership Council, is a member of the Advisory Council at Stanford Graduate School of Business, and serves as Chairman Emeritus of the board of Echoing Green. Mr. Hodgson is a Board Director of Royalty Pharma plc, HGH Finance Limited, Howden Group Holdings and TriNet Group, Inc. Mr. Hodgson has an MBA from Stanford Graduate</w:t>
      </w:r>
    </w:p>
    <w:p>
      <w:pPr>
        <w:ind w:left="2600"/>
        <w:spacing w:after="0" w:line="184" w:lineRule="auto"/>
        <w:rPr>
          <w:sz w:val="20"/>
          <w:szCs w:val="20"/>
          <w:color w:val="auto"/>
        </w:rPr>
      </w:pPr>
      <w:r>
        <w:rPr>
          <w:rFonts w:ascii="Arial" w:cs="Arial" w:eastAsia="Arial" w:hAnsi="Arial"/>
          <w:sz w:val="16"/>
          <w:szCs w:val="16"/>
          <w:color w:val="auto"/>
        </w:rPr>
        <w:t>School of Business (1982) and a Bachelor of Arts in Mathematics and Social Sciences from Dartmouth College (1978).</w:t>
      </w:r>
    </w:p>
    <w:p>
      <w:pPr>
        <w:ind w:left="2600" w:right="240" w:hanging="2564"/>
        <w:spacing w:after="0" w:line="223" w:lineRule="auto"/>
        <w:tabs>
          <w:tab w:leader="none" w:pos="2580" w:val="left"/>
        </w:tabs>
        <w:rPr>
          <w:sz w:val="20"/>
          <w:szCs w:val="20"/>
          <w:color w:val="auto"/>
        </w:rPr>
      </w:pPr>
      <w:r>
        <w:rPr>
          <w:rFonts w:ascii="Arial" w:cs="Arial" w:eastAsia="Arial" w:hAnsi="Arial"/>
          <w:sz w:val="28"/>
          <w:szCs w:val="28"/>
          <w:b w:val="1"/>
          <w:bCs w:val="1"/>
          <w:color w:val="0050AA"/>
          <w:vertAlign w:val="superscript"/>
        </w:rPr>
        <w:t>Director Since</w:t>
      </w:r>
      <w:r>
        <w:rPr>
          <w:rFonts w:ascii="Arial" w:cs="Arial" w:eastAsia="Arial" w:hAnsi="Arial"/>
          <w:sz w:val="28"/>
          <w:szCs w:val="28"/>
          <w:color w:val="0050AA"/>
          <w:vertAlign w:val="superscript"/>
        </w:rPr>
        <w:t>: 2014</w:t>
      </w:r>
      <w:r>
        <w:rPr>
          <w:sz w:val="20"/>
          <w:szCs w:val="20"/>
          <w:color w:val="auto"/>
        </w:rPr>
        <w:tab/>
      </w:r>
      <w:r>
        <w:rPr>
          <w:rFonts w:ascii="Arial" w:cs="Arial" w:eastAsia="Arial" w:hAnsi="Arial"/>
          <w:sz w:val="16"/>
          <w:szCs w:val="16"/>
          <w:color w:val="auto"/>
        </w:rPr>
        <w:t>Mr. Hodgson is a valuable member of our Board because of his private equity experience and his experience on other health care companies’ boards.</w:t>
      </w:r>
    </w:p>
    <w:p>
      <w:pPr>
        <w:ind w:left="20"/>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Yes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69</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COMMITTEE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NCGCC (Chair)</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620" w:type="dxa"/>
            <w:vAlign w:val="bottom"/>
          </w:tcPr>
          <w:p>
            <w:pPr>
              <w:ind w:left="20"/>
              <w:spacing w:after="0"/>
              <w:rPr>
                <w:sz w:val="20"/>
                <w:szCs w:val="20"/>
                <w:color w:val="auto"/>
              </w:rPr>
            </w:pPr>
            <w:r>
              <w:rPr>
                <w:rFonts w:ascii="Arial" w:cs="Arial" w:eastAsia="Arial" w:hAnsi="Arial"/>
                <w:sz w:val="13"/>
                <w:szCs w:val="13"/>
                <w:b w:val="1"/>
                <w:bCs w:val="1"/>
                <w:color w:val="0050AA"/>
              </w:rPr>
              <w:t>KEY EXPERIENCE &amp; QUALIFICATIONS</w:t>
            </w:r>
          </w:p>
        </w:tc>
        <w:tc>
          <w:tcPr>
            <w:tcW w:w="5620" w:type="dxa"/>
            <w:vAlign w:val="bottom"/>
          </w:tcPr>
          <w:p>
            <w:pPr>
              <w:spacing w:after="0"/>
              <w:rPr>
                <w:sz w:val="16"/>
                <w:szCs w:val="16"/>
                <w:color w:val="auto"/>
              </w:rPr>
            </w:pPr>
          </w:p>
        </w:tc>
      </w:tr>
      <w:tr>
        <w:trPr>
          <w:trHeight w:val="200"/>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Health Care Industry Experience</w:t>
            </w:r>
          </w:p>
        </w:tc>
        <w:tc>
          <w:tcPr>
            <w:tcW w:w="56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Capital Markets Experience</w:t>
            </w:r>
          </w:p>
        </w:tc>
      </w:tr>
      <w:tr>
        <w:trPr>
          <w:trHeight w:val="206"/>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Nominating/Governance Committee Experience</w:t>
            </w:r>
          </w:p>
        </w:tc>
        <w:tc>
          <w:tcPr>
            <w:tcW w:w="5620" w:type="dxa"/>
            <w:vAlign w:val="bottom"/>
            <w:shd w:val="clear" w:color="auto" w:fill="DBE5F1"/>
          </w:tcPr>
          <w:p>
            <w:pPr>
              <w:spacing w:after="0"/>
              <w:rPr>
                <w:sz w:val="17"/>
                <w:szCs w:val="17"/>
                <w:color w:val="auto"/>
              </w:rPr>
            </w:pPr>
          </w:p>
        </w:tc>
      </w:tr>
      <w:tr>
        <w:trPr>
          <w:trHeight w:val="200"/>
        </w:trPr>
        <w:tc>
          <w:tcPr>
            <w:tcW w:w="5620" w:type="dxa"/>
            <w:vAlign w:val="bottom"/>
          </w:tcPr>
          <w:p>
            <w:pPr>
              <w:ind w:left="20"/>
              <w:spacing w:after="0"/>
              <w:rPr>
                <w:sz w:val="20"/>
                <w:szCs w:val="20"/>
                <w:color w:val="auto"/>
              </w:rPr>
            </w:pPr>
            <w:r>
              <w:rPr>
                <w:rFonts w:ascii="Arial" w:cs="Arial" w:eastAsia="Arial" w:hAnsi="Arial"/>
                <w:sz w:val="13"/>
                <w:szCs w:val="13"/>
                <w:b w:val="1"/>
                <w:bCs w:val="1"/>
                <w:color w:val="0050AA"/>
              </w:rPr>
              <w:t>OTHER PUBLIC BOARDS</w:t>
            </w:r>
          </w:p>
        </w:tc>
        <w:tc>
          <w:tcPr>
            <w:tcW w:w="5620" w:type="dxa"/>
            <w:vAlign w:val="bottom"/>
          </w:tcPr>
          <w:p>
            <w:pPr>
              <w:spacing w:after="0"/>
              <w:rPr>
                <w:sz w:val="17"/>
                <w:szCs w:val="17"/>
                <w:color w:val="auto"/>
              </w:rPr>
            </w:pPr>
          </w:p>
        </w:tc>
      </w:tr>
      <w:tr>
        <w:trPr>
          <w:trHeight w:val="205"/>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TriNet Group, Inc.</w:t>
            </w:r>
          </w:p>
        </w:tc>
        <w:tc>
          <w:tcPr>
            <w:tcW w:w="56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Royalty Pharma plc</w:t>
            </w:r>
          </w:p>
        </w:tc>
      </w:tr>
    </w:tbl>
    <w:p>
      <w:pPr>
        <w:spacing w:after="0" w:line="200" w:lineRule="exact"/>
        <w:rPr>
          <w:sz w:val="20"/>
          <w:szCs w:val="20"/>
          <w:color w:val="auto"/>
        </w:rPr>
      </w:pPr>
    </w:p>
    <w:p>
      <w:pPr>
        <w:sectPr>
          <w:pgSz w:w="11900" w:h="16838" w:orient="portrait"/>
          <w:cols w:equalWidth="0" w:num="1">
            <w:col w:w="1124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5" w:name="page16"/>
    <w:bookmarkEnd w:id="15"/>
    <w:p>
      <w:pPr>
        <w:spacing w:after="0" w:line="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205B"/>
        </w:rPr>
        <w:t>Jacqueline Kosecoff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Director Since</w:t>
      </w:r>
      <w:r>
        <w:rPr>
          <w:rFonts w:ascii="Arial" w:cs="Arial" w:eastAsia="Arial" w:hAnsi="Arial"/>
          <w:sz w:val="14"/>
          <w:szCs w:val="14"/>
          <w:color w:val="0050AA"/>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-1210310</wp:posOffset>
            </wp:positionV>
            <wp:extent cx="1148715" cy="1080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Yes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76</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COMMITTEE MEMBERSHIPS</w:t>
      </w:r>
    </w:p>
    <w:p>
      <w:pPr>
        <w:spacing w:after="0" w:line="55" w:lineRule="exact"/>
        <w:rPr>
          <w:sz w:val="20"/>
          <w:szCs w:val="20"/>
          <w:color w:val="auto"/>
        </w:rPr>
      </w:pPr>
    </w:p>
    <w:p>
      <w:pPr>
        <w:ind w:left="120" w:hanging="81"/>
        <w:spacing w:after="0"/>
        <w:tabs>
          <w:tab w:leader="none" w:pos="120" w:val="left"/>
        </w:tabs>
        <w:numPr>
          <w:ilvl w:val="0"/>
          <w:numId w:val="10"/>
        </w:numPr>
        <w:rPr>
          <w:rFonts w:ascii="Arial" w:cs="Arial" w:eastAsia="Arial" w:hAnsi="Arial"/>
          <w:sz w:val="13"/>
          <w:szCs w:val="13"/>
          <w:b w:val="1"/>
          <w:bCs w:val="1"/>
          <w:color w:val="008CD7"/>
        </w:rPr>
      </w:pPr>
      <w:r>
        <w:rPr>
          <w:rFonts w:ascii="Arial" w:cs="Arial" w:eastAsia="Arial" w:hAnsi="Arial"/>
          <w:sz w:val="13"/>
          <w:szCs w:val="13"/>
          <w:color w:val="00205B"/>
        </w:rPr>
        <w:t>Compensation Committee (Chair)</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KEY EXPERIENCE &amp; QUALIFICATIONS</w:t>
      </w:r>
    </w:p>
    <w:p>
      <w:pPr>
        <w:spacing w:after="0" w:line="55" w:lineRule="exact"/>
        <w:rPr>
          <w:sz w:val="20"/>
          <w:szCs w:val="20"/>
          <w:color w:val="auto"/>
        </w:rPr>
      </w:pPr>
    </w:p>
    <w:p>
      <w:pPr>
        <w:ind w:left="120" w:hanging="81"/>
        <w:spacing w:after="0"/>
        <w:tabs>
          <w:tab w:leader="none" w:pos="120" w:val="left"/>
        </w:tabs>
        <w:numPr>
          <w:ilvl w:val="0"/>
          <w:numId w:val="11"/>
        </w:numPr>
        <w:rPr>
          <w:rFonts w:ascii="Arial" w:cs="Arial" w:eastAsia="Arial" w:hAnsi="Arial"/>
          <w:sz w:val="13"/>
          <w:szCs w:val="13"/>
          <w:b w:val="1"/>
          <w:bCs w:val="1"/>
          <w:color w:val="008CD7"/>
        </w:rPr>
      </w:pPr>
      <w:r>
        <w:rPr>
          <w:rFonts w:ascii="Arial" w:cs="Arial" w:eastAsia="Arial" w:hAnsi="Arial"/>
          <w:sz w:val="13"/>
          <w:szCs w:val="13"/>
          <w:color w:val="00205B"/>
        </w:rPr>
        <w:t>Executive Leadership</w:t>
      </w:r>
    </w:p>
    <w:p>
      <w:pPr>
        <w:spacing w:after="0" w:line="53" w:lineRule="exact"/>
        <w:rPr>
          <w:rFonts w:ascii="Arial" w:cs="Arial" w:eastAsia="Arial" w:hAnsi="Arial"/>
          <w:sz w:val="13"/>
          <w:szCs w:val="13"/>
          <w:b w:val="1"/>
          <w:bCs w:val="1"/>
          <w:color w:val="008CD7"/>
        </w:rPr>
      </w:pPr>
    </w:p>
    <w:p>
      <w:pPr>
        <w:ind w:left="120" w:hanging="81"/>
        <w:spacing w:after="0"/>
        <w:tabs>
          <w:tab w:leader="none" w:pos="120" w:val="left"/>
        </w:tabs>
        <w:numPr>
          <w:ilvl w:val="0"/>
          <w:numId w:val="11"/>
        </w:numPr>
        <w:rPr>
          <w:rFonts w:ascii="Arial" w:cs="Arial" w:eastAsia="Arial" w:hAnsi="Arial"/>
          <w:sz w:val="13"/>
          <w:szCs w:val="13"/>
          <w:b w:val="1"/>
          <w:bCs w:val="1"/>
          <w:color w:val="008CD7"/>
        </w:rPr>
      </w:pPr>
      <w:r>
        <w:rPr>
          <w:rFonts w:ascii="Arial" w:cs="Arial" w:eastAsia="Arial" w:hAnsi="Arial"/>
          <w:sz w:val="13"/>
          <w:szCs w:val="13"/>
          <w:color w:val="00205B"/>
        </w:rPr>
        <w:t>Health Care Industry Experience</w:t>
      </w:r>
    </w:p>
    <w:p>
      <w:pPr>
        <w:spacing w:after="0" w:line="53" w:lineRule="exact"/>
        <w:rPr>
          <w:rFonts w:ascii="Arial" w:cs="Arial" w:eastAsia="Arial" w:hAnsi="Arial"/>
          <w:sz w:val="13"/>
          <w:szCs w:val="13"/>
          <w:b w:val="1"/>
          <w:bCs w:val="1"/>
          <w:color w:val="008CD7"/>
        </w:rPr>
      </w:pPr>
    </w:p>
    <w:p>
      <w:pPr>
        <w:ind w:left="120" w:hanging="81"/>
        <w:spacing w:after="0"/>
        <w:tabs>
          <w:tab w:leader="none" w:pos="120" w:val="left"/>
        </w:tabs>
        <w:numPr>
          <w:ilvl w:val="0"/>
          <w:numId w:val="11"/>
        </w:numPr>
        <w:rPr>
          <w:rFonts w:ascii="Arial" w:cs="Arial" w:eastAsia="Arial" w:hAnsi="Arial"/>
          <w:sz w:val="13"/>
          <w:szCs w:val="13"/>
          <w:b w:val="1"/>
          <w:bCs w:val="1"/>
          <w:color w:val="008CD7"/>
        </w:rPr>
      </w:pPr>
      <w:r>
        <w:rPr>
          <w:rFonts w:ascii="Arial" w:cs="Arial" w:eastAsia="Arial" w:hAnsi="Arial"/>
          <w:sz w:val="13"/>
          <w:szCs w:val="13"/>
          <w:color w:val="00205B"/>
        </w:rPr>
        <w:t>Compensation Committee Experience</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OTHER PUBLIC BOARDS</w:t>
      </w:r>
    </w:p>
    <w:p>
      <w:pPr>
        <w:spacing w:after="0" w:line="55" w:lineRule="exact"/>
        <w:rPr>
          <w:sz w:val="20"/>
          <w:szCs w:val="20"/>
          <w:color w:val="auto"/>
        </w:rPr>
      </w:pPr>
    </w:p>
    <w:p>
      <w:pPr>
        <w:ind w:left="120" w:hanging="81"/>
        <w:spacing w:after="0"/>
        <w:tabs>
          <w:tab w:leader="none" w:pos="120" w:val="left"/>
        </w:tabs>
        <w:numPr>
          <w:ilvl w:val="0"/>
          <w:numId w:val="12"/>
        </w:numPr>
        <w:rPr>
          <w:rFonts w:ascii="Arial" w:cs="Arial" w:eastAsia="Arial" w:hAnsi="Arial"/>
          <w:sz w:val="13"/>
          <w:szCs w:val="13"/>
          <w:b w:val="1"/>
          <w:bCs w:val="1"/>
          <w:color w:val="008CD7"/>
        </w:rPr>
      </w:pPr>
      <w:r>
        <w:rPr>
          <w:rFonts w:ascii="Arial" w:cs="Arial" w:eastAsia="Arial" w:hAnsi="Arial"/>
          <w:sz w:val="13"/>
          <w:szCs w:val="13"/>
          <w:color w:val="00205B"/>
        </w:rPr>
        <w:t>TriNet Group, Inc.</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Dr. Kosecoff has served as a member of our Board since 2017. Since 2012, Dr. Kosecoff has served as a Managing Partner of Moriah Partners and also a Senior Advisor of Warburg Pincus. From 2002 to 2012, Dr. Kosecoff was a senior executive inside UnitedHealth Group-PacifiCare, which she joined as part of the acquisition of PacifiCare Health Systems in 2005, where she served as Executive Vice President. Upon joining UnitedHealth Group, Dr. Kosecoff was appointed Chief Executive Officer of OptumRx. Prior to joining UnitedHealth Group-PacifiCare, Dr. Kosecoff was founder, President and Chief Operating Officer of Protocare. Currently Dr. Kosecoff sits on the board of directors of TriNet Group, Inc. Additionally, Dr. Kosecoff served on the boards of directors of GoodRx Holdings, Inc. from May 2016 to June 2023; of Sealed Air Corporation from May 2005 to May 2021; of athenahealth, Inc. from July 2012 to February 2019; of STERIS, plc from October 2003 to July 2025; and Houlihan Lokey, Inc. from June 2016 to September 2025. Dr. Kosecoff holds a B.A. from the University of California, Los Angeles, an M.S. in Applied Mathematics from Brown University, and a doctorate from the University of California, Los Angeles. Dr. Kosecoff was appointed to serve on our board of directors because of her knowledge of Medicare Advantage and Medicare Part D, extensive experience in managing organizations and her experience serving on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382270</wp:posOffset>
            </wp:positionV>
            <wp:extent cx="713232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3120" w:hanging="78"/>
        <w:spacing w:after="0"/>
        <w:tabs>
          <w:tab w:leader="none" w:pos="3120" w:val="left"/>
        </w:tabs>
        <w:numPr>
          <w:ilvl w:val="0"/>
          <w:numId w:val="13"/>
        </w:numPr>
        <w:rPr>
          <w:rFonts w:ascii="Arial" w:cs="Arial" w:eastAsia="Arial" w:hAnsi="Arial"/>
          <w:sz w:val="13"/>
          <w:szCs w:val="13"/>
          <w:b w:val="1"/>
          <w:bCs w:val="1"/>
          <w:color w:val="008CD7"/>
        </w:rPr>
      </w:pPr>
      <w:r>
        <w:rPr>
          <w:rFonts w:ascii="Arial" w:cs="Arial" w:eastAsia="Arial" w:hAnsi="Arial"/>
          <w:sz w:val="13"/>
          <w:szCs w:val="13"/>
          <w:color w:val="00205B"/>
        </w:rPr>
        <w:t>NCGCC</w:t>
      </w:r>
    </w:p>
    <w:p>
      <w:pPr>
        <w:spacing w:after="0" w:line="350" w:lineRule="exact"/>
        <w:rPr>
          <w:rFonts w:ascii="Arial" w:cs="Arial" w:eastAsia="Arial" w:hAnsi="Arial"/>
          <w:sz w:val="13"/>
          <w:szCs w:val="13"/>
          <w:b w:val="1"/>
          <w:bCs w:val="1"/>
          <w:color w:val="008CD7"/>
        </w:rPr>
      </w:pPr>
    </w:p>
    <w:p>
      <w:pPr>
        <w:ind w:left="3120" w:hanging="78"/>
        <w:spacing w:after="0"/>
        <w:tabs>
          <w:tab w:leader="none" w:pos="3120" w:val="left"/>
        </w:tabs>
        <w:numPr>
          <w:ilvl w:val="0"/>
          <w:numId w:val="13"/>
        </w:numPr>
        <w:rPr>
          <w:rFonts w:ascii="Arial" w:cs="Arial" w:eastAsia="Arial" w:hAnsi="Arial"/>
          <w:sz w:val="13"/>
          <w:szCs w:val="13"/>
          <w:b w:val="1"/>
          <w:bCs w:val="1"/>
          <w:color w:val="008CD7"/>
        </w:rPr>
      </w:pPr>
      <w:r>
        <w:rPr>
          <w:rFonts w:ascii="Arial" w:cs="Arial" w:eastAsia="Arial" w:hAnsi="Arial"/>
          <w:sz w:val="13"/>
          <w:szCs w:val="13"/>
          <w:color w:val="00205B"/>
        </w:rPr>
        <w:t>Direct Consumer Markets Experience</w:t>
      </w:r>
    </w:p>
    <w:p>
      <w:pPr>
        <w:spacing w:after="0" w:line="53" w:lineRule="exact"/>
        <w:rPr>
          <w:rFonts w:ascii="Arial" w:cs="Arial" w:eastAsia="Arial" w:hAnsi="Arial"/>
          <w:sz w:val="13"/>
          <w:szCs w:val="13"/>
          <w:b w:val="1"/>
          <w:bCs w:val="1"/>
          <w:color w:val="008CD7"/>
        </w:rPr>
      </w:pPr>
    </w:p>
    <w:p>
      <w:pPr>
        <w:ind w:left="3120" w:hanging="78"/>
        <w:spacing w:after="0"/>
        <w:tabs>
          <w:tab w:leader="none" w:pos="3120" w:val="left"/>
        </w:tabs>
        <w:numPr>
          <w:ilvl w:val="0"/>
          <w:numId w:val="13"/>
        </w:numPr>
        <w:rPr>
          <w:rFonts w:ascii="Arial" w:cs="Arial" w:eastAsia="Arial" w:hAnsi="Arial"/>
          <w:sz w:val="13"/>
          <w:szCs w:val="13"/>
          <w:b w:val="1"/>
          <w:bCs w:val="1"/>
          <w:color w:val="008CD7"/>
        </w:rPr>
      </w:pPr>
      <w:r>
        <w:rPr>
          <w:rFonts w:ascii="Arial" w:cs="Arial" w:eastAsia="Arial" w:hAnsi="Arial"/>
          <w:sz w:val="13"/>
          <w:szCs w:val="13"/>
          <w:color w:val="00205B"/>
        </w:rPr>
        <w:t>Social Media / Marketing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341630</wp:posOffset>
            </wp:positionV>
            <wp:extent cx="713232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-231775</wp:posOffset>
            </wp:positionV>
            <wp:extent cx="7132320" cy="3860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901" w:lineRule="exact"/>
        <w:rPr>
          <w:sz w:val="20"/>
          <w:szCs w:val="20"/>
          <w:color w:val="auto"/>
        </w:rPr>
      </w:pPr>
    </w:p>
    <w:p>
      <w:pPr>
        <w:sectPr>
          <w:pgSz w:w="11900" w:h="16838" w:orient="portrait"/>
          <w:cols w:equalWidth="0" w:num="2">
            <w:col w:w="2520" w:space="80"/>
            <w:col w:w="8620"/>
          </w:cols>
          <w:pgMar w:left="320" w:top="1440" w:right="359" w:bottom="1440" w:gutter="0" w:footer="0" w:header="0"/>
          <w:type w:val="continuous"/>
        </w:sectPr>
      </w:pPr>
    </w:p>
    <w:p>
      <w:pPr>
        <w:spacing w:after="0" w:line="90"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Each nominee was recommended for re-election by the NCGCC for consideration by the Board and our stockholders. If, before the Annual Meeting, any nominee becomes unable to serve, or chooses not to serve, the Board may nominate a substitute. If that happens, the persons named as proxies on the proxy card will vote for the substitute. Alternatively, the Board may either let the vacancy stay unfilled until an appropriate candidate is identified or reduce the size of the Board to eliminate the unfilled seat.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Vote Required and Recommendation of the Board of Directors</w:t>
      </w:r>
    </w:p>
    <w:p>
      <w:pPr>
        <w:spacing w:after="0" w:line="210" w:lineRule="exact"/>
        <w:rPr>
          <w:sz w:val="20"/>
          <w:szCs w:val="20"/>
          <w:color w:val="auto"/>
        </w:rPr>
      </w:pPr>
    </w:p>
    <w:p>
      <w:pPr>
        <w:ind w:firstLine="405"/>
        <w:spacing w:after="0" w:line="221" w:lineRule="auto"/>
        <w:rPr>
          <w:sz w:val="20"/>
          <w:szCs w:val="20"/>
          <w:color w:val="auto"/>
        </w:rPr>
      </w:pPr>
      <w:r>
        <w:rPr>
          <w:rFonts w:ascii="Arial" w:cs="Arial" w:eastAsia="Arial" w:hAnsi="Arial"/>
          <w:sz w:val="18"/>
          <w:szCs w:val="18"/>
          <w:color w:val="auto"/>
        </w:rPr>
        <w:t>A plurality of the votes cast by the shares of common stock present in person or represented by proxy at the Annual Meeting and entitled to vote thereon is required to elect each nominee named herein. This means that the three nominees receiving the highest number of</w:t>
      </w:r>
    </w:p>
    <w:p>
      <w:pPr>
        <w:spacing w:after="0" w:line="1" w:lineRule="exact"/>
        <w:rPr>
          <w:sz w:val="20"/>
          <w:szCs w:val="20"/>
          <w:color w:val="auto"/>
        </w:rPr>
      </w:pPr>
    </w:p>
    <w:p>
      <w:pPr>
        <w:ind w:right="520"/>
        <w:spacing w:after="0" w:line="229" w:lineRule="auto"/>
        <w:rPr>
          <w:sz w:val="20"/>
          <w:szCs w:val="20"/>
          <w:color w:val="auto"/>
        </w:rPr>
      </w:pPr>
      <w:r>
        <w:rPr>
          <w:rFonts w:ascii="Arial" w:cs="Arial" w:eastAsia="Arial" w:hAnsi="Arial"/>
          <w:sz w:val="18"/>
          <w:szCs w:val="18"/>
          <w:color w:val="auto"/>
        </w:rPr>
        <w:t>votes at the Annual Meeting will be elected, even if those votes do not constitute a majority of the votes cast. Shares not present at the Annual Meeting and broker non-votes have no effect on the election of directors. Abstentions are not applicable to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40575" cy="2832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283210"/>
                    </a:xfrm>
                    <a:prstGeom prst="rect">
                      <a:avLst/>
                    </a:prstGeom>
                    <a:noFill/>
                  </pic:spPr>
                </pic:pic>
              </a:graphicData>
            </a:graphic>
          </wp:anchor>
        </w:drawing>
      </w:r>
    </w:p>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BOARD OF DIRECTORS RECOMMENDS THAT YOU VOTE</w:t>
      </w:r>
    </w:p>
    <w:p>
      <w:pPr>
        <w:ind w:left="3340"/>
        <w:spacing w:after="0"/>
        <w:rPr>
          <w:sz w:val="20"/>
          <w:szCs w:val="20"/>
          <w:color w:val="auto"/>
        </w:rPr>
      </w:pPr>
      <w:r>
        <w:rPr>
          <w:rFonts w:ascii="Arial" w:cs="Arial" w:eastAsia="Arial" w:hAnsi="Arial"/>
          <w:sz w:val="18"/>
          <w:szCs w:val="18"/>
          <w:b w:val="1"/>
          <w:bCs w:val="1"/>
          <w:color w:val="auto"/>
        </w:rPr>
        <w:t>“FOR” EACH OF THE ABOVE DIRECTOR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6" w:name="page17"/>
    <w:bookmarkEnd w:id="16"/>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Continuing Directors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members of our Board are serving terms that continue beyond the Annual Meeting:</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205B"/>
        </w:rPr>
        <w:t>Yon Jorden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2400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Director Since</w:t>
      </w:r>
      <w:r>
        <w:rPr>
          <w:rFonts w:ascii="Arial" w:cs="Arial" w:eastAsia="Arial" w:hAnsi="Arial"/>
          <w:sz w:val="14"/>
          <w:szCs w:val="14"/>
          <w:color w:val="0050AA"/>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-1210310</wp:posOffset>
            </wp:positionV>
            <wp:extent cx="1148715" cy="10801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Yes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71</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Class</w:t>
      </w:r>
      <w:r>
        <w:rPr>
          <w:rFonts w:ascii="Arial" w:cs="Arial" w:eastAsia="Arial" w:hAnsi="Arial"/>
          <w:sz w:val="14"/>
          <w:szCs w:val="14"/>
          <w:color w:val="0050AA"/>
        </w:rPr>
        <w:t>: III</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Term Expires</w:t>
      </w:r>
      <w:r>
        <w:rPr>
          <w:rFonts w:ascii="Arial" w:cs="Arial" w:eastAsia="Arial" w:hAnsi="Arial"/>
          <w:sz w:val="14"/>
          <w:szCs w:val="14"/>
          <w:color w:val="0050AA"/>
        </w:rPr>
        <w:t>: 2027</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right="60"/>
        <w:spacing w:after="0"/>
        <w:rPr>
          <w:sz w:val="20"/>
          <w:szCs w:val="20"/>
          <w:color w:val="auto"/>
        </w:rPr>
      </w:pPr>
      <w:r>
        <w:rPr>
          <w:rFonts w:ascii="Arial" w:cs="Arial" w:eastAsia="Arial" w:hAnsi="Arial"/>
          <w:sz w:val="16"/>
          <w:szCs w:val="16"/>
          <w:color w:val="auto"/>
        </w:rPr>
        <w:t>Ms. Jorden has served as a member of our Board since January 2022. Ms. Jorden has served as a director, audit committee member and nominating and governance committee member of Cohu, Inc., a manufacturer of semiconductor equipment, since May 2021. Additionally, she has served as a director and finance committee member of Methodist Health System, a not-for-profit Texas-based hospital system, since 2008. Prior to her current roles, Ms. Jorden served as a director, audit committee chair and compensation committee member of Capstone Green Energy Corp., a microturbine manufacturer, from April 2017 to February 2025, and as director, audit committee member, compensation committee chair and nominating and governance committee chair for Maxwell Technologies, a manufacturer of energy storage and power delivery solutions, from 2008 to 2017. In addition, she also served as director and audit committee chair of Magnatek, Inc., a manufacturer of digital power control systems, U.S. Oncology, a privately held oncology services company, and BioScrip, a national provider of infusion and home care management solutions. During her business career, she served as chief financial officer of four publicly traded companies, including as Executive Vice President and Chief Financial Officer of AdvancePCS, a pharmacy benefits management company, from 2002 to 2004. Previously she was chief financial officer of Informix Corp. (now Ascential Software Corp.), a provider of information management software, Oxford Health Plans, a provider of managed health care services, and WellPoint, Inc., a managed care company. Earlier in her career, she was a senior auditor with Arthur Andersen &amp; Co., where she became a Certified Public Accountant (inactive) in the State of California. Ms. Jorden is a Board Leadership Fellow of the National Association of Corporate Directors. She received her Bachelor of Science degree in Accounting from the California State University, Los Angeles. Ms. Jorden is a valuable member of our Board because of her extensive experience as a chief financial officer, her financial expertise and her experience as a director of multiple public and private companies.</w:t>
      </w:r>
    </w:p>
    <w:p>
      <w:pPr>
        <w:spacing w:after="0" w:line="200" w:lineRule="exact"/>
        <w:rPr>
          <w:sz w:val="20"/>
          <w:szCs w:val="20"/>
          <w:color w:val="auto"/>
        </w:rPr>
      </w:pPr>
    </w:p>
    <w:p>
      <w:pPr>
        <w:sectPr>
          <w:pgSz w:w="11900" w:h="16838" w:orient="portrait"/>
          <w:cols w:equalWidth="0" w:num="2">
            <w:col w:w="1880" w:space="720"/>
            <w:col w:w="8640"/>
          </w:cols>
          <w:pgMar w:left="320" w:top="1440" w:right="339" w:bottom="1440" w:gutter="0" w:footer="0" w:header="0"/>
          <w:type w:val="continuous"/>
        </w:sectPr>
      </w:pPr>
    </w:p>
    <w:p>
      <w:pPr>
        <w:spacing w:after="0" w:line="1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COMMITTEE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Audit Committee (Chair)</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620" w:type="dxa"/>
            <w:vAlign w:val="bottom"/>
          </w:tcPr>
          <w:p>
            <w:pPr>
              <w:ind w:left="20"/>
              <w:spacing w:after="0"/>
              <w:rPr>
                <w:sz w:val="20"/>
                <w:szCs w:val="20"/>
                <w:color w:val="auto"/>
              </w:rPr>
            </w:pPr>
            <w:r>
              <w:rPr>
                <w:rFonts w:ascii="Arial" w:cs="Arial" w:eastAsia="Arial" w:hAnsi="Arial"/>
                <w:sz w:val="13"/>
                <w:szCs w:val="13"/>
                <w:b w:val="1"/>
                <w:bCs w:val="1"/>
                <w:color w:val="0050AA"/>
              </w:rPr>
              <w:t>KEY EXPERIENCE &amp; QUALIFICATIONS</w:t>
            </w:r>
          </w:p>
        </w:tc>
        <w:tc>
          <w:tcPr>
            <w:tcW w:w="5620" w:type="dxa"/>
            <w:vAlign w:val="bottom"/>
          </w:tcPr>
          <w:p>
            <w:pPr>
              <w:spacing w:after="0"/>
              <w:rPr>
                <w:sz w:val="16"/>
                <w:szCs w:val="16"/>
                <w:color w:val="auto"/>
              </w:rPr>
            </w:pPr>
          </w:p>
        </w:tc>
      </w:tr>
      <w:tr>
        <w:trPr>
          <w:trHeight w:val="200"/>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Executive Leadership</w:t>
            </w:r>
          </w:p>
        </w:tc>
        <w:tc>
          <w:tcPr>
            <w:tcW w:w="56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Direct Consumer Markets Experience</w:t>
            </w:r>
          </w:p>
        </w:tc>
      </w:tr>
      <w:tr>
        <w:trPr>
          <w:trHeight w:val="203"/>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Health Care Industry Experience</w:t>
            </w:r>
          </w:p>
        </w:tc>
        <w:tc>
          <w:tcPr>
            <w:tcW w:w="56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Social Media / Marketing Experience</w:t>
            </w:r>
          </w:p>
        </w:tc>
      </w:tr>
      <w:tr>
        <w:trPr>
          <w:trHeight w:val="207"/>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Audit Committee Experience</w:t>
            </w:r>
          </w:p>
        </w:tc>
        <w:tc>
          <w:tcPr>
            <w:tcW w:w="5620" w:type="dxa"/>
            <w:vAlign w:val="bottom"/>
            <w:shd w:val="clear" w:color="auto" w:fill="DBE5F1"/>
          </w:tcPr>
          <w:p>
            <w:pPr>
              <w:spacing w:after="0"/>
              <w:rPr>
                <w:sz w:val="17"/>
                <w:szCs w:val="17"/>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OTHER PUBLIC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5" w:lineRule="exact"/>
        <w:rPr>
          <w:sz w:val="20"/>
          <w:szCs w:val="20"/>
          <w:color w:val="auto"/>
        </w:rPr>
      </w:pPr>
    </w:p>
    <w:p>
      <w:pPr>
        <w:ind w:left="120" w:hanging="81"/>
        <w:spacing w:after="0"/>
        <w:tabs>
          <w:tab w:leader="none" w:pos="120" w:val="left"/>
        </w:tabs>
        <w:numPr>
          <w:ilvl w:val="0"/>
          <w:numId w:val="14"/>
        </w:numPr>
        <w:rPr>
          <w:rFonts w:ascii="Arial" w:cs="Arial" w:eastAsia="Arial" w:hAnsi="Arial"/>
          <w:sz w:val="13"/>
          <w:szCs w:val="13"/>
          <w:b w:val="1"/>
          <w:bCs w:val="1"/>
          <w:color w:val="008CD7"/>
        </w:rPr>
      </w:pPr>
      <w:r>
        <w:rPr>
          <w:rFonts w:ascii="Arial" w:cs="Arial" w:eastAsia="Arial" w:hAnsi="Arial"/>
          <w:sz w:val="13"/>
          <w:szCs w:val="13"/>
          <w:color w:val="00205B"/>
        </w:rPr>
        <w:t>Cohu,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205B"/>
        </w:rPr>
        <w:t>John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2400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1440" w:right="339" w:bottom="10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Director Since</w:t>
      </w:r>
      <w:r>
        <w:rPr>
          <w:rFonts w:ascii="Arial" w:cs="Arial" w:eastAsia="Arial" w:hAnsi="Arial"/>
          <w:sz w:val="14"/>
          <w:szCs w:val="14"/>
          <w:color w:val="0050AA"/>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-1296035</wp:posOffset>
            </wp:positionV>
            <wp:extent cx="1148715" cy="11658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48715" cy="1165860"/>
                    </a:xfrm>
                    <a:prstGeom prst="rect">
                      <a:avLst/>
                    </a:prstGeom>
                    <a:noFill/>
                  </pic:spPr>
                </pic:pic>
              </a:graphicData>
            </a:graphic>
          </wp:anchor>
        </w:drawing>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No</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64</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Class</w:t>
      </w:r>
      <w:r>
        <w:rPr>
          <w:rFonts w:ascii="Arial" w:cs="Arial" w:eastAsia="Arial" w:hAnsi="Arial"/>
          <w:sz w:val="14"/>
          <w:szCs w:val="14"/>
          <w:color w:val="0050AA"/>
        </w:rPr>
        <w:t>: III</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Term Expires</w:t>
      </w:r>
      <w:r>
        <w:rPr>
          <w:rFonts w:ascii="Arial" w:cs="Arial" w:eastAsia="Arial" w:hAnsi="Arial"/>
          <w:sz w:val="14"/>
          <w:szCs w:val="14"/>
          <w:color w:val="0050AA"/>
        </w:rPr>
        <w:t>: 2027</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COMMITTEE MEMBERSHIPS</w:t>
      </w:r>
    </w:p>
    <w:p>
      <w:pPr>
        <w:spacing w:after="0" w:line="55" w:lineRule="exact"/>
        <w:rPr>
          <w:sz w:val="20"/>
          <w:szCs w:val="20"/>
          <w:color w:val="auto"/>
        </w:rPr>
      </w:pPr>
    </w:p>
    <w:p>
      <w:pPr>
        <w:ind w:left="120" w:hanging="81"/>
        <w:spacing w:after="0"/>
        <w:tabs>
          <w:tab w:leader="none" w:pos="120" w:val="left"/>
        </w:tabs>
        <w:numPr>
          <w:ilvl w:val="0"/>
          <w:numId w:val="15"/>
        </w:numPr>
        <w:rPr>
          <w:rFonts w:ascii="Arial" w:cs="Arial" w:eastAsia="Arial" w:hAnsi="Arial"/>
          <w:sz w:val="13"/>
          <w:szCs w:val="13"/>
          <w:b w:val="1"/>
          <w:bCs w:val="1"/>
          <w:color w:val="008CD7"/>
        </w:rPr>
      </w:pPr>
      <w:r>
        <w:rPr>
          <w:rFonts w:ascii="Arial" w:cs="Arial" w:eastAsia="Arial" w:hAnsi="Arial"/>
          <w:sz w:val="13"/>
          <w:szCs w:val="13"/>
          <w:color w:val="00205B"/>
        </w:rPr>
        <w:t>N/A</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50AA"/>
        </w:rPr>
        <w:t>KEY EXPERIENCE &amp; QUALIFICATIONS</w:t>
      </w:r>
    </w:p>
    <w:p>
      <w:pPr>
        <w:spacing w:after="0" w:line="55" w:lineRule="exact"/>
        <w:rPr>
          <w:sz w:val="20"/>
          <w:szCs w:val="20"/>
          <w:color w:val="auto"/>
        </w:rPr>
      </w:pPr>
    </w:p>
    <w:p>
      <w:pPr>
        <w:ind w:left="120" w:hanging="81"/>
        <w:spacing w:after="0"/>
        <w:tabs>
          <w:tab w:leader="none" w:pos="120" w:val="left"/>
        </w:tabs>
        <w:numPr>
          <w:ilvl w:val="0"/>
          <w:numId w:val="16"/>
        </w:numPr>
        <w:rPr>
          <w:rFonts w:ascii="Arial" w:cs="Arial" w:eastAsia="Arial" w:hAnsi="Arial"/>
          <w:sz w:val="13"/>
          <w:szCs w:val="13"/>
          <w:b w:val="1"/>
          <w:bCs w:val="1"/>
          <w:color w:val="008CD7"/>
        </w:rPr>
      </w:pPr>
      <w:r>
        <w:rPr>
          <w:rFonts w:ascii="Arial" w:cs="Arial" w:eastAsia="Arial" w:hAnsi="Arial"/>
          <w:sz w:val="13"/>
          <w:szCs w:val="13"/>
          <w:color w:val="00205B"/>
        </w:rPr>
        <w:t>Executive Leadership</w:t>
      </w:r>
    </w:p>
    <w:p>
      <w:pPr>
        <w:spacing w:after="0" w:line="53" w:lineRule="exact"/>
        <w:rPr>
          <w:rFonts w:ascii="Arial" w:cs="Arial" w:eastAsia="Arial" w:hAnsi="Arial"/>
          <w:sz w:val="13"/>
          <w:szCs w:val="13"/>
          <w:b w:val="1"/>
          <w:bCs w:val="1"/>
          <w:color w:val="008CD7"/>
        </w:rPr>
      </w:pPr>
    </w:p>
    <w:p>
      <w:pPr>
        <w:ind w:left="120" w:hanging="81"/>
        <w:spacing w:after="0"/>
        <w:tabs>
          <w:tab w:leader="none" w:pos="120" w:val="left"/>
        </w:tabs>
        <w:numPr>
          <w:ilvl w:val="0"/>
          <w:numId w:val="16"/>
        </w:numPr>
        <w:rPr>
          <w:rFonts w:ascii="Arial" w:cs="Arial" w:eastAsia="Arial" w:hAnsi="Arial"/>
          <w:sz w:val="13"/>
          <w:szCs w:val="13"/>
          <w:b w:val="1"/>
          <w:bCs w:val="1"/>
          <w:color w:val="008CD7"/>
        </w:rPr>
      </w:pPr>
      <w:r>
        <w:rPr>
          <w:rFonts w:ascii="Arial" w:cs="Arial" w:eastAsia="Arial" w:hAnsi="Arial"/>
          <w:sz w:val="13"/>
          <w:szCs w:val="13"/>
          <w:color w:val="00205B"/>
        </w:rPr>
        <w:t>Health Care Industry Experience</w:t>
      </w:r>
    </w:p>
    <w:p>
      <w:pPr>
        <w:spacing w:after="0" w:line="51" w:lineRule="exact"/>
        <w:rPr>
          <w:rFonts w:ascii="Arial" w:cs="Arial" w:eastAsia="Arial" w:hAnsi="Arial"/>
          <w:sz w:val="13"/>
          <w:szCs w:val="13"/>
          <w:b w:val="1"/>
          <w:bCs w:val="1"/>
          <w:color w:val="008CD7"/>
        </w:rPr>
      </w:pPr>
    </w:p>
    <w:p>
      <w:pPr>
        <w:ind w:left="20"/>
        <w:spacing w:after="0"/>
        <w:rPr>
          <w:rFonts w:ascii="Arial" w:cs="Arial" w:eastAsia="Arial" w:hAnsi="Arial"/>
          <w:sz w:val="13"/>
          <w:szCs w:val="13"/>
          <w:b w:val="1"/>
          <w:bCs w:val="1"/>
          <w:color w:val="008CD7"/>
        </w:rPr>
      </w:pPr>
      <w:r>
        <w:rPr>
          <w:rFonts w:ascii="Arial" w:cs="Arial" w:eastAsia="Arial" w:hAnsi="Arial"/>
          <w:sz w:val="13"/>
          <w:szCs w:val="13"/>
          <w:b w:val="1"/>
          <w:bCs w:val="1"/>
          <w:color w:val="0050AA"/>
        </w:rPr>
        <w:t>OTHER PUBLIC BOARDS</w:t>
      </w:r>
    </w:p>
    <w:p>
      <w:pPr>
        <w:spacing w:after="0" w:line="55" w:lineRule="exact"/>
        <w:rPr>
          <w:rFonts w:ascii="Arial" w:cs="Arial" w:eastAsia="Arial" w:hAnsi="Arial"/>
          <w:sz w:val="13"/>
          <w:szCs w:val="13"/>
          <w:b w:val="1"/>
          <w:bCs w:val="1"/>
          <w:color w:val="008CD7"/>
        </w:rPr>
      </w:pPr>
    </w:p>
    <w:p>
      <w:pPr>
        <w:ind w:left="120" w:hanging="81"/>
        <w:spacing w:after="0"/>
        <w:tabs>
          <w:tab w:leader="none" w:pos="120" w:val="left"/>
        </w:tabs>
        <w:numPr>
          <w:ilvl w:val="0"/>
          <w:numId w:val="16"/>
        </w:numPr>
        <w:rPr>
          <w:rFonts w:ascii="Arial" w:cs="Arial" w:eastAsia="Arial" w:hAnsi="Arial"/>
          <w:sz w:val="13"/>
          <w:szCs w:val="13"/>
          <w:b w:val="1"/>
          <w:bCs w:val="1"/>
          <w:color w:val="008CD7"/>
        </w:rPr>
      </w:pPr>
      <w:r>
        <w:rPr>
          <w:rFonts w:ascii="Arial" w:cs="Arial" w:eastAsia="Arial" w:hAnsi="Arial"/>
          <w:sz w:val="13"/>
          <w:szCs w:val="13"/>
          <w:color w:val="00205B"/>
        </w:rPr>
        <w:t>N/A</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Mr. Kao has served as our Chief Executive Officer and as a member of our Board since 2014. Mr. Kao is our founder, and he was appointed as our Chief Executive Officer and to serve on our board of directors because of his extensive experience in managing organizations in the health care industry. Mr. Kao previously served as president of CareMore Medical Enterprises, Inc. (“CareMore”), which Mr. Kao and his partners acquired in 2006. In August 2011, CareMore was acquired by Wellpoint, Inc. Mr. Kao has also served as executive vice president at The TriZetto Group, and has served as president and CEO of the Ventures Division of PacifiCare Health Systems. While at PacifiCare, Mr. Kao was the chief financial officer at Secure Horizons USA. His earlier work included mergers and acquisitions with FHP International and investment banking with BancAmerica Securities, Inc. Mr. Kao received his Bachelor of Science degree from Santa Clara University and his MBA from the UCLA Anderson Graduate School of Management, where he was honored as a Venture Capital Fellow. Mr. Kao is qualified to serve on our Board because of his executive leadership experience and his extensive experience in the health 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1472565</wp:posOffset>
            </wp:positionV>
            <wp:extent cx="7132320" cy="2571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1155065</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120" w:hanging="78"/>
        <w:spacing w:after="0"/>
        <w:tabs>
          <w:tab w:leader="none" w:pos="3120" w:val="left"/>
        </w:tabs>
        <w:numPr>
          <w:ilvl w:val="0"/>
          <w:numId w:val="17"/>
        </w:numPr>
        <w:rPr>
          <w:rFonts w:ascii="Arial" w:cs="Arial" w:eastAsia="Arial" w:hAnsi="Arial"/>
          <w:sz w:val="13"/>
          <w:szCs w:val="13"/>
          <w:b w:val="1"/>
          <w:bCs w:val="1"/>
          <w:color w:val="008CD7"/>
        </w:rPr>
      </w:pPr>
      <w:r>
        <w:rPr>
          <w:rFonts w:ascii="Arial" w:cs="Arial" w:eastAsia="Arial" w:hAnsi="Arial"/>
          <w:sz w:val="13"/>
          <w:szCs w:val="13"/>
          <w:color w:val="00205B"/>
        </w:rPr>
        <w:t>Direct Consumer Markets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281940</wp:posOffset>
            </wp:positionV>
            <wp:extent cx="713232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2520" w:space="80"/>
            <w:col w:w="8640"/>
          </w:cols>
          <w:pgMar w:left="320" w:top="1440" w:right="339" w:bottom="1053"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29"/>
          <w:szCs w:val="29"/>
          <w:b w:val="1"/>
          <w:bCs w:val="1"/>
          <w:color w:val="00205B"/>
        </w:rPr>
        <w:t>Joseph Konowiecki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132320" cy="368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00205B"/>
        </w:rPr>
        <w:t>Chairman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56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Mr. Konowiecki has served as chairman of the Board since 2014. From October 2022 to December 2023, he served in</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an executive role with the Company, leading strategic network and business development. Since 2009, Mr. Konowiecki</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8680" w:type="dxa"/>
            <w:vAlign w:val="bottom"/>
          </w:tcPr>
          <w:p>
            <w:pPr>
              <w:ind w:left="40"/>
              <w:spacing w:after="0" w:line="175" w:lineRule="exact"/>
              <w:rPr>
                <w:sz w:val="20"/>
                <w:szCs w:val="20"/>
                <w:color w:val="auto"/>
              </w:rPr>
            </w:pPr>
            <w:r>
              <w:rPr>
                <w:rFonts w:ascii="Arial" w:cs="Arial" w:eastAsia="Arial" w:hAnsi="Arial"/>
                <w:sz w:val="16"/>
                <w:szCs w:val="16"/>
                <w:color w:val="auto"/>
              </w:rPr>
              <w:t>has served as managing partner of Moriah Partners, LLC and is the founder and CEO of Advanced Sports Media Group.</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8680" w:type="dxa"/>
            <w:vAlign w:val="bottom"/>
          </w:tcPr>
          <w:p>
            <w:pPr>
              <w:ind w:left="40"/>
              <w:spacing w:after="0" w:line="175" w:lineRule="exact"/>
              <w:rPr>
                <w:sz w:val="20"/>
                <w:szCs w:val="20"/>
                <w:color w:val="auto"/>
              </w:rPr>
            </w:pPr>
            <w:r>
              <w:rPr>
                <w:rFonts w:ascii="Arial" w:cs="Arial" w:eastAsia="Arial" w:hAnsi="Arial"/>
                <w:sz w:val="16"/>
                <w:szCs w:val="16"/>
                <w:color w:val="auto"/>
              </w:rPr>
              <w:t>Mr. Konowiecki previously served as Chairman and CEO of Apollo Enterprise Solutions, Inc. Mr. Konowiecki was</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previously CEO of Future Solutions with UnitedHealth Group’s Ovations division. Mr. Konowiecki has also held the</w:t>
            </w:r>
          </w:p>
        </w:tc>
        <w:tc>
          <w:tcPr>
            <w:tcW w:w="0" w:type="dxa"/>
            <w:vAlign w:val="bottom"/>
          </w:tcPr>
          <w:p>
            <w:pPr>
              <w:spacing w:after="0"/>
              <w:rPr>
                <w:sz w:val="1"/>
                <w:szCs w:val="1"/>
                <w:color w:val="auto"/>
              </w:rPr>
            </w:pPr>
          </w:p>
        </w:tc>
      </w:tr>
      <w:tr>
        <w:trPr>
          <w:trHeight w:val="176"/>
        </w:trPr>
        <w:tc>
          <w:tcPr>
            <w:tcW w:w="2560" w:type="dxa"/>
            <w:vAlign w:val="bottom"/>
          </w:tcPr>
          <w:p>
            <w:pPr>
              <w:spacing w:after="0"/>
              <w:rPr>
                <w:sz w:val="15"/>
                <w:szCs w:val="15"/>
                <w:color w:val="auto"/>
              </w:rPr>
            </w:pPr>
          </w:p>
        </w:tc>
        <w:tc>
          <w:tcPr>
            <w:tcW w:w="8680" w:type="dxa"/>
            <w:vAlign w:val="bottom"/>
          </w:tcPr>
          <w:p>
            <w:pPr>
              <w:ind w:left="40"/>
              <w:spacing w:after="0" w:line="175" w:lineRule="exact"/>
              <w:rPr>
                <w:sz w:val="20"/>
                <w:szCs w:val="20"/>
                <w:color w:val="auto"/>
              </w:rPr>
            </w:pPr>
            <w:r>
              <w:rPr>
                <w:rFonts w:ascii="Arial" w:cs="Arial" w:eastAsia="Arial" w:hAnsi="Arial"/>
                <w:sz w:val="16"/>
                <w:szCs w:val="16"/>
                <w:color w:val="auto"/>
              </w:rPr>
              <w:t>positions of general counsel and executive vice president corporate affairs at PacifiCare Health Systems, Inc. In</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addition, he is a founding partner of the law firm Konowiecki &amp; Rank and served as a member of the RAND Healthcare</w:t>
            </w:r>
          </w:p>
        </w:tc>
        <w:tc>
          <w:tcPr>
            <w:tcW w:w="0" w:type="dxa"/>
            <w:vAlign w:val="bottom"/>
          </w:tcPr>
          <w:p>
            <w:pPr>
              <w:spacing w:after="0"/>
              <w:rPr>
                <w:sz w:val="1"/>
                <w:szCs w:val="1"/>
                <w:color w:val="auto"/>
              </w:rPr>
            </w:pPr>
          </w:p>
        </w:tc>
      </w:tr>
      <w:tr>
        <w:trPr>
          <w:trHeight w:val="175"/>
        </w:trPr>
        <w:tc>
          <w:tcPr>
            <w:tcW w:w="2560" w:type="dxa"/>
            <w:vAlign w:val="bottom"/>
          </w:tcPr>
          <w:p>
            <w:pPr>
              <w:spacing w:after="0"/>
              <w:rPr>
                <w:sz w:val="15"/>
                <w:szCs w:val="15"/>
                <w:color w:val="auto"/>
              </w:rPr>
            </w:pPr>
          </w:p>
        </w:tc>
        <w:tc>
          <w:tcPr>
            <w:tcW w:w="8680" w:type="dxa"/>
            <w:vAlign w:val="bottom"/>
          </w:tcPr>
          <w:p>
            <w:pPr>
              <w:ind w:left="40"/>
              <w:spacing w:after="0" w:line="175" w:lineRule="exact"/>
              <w:rPr>
                <w:sz w:val="20"/>
                <w:szCs w:val="20"/>
                <w:color w:val="auto"/>
              </w:rPr>
            </w:pPr>
            <w:r>
              <w:rPr>
                <w:rFonts w:ascii="Arial" w:cs="Arial" w:eastAsia="Arial" w:hAnsi="Arial"/>
                <w:sz w:val="16"/>
                <w:szCs w:val="16"/>
                <w:color w:val="auto"/>
              </w:rPr>
              <w:t>Advisory Board. Mr. Konowiecki received a Bachelor of Arts degree in Political Science from the University of California,</w:t>
            </w: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Los Angeles and a JD from Hastings College. Mr. Konowiecki was appointed to serve on our board of directors because</w:t>
            </w:r>
          </w:p>
        </w:tc>
        <w:tc>
          <w:tcPr>
            <w:tcW w:w="0" w:type="dxa"/>
            <w:vAlign w:val="bottom"/>
          </w:tcPr>
          <w:p>
            <w:pPr>
              <w:spacing w:after="0"/>
              <w:rPr>
                <w:sz w:val="1"/>
                <w:szCs w:val="1"/>
                <w:color w:val="auto"/>
              </w:rPr>
            </w:pPr>
          </w:p>
        </w:tc>
      </w:tr>
      <w:tr>
        <w:trPr>
          <w:trHeight w:val="175"/>
        </w:trPr>
        <w:tc>
          <w:tcPr>
            <w:tcW w:w="2560" w:type="dxa"/>
            <w:vAlign w:val="bottom"/>
            <w:vMerge w:val="restart"/>
          </w:tcPr>
          <w:p>
            <w:pPr>
              <w:ind w:left="20"/>
              <w:spacing w:after="0"/>
              <w:rPr>
                <w:sz w:val="20"/>
                <w:szCs w:val="20"/>
                <w:color w:val="auto"/>
              </w:rPr>
            </w:pPr>
            <w:r>
              <w:rPr>
                <w:rFonts w:ascii="Arial" w:cs="Arial" w:eastAsia="Arial" w:hAnsi="Arial"/>
                <w:sz w:val="14"/>
                <w:szCs w:val="14"/>
                <w:b w:val="1"/>
                <w:bCs w:val="1"/>
                <w:color w:val="0050AA"/>
              </w:rPr>
              <w:t>Director Since</w:t>
            </w:r>
            <w:r>
              <w:rPr>
                <w:rFonts w:ascii="Arial" w:cs="Arial" w:eastAsia="Arial" w:hAnsi="Arial"/>
                <w:sz w:val="14"/>
                <w:szCs w:val="14"/>
                <w:color w:val="0050AA"/>
              </w:rPr>
              <w:t>: 2014</w:t>
            </w:r>
          </w:p>
        </w:tc>
        <w:tc>
          <w:tcPr>
            <w:tcW w:w="8680" w:type="dxa"/>
            <w:vAlign w:val="bottom"/>
          </w:tcPr>
          <w:p>
            <w:pPr>
              <w:ind w:left="40"/>
              <w:spacing w:after="0" w:line="175" w:lineRule="exact"/>
              <w:rPr>
                <w:sz w:val="20"/>
                <w:szCs w:val="20"/>
                <w:color w:val="auto"/>
              </w:rPr>
            </w:pPr>
            <w:r>
              <w:rPr>
                <w:rFonts w:ascii="Arial" w:cs="Arial" w:eastAsia="Arial" w:hAnsi="Arial"/>
                <w:sz w:val="16"/>
                <w:szCs w:val="16"/>
                <w:color w:val="auto"/>
              </w:rPr>
              <w:t>of his extensive experience in managing organizations as an executive officer and representing organizations in the</w:t>
            </w:r>
          </w:p>
        </w:tc>
        <w:tc>
          <w:tcPr>
            <w:tcW w:w="0" w:type="dxa"/>
            <w:vAlign w:val="bottom"/>
          </w:tcPr>
          <w:p>
            <w:pPr>
              <w:spacing w:after="0"/>
              <w:rPr>
                <w:sz w:val="1"/>
                <w:szCs w:val="1"/>
                <w:color w:val="auto"/>
              </w:rPr>
            </w:pPr>
          </w:p>
        </w:tc>
      </w:tr>
      <w:tr>
        <w:trPr>
          <w:trHeight w:val="215"/>
        </w:trPr>
        <w:tc>
          <w:tcPr>
            <w:tcW w:w="2560" w:type="dxa"/>
            <w:vAlign w:val="bottom"/>
            <w:vMerge w:val="continue"/>
          </w:tcPr>
          <w:p>
            <w:pPr>
              <w:spacing w:after="0"/>
              <w:rPr>
                <w:sz w:val="18"/>
                <w:szCs w:val="18"/>
                <w:color w:val="auto"/>
              </w:rPr>
            </w:pPr>
          </w:p>
        </w:tc>
        <w:tc>
          <w:tcPr>
            <w:tcW w:w="8680" w:type="dxa"/>
            <w:vAlign w:val="bottom"/>
          </w:tcPr>
          <w:p>
            <w:pPr>
              <w:ind w:left="40"/>
              <w:spacing w:after="0"/>
              <w:rPr>
                <w:sz w:val="20"/>
                <w:szCs w:val="20"/>
                <w:color w:val="auto"/>
              </w:rPr>
            </w:pPr>
            <w:r>
              <w:rPr>
                <w:rFonts w:ascii="Arial" w:cs="Arial" w:eastAsia="Arial" w:hAnsi="Arial"/>
                <w:sz w:val="16"/>
                <w:szCs w:val="16"/>
                <w:color w:val="auto"/>
              </w:rPr>
              <w:t>health care industry.</w:t>
            </w:r>
          </w:p>
        </w:tc>
        <w:tc>
          <w:tcPr>
            <w:tcW w:w="0" w:type="dxa"/>
            <w:vAlign w:val="bottom"/>
          </w:tcPr>
          <w:p>
            <w:pPr>
              <w:spacing w:after="0"/>
              <w:rPr>
                <w:sz w:val="1"/>
                <w:szCs w:val="1"/>
                <w:color w:val="auto"/>
              </w:rPr>
            </w:pPr>
          </w:p>
        </w:tc>
      </w:tr>
      <w:tr>
        <w:trPr>
          <w:trHeight w:val="310"/>
        </w:trPr>
        <w:tc>
          <w:tcPr>
            <w:tcW w:w="2560" w:type="dxa"/>
            <w:vAlign w:val="bottom"/>
          </w:tcPr>
          <w:p>
            <w:pPr>
              <w:ind w:left="20"/>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No</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560" w:type="dxa"/>
            <w:vAlign w:val="bottom"/>
          </w:tcPr>
          <w:p>
            <w:pPr>
              <w:ind w:left="20"/>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72</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560" w:type="dxa"/>
            <w:vAlign w:val="bottom"/>
          </w:tcPr>
          <w:p>
            <w:pPr>
              <w:ind w:left="20"/>
              <w:spacing w:after="0"/>
              <w:rPr>
                <w:sz w:val="20"/>
                <w:szCs w:val="20"/>
                <w:color w:val="auto"/>
              </w:rPr>
            </w:pPr>
            <w:r>
              <w:rPr>
                <w:rFonts w:ascii="Arial" w:cs="Arial" w:eastAsia="Arial" w:hAnsi="Arial"/>
                <w:sz w:val="14"/>
                <w:szCs w:val="14"/>
                <w:b w:val="1"/>
                <w:bCs w:val="1"/>
                <w:color w:val="0050AA"/>
              </w:rPr>
              <w:t>Class</w:t>
            </w:r>
            <w:r>
              <w:rPr>
                <w:rFonts w:ascii="Arial" w:cs="Arial" w:eastAsia="Arial" w:hAnsi="Arial"/>
                <w:sz w:val="14"/>
                <w:szCs w:val="14"/>
                <w:color w:val="0050AA"/>
              </w:rPr>
              <w:t>: III</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560" w:type="dxa"/>
            <w:vAlign w:val="bottom"/>
          </w:tcPr>
          <w:p>
            <w:pPr>
              <w:ind w:left="20"/>
              <w:spacing w:after="0"/>
              <w:rPr>
                <w:sz w:val="20"/>
                <w:szCs w:val="20"/>
                <w:color w:val="auto"/>
              </w:rPr>
            </w:pPr>
            <w:r>
              <w:rPr>
                <w:rFonts w:ascii="Arial" w:cs="Arial" w:eastAsia="Arial" w:hAnsi="Arial"/>
                <w:sz w:val="14"/>
                <w:szCs w:val="14"/>
                <w:b w:val="1"/>
                <w:bCs w:val="1"/>
                <w:color w:val="0050AA"/>
              </w:rPr>
              <w:t>Term Expires</w:t>
            </w:r>
            <w:r>
              <w:rPr>
                <w:rFonts w:ascii="Arial" w:cs="Arial" w:eastAsia="Arial" w:hAnsi="Arial"/>
                <w:sz w:val="14"/>
                <w:szCs w:val="14"/>
                <w:color w:val="0050AA"/>
              </w:rPr>
              <w:t>: 2027</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0"/>
              <w:spacing w:after="0"/>
              <w:rPr>
                <w:sz w:val="20"/>
                <w:szCs w:val="20"/>
                <w:color w:val="auto"/>
              </w:rPr>
            </w:pPr>
            <w:r>
              <w:rPr>
                <w:rFonts w:ascii="Arial" w:cs="Arial" w:eastAsia="Arial" w:hAnsi="Arial"/>
                <w:sz w:val="13"/>
                <w:szCs w:val="13"/>
                <w:b w:val="1"/>
                <w:bCs w:val="1"/>
                <w:color w:val="0050AA"/>
              </w:rPr>
              <w:t>COMMITTEE MEMBERSHIPS</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56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Compensation Committee</w:t>
            </w:r>
          </w:p>
        </w:tc>
        <w:tc>
          <w:tcPr>
            <w:tcW w:w="8680" w:type="dxa"/>
            <w:vAlign w:val="bottom"/>
            <w:shd w:val="clear" w:color="auto" w:fill="DBE5F1"/>
          </w:tcPr>
          <w:p>
            <w:pPr>
              <w:ind w:left="308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NCGCC</w:t>
            </w:r>
          </w:p>
        </w:tc>
        <w:tc>
          <w:tcPr>
            <w:tcW w:w="0" w:type="dxa"/>
            <w:vAlign w:val="bottom"/>
          </w:tcPr>
          <w:p>
            <w:pPr>
              <w:spacing w:after="0"/>
              <w:rPr>
                <w:sz w:val="1"/>
                <w:szCs w:val="1"/>
                <w:color w:val="auto"/>
              </w:rPr>
            </w:pPr>
          </w:p>
        </w:tc>
      </w:tr>
      <w:tr>
        <w:trPr>
          <w:trHeight w:val="295"/>
        </w:trPr>
        <w:tc>
          <w:tcPr>
            <w:tcW w:w="2560" w:type="dxa"/>
            <w:vAlign w:val="bottom"/>
          </w:tcPr>
          <w:p>
            <w:pPr>
              <w:ind w:left="20"/>
              <w:spacing w:after="0"/>
              <w:rPr>
                <w:sz w:val="20"/>
                <w:szCs w:val="20"/>
                <w:color w:val="auto"/>
              </w:rPr>
            </w:pPr>
            <w:r>
              <w:rPr>
                <w:rFonts w:ascii="Arial" w:cs="Arial" w:eastAsia="Arial" w:hAnsi="Arial"/>
                <w:sz w:val="13"/>
                <w:szCs w:val="13"/>
                <w:b w:val="1"/>
                <w:bCs w:val="1"/>
                <w:color w:val="0050AA"/>
              </w:rPr>
              <w:t>KEY EXPERIENCE &amp; QUALIFICATIONS</w:t>
            </w:r>
          </w:p>
        </w:tc>
        <w:tc>
          <w:tcPr>
            <w:tcW w:w="8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560" w:type="dxa"/>
            <w:vAlign w:val="bottom"/>
            <w:tcBorders>
              <w:left w:val="single" w:sz="8" w:color="DBE5F1"/>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Executive Leadership</w:t>
            </w:r>
          </w:p>
        </w:tc>
        <w:tc>
          <w:tcPr>
            <w:tcW w:w="8680" w:type="dxa"/>
            <w:vAlign w:val="bottom"/>
            <w:shd w:val="clear" w:color="auto" w:fill="DBE5F1"/>
          </w:tcPr>
          <w:p>
            <w:pPr>
              <w:ind w:left="308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Direct Consumer Markets Experience</w:t>
            </w:r>
          </w:p>
        </w:tc>
        <w:tc>
          <w:tcPr>
            <w:tcW w:w="0" w:type="dxa"/>
            <w:vAlign w:val="bottom"/>
          </w:tcPr>
          <w:p>
            <w:pPr>
              <w:spacing w:after="0"/>
              <w:rPr>
                <w:sz w:val="1"/>
                <w:szCs w:val="1"/>
                <w:color w:val="auto"/>
              </w:rPr>
            </w:pPr>
          </w:p>
        </w:tc>
      </w:tr>
      <w:tr>
        <w:trPr>
          <w:trHeight w:val="199"/>
        </w:trPr>
        <w:tc>
          <w:tcPr>
            <w:tcW w:w="2560" w:type="dxa"/>
            <w:vAlign w:val="bottom"/>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Health Care Industry Experience</w:t>
            </w:r>
          </w:p>
        </w:tc>
        <w:tc>
          <w:tcPr>
            <w:tcW w:w="8680" w:type="dxa"/>
            <w:vAlign w:val="bottom"/>
          </w:tcPr>
          <w:p>
            <w:pPr>
              <w:ind w:left="308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Regulatory / Public Policy Experience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-2902585</wp:posOffset>
            </wp:positionV>
            <wp:extent cx="1148715" cy="1080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386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ind w:left="120" w:hanging="81"/>
        <w:spacing w:after="0"/>
        <w:tabs>
          <w:tab w:leader="none" w:pos="120" w:val="left"/>
        </w:tabs>
        <w:numPr>
          <w:ilvl w:val="0"/>
          <w:numId w:val="18"/>
        </w:numPr>
        <w:rPr>
          <w:rFonts w:ascii="Arial" w:cs="Arial" w:eastAsia="Arial" w:hAnsi="Arial"/>
          <w:sz w:val="13"/>
          <w:szCs w:val="13"/>
          <w:b w:val="1"/>
          <w:bCs w:val="1"/>
          <w:color w:val="008CD7"/>
        </w:rPr>
      </w:pPr>
      <w:r>
        <w:rPr>
          <w:rFonts w:ascii="Arial" w:cs="Arial" w:eastAsia="Arial" w:hAnsi="Arial"/>
          <w:sz w:val="13"/>
          <w:szCs w:val="13"/>
          <w:color w:val="00205B"/>
        </w:rPr>
        <w:t>Nominating/Governance Committee Experience</w:t>
      </w:r>
    </w:p>
    <w:p>
      <w:pPr>
        <w:spacing w:after="0" w:line="51" w:lineRule="exact"/>
        <w:rPr>
          <w:rFonts w:ascii="Arial" w:cs="Arial" w:eastAsia="Arial" w:hAnsi="Arial"/>
          <w:sz w:val="13"/>
          <w:szCs w:val="13"/>
          <w:b w:val="1"/>
          <w:bCs w:val="1"/>
          <w:color w:val="008CD7"/>
        </w:rPr>
      </w:pPr>
    </w:p>
    <w:p>
      <w:pPr>
        <w:ind w:left="20"/>
        <w:spacing w:after="0"/>
        <w:rPr>
          <w:rFonts w:ascii="Arial" w:cs="Arial" w:eastAsia="Arial" w:hAnsi="Arial"/>
          <w:sz w:val="13"/>
          <w:szCs w:val="13"/>
          <w:b w:val="1"/>
          <w:bCs w:val="1"/>
          <w:color w:val="008CD7"/>
        </w:rPr>
      </w:pPr>
      <w:r>
        <w:rPr>
          <w:rFonts w:ascii="Arial" w:cs="Arial" w:eastAsia="Arial" w:hAnsi="Arial"/>
          <w:sz w:val="13"/>
          <w:szCs w:val="13"/>
          <w:b w:val="1"/>
          <w:bCs w:val="1"/>
          <w:color w:val="0050AA"/>
        </w:rPr>
        <w:t>OTHER PUBLIC BOARDS</w:t>
      </w:r>
    </w:p>
    <w:p>
      <w:pPr>
        <w:spacing w:after="0" w:line="55" w:lineRule="exact"/>
        <w:rPr>
          <w:rFonts w:ascii="Arial" w:cs="Arial" w:eastAsia="Arial" w:hAnsi="Arial"/>
          <w:sz w:val="13"/>
          <w:szCs w:val="13"/>
          <w:b w:val="1"/>
          <w:bCs w:val="1"/>
          <w:color w:val="008CD7"/>
        </w:rPr>
      </w:pPr>
    </w:p>
    <w:p>
      <w:pPr>
        <w:ind w:left="120" w:hanging="81"/>
        <w:spacing w:after="0"/>
        <w:tabs>
          <w:tab w:leader="none" w:pos="120" w:val="left"/>
        </w:tabs>
        <w:numPr>
          <w:ilvl w:val="0"/>
          <w:numId w:val="18"/>
        </w:numPr>
        <w:rPr>
          <w:rFonts w:ascii="Arial" w:cs="Arial" w:eastAsia="Arial" w:hAnsi="Arial"/>
          <w:sz w:val="13"/>
          <w:szCs w:val="13"/>
          <w:b w:val="1"/>
          <w:bCs w:val="1"/>
          <w:color w:val="008CD7"/>
        </w:rPr>
      </w:pPr>
      <w:r>
        <w:rPr>
          <w:rFonts w:ascii="Arial" w:cs="Arial" w:eastAsia="Arial" w:hAnsi="Arial"/>
          <w:sz w:val="13"/>
          <w:szCs w:val="13"/>
          <w:color w:val="00205B"/>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440" w:right="339" w:bottom="105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053" w:gutter="0" w:footer="0" w:header="0"/>
          <w:type w:val="continuous"/>
        </w:sectPr>
      </w:pPr>
    </w:p>
    <w:bookmarkStart w:id="18" w:name="page19"/>
    <w:bookmarkEnd w:id="18"/>
    <w:p>
      <w:pPr>
        <w:spacing w:after="0" w:line="2" w:lineRule="exact"/>
        <w:rPr>
          <w:sz w:val="20"/>
          <w:szCs w:val="20"/>
          <w:color w:val="auto"/>
        </w:rPr>
      </w:pPr>
    </w:p>
    <w:p>
      <w:pPr>
        <w:spacing w:after="0"/>
        <w:rPr>
          <w:sz w:val="20"/>
          <w:szCs w:val="20"/>
          <w:color w:val="auto"/>
        </w:rPr>
      </w:pPr>
      <w:r>
        <w:rPr>
          <w:rFonts w:ascii="Arial" w:cs="Arial" w:eastAsia="Arial" w:hAnsi="Arial"/>
          <w:sz w:val="28"/>
          <w:szCs w:val="28"/>
          <w:b w:val="1"/>
          <w:bCs w:val="1"/>
          <w:color w:val="00205B"/>
        </w:rPr>
        <w:t>Margaret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32320" cy="3689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00205B"/>
        </w:rPr>
        <w:t>Lead Independent Director</w:t>
      </w:r>
    </w:p>
    <w:p>
      <w:pPr>
        <w:sectPr>
          <w:pgSz w:w="11900" w:h="16838" w:orient="portrait"/>
          <w:cols w:equalWidth="0" w:num="1">
            <w:col w:w="11180"/>
          </w:cols>
          <w:pgMar w:left="34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Director Since</w:t>
      </w:r>
      <w:r>
        <w:rPr>
          <w:rFonts w:ascii="Arial" w:cs="Arial" w:eastAsia="Arial" w:hAnsi="Arial"/>
          <w:sz w:val="14"/>
          <w:szCs w:val="14"/>
          <w:color w:val="0050AA"/>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-1210310</wp:posOffset>
            </wp:positionV>
            <wp:extent cx="1148715" cy="10801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Yes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72</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Class</w:t>
      </w:r>
      <w:r>
        <w:rPr>
          <w:rFonts w:ascii="Arial" w:cs="Arial" w:eastAsia="Arial" w:hAnsi="Arial"/>
          <w:sz w:val="14"/>
          <w:szCs w:val="14"/>
          <w:color w:val="0050AA"/>
        </w:rPr>
        <w:t>: I</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Term Expires</w:t>
      </w:r>
      <w:r>
        <w:rPr>
          <w:rFonts w:ascii="Arial" w:cs="Arial" w:eastAsia="Arial" w:hAnsi="Arial"/>
          <w:sz w:val="14"/>
          <w:szCs w:val="14"/>
          <w:color w:val="0050AA"/>
        </w:rPr>
        <w:t>: 2028</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50AA"/>
        </w:rPr>
        <w:t>COMMITTEE MEMBERSHIPS</w:t>
      </w:r>
    </w:p>
    <w:p>
      <w:pPr>
        <w:spacing w:after="0" w:line="55" w:lineRule="exact"/>
        <w:rPr>
          <w:sz w:val="20"/>
          <w:szCs w:val="20"/>
          <w:color w:val="auto"/>
        </w:rPr>
      </w:pPr>
    </w:p>
    <w:p>
      <w:pPr>
        <w:ind w:left="100" w:hanging="81"/>
        <w:spacing w:after="0"/>
        <w:tabs>
          <w:tab w:leader="none" w:pos="100" w:val="left"/>
        </w:tabs>
        <w:numPr>
          <w:ilvl w:val="0"/>
          <w:numId w:val="19"/>
        </w:numPr>
        <w:rPr>
          <w:rFonts w:ascii="Arial" w:cs="Arial" w:eastAsia="Arial" w:hAnsi="Arial"/>
          <w:sz w:val="13"/>
          <w:szCs w:val="13"/>
          <w:b w:val="1"/>
          <w:bCs w:val="1"/>
          <w:color w:val="008CD7"/>
        </w:rPr>
      </w:pPr>
      <w:r>
        <w:rPr>
          <w:rFonts w:ascii="Arial" w:cs="Arial" w:eastAsia="Arial" w:hAnsi="Arial"/>
          <w:sz w:val="13"/>
          <w:szCs w:val="13"/>
          <w:color w:val="00205B"/>
        </w:rPr>
        <w:t>Audit Committee</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50AA"/>
        </w:rPr>
        <w:t>KEY EXPERIENCE &amp; QUALIFICATIONS</w:t>
      </w:r>
    </w:p>
    <w:p>
      <w:pPr>
        <w:spacing w:after="0" w:line="55" w:lineRule="exact"/>
        <w:rPr>
          <w:sz w:val="20"/>
          <w:szCs w:val="20"/>
          <w:color w:val="auto"/>
        </w:rPr>
      </w:pPr>
    </w:p>
    <w:p>
      <w:pPr>
        <w:ind w:left="100" w:hanging="81"/>
        <w:spacing w:after="0"/>
        <w:tabs>
          <w:tab w:leader="none" w:pos="100" w:val="left"/>
        </w:tabs>
        <w:numPr>
          <w:ilvl w:val="0"/>
          <w:numId w:val="20"/>
        </w:numPr>
        <w:rPr>
          <w:rFonts w:ascii="Arial" w:cs="Arial" w:eastAsia="Arial" w:hAnsi="Arial"/>
          <w:sz w:val="13"/>
          <w:szCs w:val="13"/>
          <w:b w:val="1"/>
          <w:bCs w:val="1"/>
          <w:color w:val="008CD7"/>
        </w:rPr>
      </w:pPr>
      <w:r>
        <w:rPr>
          <w:rFonts w:ascii="Arial" w:cs="Arial" w:eastAsia="Arial" w:hAnsi="Arial"/>
          <w:sz w:val="13"/>
          <w:szCs w:val="13"/>
          <w:color w:val="00205B"/>
        </w:rPr>
        <w:t>Executive Leadership</w:t>
      </w:r>
    </w:p>
    <w:p>
      <w:pPr>
        <w:spacing w:after="0" w:line="53" w:lineRule="exact"/>
        <w:rPr>
          <w:rFonts w:ascii="Arial" w:cs="Arial" w:eastAsia="Arial" w:hAnsi="Arial"/>
          <w:sz w:val="13"/>
          <w:szCs w:val="13"/>
          <w:b w:val="1"/>
          <w:bCs w:val="1"/>
          <w:color w:val="008CD7"/>
        </w:rPr>
      </w:pPr>
    </w:p>
    <w:p>
      <w:pPr>
        <w:ind w:left="100" w:hanging="81"/>
        <w:spacing w:after="0"/>
        <w:tabs>
          <w:tab w:leader="none" w:pos="100" w:val="left"/>
        </w:tabs>
        <w:numPr>
          <w:ilvl w:val="0"/>
          <w:numId w:val="20"/>
        </w:numPr>
        <w:rPr>
          <w:rFonts w:ascii="Arial" w:cs="Arial" w:eastAsia="Arial" w:hAnsi="Arial"/>
          <w:sz w:val="13"/>
          <w:szCs w:val="13"/>
          <w:b w:val="1"/>
          <w:bCs w:val="1"/>
          <w:color w:val="008CD7"/>
        </w:rPr>
      </w:pPr>
      <w:r>
        <w:rPr>
          <w:rFonts w:ascii="Arial" w:cs="Arial" w:eastAsia="Arial" w:hAnsi="Arial"/>
          <w:sz w:val="13"/>
          <w:szCs w:val="13"/>
          <w:color w:val="00205B"/>
        </w:rPr>
        <w:t>Health Care Industry Experience</w:t>
      </w:r>
    </w:p>
    <w:p>
      <w:pPr>
        <w:spacing w:after="0" w:line="51" w:lineRule="exact"/>
        <w:rPr>
          <w:rFonts w:ascii="Arial" w:cs="Arial" w:eastAsia="Arial" w:hAnsi="Arial"/>
          <w:sz w:val="13"/>
          <w:szCs w:val="13"/>
          <w:b w:val="1"/>
          <w:bCs w:val="1"/>
          <w:color w:val="008CD7"/>
        </w:rPr>
      </w:pPr>
    </w:p>
    <w:p>
      <w:pPr>
        <w:spacing w:after="0"/>
        <w:rPr>
          <w:rFonts w:ascii="Arial" w:cs="Arial" w:eastAsia="Arial" w:hAnsi="Arial"/>
          <w:sz w:val="13"/>
          <w:szCs w:val="13"/>
          <w:b w:val="1"/>
          <w:bCs w:val="1"/>
          <w:color w:val="008CD7"/>
        </w:rPr>
      </w:pPr>
      <w:r>
        <w:rPr>
          <w:rFonts w:ascii="Arial" w:cs="Arial" w:eastAsia="Arial" w:hAnsi="Arial"/>
          <w:sz w:val="13"/>
          <w:szCs w:val="13"/>
          <w:b w:val="1"/>
          <w:bCs w:val="1"/>
          <w:color w:val="0050AA"/>
        </w:rPr>
        <w:t>OTHER PUBLIC BOARDS</w:t>
      </w:r>
    </w:p>
    <w:p>
      <w:pPr>
        <w:spacing w:after="0" w:line="55" w:lineRule="exact"/>
        <w:rPr>
          <w:rFonts w:ascii="Arial" w:cs="Arial" w:eastAsia="Arial" w:hAnsi="Arial"/>
          <w:sz w:val="13"/>
          <w:szCs w:val="13"/>
          <w:b w:val="1"/>
          <w:bCs w:val="1"/>
          <w:color w:val="008CD7"/>
        </w:rPr>
      </w:pPr>
    </w:p>
    <w:p>
      <w:pPr>
        <w:ind w:left="100" w:hanging="81"/>
        <w:spacing w:after="0"/>
        <w:tabs>
          <w:tab w:leader="none" w:pos="100" w:val="left"/>
        </w:tabs>
        <w:numPr>
          <w:ilvl w:val="0"/>
          <w:numId w:val="20"/>
        </w:numPr>
        <w:rPr>
          <w:rFonts w:ascii="Arial" w:cs="Arial" w:eastAsia="Arial" w:hAnsi="Arial"/>
          <w:sz w:val="13"/>
          <w:szCs w:val="13"/>
          <w:b w:val="1"/>
          <w:bCs w:val="1"/>
          <w:color w:val="008CD7"/>
        </w:rPr>
      </w:pPr>
      <w:r>
        <w:rPr>
          <w:rFonts w:ascii="Arial" w:cs="Arial" w:eastAsia="Arial" w:hAnsi="Arial"/>
          <w:sz w:val="13"/>
          <w:szCs w:val="13"/>
          <w:color w:val="00205B"/>
        </w:rPr>
        <w:t>American Electric Power Co. Inc.</w:t>
      </w:r>
    </w:p>
    <w:p>
      <w:pPr>
        <w:spacing w:after="0" w:line="53" w:lineRule="exact"/>
        <w:rPr>
          <w:rFonts w:ascii="Arial" w:cs="Arial" w:eastAsia="Arial" w:hAnsi="Arial"/>
          <w:sz w:val="13"/>
          <w:szCs w:val="13"/>
          <w:b w:val="1"/>
          <w:bCs w:val="1"/>
          <w:color w:val="008CD7"/>
        </w:rPr>
      </w:pPr>
    </w:p>
    <w:p>
      <w:pPr>
        <w:ind w:left="100" w:hanging="81"/>
        <w:spacing w:after="0"/>
        <w:tabs>
          <w:tab w:leader="none" w:pos="100" w:val="left"/>
        </w:tabs>
        <w:numPr>
          <w:ilvl w:val="0"/>
          <w:numId w:val="20"/>
        </w:numPr>
        <w:rPr>
          <w:rFonts w:ascii="Arial" w:cs="Arial" w:eastAsia="Arial" w:hAnsi="Arial"/>
          <w:sz w:val="13"/>
          <w:szCs w:val="13"/>
          <w:b w:val="1"/>
          <w:bCs w:val="1"/>
          <w:color w:val="008CD7"/>
        </w:rPr>
      </w:pPr>
      <w:r>
        <w:rPr>
          <w:rFonts w:ascii="Arial" w:cs="Arial" w:eastAsia="Arial" w:hAnsi="Arial"/>
          <w:sz w:val="13"/>
          <w:szCs w:val="13"/>
          <w:color w:val="00205B"/>
        </w:rPr>
        <w:t>Marriott International</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Ms. McCarthy has served as a member of our Board since December 2020 and as our Lead Independent Director in October 2022. Ms. McCarthy retired in June 2019 as executive vice president of CVS Health following the completion of CVS Health’s acquisition of Aetna in 2018. She served as Executive Vice President of Operations and Technology for Aetna from 2010 until 2018, where she was responsible for innovation, technology, data security, procurement, real estate and service operations. Prior to joining Aetna in 2003, she served in information technology-related roles at Cigna and Catholic Health Initiatives, among others. Ms. McCarthy also worked in technology consulting at Accenture and was a consulting partner at Ernst &amp; Young. She has served as a director of Marriott International since March 2019, of First American Financial since June 2015, and of American Electric Power Co. Inc. since April 2019. She was director at Brighthouse Financial from November 2018 until June 2021. She also served on various advisory boards, councils and private-company boards. Ms. McCarthy holds a bachelor’s degree from Providence College and a master’s degree in public health, hospital administration from Yale University. Given her extensive experience managing large groups of employees, complex processes and enterprise-critical technology, Ms. McCarthy brings to the board valuable insights into areas of critical import to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836930</wp:posOffset>
            </wp:positionV>
            <wp:extent cx="7132320" cy="1289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120" w:hanging="78"/>
        <w:spacing w:after="0"/>
        <w:tabs>
          <w:tab w:leader="none" w:pos="3120" w:val="left"/>
        </w:tabs>
        <w:numPr>
          <w:ilvl w:val="0"/>
          <w:numId w:val="21"/>
        </w:numPr>
        <w:rPr>
          <w:rFonts w:ascii="Arial" w:cs="Arial" w:eastAsia="Arial" w:hAnsi="Arial"/>
          <w:sz w:val="13"/>
          <w:szCs w:val="13"/>
          <w:b w:val="1"/>
          <w:bCs w:val="1"/>
          <w:color w:val="008CD7"/>
        </w:rPr>
      </w:pPr>
      <w:r>
        <w:rPr>
          <w:rFonts w:ascii="Arial" w:cs="Arial" w:eastAsia="Arial" w:hAnsi="Arial"/>
          <w:sz w:val="13"/>
          <w:szCs w:val="13"/>
          <w:color w:val="00205B"/>
        </w:rPr>
        <w:t>Compensation Committee</w:t>
      </w:r>
    </w:p>
    <w:p>
      <w:pPr>
        <w:spacing w:after="0" w:line="350" w:lineRule="exact"/>
        <w:rPr>
          <w:rFonts w:ascii="Arial" w:cs="Arial" w:eastAsia="Arial" w:hAnsi="Arial"/>
          <w:sz w:val="13"/>
          <w:szCs w:val="13"/>
          <w:b w:val="1"/>
          <w:bCs w:val="1"/>
          <w:color w:val="008CD7"/>
        </w:rPr>
      </w:pPr>
    </w:p>
    <w:p>
      <w:pPr>
        <w:ind w:left="3120" w:hanging="78"/>
        <w:spacing w:after="0"/>
        <w:tabs>
          <w:tab w:leader="none" w:pos="3120" w:val="left"/>
        </w:tabs>
        <w:numPr>
          <w:ilvl w:val="0"/>
          <w:numId w:val="21"/>
        </w:numPr>
        <w:rPr>
          <w:rFonts w:ascii="Arial" w:cs="Arial" w:eastAsia="Arial" w:hAnsi="Arial"/>
          <w:sz w:val="13"/>
          <w:szCs w:val="13"/>
          <w:b w:val="1"/>
          <w:bCs w:val="1"/>
          <w:color w:val="008CD7"/>
        </w:rPr>
      </w:pPr>
      <w:r>
        <w:rPr>
          <w:rFonts w:ascii="Arial" w:cs="Arial" w:eastAsia="Arial" w:hAnsi="Arial"/>
          <w:sz w:val="13"/>
          <w:szCs w:val="13"/>
          <w:color w:val="00205B"/>
        </w:rPr>
        <w:t>Direct Consumer Markets Experience</w:t>
      </w:r>
    </w:p>
    <w:p>
      <w:pPr>
        <w:spacing w:after="0" w:line="200" w:lineRule="exact"/>
        <w:rPr>
          <w:rFonts w:ascii="Arial" w:cs="Arial" w:eastAsia="Arial" w:hAnsi="Arial"/>
          <w:sz w:val="13"/>
          <w:szCs w:val="13"/>
          <w:b w:val="1"/>
          <w:bCs w:val="1"/>
          <w:color w:val="008CD7"/>
        </w:rPr>
      </w:pPr>
    </w:p>
    <w:p>
      <w:pPr>
        <w:spacing w:after="0" w:line="258" w:lineRule="exact"/>
        <w:rPr>
          <w:rFonts w:ascii="Arial" w:cs="Arial" w:eastAsia="Arial" w:hAnsi="Arial"/>
          <w:sz w:val="13"/>
          <w:szCs w:val="13"/>
          <w:b w:val="1"/>
          <w:bCs w:val="1"/>
          <w:color w:val="008CD7"/>
        </w:rPr>
      </w:pPr>
    </w:p>
    <w:p>
      <w:pPr>
        <w:ind w:left="3120" w:hanging="78"/>
        <w:spacing w:after="0"/>
        <w:tabs>
          <w:tab w:leader="none" w:pos="3120" w:val="left"/>
        </w:tabs>
        <w:numPr>
          <w:ilvl w:val="0"/>
          <w:numId w:val="21"/>
        </w:numPr>
        <w:rPr>
          <w:rFonts w:ascii="Arial" w:cs="Arial" w:eastAsia="Arial" w:hAnsi="Arial"/>
          <w:sz w:val="13"/>
          <w:szCs w:val="13"/>
          <w:b w:val="1"/>
          <w:bCs w:val="1"/>
          <w:color w:val="008CD7"/>
        </w:rPr>
      </w:pPr>
      <w:r>
        <w:rPr>
          <w:rFonts w:ascii="Arial" w:cs="Arial" w:eastAsia="Arial" w:hAnsi="Arial"/>
          <w:sz w:val="13"/>
          <w:szCs w:val="13"/>
          <w:color w:val="00205B"/>
        </w:rPr>
        <w:t>First American Financial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-103505</wp:posOffset>
            </wp:positionV>
            <wp:extent cx="7132320" cy="2571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-488950</wp:posOffset>
            </wp:positionV>
            <wp:extent cx="7132320" cy="257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402" w:lineRule="exact"/>
        <w:rPr>
          <w:sz w:val="20"/>
          <w:szCs w:val="20"/>
          <w:color w:val="auto"/>
        </w:rPr>
      </w:pPr>
    </w:p>
    <w:p>
      <w:pPr>
        <w:sectPr>
          <w:pgSz w:w="11900" w:h="16838" w:orient="portrait"/>
          <w:cols w:equalWidth="0" w:num="2">
            <w:col w:w="2500" w:space="80"/>
            <w:col w:w="8600"/>
          </w:cols>
          <w:pgMar w:left="340" w:top="1440" w:right="37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28"/>
          <w:szCs w:val="28"/>
          <w:b w:val="1"/>
          <w:bCs w:val="1"/>
          <w:color w:val="00205B"/>
        </w:rPr>
        <w:t>Robbert Vorhoff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32320" cy="2400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Director Since</w:t>
      </w:r>
      <w:r>
        <w:rPr>
          <w:rFonts w:ascii="Arial" w:cs="Arial" w:eastAsia="Arial" w:hAnsi="Arial"/>
          <w:sz w:val="14"/>
          <w:szCs w:val="14"/>
          <w:color w:val="0050AA"/>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-1210310</wp:posOffset>
            </wp:positionV>
            <wp:extent cx="1148715" cy="10801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Yes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47</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Class</w:t>
      </w:r>
      <w:r>
        <w:rPr>
          <w:rFonts w:ascii="Arial" w:cs="Arial" w:eastAsia="Arial" w:hAnsi="Arial"/>
          <w:sz w:val="14"/>
          <w:szCs w:val="14"/>
          <w:color w:val="0050AA"/>
        </w:rPr>
        <w:t>: I</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0050AA"/>
        </w:rPr>
        <w:t>Term Expires</w:t>
      </w:r>
      <w:r>
        <w:rPr>
          <w:rFonts w:ascii="Arial" w:cs="Arial" w:eastAsia="Arial" w:hAnsi="Arial"/>
          <w:sz w:val="14"/>
          <w:szCs w:val="14"/>
          <w:color w:val="0050AA"/>
        </w:rPr>
        <w:t>: 2028</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0050AA"/>
        </w:rPr>
        <w:t>COMMITTEE MEMBERSHIPS</w:t>
      </w:r>
    </w:p>
    <w:p>
      <w:pPr>
        <w:spacing w:after="0" w:line="55" w:lineRule="exact"/>
        <w:rPr>
          <w:sz w:val="20"/>
          <w:szCs w:val="20"/>
          <w:color w:val="auto"/>
        </w:rPr>
      </w:pPr>
    </w:p>
    <w:p>
      <w:pPr>
        <w:ind w:left="100" w:hanging="81"/>
        <w:spacing w:after="0"/>
        <w:tabs>
          <w:tab w:leader="none" w:pos="100" w:val="left"/>
        </w:tabs>
        <w:numPr>
          <w:ilvl w:val="0"/>
          <w:numId w:val="22"/>
        </w:numPr>
        <w:rPr>
          <w:rFonts w:ascii="Arial" w:cs="Arial" w:eastAsia="Arial" w:hAnsi="Arial"/>
          <w:sz w:val="13"/>
          <w:szCs w:val="13"/>
          <w:b w:val="1"/>
          <w:bCs w:val="1"/>
          <w:color w:val="008CD7"/>
        </w:rPr>
      </w:pPr>
      <w:r>
        <w:rPr>
          <w:rFonts w:ascii="Arial" w:cs="Arial" w:eastAsia="Arial" w:hAnsi="Arial"/>
          <w:sz w:val="13"/>
          <w:szCs w:val="13"/>
          <w:color w:val="00205B"/>
        </w:rPr>
        <w:t>N/A</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color w:val="0050AA"/>
        </w:rPr>
        <w:t>KEY EXPERIENCE &amp; QUALIFICATIONS</w:t>
      </w:r>
    </w:p>
    <w:p>
      <w:pPr>
        <w:spacing w:after="0" w:line="55" w:lineRule="exact"/>
        <w:rPr>
          <w:sz w:val="20"/>
          <w:szCs w:val="20"/>
          <w:color w:val="auto"/>
        </w:rPr>
      </w:pPr>
    </w:p>
    <w:p>
      <w:pPr>
        <w:ind w:left="100" w:hanging="81"/>
        <w:spacing w:after="0"/>
        <w:tabs>
          <w:tab w:leader="none" w:pos="100" w:val="left"/>
        </w:tabs>
        <w:numPr>
          <w:ilvl w:val="0"/>
          <w:numId w:val="23"/>
        </w:numPr>
        <w:rPr>
          <w:rFonts w:ascii="Arial" w:cs="Arial" w:eastAsia="Arial" w:hAnsi="Arial"/>
          <w:sz w:val="13"/>
          <w:szCs w:val="13"/>
          <w:b w:val="1"/>
          <w:bCs w:val="1"/>
          <w:color w:val="008CD7"/>
        </w:rPr>
      </w:pPr>
      <w:r>
        <w:rPr>
          <w:rFonts w:ascii="Arial" w:cs="Arial" w:eastAsia="Arial" w:hAnsi="Arial"/>
          <w:sz w:val="13"/>
          <w:szCs w:val="13"/>
          <w:color w:val="00205B"/>
        </w:rPr>
        <w:t>Health Care Industry Experience</w:t>
      </w:r>
    </w:p>
    <w:p>
      <w:pPr>
        <w:spacing w:after="0" w:line="53" w:lineRule="exact"/>
        <w:rPr>
          <w:rFonts w:ascii="Arial" w:cs="Arial" w:eastAsia="Arial" w:hAnsi="Arial"/>
          <w:sz w:val="13"/>
          <w:szCs w:val="13"/>
          <w:b w:val="1"/>
          <w:bCs w:val="1"/>
          <w:color w:val="008CD7"/>
        </w:rPr>
      </w:pPr>
    </w:p>
    <w:p>
      <w:pPr>
        <w:ind w:left="100" w:hanging="81"/>
        <w:spacing w:after="0"/>
        <w:tabs>
          <w:tab w:leader="none" w:pos="100" w:val="left"/>
        </w:tabs>
        <w:numPr>
          <w:ilvl w:val="0"/>
          <w:numId w:val="23"/>
        </w:numPr>
        <w:rPr>
          <w:rFonts w:ascii="Arial" w:cs="Arial" w:eastAsia="Arial" w:hAnsi="Arial"/>
          <w:sz w:val="13"/>
          <w:szCs w:val="13"/>
          <w:b w:val="1"/>
          <w:bCs w:val="1"/>
          <w:color w:val="008CD7"/>
        </w:rPr>
      </w:pPr>
      <w:r>
        <w:rPr>
          <w:rFonts w:ascii="Arial" w:cs="Arial" w:eastAsia="Arial" w:hAnsi="Arial"/>
          <w:sz w:val="13"/>
          <w:szCs w:val="13"/>
          <w:color w:val="00205B"/>
        </w:rPr>
        <w:t>Capital Markets Experience</w:t>
      </w:r>
    </w:p>
    <w:p>
      <w:pPr>
        <w:spacing w:after="0" w:line="51" w:lineRule="exact"/>
        <w:rPr>
          <w:rFonts w:ascii="Arial" w:cs="Arial" w:eastAsia="Arial" w:hAnsi="Arial"/>
          <w:sz w:val="13"/>
          <w:szCs w:val="13"/>
          <w:b w:val="1"/>
          <w:bCs w:val="1"/>
          <w:color w:val="008CD7"/>
        </w:rPr>
      </w:pPr>
    </w:p>
    <w:p>
      <w:pPr>
        <w:spacing w:after="0"/>
        <w:rPr>
          <w:rFonts w:ascii="Arial" w:cs="Arial" w:eastAsia="Arial" w:hAnsi="Arial"/>
          <w:sz w:val="13"/>
          <w:szCs w:val="13"/>
          <w:b w:val="1"/>
          <w:bCs w:val="1"/>
          <w:color w:val="008CD7"/>
        </w:rPr>
      </w:pPr>
      <w:r>
        <w:rPr>
          <w:rFonts w:ascii="Arial" w:cs="Arial" w:eastAsia="Arial" w:hAnsi="Arial"/>
          <w:sz w:val="13"/>
          <w:szCs w:val="13"/>
          <w:b w:val="1"/>
          <w:bCs w:val="1"/>
          <w:color w:val="0050AA"/>
        </w:rPr>
        <w:t>OTHER PUBLIC BOARDS</w:t>
      </w:r>
    </w:p>
    <w:p>
      <w:pPr>
        <w:spacing w:after="0" w:line="55" w:lineRule="exact"/>
        <w:rPr>
          <w:rFonts w:ascii="Arial" w:cs="Arial" w:eastAsia="Arial" w:hAnsi="Arial"/>
          <w:sz w:val="13"/>
          <w:szCs w:val="13"/>
          <w:b w:val="1"/>
          <w:bCs w:val="1"/>
          <w:color w:val="008CD7"/>
        </w:rPr>
      </w:pPr>
    </w:p>
    <w:p>
      <w:pPr>
        <w:ind w:left="100" w:hanging="81"/>
        <w:spacing w:after="0"/>
        <w:tabs>
          <w:tab w:leader="none" w:pos="100" w:val="left"/>
        </w:tabs>
        <w:numPr>
          <w:ilvl w:val="0"/>
          <w:numId w:val="23"/>
        </w:numPr>
        <w:rPr>
          <w:rFonts w:ascii="Arial" w:cs="Arial" w:eastAsia="Arial" w:hAnsi="Arial"/>
          <w:sz w:val="13"/>
          <w:szCs w:val="13"/>
          <w:b w:val="1"/>
          <w:bCs w:val="1"/>
          <w:color w:val="008CD7"/>
        </w:rPr>
      </w:pPr>
      <w:r>
        <w:rPr>
          <w:rFonts w:ascii="Arial" w:cs="Arial" w:eastAsia="Arial" w:hAnsi="Arial"/>
          <w:sz w:val="13"/>
          <w:szCs w:val="13"/>
          <w:color w:val="00205B"/>
        </w:rPr>
        <w:t>N/A</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Mr. Vorhoff has been a member of our Board since 2014. Mr. Vorhoff is a Managing Director, Investment Committee member and the Global Head of Global Healthcare at General Atlantic, an investment management firm, in New York City. Before joining General Atlantic in 2003, Mr. Vorhoff worked at Greenhill &amp; Co., an investment bank, first in the mergers &amp; acquisitions and restructuring advisory group, then in the private equity group, Greenhill Capital Partners. Mr. Vorhoff is currently a board member of several private health care companies, including Equality Health, Included Health, Marathon Health, NationsBenefits, Suvida Helathcare, Eventus Whole Health, Author Health, U.S. Urology, and Legent Health, as well as several other private companies and nonprofit organizations. Mr. Vorhoff previously was a member of the boards of Align Networks, Alternate Solutions Health Network, A Place for Mom, eviCore Healthcare, Landmark Health, Oak Street Health, WelbeHealth, OneOncology, MedExpress, and Stellar Health. Mr. Vorhoff received a B.S. in Commerce with a concentration in Finance from the McIntire School of Commerce at the University of Virginia. Mr. Vorhoff is a valuable member of our Board because of his private equity experience and his experience on other health care companies’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1270000</wp:posOffset>
            </wp:positionV>
            <wp:extent cx="7132320" cy="2571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953135</wp:posOffset>
            </wp:positionV>
            <wp:extent cx="7132320"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120" w:hanging="78"/>
        <w:spacing w:after="0"/>
        <w:tabs>
          <w:tab w:leader="none" w:pos="3120" w:val="left"/>
        </w:tabs>
        <w:numPr>
          <w:ilvl w:val="0"/>
          <w:numId w:val="24"/>
        </w:numPr>
        <w:rPr>
          <w:rFonts w:ascii="Arial" w:cs="Arial" w:eastAsia="Arial" w:hAnsi="Arial"/>
          <w:sz w:val="13"/>
          <w:szCs w:val="13"/>
          <w:b w:val="1"/>
          <w:bCs w:val="1"/>
          <w:color w:val="008CD7"/>
        </w:rPr>
      </w:pPr>
      <w:r>
        <w:rPr>
          <w:rFonts w:ascii="Arial" w:cs="Arial" w:eastAsia="Arial" w:hAnsi="Arial"/>
          <w:sz w:val="13"/>
          <w:szCs w:val="13"/>
          <w:color w:val="00205B"/>
        </w:rPr>
        <w:t>Compensation Committee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281940</wp:posOffset>
            </wp:positionV>
            <wp:extent cx="7132320" cy="128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2827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2500" w:space="80"/>
            <w:col w:w="8600"/>
          </w:cols>
          <w:pgMar w:left="34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type w:val="continuous"/>
        </w:sectPr>
      </w:pPr>
    </w:p>
    <w:bookmarkStart w:id="19" w:name="page20"/>
    <w:bookmarkEnd w:id="19"/>
    <w:p>
      <w:pPr>
        <w:spacing w:after="0" w:line="2"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00205B"/>
        </w:rPr>
        <w:t>Mark McClellan,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132320" cy="240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Director Since</w:t>
      </w:r>
      <w:r>
        <w:rPr>
          <w:rFonts w:ascii="Arial" w:cs="Arial" w:eastAsia="Arial" w:hAnsi="Arial"/>
          <w:sz w:val="14"/>
          <w:szCs w:val="14"/>
          <w:color w:val="0050AA"/>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-1210310</wp:posOffset>
            </wp:positionV>
            <wp:extent cx="1148715" cy="10801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Independent</w:t>
      </w:r>
      <w:r>
        <w:rPr>
          <w:rFonts w:ascii="Arial" w:cs="Arial" w:eastAsia="Arial" w:hAnsi="Arial"/>
          <w:sz w:val="14"/>
          <w:szCs w:val="14"/>
          <w:color w:val="0050AA"/>
        </w:rPr>
        <w:t>: Yes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Age</w:t>
      </w:r>
      <w:r>
        <w:rPr>
          <w:rFonts w:ascii="Arial" w:cs="Arial" w:eastAsia="Arial" w:hAnsi="Arial"/>
          <w:sz w:val="14"/>
          <w:szCs w:val="14"/>
          <w:color w:val="0050AA"/>
        </w:rPr>
        <w:t>: 62</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Class</w:t>
      </w:r>
      <w:r>
        <w:rPr>
          <w:rFonts w:ascii="Arial" w:cs="Arial" w:eastAsia="Arial" w:hAnsi="Arial"/>
          <w:sz w:val="14"/>
          <w:szCs w:val="14"/>
          <w:color w:val="0050AA"/>
        </w:rPr>
        <w:t>: I</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50AA"/>
        </w:rPr>
        <w:t>Term Expires</w:t>
      </w:r>
      <w:r>
        <w:rPr>
          <w:rFonts w:ascii="Arial" w:cs="Arial" w:eastAsia="Arial" w:hAnsi="Arial"/>
          <w:sz w:val="14"/>
          <w:szCs w:val="14"/>
          <w:color w:val="0050AA"/>
        </w:rPr>
        <w:t>: 2028</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Dr. McClellan has served as a member of our Board since 2014. Dr. McClellan became the inaugural Director of the Duke-Robert J. Margolis, MD, Center for Health Policy and the Margolis Professor of Business, Medicine and Policy at Duke University in January 2016. He is also a faculty member at Dell Medical School at The University of Texas in Austin. Previously, he served from 2007 to 2015 as a Senior Fellow in Economic Studies and as Director of the Initiatives on Value and Innovation in Health Care at the Brookings Institution. Dr. McClellan served as Administrator of the Centers for Medicare &amp; Medicaid Services (“CMS”) for the U.S. Department of Health and Human Services from 2004 to 2006 and as Commissioner of the U.S. Food and Drug Administration from 2002 to 2004. He served as a Member of the President’s Council of Economic Advisers and as Senior Director for Healthcare Policy at the White House from 2001 to 2002 and, during the Clinton administration, held the position of Deputy Assistant Secretary for Economic Policy for the Department of the Treasury. Dr. McClellan previously served as an Associate Professor of Economics and Medicine with tenure at Stanford University, where he also directed the Program on Health Outcomes Research. Dr. McClellan was the founding chair and currently serves as an advisor to the Reagan-Udall Foundation. He is also a member of the National Academy of Medicine, chairs the Academy’s Leadership Consortium: Collaboration for a Value and Science-Driven Learning Health System, and co-chairs the Guiding Committee of the Health Care Payment Learning and Action Network. He sits on the boards of directors of various nonprofit organizations including ResearchAmerica!, National Alliance for Hispanic Health, Institute for Accountable Care, PrognomIQ and United States of Care, as well as two public companies, Cigna Corporation and Johnson &amp; Johnson. Dr. McClellan received his Bachelor of Arts degree from the University of Texas, his Masters of Public Administration and Medical Doctorate from Harvard University and his Doctor of Philosophy in Economics from Massachusetts Institute of Technology. Dr. McClellan is a valuable member of our Board because of his extensive experience in public health policy, his academic experience and background as both a regulator and government advisor.</w:t>
      </w:r>
    </w:p>
    <w:p>
      <w:pPr>
        <w:spacing w:after="0" w:line="150" w:lineRule="exact"/>
        <w:rPr>
          <w:sz w:val="20"/>
          <w:szCs w:val="20"/>
          <w:color w:val="auto"/>
        </w:rPr>
      </w:pPr>
    </w:p>
    <w:p>
      <w:pPr>
        <w:sectPr>
          <w:pgSz w:w="11900" w:h="16838" w:orient="portrait"/>
          <w:cols w:equalWidth="0" w:num="2">
            <w:col w:w="1880" w:space="720"/>
            <w:col w:w="864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0050AA"/>
        </w:rPr>
        <w:t>COMMITTEE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NCGCC</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5620" w:type="dxa"/>
            <w:vAlign w:val="bottom"/>
          </w:tcPr>
          <w:p>
            <w:pPr>
              <w:ind w:left="20"/>
              <w:spacing w:after="0"/>
              <w:rPr>
                <w:sz w:val="20"/>
                <w:szCs w:val="20"/>
                <w:color w:val="auto"/>
              </w:rPr>
            </w:pPr>
            <w:r>
              <w:rPr>
                <w:rFonts w:ascii="Arial" w:cs="Arial" w:eastAsia="Arial" w:hAnsi="Arial"/>
                <w:sz w:val="13"/>
                <w:szCs w:val="13"/>
                <w:b w:val="1"/>
                <w:bCs w:val="1"/>
                <w:color w:val="0050AA"/>
              </w:rPr>
              <w:t>KEY EXPERIENCE &amp; QUALIFICATIONS</w:t>
            </w:r>
          </w:p>
        </w:tc>
        <w:tc>
          <w:tcPr>
            <w:tcW w:w="5620" w:type="dxa"/>
            <w:vAlign w:val="bottom"/>
          </w:tcPr>
          <w:p>
            <w:pPr>
              <w:spacing w:after="0"/>
              <w:rPr>
                <w:sz w:val="16"/>
                <w:szCs w:val="16"/>
                <w:color w:val="auto"/>
              </w:rPr>
            </w:pPr>
          </w:p>
        </w:tc>
      </w:tr>
      <w:tr>
        <w:trPr>
          <w:trHeight w:val="200"/>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Health Care Industry Experience</w:t>
            </w:r>
          </w:p>
        </w:tc>
        <w:tc>
          <w:tcPr>
            <w:tcW w:w="56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Clinical Practice</w:t>
            </w:r>
          </w:p>
        </w:tc>
      </w:tr>
      <w:tr>
        <w:trPr>
          <w:trHeight w:val="206"/>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Regulatory / Public Policy Experience</w:t>
            </w:r>
          </w:p>
        </w:tc>
        <w:tc>
          <w:tcPr>
            <w:tcW w:w="5620" w:type="dxa"/>
            <w:vAlign w:val="bottom"/>
            <w:shd w:val="clear" w:color="auto" w:fill="DBE5F1"/>
          </w:tcPr>
          <w:p>
            <w:pPr>
              <w:spacing w:after="0"/>
              <w:rPr>
                <w:sz w:val="17"/>
                <w:szCs w:val="17"/>
                <w:color w:val="auto"/>
              </w:rPr>
            </w:pPr>
          </w:p>
        </w:tc>
      </w:tr>
      <w:tr>
        <w:trPr>
          <w:trHeight w:val="201"/>
        </w:trPr>
        <w:tc>
          <w:tcPr>
            <w:tcW w:w="5620" w:type="dxa"/>
            <w:vAlign w:val="bottom"/>
          </w:tcPr>
          <w:p>
            <w:pPr>
              <w:ind w:left="20"/>
              <w:spacing w:after="0"/>
              <w:rPr>
                <w:sz w:val="20"/>
                <w:szCs w:val="20"/>
                <w:color w:val="auto"/>
              </w:rPr>
            </w:pPr>
            <w:r>
              <w:rPr>
                <w:rFonts w:ascii="Arial" w:cs="Arial" w:eastAsia="Arial" w:hAnsi="Arial"/>
                <w:sz w:val="13"/>
                <w:szCs w:val="13"/>
                <w:b w:val="1"/>
                <w:bCs w:val="1"/>
                <w:color w:val="0050AA"/>
              </w:rPr>
              <w:t>OTHER PUBLIC BOARDS</w:t>
            </w:r>
          </w:p>
        </w:tc>
        <w:tc>
          <w:tcPr>
            <w:tcW w:w="5620" w:type="dxa"/>
            <w:vAlign w:val="bottom"/>
          </w:tcPr>
          <w:p>
            <w:pPr>
              <w:spacing w:after="0"/>
              <w:rPr>
                <w:sz w:val="17"/>
                <w:szCs w:val="17"/>
                <w:color w:val="auto"/>
              </w:rPr>
            </w:pPr>
          </w:p>
        </w:tc>
      </w:tr>
      <w:tr>
        <w:trPr>
          <w:trHeight w:val="204"/>
        </w:trPr>
        <w:tc>
          <w:tcPr>
            <w:tcW w:w="5620" w:type="dxa"/>
            <w:vAlign w:val="bottom"/>
            <w:tcBorders>
              <w:left w:val="single" w:sz="8" w:color="008CD7"/>
            </w:tcBorders>
            <w:shd w:val="clear" w:color="auto" w:fill="DBE5F1"/>
          </w:tcPr>
          <w:p>
            <w:pPr>
              <w:ind w:left="4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Cigna Corporation</w:t>
            </w:r>
          </w:p>
        </w:tc>
        <w:tc>
          <w:tcPr>
            <w:tcW w:w="5620" w:type="dxa"/>
            <w:vAlign w:val="bottom"/>
            <w:shd w:val="clear" w:color="auto" w:fill="DBE5F1"/>
          </w:tcPr>
          <w:p>
            <w:pPr>
              <w:ind w:left="20"/>
              <w:spacing w:after="0"/>
              <w:rPr>
                <w:sz w:val="20"/>
                <w:szCs w:val="20"/>
                <w:color w:val="auto"/>
              </w:rPr>
            </w:pPr>
            <w:r>
              <w:rPr>
                <w:rFonts w:ascii="Arial" w:cs="Arial" w:eastAsia="Arial" w:hAnsi="Arial"/>
                <w:sz w:val="13"/>
                <w:szCs w:val="13"/>
                <w:b w:val="1"/>
                <w:bCs w:val="1"/>
                <w:color w:val="008CD7"/>
              </w:rPr>
              <w:t xml:space="preserve">• </w:t>
            </w:r>
            <w:r>
              <w:rPr>
                <w:rFonts w:ascii="Arial" w:cs="Arial" w:eastAsia="Arial" w:hAnsi="Arial"/>
                <w:sz w:val="13"/>
                <w:szCs w:val="13"/>
                <w:color w:val="00205B"/>
              </w:rPr>
              <w:t>Johnson &amp; Johnson</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Nomination Criteria and Director Experience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Identifying Nominees for Directors</w:t>
      </w:r>
    </w:p>
    <w:p>
      <w:pPr>
        <w:spacing w:after="0" w:line="223"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The Board has delegated an established screening process for director nominees to the NCGCC, with counsel from our Chairman, our Lead Independent Director, our Chief Executive Officer, and outside consultants as appropriate. The goal of the screening process is to assemble a group of potential board members with deep, varied experience, sound judgment, and commitment to the Company’s success.</w:t>
      </w:r>
    </w:p>
    <w:p>
      <w:pPr>
        <w:spacing w:after="0" w:line="17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NCGCC regularly assesses the appropriate size of the Board, the areas of expertise required to effectively contribute to the Board process, and whether any vacancies are anticipated. It also annually assesses the director qualification criteria to ensure the Board has appropriate skill composition consistent with the Company’s long-term business, operations goals, growth strategy and risks. This includes (i) qualifications or characteristics that are expected and befitting of all directors and (ii) specific skills, experience or qualifications that should be represented collectively on our Board.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result of its analysis, the NCGCC may recommend to the Board a need for an additional director, Board refreshment for certain requisite skills and qualifications, and/or the replacement of an existing director for other credible reasons. The self-identification process may also incorporate responses, as appropriate, from the Board’s annual individual self-evaluations. Such evaluations require each director to honestly reflect upon and recount their personal contributions to the Board in the prior year and to provide feedback regarding their performance, the overall Board performance and the performance of certain other key Board positions. See “</w:t>
      </w:r>
      <w:r>
        <w:rPr>
          <w:rFonts w:ascii="Arial" w:cs="Arial" w:eastAsia="Arial" w:hAnsi="Arial"/>
          <w:sz w:val="18"/>
          <w:szCs w:val="18"/>
          <w:i w:val="1"/>
          <w:iCs w:val="1"/>
          <w:color w:val="auto"/>
        </w:rPr>
        <w:t>Corporate Governance—Board Evaluation</w:t>
      </w:r>
      <w:r>
        <w:rPr>
          <w:rFonts w:ascii="Arial" w:cs="Arial" w:eastAsia="Arial" w:hAnsi="Arial"/>
          <w:sz w:val="18"/>
          <w:szCs w:val="18"/>
          <w:color w:val="auto"/>
        </w:rPr>
        <w:t xml:space="preserve"> </w:t>
      </w:r>
      <w:r>
        <w:rPr>
          <w:rFonts w:ascii="Arial" w:cs="Arial" w:eastAsia="Arial" w:hAnsi="Arial"/>
          <w:sz w:val="18"/>
          <w:szCs w:val="18"/>
          <w:i w:val="1"/>
          <w:iCs w:val="1"/>
          <w:color w:val="auto"/>
        </w:rPr>
        <w:t>Practices</w:t>
      </w:r>
      <w:r>
        <w:rPr>
          <w:rFonts w:ascii="Arial" w:cs="Arial" w:eastAsia="Arial" w:hAnsi="Arial"/>
          <w:sz w:val="18"/>
          <w:szCs w:val="18"/>
          <w:color w:val="auto"/>
        </w:rPr>
        <w:t>.”</w:t>
      </w:r>
    </w:p>
    <w:p>
      <w:pPr>
        <w:spacing w:after="0" w:line="182" w:lineRule="exact"/>
        <w:rPr>
          <w:sz w:val="20"/>
          <w:szCs w:val="20"/>
          <w:color w:val="auto"/>
        </w:rPr>
      </w:pPr>
    </w:p>
    <w:p>
      <w:pPr>
        <w:ind w:right="140" w:firstLine="405"/>
        <w:spacing w:after="0" w:line="254" w:lineRule="auto"/>
        <w:rPr>
          <w:sz w:val="20"/>
          <w:szCs w:val="20"/>
          <w:color w:val="auto"/>
        </w:rPr>
      </w:pPr>
      <w:r>
        <w:rPr>
          <w:rFonts w:ascii="Arial" w:cs="Arial" w:eastAsia="Arial" w:hAnsi="Arial"/>
          <w:sz w:val="18"/>
          <w:szCs w:val="18"/>
          <w:color w:val="auto"/>
        </w:rPr>
        <w:t>The NCGCC will consider qualified candidates for director nominees suggested by the Company’s stockholders. Stockholders can suggest qualified candidates for director nominees by writing to the Chief Legal &amp; Administrative Officer of the Company at 1100 W. Town &amp; Country Rd., Suite 1600, Orange, CA 92868. Submissions should include the information about the director candidate and the stockholder making the submission that would otherwise be required by Article II, Section 11(b) of our Bylaws if the stockholder was nominating the individual for election to our Board. Submissions received that include such information, and provided that the recommended candidate meets the criteria described above, are forwarded to the NCGCC for further review and consideration. The committee may also request additional information concerning the director candidate that it deems reasonably required to determine the eligibility and qualification of the director candidate to serve on our Board. Stockholders suggesting director candidates for consideration by our Board in connection with the 2027 annual meeting of stockholders should provide their submission pursuant to the deadlines described above under “</w:t>
      </w:r>
      <w:r>
        <w:rPr>
          <w:rFonts w:ascii="Arial" w:cs="Arial" w:eastAsia="Arial" w:hAnsi="Arial"/>
          <w:sz w:val="18"/>
          <w:szCs w:val="18"/>
          <w:i w:val="1"/>
          <w:iCs w:val="1"/>
          <w:color w:val="auto"/>
        </w:rPr>
        <w:t>Commonly Asked</w:t>
      </w:r>
      <w:r>
        <w:rPr>
          <w:rFonts w:ascii="Arial" w:cs="Arial" w:eastAsia="Arial" w:hAnsi="Arial"/>
          <w:sz w:val="18"/>
          <w:szCs w:val="18"/>
          <w:color w:val="auto"/>
        </w:rPr>
        <w:t xml:space="preserve"> </w:t>
      </w:r>
      <w:r>
        <w:rPr>
          <w:rFonts w:ascii="Arial" w:cs="Arial" w:eastAsia="Arial" w:hAnsi="Arial"/>
          <w:sz w:val="18"/>
          <w:szCs w:val="18"/>
          <w:i w:val="1"/>
          <w:iCs w:val="1"/>
          <w:color w:val="auto"/>
        </w:rPr>
        <w:t>Questions and Answers About the Annual Meeting</w:t>
      </w:r>
      <w:r>
        <w:rPr>
          <w:rFonts w:ascii="Arial" w:cs="Arial" w:eastAsia="Arial" w:hAnsi="Arial"/>
          <w:sz w:val="18"/>
          <w:szCs w:val="18"/>
          <w:color w:val="auto"/>
        </w:rPr>
        <w:t>.” The NCGCC does not intend to evaluate candidates proposed by stockholders any</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differently from other candidates.</w:t>
      </w:r>
    </w:p>
    <w:p>
      <w:pPr>
        <w:spacing w:after="0" w:line="18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As part of the process of identifying appropriate director candidates, the NCGCC formally reviews each director’s continuation on the Board every three years. As part of its formal review of directors, the NCGCC considers all factors which it deems appropriate, including director performance, any other directorships held by the director, whether the director undertook continuing director education, the evolving needs and composition priorities of the Board and any other criteria approved by the Board. The results of these evaluations inform the NCGCC’s recommendations to the Board regarding renomination and Board refreshment.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Director Skills and Qualifications</w:t>
      </w:r>
    </w:p>
    <w:p>
      <w:pPr>
        <w:spacing w:after="0" w:line="22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NCGCC has identified qualifications, attributes, skills and experience that are important to be represented on the Board as a whole, in light of the Company’s current needs and business priorities. The NCGCC recognizes that our Board should represent a diverse group of experience, skills and other qualities, and as a collective group should have expertise in certain substantive areas including: corporate governance, finance/capital markets, board of directors experience, health care industry experience, clinical practice, CEO or other C-suite experience with significant business acumen, direct to consumer marketing, diversity, experience with complex organizations, technology/business processes, government relations, public policy and/or regulatory knowledge and other skills and expertise that are likely to enhance the Board’s ability to manage and direct the affairs and business of the Company. Certain directors or director nominees may possess expertise in the designated areas, however a director or director nominee need not individually possess the experience, skill or other requisite qualification in all areas. Among other key areas, the NCGCC seeks directors with the following types of experience:</w:t>
      </w:r>
    </w:p>
    <w:p>
      <w:pPr>
        <w:spacing w:after="0" w:line="181" w:lineRule="exact"/>
        <w:rPr>
          <w:sz w:val="20"/>
          <w:szCs w:val="20"/>
          <w:color w:val="auto"/>
        </w:rPr>
      </w:pPr>
    </w:p>
    <w:p>
      <w:pPr>
        <w:ind w:left="1300" w:right="120" w:hanging="644"/>
        <w:spacing w:after="0" w:line="262" w:lineRule="auto"/>
        <w:tabs>
          <w:tab w:leader="none" w:pos="1282"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 experience</w:t>
      </w:r>
      <w:r>
        <w:rPr>
          <w:rFonts w:ascii="Arial" w:cs="Arial" w:eastAsia="Arial" w:hAnsi="Arial"/>
          <w:sz w:val="18"/>
          <w:szCs w:val="18"/>
          <w:color w:val="auto"/>
        </w:rPr>
        <w:t>. We believe that directors who have held significant leadership positions over an extended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Company with unique insights. We believe such people have the ability to identify and develop leadership qualities in others. They demonstrate a practical understanding of organizations, processes, strategy and risk management, and they know how to drive change and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3" w:lineRule="exact"/>
        <w:rPr>
          <w:sz w:val="20"/>
          <w:szCs w:val="20"/>
          <w:color w:val="auto"/>
        </w:rPr>
      </w:pPr>
    </w:p>
    <w:p>
      <w:pPr>
        <w:ind w:left="1300" w:right="100" w:hanging="644"/>
        <w:spacing w:after="0" w:line="262" w:lineRule="auto"/>
        <w:tabs>
          <w:tab w:leader="none" w:pos="1282"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and business process experience</w:t>
      </w:r>
      <w:r>
        <w:rPr>
          <w:rFonts w:ascii="Arial" w:cs="Arial" w:eastAsia="Arial" w:hAnsi="Arial"/>
          <w:sz w:val="18"/>
          <w:szCs w:val="18"/>
          <w:color w:val="auto"/>
        </w:rPr>
        <w:t>. We seek directors with backgrounds in technology because our success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depends on developing our data-driven approach to care and introducing it into new markets. We also value expertise in business processes as we continue to build into new markets and scale our operations, as well as expertise in data privacy and cybersecurity matters which represent important elements of our risk management strategy.</w:t>
      </w:r>
    </w:p>
    <w:p>
      <w:pPr>
        <w:spacing w:after="0" w:line="176" w:lineRule="exact"/>
        <w:rPr>
          <w:rFonts w:ascii="Arial" w:cs="Arial" w:eastAsia="Arial" w:hAnsi="Arial"/>
          <w:sz w:val="18"/>
          <w:szCs w:val="18"/>
          <w:color w:val="auto"/>
        </w:rPr>
      </w:pPr>
    </w:p>
    <w:p>
      <w:pPr>
        <w:ind w:left="1300" w:right="60" w:hanging="644"/>
        <w:spacing w:after="0" w:line="259" w:lineRule="auto"/>
        <w:tabs>
          <w:tab w:leader="none" w:pos="1282"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experience</w:t>
      </w:r>
      <w:r>
        <w:rPr>
          <w:rFonts w:ascii="Arial" w:cs="Arial" w:eastAsia="Arial" w:hAnsi="Arial"/>
          <w:sz w:val="18"/>
          <w:szCs w:val="18"/>
          <w:color w:val="auto"/>
        </w:rPr>
        <w:t>. We believe that an understanding of finance and financial reporting processes is important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as we measure our operating performance by reference to certain financial goals, including non-GAAP measures. Accurate financial reporting and robust auditing are critical to our success. We seek to have a number of directors who qualify as audit committee financial experts and we expect that all of our directors will be financially knowledgeable. As part of this qualification, we also seek directors who have relevant risk management experience.</w:t>
      </w:r>
    </w:p>
    <w:p>
      <w:pPr>
        <w:spacing w:after="0" w:line="179" w:lineRule="exact"/>
        <w:rPr>
          <w:rFonts w:ascii="Arial" w:cs="Arial" w:eastAsia="Arial" w:hAnsi="Arial"/>
          <w:sz w:val="18"/>
          <w:szCs w:val="18"/>
          <w:color w:val="auto"/>
        </w:rPr>
      </w:pPr>
    </w:p>
    <w:p>
      <w:pPr>
        <w:ind w:left="1300" w:right="40" w:hanging="644"/>
        <w:spacing w:after="0" w:line="268" w:lineRule="auto"/>
        <w:tabs>
          <w:tab w:leader="none" w:pos="1282"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Industry experience</w:t>
      </w:r>
      <w:r>
        <w:rPr>
          <w:rFonts w:ascii="Arial" w:cs="Arial" w:eastAsia="Arial" w:hAnsi="Arial"/>
          <w:sz w:val="18"/>
          <w:szCs w:val="18"/>
          <w:color w:val="auto"/>
        </w:rPr>
        <w:t>. We seek to have directors with experience as executives or directors or in other leadership 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Medicare Advantage space. We believe that this experience will help us effectively enhance our product offerings and successfully enter new markets.</w:t>
      </w:r>
    </w:p>
    <w:p>
      <w:pPr>
        <w:spacing w:after="0" w:line="170" w:lineRule="exact"/>
        <w:rPr>
          <w:rFonts w:ascii="Arial" w:cs="Arial" w:eastAsia="Arial" w:hAnsi="Arial"/>
          <w:sz w:val="18"/>
          <w:szCs w:val="18"/>
          <w:color w:val="auto"/>
        </w:rPr>
      </w:pPr>
    </w:p>
    <w:p>
      <w:pPr>
        <w:ind w:left="1300" w:right="80" w:hanging="644"/>
        <w:spacing w:after="0" w:line="287" w:lineRule="auto"/>
        <w:tabs>
          <w:tab w:leader="none" w:pos="1282"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experience</w:t>
      </w:r>
      <w:r>
        <w:rPr>
          <w:rFonts w:ascii="Arial" w:cs="Arial" w:eastAsia="Arial" w:hAnsi="Arial"/>
          <w:sz w:val="18"/>
          <w:szCs w:val="18"/>
          <w:color w:val="auto"/>
        </w:rPr>
        <w:t>. Because we operate in a heavily regulated industry, we seek directors with significant government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experience.</w:t>
      </w:r>
    </w:p>
    <w:p>
      <w:pPr>
        <w:spacing w:after="0" w:line="152" w:lineRule="exact"/>
        <w:rPr>
          <w:rFonts w:ascii="Arial" w:cs="Arial" w:eastAsia="Arial" w:hAnsi="Arial"/>
          <w:sz w:val="18"/>
          <w:szCs w:val="18"/>
          <w:color w:val="auto"/>
        </w:rPr>
      </w:pPr>
    </w:p>
    <w:p>
      <w:pPr>
        <w:ind w:left="1300" w:right="280" w:hanging="644"/>
        <w:spacing w:after="0" w:line="287" w:lineRule="auto"/>
        <w:tabs>
          <w:tab w:leader="none" w:pos="1282"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experience</w:t>
      </w:r>
      <w:r>
        <w:rPr>
          <w:rFonts w:ascii="Arial" w:cs="Arial" w:eastAsia="Arial" w:hAnsi="Arial"/>
          <w:sz w:val="18"/>
          <w:szCs w:val="18"/>
          <w:color w:val="auto"/>
        </w:rPr>
        <w:t>. As a consumer-facing business that is seeking to grow organically through new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 new markets, having directors with significant marketing experience is important to us.</w:t>
      </w:r>
    </w:p>
    <w:p>
      <w:pPr>
        <w:spacing w:after="0" w:line="153"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Additionally, director nominees must possess high integrity and ethical standards; standing and reputation in the individual’s field; risk oversight ability with respect to the particular skills of the individual director; understanding of and experience with complex public companies or like organizations; and ability to work collegially and collaboratively with other directors and management. The NCGCC charter requires that candidates are to be selected for, among other things, their independence, diversity of experience, demonstrated leadership and the ability to exercise sound judgment.</w:t>
      </w:r>
    </w:p>
    <w:p>
      <w:pPr>
        <w:spacing w:after="0" w:line="1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NCGCC developed and maintains a skills matrix to assist in considering the appropriate balance of experience, skills and attributes required of a director and to be represented on the Board as a whole. The skills matrix is consistent with the Company's long-term strategic plan and is regularly reviewed and updated by the NCGCC. The NCGCC evaluates Board candidates against the skills matrix on an annual basis to determine whether to recommend candidates for initial election to the Board and whether to recommend currently serving directors for reelection to the Board. The NCGCC has determined that our Board collectively satisfies all of the above criteria, complementing each other’s skills, background and perspectives to create a collection of diverse, knowledgeable and experienced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2" w:name="page23"/>
    <w:bookmarkEnd w:id="22"/>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chart represents the skills matrix as currently constituted by the NCGCC: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93345</wp:posOffset>
            </wp:positionV>
            <wp:extent cx="4937760" cy="43630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37760" cy="4363085"/>
                    </a:xfrm>
                    <a:prstGeom prst="rect">
                      <a:avLst/>
                    </a:prstGeom>
                    <a:noFill/>
                  </pic:spPr>
                </pic:pic>
              </a:graphicData>
            </a:graphic>
          </wp:anchor>
        </w:drawing>
      </w:r>
    </w:p>
    <w:p>
      <w:pPr>
        <w:sectPr>
          <w:pgSz w:w="11900" w:h="16838" w:orient="portrait"/>
          <w:cols w:equalWidth="0" w:num="1">
            <w:col w:w="9719"/>
          </w:cols>
          <w:pgMar w:left="7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80645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19"/>
          </w:cols>
          <w:pgMar w:left="740" w:top="1440" w:right="1440"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and Corporate Governance Highlights</w:t>
      </w:r>
    </w:p>
    <w:p>
      <w:pPr>
        <w:spacing w:after="0" w:line="185" w:lineRule="exact"/>
        <w:rPr>
          <w:sz w:val="20"/>
          <w:szCs w:val="20"/>
          <w:color w:val="auto"/>
        </w:rPr>
      </w:pPr>
    </w:p>
    <w:p>
      <w:pPr>
        <w:ind w:firstLine="401"/>
        <w:spacing w:after="0" w:line="268" w:lineRule="auto"/>
        <w:rPr>
          <w:sz w:val="20"/>
          <w:szCs w:val="20"/>
          <w:color w:val="auto"/>
        </w:rPr>
      </w:pPr>
      <w:r>
        <w:rPr>
          <w:rFonts w:ascii="Arial" w:cs="Arial" w:eastAsia="Arial" w:hAnsi="Arial"/>
          <w:sz w:val="18"/>
          <w:szCs w:val="18"/>
          <w:color w:val="auto"/>
        </w:rPr>
        <w:t>We are committed to governance practices that promote the long-term interests of our stockholders, strengthen Board and management accountability and continue to build trust in our Company. Our governance framework is described throughout this proxy statement and includes the following highlights: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60" w:type="dxa"/>
            <w:vAlign w:val="bottom"/>
            <w:tcBorders>
              <w:top w:val="single" w:sz="8" w:color="auto"/>
            </w:tcBorders>
            <w:shd w:val="clear" w:color="auto" w:fill="DBE5F1"/>
          </w:tcPr>
          <w:p>
            <w:pPr>
              <w:ind w:left="80"/>
              <w:spacing w:after="0"/>
              <w:rPr>
                <w:sz w:val="20"/>
                <w:szCs w:val="20"/>
                <w:color w:val="auto"/>
              </w:rPr>
            </w:pPr>
            <w:r>
              <w:rPr>
                <w:rFonts w:ascii="Arial" w:cs="Arial" w:eastAsia="Arial" w:hAnsi="Arial"/>
                <w:sz w:val="16"/>
                <w:szCs w:val="16"/>
                <w:b w:val="1"/>
                <w:bCs w:val="1"/>
                <w:i w:val="1"/>
                <w:iCs w:val="1"/>
                <w:color w:val="auto"/>
              </w:rPr>
              <w:t>Board Structure &amp; Composition</w:t>
            </w:r>
          </w:p>
        </w:tc>
        <w:tc>
          <w:tcPr>
            <w:tcW w:w="320" w:type="dxa"/>
            <w:vAlign w:val="bottom"/>
            <w:tcBorders>
              <w:top w:val="single" w:sz="8" w:color="auto"/>
            </w:tcBorders>
            <w:shd w:val="clear" w:color="auto" w:fill="DBE5F1"/>
          </w:tcPr>
          <w:p>
            <w:pPr>
              <w:spacing w:after="0"/>
              <w:rPr>
                <w:sz w:val="20"/>
                <w:szCs w:val="20"/>
                <w:color w:val="auto"/>
              </w:rPr>
            </w:pPr>
          </w:p>
        </w:tc>
        <w:tc>
          <w:tcPr>
            <w:tcW w:w="3180" w:type="dxa"/>
            <w:vAlign w:val="bottom"/>
            <w:tcBorders>
              <w:top w:val="single" w:sz="8" w:color="auto"/>
            </w:tcBorders>
            <w:shd w:val="clear" w:color="auto" w:fill="DBE5F1"/>
          </w:tcPr>
          <w:p>
            <w:pPr>
              <w:spacing w:after="0"/>
              <w:rPr>
                <w:sz w:val="20"/>
                <w:szCs w:val="20"/>
                <w:color w:val="auto"/>
              </w:rPr>
            </w:pPr>
          </w:p>
        </w:tc>
        <w:tc>
          <w:tcPr>
            <w:tcW w:w="368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960" w:type="dxa"/>
            <w:vAlign w:val="bottom"/>
            <w:shd w:val="clear" w:color="auto" w:fill="DBE5F1"/>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7 of 9 Directors, and all Board Committee</w:t>
            </w:r>
          </w:p>
        </w:tc>
        <w:tc>
          <w:tcPr>
            <w:tcW w:w="320" w:type="dxa"/>
            <w:vAlign w:val="bottom"/>
            <w:shd w:val="clear" w:color="auto" w:fill="DBE5F1"/>
          </w:tcPr>
          <w:p>
            <w:pPr>
              <w:ind w:left="140"/>
              <w:spacing w:after="0"/>
              <w:rPr>
                <w:sz w:val="20"/>
                <w:szCs w:val="20"/>
                <w:color w:val="auto"/>
              </w:rPr>
            </w:pPr>
            <w:r>
              <w:rPr>
                <w:rFonts w:ascii="Arial" w:cs="Arial" w:eastAsia="Arial" w:hAnsi="Arial"/>
                <w:sz w:val="18"/>
                <w:szCs w:val="18"/>
                <w:color w:val="auto"/>
              </w:rPr>
              <w:t>•</w:t>
            </w:r>
          </w:p>
        </w:tc>
        <w:tc>
          <w:tcPr>
            <w:tcW w:w="3180" w:type="dxa"/>
            <w:vAlign w:val="bottom"/>
            <w:shd w:val="clear" w:color="auto" w:fill="DBE5F1"/>
          </w:tcPr>
          <w:p>
            <w:pPr>
              <w:ind w:left="120"/>
              <w:spacing w:after="0"/>
              <w:rPr>
                <w:sz w:val="20"/>
                <w:szCs w:val="20"/>
                <w:color w:val="auto"/>
              </w:rPr>
            </w:pPr>
            <w:r>
              <w:rPr>
                <w:rFonts w:ascii="Arial" w:cs="Arial" w:eastAsia="Arial" w:hAnsi="Arial"/>
                <w:sz w:val="16"/>
                <w:szCs w:val="16"/>
                <w:color w:val="auto"/>
              </w:rPr>
              <w:t>Lead Independent Director empowered</w:t>
            </w:r>
          </w:p>
        </w:tc>
        <w:tc>
          <w:tcPr>
            <w:tcW w:w="3680" w:type="dxa"/>
            <w:vAlign w:val="bottom"/>
            <w:shd w:val="clear" w:color="auto" w:fill="DBE5F1"/>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Annual assessment and determination of</w:t>
            </w:r>
          </w:p>
        </w:tc>
        <w:tc>
          <w:tcPr>
            <w:tcW w:w="0" w:type="dxa"/>
            <w:vAlign w:val="bottom"/>
          </w:tcPr>
          <w:p>
            <w:pPr>
              <w:spacing w:after="0"/>
              <w:rPr>
                <w:sz w:val="1"/>
                <w:szCs w:val="1"/>
                <w:color w:val="auto"/>
              </w:rPr>
            </w:pPr>
          </w:p>
        </w:tc>
      </w:tr>
      <w:tr>
        <w:trPr>
          <w:trHeight w:val="203"/>
        </w:trPr>
        <w:tc>
          <w:tcPr>
            <w:tcW w:w="3960" w:type="dxa"/>
            <w:vAlign w:val="bottom"/>
            <w:shd w:val="clear" w:color="auto" w:fill="DBE5F1"/>
          </w:tcPr>
          <w:p>
            <w:pPr>
              <w:ind w:left="540"/>
              <w:spacing w:after="0"/>
              <w:rPr>
                <w:sz w:val="20"/>
                <w:szCs w:val="20"/>
                <w:color w:val="auto"/>
              </w:rPr>
            </w:pPr>
            <w:r>
              <w:rPr>
                <w:rFonts w:ascii="Arial" w:cs="Arial" w:eastAsia="Arial" w:hAnsi="Arial"/>
                <w:sz w:val="16"/>
                <w:szCs w:val="16"/>
                <w:color w:val="auto"/>
              </w:rPr>
              <w:t>members, are independent</w:t>
            </w:r>
          </w:p>
        </w:tc>
        <w:tc>
          <w:tcPr>
            <w:tcW w:w="320" w:type="dxa"/>
            <w:vAlign w:val="bottom"/>
            <w:shd w:val="clear" w:color="auto" w:fill="DBE5F1"/>
          </w:tcPr>
          <w:p>
            <w:pPr>
              <w:spacing w:after="0"/>
              <w:rPr>
                <w:sz w:val="17"/>
                <w:szCs w:val="17"/>
                <w:color w:val="auto"/>
              </w:rPr>
            </w:pPr>
          </w:p>
        </w:tc>
        <w:tc>
          <w:tcPr>
            <w:tcW w:w="3180" w:type="dxa"/>
            <w:vAlign w:val="bottom"/>
            <w:shd w:val="clear" w:color="auto" w:fill="DBE5F1"/>
          </w:tcPr>
          <w:p>
            <w:pPr>
              <w:ind w:left="140"/>
              <w:spacing w:after="0"/>
              <w:rPr>
                <w:sz w:val="20"/>
                <w:szCs w:val="20"/>
                <w:color w:val="auto"/>
              </w:rPr>
            </w:pPr>
            <w:r>
              <w:rPr>
                <w:rFonts w:ascii="Arial" w:cs="Arial" w:eastAsia="Arial" w:hAnsi="Arial"/>
                <w:sz w:val="16"/>
                <w:szCs w:val="16"/>
                <w:color w:val="auto"/>
              </w:rPr>
              <w:t>with agenda-setting authority and active</w:t>
            </w:r>
          </w:p>
        </w:tc>
        <w:tc>
          <w:tcPr>
            <w:tcW w:w="3680" w:type="dxa"/>
            <w:vAlign w:val="bottom"/>
            <w:shd w:val="clear" w:color="auto" w:fill="DBE5F1"/>
          </w:tcPr>
          <w:p>
            <w:pPr>
              <w:ind w:left="440"/>
              <w:spacing w:after="0"/>
              <w:rPr>
                <w:sz w:val="20"/>
                <w:szCs w:val="20"/>
                <w:color w:val="auto"/>
              </w:rPr>
            </w:pPr>
            <w:r>
              <w:rPr>
                <w:rFonts w:ascii="Arial" w:cs="Arial" w:eastAsia="Arial" w:hAnsi="Arial"/>
                <w:sz w:val="16"/>
                <w:szCs w:val="16"/>
                <w:color w:val="auto"/>
              </w:rPr>
              <w:t>optimal Board leadership structure</w:t>
            </w:r>
          </w:p>
        </w:tc>
        <w:tc>
          <w:tcPr>
            <w:tcW w:w="0" w:type="dxa"/>
            <w:vAlign w:val="bottom"/>
          </w:tcPr>
          <w:p>
            <w:pPr>
              <w:spacing w:after="0"/>
              <w:rPr>
                <w:sz w:val="1"/>
                <w:szCs w:val="1"/>
                <w:color w:val="auto"/>
              </w:rPr>
            </w:pPr>
          </w:p>
        </w:tc>
      </w:tr>
      <w:tr>
        <w:trPr>
          <w:trHeight w:val="189"/>
        </w:trPr>
        <w:tc>
          <w:tcPr>
            <w:tcW w:w="3960" w:type="dxa"/>
            <w:vAlign w:val="bottom"/>
            <w:vMerge w:val="restart"/>
            <w:shd w:val="clear" w:color="auto" w:fill="DBE5F1"/>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Board composed of a mix of long-tenured and</w:t>
            </w:r>
          </w:p>
        </w:tc>
        <w:tc>
          <w:tcPr>
            <w:tcW w:w="320" w:type="dxa"/>
            <w:vAlign w:val="bottom"/>
            <w:shd w:val="clear" w:color="auto" w:fill="DBE5F1"/>
          </w:tcPr>
          <w:p>
            <w:pPr>
              <w:spacing w:after="0"/>
              <w:rPr>
                <w:sz w:val="16"/>
                <w:szCs w:val="16"/>
                <w:color w:val="auto"/>
              </w:rPr>
            </w:pPr>
          </w:p>
        </w:tc>
        <w:tc>
          <w:tcPr>
            <w:tcW w:w="3180" w:type="dxa"/>
            <w:vAlign w:val="bottom"/>
            <w:shd w:val="clear" w:color="auto" w:fill="DBE5F1"/>
          </w:tcPr>
          <w:p>
            <w:pPr>
              <w:ind w:left="140"/>
              <w:spacing w:after="0"/>
              <w:rPr>
                <w:sz w:val="20"/>
                <w:szCs w:val="20"/>
                <w:color w:val="auto"/>
              </w:rPr>
            </w:pPr>
            <w:r>
              <w:rPr>
                <w:rFonts w:ascii="Arial" w:cs="Arial" w:eastAsia="Arial" w:hAnsi="Arial"/>
                <w:sz w:val="16"/>
                <w:szCs w:val="16"/>
                <w:color w:val="auto"/>
              </w:rPr>
              <w:t>involvement in oversight of Board</w:t>
            </w:r>
          </w:p>
        </w:tc>
        <w:tc>
          <w:tcPr>
            <w:tcW w:w="3680" w:type="dxa"/>
            <w:vAlign w:val="bottom"/>
            <w:vMerge w:val="restart"/>
            <w:shd w:val="clear" w:color="auto" w:fill="DBE5F1"/>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Commitment to Board diversity of</w:t>
            </w:r>
          </w:p>
        </w:tc>
        <w:tc>
          <w:tcPr>
            <w:tcW w:w="0" w:type="dxa"/>
            <w:vAlign w:val="bottom"/>
          </w:tcPr>
          <w:p>
            <w:pPr>
              <w:spacing w:after="0"/>
              <w:rPr>
                <w:sz w:val="1"/>
                <w:szCs w:val="1"/>
                <w:color w:val="auto"/>
              </w:rPr>
            </w:pPr>
          </w:p>
        </w:tc>
      </w:tr>
      <w:tr>
        <w:trPr>
          <w:trHeight w:val="108"/>
        </w:trPr>
        <w:tc>
          <w:tcPr>
            <w:tcW w:w="3960" w:type="dxa"/>
            <w:vAlign w:val="bottom"/>
            <w:vMerge w:val="continue"/>
            <w:shd w:val="clear" w:color="auto" w:fill="DBE5F1"/>
          </w:tcPr>
          <w:p>
            <w:pPr>
              <w:spacing w:after="0"/>
              <w:rPr>
                <w:sz w:val="9"/>
                <w:szCs w:val="9"/>
                <w:color w:val="auto"/>
              </w:rPr>
            </w:pPr>
          </w:p>
        </w:tc>
        <w:tc>
          <w:tcPr>
            <w:tcW w:w="320" w:type="dxa"/>
            <w:vAlign w:val="bottom"/>
            <w:shd w:val="clear" w:color="auto" w:fill="DBE5F1"/>
          </w:tcPr>
          <w:p>
            <w:pPr>
              <w:spacing w:after="0"/>
              <w:rPr>
                <w:sz w:val="9"/>
                <w:szCs w:val="9"/>
                <w:color w:val="auto"/>
              </w:rPr>
            </w:pPr>
          </w:p>
        </w:tc>
        <w:tc>
          <w:tcPr>
            <w:tcW w:w="318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functions, elected annually by the</w:t>
            </w:r>
          </w:p>
        </w:tc>
        <w:tc>
          <w:tcPr>
            <w:tcW w:w="368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60" w:type="dxa"/>
            <w:vAlign w:val="bottom"/>
            <w:vMerge w:val="restart"/>
            <w:shd w:val="clear" w:color="auto" w:fill="DBE5F1"/>
          </w:tcPr>
          <w:p>
            <w:pPr>
              <w:ind w:left="540"/>
              <w:spacing w:after="0"/>
              <w:rPr>
                <w:sz w:val="20"/>
                <w:szCs w:val="20"/>
                <w:color w:val="auto"/>
              </w:rPr>
            </w:pPr>
            <w:r>
              <w:rPr>
                <w:rFonts w:ascii="Arial" w:cs="Arial" w:eastAsia="Arial" w:hAnsi="Arial"/>
                <w:sz w:val="16"/>
                <w:szCs w:val="16"/>
                <w:color w:val="auto"/>
              </w:rPr>
              <w:t>new directors</w:t>
            </w:r>
          </w:p>
        </w:tc>
        <w:tc>
          <w:tcPr>
            <w:tcW w:w="320" w:type="dxa"/>
            <w:vAlign w:val="bottom"/>
            <w:shd w:val="clear" w:color="auto" w:fill="DBE5F1"/>
          </w:tcPr>
          <w:p>
            <w:pPr>
              <w:spacing w:after="0"/>
              <w:rPr>
                <w:sz w:val="7"/>
                <w:szCs w:val="7"/>
                <w:color w:val="auto"/>
              </w:rPr>
            </w:pPr>
          </w:p>
        </w:tc>
        <w:tc>
          <w:tcPr>
            <w:tcW w:w="3180" w:type="dxa"/>
            <w:vAlign w:val="bottom"/>
            <w:vMerge w:val="continue"/>
            <w:shd w:val="clear" w:color="auto" w:fill="DBE5F1"/>
          </w:tcPr>
          <w:p>
            <w:pPr>
              <w:spacing w:after="0"/>
              <w:rPr>
                <w:sz w:val="7"/>
                <w:szCs w:val="7"/>
                <w:color w:val="auto"/>
              </w:rPr>
            </w:pPr>
          </w:p>
        </w:tc>
        <w:tc>
          <w:tcPr>
            <w:tcW w:w="3680" w:type="dxa"/>
            <w:vAlign w:val="bottom"/>
            <w:vMerge w:val="restart"/>
            <w:shd w:val="clear" w:color="auto" w:fill="DBE5F1"/>
          </w:tcPr>
          <w:p>
            <w:pPr>
              <w:ind w:left="440"/>
              <w:spacing w:after="0"/>
              <w:rPr>
                <w:sz w:val="20"/>
                <w:szCs w:val="20"/>
                <w:color w:val="auto"/>
              </w:rPr>
            </w:pPr>
            <w:r>
              <w:rPr>
                <w:rFonts w:ascii="Arial" w:cs="Arial" w:eastAsia="Arial" w:hAnsi="Arial"/>
                <w:sz w:val="16"/>
                <w:szCs w:val="16"/>
                <w:color w:val="auto"/>
              </w:rPr>
              <w:t>perspective, gender, and race or ethnicity</w:t>
            </w:r>
          </w:p>
        </w:tc>
        <w:tc>
          <w:tcPr>
            <w:tcW w:w="0" w:type="dxa"/>
            <w:vAlign w:val="bottom"/>
          </w:tcPr>
          <w:p>
            <w:pPr>
              <w:spacing w:after="0"/>
              <w:rPr>
                <w:sz w:val="1"/>
                <w:szCs w:val="1"/>
                <w:color w:val="auto"/>
              </w:rPr>
            </w:pPr>
          </w:p>
        </w:tc>
      </w:tr>
      <w:tr>
        <w:trPr>
          <w:trHeight w:val="134"/>
        </w:trPr>
        <w:tc>
          <w:tcPr>
            <w:tcW w:w="3960" w:type="dxa"/>
            <w:vAlign w:val="bottom"/>
            <w:vMerge w:val="continue"/>
            <w:shd w:val="clear" w:color="auto" w:fill="DBE5F1"/>
          </w:tcPr>
          <w:p>
            <w:pPr>
              <w:spacing w:after="0"/>
              <w:rPr>
                <w:sz w:val="11"/>
                <w:szCs w:val="11"/>
                <w:color w:val="auto"/>
              </w:rPr>
            </w:pPr>
          </w:p>
        </w:tc>
        <w:tc>
          <w:tcPr>
            <w:tcW w:w="320" w:type="dxa"/>
            <w:vAlign w:val="bottom"/>
            <w:shd w:val="clear" w:color="auto" w:fill="DBE5F1"/>
          </w:tcPr>
          <w:p>
            <w:pPr>
              <w:spacing w:after="0"/>
              <w:rPr>
                <w:sz w:val="11"/>
                <w:szCs w:val="11"/>
                <w:color w:val="auto"/>
              </w:rPr>
            </w:pPr>
          </w:p>
        </w:tc>
        <w:tc>
          <w:tcPr>
            <w:tcW w:w="318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independent directors</w:t>
            </w:r>
          </w:p>
        </w:tc>
        <w:tc>
          <w:tcPr>
            <w:tcW w:w="368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960" w:type="dxa"/>
            <w:vAlign w:val="bottom"/>
            <w:vMerge w:val="restart"/>
            <w:shd w:val="clear" w:color="auto" w:fill="DBE5F1"/>
          </w:tcPr>
          <w:p>
            <w:pPr>
              <w:ind w:left="2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Directors reflect a variety of experiences and</w:t>
            </w:r>
          </w:p>
        </w:tc>
        <w:tc>
          <w:tcPr>
            <w:tcW w:w="320" w:type="dxa"/>
            <w:vAlign w:val="bottom"/>
            <w:shd w:val="clear" w:color="auto" w:fill="DBE5F1"/>
          </w:tcPr>
          <w:p>
            <w:pPr>
              <w:spacing w:after="0"/>
              <w:rPr>
                <w:sz w:val="7"/>
                <w:szCs w:val="7"/>
                <w:color w:val="auto"/>
              </w:rPr>
            </w:pPr>
          </w:p>
        </w:tc>
        <w:tc>
          <w:tcPr>
            <w:tcW w:w="3180" w:type="dxa"/>
            <w:vAlign w:val="bottom"/>
            <w:vMerge w:val="continue"/>
            <w:shd w:val="clear" w:color="auto" w:fill="DBE5F1"/>
          </w:tcPr>
          <w:p>
            <w:pPr>
              <w:spacing w:after="0"/>
              <w:rPr>
                <w:sz w:val="7"/>
                <w:szCs w:val="7"/>
                <w:color w:val="auto"/>
              </w:rPr>
            </w:pPr>
          </w:p>
        </w:tc>
        <w:tc>
          <w:tcPr>
            <w:tcW w:w="3680" w:type="dxa"/>
            <w:vAlign w:val="bottom"/>
            <w:vMerge w:val="restart"/>
            <w:shd w:val="clear" w:color="auto" w:fill="DBE5F1"/>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Directors attended about 96% of Board and</w:t>
            </w:r>
          </w:p>
        </w:tc>
        <w:tc>
          <w:tcPr>
            <w:tcW w:w="0" w:type="dxa"/>
            <w:vAlign w:val="bottom"/>
          </w:tcPr>
          <w:p>
            <w:pPr>
              <w:spacing w:after="0"/>
              <w:rPr>
                <w:sz w:val="1"/>
                <w:szCs w:val="1"/>
                <w:color w:val="auto"/>
              </w:rPr>
            </w:pPr>
          </w:p>
        </w:tc>
      </w:tr>
      <w:tr>
        <w:trPr>
          <w:trHeight w:val="204"/>
        </w:trPr>
        <w:tc>
          <w:tcPr>
            <w:tcW w:w="3960" w:type="dxa"/>
            <w:vAlign w:val="bottom"/>
            <w:vMerge w:val="continue"/>
            <w:shd w:val="clear" w:color="auto" w:fill="DBE5F1"/>
          </w:tcPr>
          <w:p>
            <w:pPr>
              <w:spacing w:after="0"/>
              <w:rPr>
                <w:sz w:val="17"/>
                <w:szCs w:val="17"/>
                <w:color w:val="auto"/>
              </w:rPr>
            </w:pPr>
          </w:p>
        </w:tc>
        <w:tc>
          <w:tcPr>
            <w:tcW w:w="32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w:t>
            </w:r>
          </w:p>
        </w:tc>
        <w:tc>
          <w:tcPr>
            <w:tcW w:w="318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Active and empowered committee chairs,</w:t>
            </w:r>
          </w:p>
        </w:tc>
        <w:tc>
          <w:tcPr>
            <w:tcW w:w="3680" w:type="dxa"/>
            <w:vAlign w:val="bottom"/>
            <w:vMerge w:val="continue"/>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3960" w:type="dxa"/>
            <w:vAlign w:val="bottom"/>
            <w:vMerge w:val="restart"/>
            <w:shd w:val="clear" w:color="auto" w:fill="DBE5F1"/>
          </w:tcPr>
          <w:p>
            <w:pPr>
              <w:ind w:left="540"/>
              <w:spacing w:after="0"/>
              <w:rPr>
                <w:sz w:val="20"/>
                <w:szCs w:val="20"/>
                <w:color w:val="auto"/>
              </w:rPr>
            </w:pPr>
            <w:r>
              <w:rPr>
                <w:rFonts w:ascii="Arial" w:cs="Arial" w:eastAsia="Arial" w:hAnsi="Arial"/>
                <w:sz w:val="16"/>
                <w:szCs w:val="16"/>
                <w:color w:val="auto"/>
              </w:rPr>
              <w:t>skills that give the Board the collective</w:t>
            </w:r>
          </w:p>
        </w:tc>
        <w:tc>
          <w:tcPr>
            <w:tcW w:w="320" w:type="dxa"/>
            <w:vAlign w:val="bottom"/>
            <w:vMerge w:val="continue"/>
            <w:shd w:val="clear" w:color="auto" w:fill="DBE5F1"/>
          </w:tcPr>
          <w:p>
            <w:pPr>
              <w:spacing w:after="0"/>
              <w:rPr>
                <w:sz w:val="8"/>
                <w:szCs w:val="8"/>
                <w:color w:val="auto"/>
              </w:rPr>
            </w:pPr>
          </w:p>
        </w:tc>
        <w:tc>
          <w:tcPr>
            <w:tcW w:w="3180" w:type="dxa"/>
            <w:vAlign w:val="bottom"/>
            <w:vMerge w:val="continue"/>
            <w:shd w:val="clear" w:color="auto" w:fill="DBE5F1"/>
          </w:tcPr>
          <w:p>
            <w:pPr>
              <w:spacing w:after="0"/>
              <w:rPr>
                <w:sz w:val="8"/>
                <w:szCs w:val="8"/>
                <w:color w:val="auto"/>
              </w:rPr>
            </w:pPr>
          </w:p>
        </w:tc>
        <w:tc>
          <w:tcPr>
            <w:tcW w:w="3680" w:type="dxa"/>
            <w:vAlign w:val="bottom"/>
            <w:vMerge w:val="restart"/>
            <w:shd w:val="clear" w:color="auto" w:fill="DBE5F1"/>
          </w:tcPr>
          <w:p>
            <w:pPr>
              <w:ind w:left="440"/>
              <w:spacing w:after="0"/>
              <w:rPr>
                <w:sz w:val="20"/>
                <w:szCs w:val="20"/>
                <w:color w:val="auto"/>
              </w:rPr>
            </w:pPr>
            <w:r>
              <w:rPr>
                <w:rFonts w:ascii="Arial" w:cs="Arial" w:eastAsia="Arial" w:hAnsi="Arial"/>
                <w:sz w:val="16"/>
                <w:szCs w:val="16"/>
                <w:color w:val="auto"/>
              </w:rPr>
              <w:t>Committee meetings combined in 2025</w:t>
            </w:r>
          </w:p>
        </w:tc>
        <w:tc>
          <w:tcPr>
            <w:tcW w:w="0" w:type="dxa"/>
            <w:vAlign w:val="bottom"/>
          </w:tcPr>
          <w:p>
            <w:pPr>
              <w:spacing w:after="0"/>
              <w:rPr>
                <w:sz w:val="1"/>
                <w:szCs w:val="1"/>
                <w:color w:val="auto"/>
              </w:rPr>
            </w:pPr>
          </w:p>
        </w:tc>
      </w:tr>
      <w:tr>
        <w:trPr>
          <w:trHeight w:val="108"/>
        </w:trPr>
        <w:tc>
          <w:tcPr>
            <w:tcW w:w="3960" w:type="dxa"/>
            <w:vAlign w:val="bottom"/>
            <w:vMerge w:val="continue"/>
            <w:shd w:val="clear" w:color="auto" w:fill="DBE5F1"/>
          </w:tcPr>
          <w:p>
            <w:pPr>
              <w:spacing w:after="0"/>
              <w:rPr>
                <w:sz w:val="9"/>
                <w:szCs w:val="9"/>
                <w:color w:val="auto"/>
              </w:rPr>
            </w:pPr>
          </w:p>
        </w:tc>
        <w:tc>
          <w:tcPr>
            <w:tcW w:w="320" w:type="dxa"/>
            <w:vAlign w:val="bottom"/>
            <w:shd w:val="clear" w:color="auto" w:fill="DBE5F1"/>
          </w:tcPr>
          <w:p>
            <w:pPr>
              <w:spacing w:after="0"/>
              <w:rPr>
                <w:sz w:val="9"/>
                <w:szCs w:val="9"/>
                <w:color w:val="auto"/>
              </w:rPr>
            </w:pPr>
          </w:p>
        </w:tc>
        <w:tc>
          <w:tcPr>
            <w:tcW w:w="318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all of whom are independent</w:t>
            </w:r>
          </w:p>
        </w:tc>
        <w:tc>
          <w:tcPr>
            <w:tcW w:w="368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960" w:type="dxa"/>
            <w:vAlign w:val="bottom"/>
            <w:vMerge w:val="restart"/>
            <w:shd w:val="clear" w:color="auto" w:fill="DBE5F1"/>
          </w:tcPr>
          <w:p>
            <w:pPr>
              <w:ind w:left="540"/>
              <w:spacing w:after="0"/>
              <w:rPr>
                <w:sz w:val="20"/>
                <w:szCs w:val="20"/>
                <w:color w:val="auto"/>
              </w:rPr>
            </w:pPr>
            <w:r>
              <w:rPr>
                <w:rFonts w:ascii="Arial" w:cs="Arial" w:eastAsia="Arial" w:hAnsi="Arial"/>
                <w:sz w:val="16"/>
                <w:szCs w:val="16"/>
                <w:color w:val="auto"/>
              </w:rPr>
              <w:t>capability necessary to oversee the</w:t>
            </w:r>
          </w:p>
        </w:tc>
        <w:tc>
          <w:tcPr>
            <w:tcW w:w="320" w:type="dxa"/>
            <w:vAlign w:val="bottom"/>
            <w:shd w:val="clear" w:color="auto" w:fill="DBE5F1"/>
          </w:tcPr>
          <w:p>
            <w:pPr>
              <w:spacing w:after="0"/>
              <w:rPr>
                <w:sz w:val="9"/>
                <w:szCs w:val="9"/>
                <w:color w:val="auto"/>
              </w:rPr>
            </w:pPr>
          </w:p>
        </w:tc>
        <w:tc>
          <w:tcPr>
            <w:tcW w:w="3180" w:type="dxa"/>
            <w:vAlign w:val="bottom"/>
            <w:vMerge w:val="continue"/>
            <w:shd w:val="clear" w:color="auto" w:fill="DBE5F1"/>
          </w:tcPr>
          <w:p>
            <w:pPr>
              <w:spacing w:after="0"/>
              <w:rPr>
                <w:sz w:val="9"/>
                <w:szCs w:val="9"/>
                <w:color w:val="auto"/>
              </w:rPr>
            </w:pPr>
          </w:p>
        </w:tc>
        <w:tc>
          <w:tcPr>
            <w:tcW w:w="368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960" w:type="dxa"/>
            <w:vAlign w:val="bottom"/>
            <w:vMerge w:val="continue"/>
            <w:shd w:val="clear" w:color="auto" w:fill="DBE5F1"/>
          </w:tcPr>
          <w:p>
            <w:pPr>
              <w:spacing w:after="0"/>
              <w:rPr>
                <w:sz w:val="7"/>
                <w:szCs w:val="7"/>
                <w:color w:val="auto"/>
              </w:rPr>
            </w:pPr>
          </w:p>
        </w:tc>
        <w:tc>
          <w:tcPr>
            <w:tcW w:w="320" w:type="dxa"/>
            <w:vAlign w:val="bottom"/>
            <w:shd w:val="clear" w:color="auto" w:fill="DBE5F1"/>
          </w:tcPr>
          <w:p>
            <w:pPr>
              <w:spacing w:after="0"/>
              <w:rPr>
                <w:sz w:val="7"/>
                <w:szCs w:val="7"/>
                <w:color w:val="auto"/>
              </w:rPr>
            </w:pPr>
          </w:p>
        </w:tc>
        <w:tc>
          <w:tcPr>
            <w:tcW w:w="3180" w:type="dxa"/>
            <w:vAlign w:val="bottom"/>
            <w:shd w:val="clear" w:color="auto" w:fill="DBE5F1"/>
          </w:tcPr>
          <w:p>
            <w:pPr>
              <w:spacing w:after="0"/>
              <w:rPr>
                <w:sz w:val="7"/>
                <w:szCs w:val="7"/>
                <w:color w:val="auto"/>
              </w:rPr>
            </w:pPr>
          </w:p>
        </w:tc>
        <w:tc>
          <w:tcPr>
            <w:tcW w:w="368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3960" w:type="dxa"/>
            <w:vAlign w:val="bottom"/>
            <w:shd w:val="clear" w:color="auto" w:fill="DBE5F1"/>
          </w:tcPr>
          <w:p>
            <w:pPr>
              <w:ind w:left="540"/>
              <w:spacing w:after="0"/>
              <w:rPr>
                <w:sz w:val="20"/>
                <w:szCs w:val="20"/>
                <w:color w:val="auto"/>
              </w:rPr>
            </w:pPr>
            <w:r>
              <w:rPr>
                <w:rFonts w:ascii="Arial" w:cs="Arial" w:eastAsia="Arial" w:hAnsi="Arial"/>
                <w:sz w:val="16"/>
                <w:szCs w:val="16"/>
                <w:color w:val="auto"/>
              </w:rPr>
              <w:t>Company’s activities</w:t>
            </w:r>
          </w:p>
        </w:tc>
        <w:tc>
          <w:tcPr>
            <w:tcW w:w="320" w:type="dxa"/>
            <w:vAlign w:val="bottom"/>
            <w:shd w:val="clear" w:color="auto" w:fill="DBE5F1"/>
          </w:tcPr>
          <w:p>
            <w:pPr>
              <w:spacing w:after="0"/>
              <w:rPr>
                <w:sz w:val="18"/>
                <w:szCs w:val="18"/>
                <w:color w:val="auto"/>
              </w:rPr>
            </w:pPr>
          </w:p>
        </w:tc>
        <w:tc>
          <w:tcPr>
            <w:tcW w:w="3180" w:type="dxa"/>
            <w:vAlign w:val="bottom"/>
            <w:shd w:val="clear" w:color="auto" w:fill="DBE5F1"/>
          </w:tcPr>
          <w:p>
            <w:pPr>
              <w:spacing w:after="0"/>
              <w:rPr>
                <w:sz w:val="18"/>
                <w:szCs w:val="18"/>
                <w:color w:val="auto"/>
              </w:rPr>
            </w:pPr>
          </w:p>
        </w:tc>
        <w:tc>
          <w:tcPr>
            <w:tcW w:w="36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3960" w:type="dxa"/>
            <w:vAlign w:val="bottom"/>
            <w:tcBorders>
              <w:bottom w:val="single" w:sz="8" w:color="auto"/>
            </w:tcBorders>
            <w:shd w:val="clear" w:color="auto" w:fill="DBE5F1"/>
          </w:tcPr>
          <w:p>
            <w:pPr>
              <w:spacing w:after="0"/>
              <w:rPr>
                <w:sz w:val="10"/>
                <w:szCs w:val="10"/>
                <w:color w:val="auto"/>
              </w:rPr>
            </w:pPr>
          </w:p>
        </w:tc>
        <w:tc>
          <w:tcPr>
            <w:tcW w:w="320" w:type="dxa"/>
            <w:vAlign w:val="bottom"/>
            <w:tcBorders>
              <w:bottom w:val="single" w:sz="8" w:color="auto"/>
            </w:tcBorders>
            <w:shd w:val="clear" w:color="auto" w:fill="DBE5F1"/>
          </w:tcPr>
          <w:p>
            <w:pPr>
              <w:spacing w:after="0"/>
              <w:rPr>
                <w:sz w:val="10"/>
                <w:szCs w:val="10"/>
                <w:color w:val="auto"/>
              </w:rPr>
            </w:pPr>
          </w:p>
        </w:tc>
        <w:tc>
          <w:tcPr>
            <w:tcW w:w="3180" w:type="dxa"/>
            <w:vAlign w:val="bottom"/>
            <w:tcBorders>
              <w:bottom w:val="single" w:sz="8" w:color="auto"/>
            </w:tcBorders>
            <w:shd w:val="clear" w:color="auto" w:fill="DBE5F1"/>
          </w:tcPr>
          <w:p>
            <w:pPr>
              <w:spacing w:after="0"/>
              <w:rPr>
                <w:sz w:val="10"/>
                <w:szCs w:val="10"/>
                <w:color w:val="auto"/>
              </w:rPr>
            </w:pPr>
          </w:p>
        </w:tc>
        <w:tc>
          <w:tcPr>
            <w:tcW w:w="3680" w:type="dxa"/>
            <w:vAlign w:val="bottom"/>
            <w:tcBorders>
              <w:bottom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Good Governance Practices</w:t>
            </w:r>
          </w:p>
        </w:tc>
        <w:tc>
          <w:tcPr>
            <w:tcW w:w="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ectPr>
          <w:pgSz w:w="11900" w:h="16838" w:orient="portrait"/>
          <w:cols w:equalWidth="0" w:num="1">
            <w:col w:w="11220"/>
          </w:cols>
          <w:pgMar w:left="320" w:top="1417" w:right="359" w:bottom="1440" w:gutter="0" w:footer="0" w:header="0"/>
        </w:sectPr>
      </w:pPr>
    </w:p>
    <w:p>
      <w:pPr>
        <w:spacing w:after="0" w:line="18" w:lineRule="exact"/>
        <w:rPr>
          <w:sz w:val="20"/>
          <w:szCs w:val="20"/>
          <w:color w:val="auto"/>
        </w:rPr>
      </w:pPr>
    </w:p>
    <w:p>
      <w:pPr>
        <w:ind w:left="460" w:right="200" w:hanging="320"/>
        <w:spacing w:after="0" w:line="274" w:lineRule="auto"/>
        <w:tabs>
          <w:tab w:leader="none" w:pos="442" w:val="left"/>
        </w:tabs>
        <w:numPr>
          <w:ilvl w:val="0"/>
          <w:numId w:val="27"/>
        </w:numPr>
        <w:rPr>
          <w:rFonts w:ascii="Arial" w:cs="Arial" w:eastAsia="Arial" w:hAnsi="Arial"/>
          <w:sz w:val="18"/>
          <w:szCs w:val="18"/>
          <w:color w:val="auto"/>
        </w:rPr>
      </w:pPr>
      <w:r>
        <w:rPr>
          <w:rFonts w:ascii="Arial" w:cs="Arial" w:eastAsia="Arial" w:hAnsi="Arial"/>
          <w:sz w:val="16"/>
          <w:szCs w:val="16"/>
          <w:color w:val="auto"/>
        </w:rPr>
        <w:t>Ongoing Board assessment and refreshment led by the NCGCC</w:t>
      </w:r>
    </w:p>
    <w:p>
      <w:pPr>
        <w:spacing w:after="0" w:line="53" w:lineRule="exact"/>
        <w:rPr>
          <w:rFonts w:ascii="Arial" w:cs="Arial" w:eastAsia="Arial" w:hAnsi="Arial"/>
          <w:sz w:val="18"/>
          <w:szCs w:val="18"/>
          <w:color w:val="auto"/>
        </w:rPr>
      </w:pPr>
    </w:p>
    <w:p>
      <w:pPr>
        <w:ind w:left="440" w:hanging="300"/>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6"/>
          <w:szCs w:val="16"/>
          <w:color w:val="auto"/>
        </w:rPr>
        <w:t>Annual Board and Committee self-assessments</w:t>
      </w:r>
    </w:p>
    <w:p>
      <w:pPr>
        <w:spacing w:after="0" w:line="103" w:lineRule="exact"/>
        <w:rPr>
          <w:rFonts w:ascii="Arial" w:cs="Arial" w:eastAsia="Arial" w:hAnsi="Arial"/>
          <w:sz w:val="18"/>
          <w:szCs w:val="18"/>
          <w:color w:val="auto"/>
        </w:rPr>
      </w:pPr>
    </w:p>
    <w:p>
      <w:pPr>
        <w:ind w:left="460" w:right="120" w:hanging="320"/>
        <w:spacing w:after="0" w:line="274" w:lineRule="auto"/>
        <w:tabs>
          <w:tab w:leader="none" w:pos="442" w:val="left"/>
        </w:tabs>
        <w:numPr>
          <w:ilvl w:val="0"/>
          <w:numId w:val="27"/>
        </w:numPr>
        <w:rPr>
          <w:rFonts w:ascii="Arial" w:cs="Arial" w:eastAsia="Arial" w:hAnsi="Arial"/>
          <w:sz w:val="18"/>
          <w:szCs w:val="18"/>
          <w:color w:val="auto"/>
        </w:rPr>
      </w:pPr>
      <w:r>
        <w:rPr>
          <w:rFonts w:ascii="Arial" w:cs="Arial" w:eastAsia="Arial" w:hAnsi="Arial"/>
          <w:sz w:val="16"/>
          <w:szCs w:val="16"/>
          <w:color w:val="auto"/>
        </w:rPr>
        <w:t>Insider trading policy, including prohibitions on pledging and short-sales</w:t>
      </w:r>
    </w:p>
    <w:p>
      <w:pPr>
        <w:spacing w:after="0" w:line="53" w:lineRule="exact"/>
        <w:rPr>
          <w:rFonts w:ascii="Arial" w:cs="Arial" w:eastAsia="Arial" w:hAnsi="Arial"/>
          <w:sz w:val="18"/>
          <w:szCs w:val="18"/>
          <w:color w:val="auto"/>
        </w:rPr>
      </w:pPr>
    </w:p>
    <w:p>
      <w:pPr>
        <w:ind w:left="440" w:hanging="300"/>
        <w:spacing w:after="0"/>
        <w:tabs>
          <w:tab w:leader="none" w:pos="440" w:val="left"/>
        </w:tabs>
        <w:numPr>
          <w:ilvl w:val="0"/>
          <w:numId w:val="27"/>
        </w:numPr>
        <w:rPr>
          <w:rFonts w:ascii="Arial" w:cs="Arial" w:eastAsia="Arial" w:hAnsi="Arial"/>
          <w:sz w:val="18"/>
          <w:szCs w:val="18"/>
          <w:color w:val="auto"/>
        </w:rPr>
      </w:pPr>
      <w:r>
        <w:rPr>
          <w:rFonts w:ascii="Arial" w:cs="Arial" w:eastAsia="Arial" w:hAnsi="Arial"/>
          <w:sz w:val="16"/>
          <w:szCs w:val="16"/>
          <w:color w:val="auto"/>
        </w:rPr>
        <w:t>Incentive-based compensation clawback policy</w:t>
      </w:r>
    </w:p>
    <w:p>
      <w:pPr>
        <w:spacing w:after="0" w:line="20" w:lineRule="exact"/>
        <w:rPr>
          <w:sz w:val="20"/>
          <w:szCs w:val="20"/>
          <w:color w:val="auto"/>
        </w:rPr>
      </w:pPr>
      <w:r>
        <w:rPr>
          <w:sz w:val="20"/>
          <w:szCs w:val="20"/>
          <w:color w:val="auto"/>
        </w:rPr>
        <w:br w:type="column"/>
      </w:r>
    </w:p>
    <w:p>
      <w:pPr>
        <w:spacing w:after="0"/>
        <w:tabs>
          <w:tab w:leader="none" w:pos="280" w:val="left"/>
          <w:tab w:leader="none" w:pos="3520" w:val="left"/>
          <w:tab w:leader="none" w:pos="3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Regular executive sessions of the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Robust stockholder engagement program,</w:t>
      </w:r>
    </w:p>
    <w:p>
      <w:pPr>
        <w:spacing w:after="0" w:line="30" w:lineRule="exact"/>
        <w:rPr>
          <w:sz w:val="20"/>
          <w:szCs w:val="20"/>
          <w:color w:val="auto"/>
        </w:rPr>
      </w:pPr>
    </w:p>
    <w:p>
      <w:pPr>
        <w:ind w:left="320"/>
        <w:spacing w:after="0"/>
        <w:tabs>
          <w:tab w:leader="none" w:pos="3840" w:val="left"/>
        </w:tabs>
        <w:rPr>
          <w:sz w:val="20"/>
          <w:szCs w:val="20"/>
          <w:color w:val="auto"/>
        </w:rPr>
      </w:pPr>
      <w:r>
        <w:rPr>
          <w:rFonts w:ascii="Arial" w:cs="Arial" w:eastAsia="Arial" w:hAnsi="Arial"/>
          <w:sz w:val="16"/>
          <w:szCs w:val="16"/>
          <w:color w:val="auto"/>
        </w:rPr>
        <w:t>independent directors at meetings of the</w:t>
      </w:r>
      <w:r>
        <w:rPr>
          <w:sz w:val="20"/>
          <w:szCs w:val="20"/>
          <w:color w:val="auto"/>
        </w:rPr>
        <w:tab/>
      </w:r>
      <w:r>
        <w:rPr>
          <w:rFonts w:ascii="Arial" w:cs="Arial" w:eastAsia="Arial" w:hAnsi="Arial"/>
          <w:sz w:val="16"/>
          <w:szCs w:val="16"/>
          <w:color w:val="auto"/>
        </w:rPr>
        <w:t>with the participation of our Chairman, to</w:t>
      </w:r>
    </w:p>
    <w:p>
      <w:pPr>
        <w:spacing w:after="0" w:line="15" w:lineRule="exact"/>
        <w:rPr>
          <w:sz w:val="20"/>
          <w:szCs w:val="20"/>
          <w:color w:val="auto"/>
        </w:rPr>
      </w:pPr>
    </w:p>
    <w:p>
      <w:pPr>
        <w:ind w:left="320"/>
        <w:spacing w:after="0"/>
        <w:tabs>
          <w:tab w:leader="none" w:pos="3840" w:val="left"/>
        </w:tabs>
        <w:rPr>
          <w:sz w:val="20"/>
          <w:szCs w:val="20"/>
          <w:color w:val="auto"/>
        </w:rPr>
      </w:pPr>
      <w:r>
        <w:rPr>
          <w:rFonts w:ascii="Arial" w:cs="Arial" w:eastAsia="Arial" w:hAnsi="Arial"/>
          <w:sz w:val="16"/>
          <w:szCs w:val="16"/>
          <w:color w:val="auto"/>
        </w:rPr>
        <w:t>Board, without management present</w:t>
      </w:r>
      <w:r>
        <w:rPr>
          <w:sz w:val="20"/>
          <w:szCs w:val="20"/>
          <w:color w:val="auto"/>
        </w:rPr>
        <w:tab/>
      </w:r>
      <w:r>
        <w:rPr>
          <w:rFonts w:ascii="Arial" w:cs="Arial" w:eastAsia="Arial" w:hAnsi="Arial"/>
          <w:sz w:val="16"/>
          <w:szCs w:val="16"/>
          <w:color w:val="auto"/>
        </w:rPr>
        <w:t>share our perspectives and solicit feedback</w:t>
      </w:r>
    </w:p>
    <w:p>
      <w:pPr>
        <w:spacing w:after="0" w:line="83"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Officer and director stock ownership</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requirements</w:t>
      </w:r>
    </w:p>
    <w:p>
      <w:pPr>
        <w:spacing w:after="0" w:line="79"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Code of Conduct overseen by Board</w:t>
      </w:r>
    </w:p>
    <w:p>
      <w:pPr>
        <w:spacing w:after="0" w:line="237" w:lineRule="exact"/>
        <w:rPr>
          <w:sz w:val="20"/>
          <w:szCs w:val="20"/>
          <w:color w:val="auto"/>
        </w:rPr>
      </w:pPr>
    </w:p>
    <w:p>
      <w:pPr>
        <w:sectPr>
          <w:pgSz w:w="11900" w:h="16838" w:orient="portrait"/>
          <w:cols w:equalWidth="0" w:num="2">
            <w:col w:w="3860" w:space="240"/>
            <w:col w:w="7120"/>
          </w:cols>
          <w:pgMar w:left="320" w:top="1417" w:right="35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3920" w:type="dxa"/>
            <w:vAlign w:val="bottom"/>
            <w:tcBorders>
              <w:top w:val="single" w:sz="8" w:color="auto"/>
            </w:tcBorders>
            <w:gridSpan w:val="2"/>
            <w:shd w:val="clear" w:color="auto" w:fill="DBE5F1"/>
          </w:tcPr>
          <w:p>
            <w:pPr>
              <w:ind w:left="80"/>
              <w:spacing w:after="0"/>
              <w:rPr>
                <w:sz w:val="20"/>
                <w:szCs w:val="20"/>
                <w:color w:val="auto"/>
              </w:rPr>
            </w:pPr>
            <w:r>
              <w:rPr>
                <w:rFonts w:ascii="Arial" w:cs="Arial" w:eastAsia="Arial" w:hAnsi="Arial"/>
                <w:sz w:val="16"/>
                <w:szCs w:val="16"/>
                <w:b w:val="1"/>
                <w:bCs w:val="1"/>
                <w:i w:val="1"/>
                <w:iCs w:val="1"/>
                <w:color w:val="auto"/>
              </w:rPr>
              <w:t>Board Operations and Oversight</w:t>
            </w:r>
          </w:p>
        </w:tc>
        <w:tc>
          <w:tcPr>
            <w:tcW w:w="3560" w:type="dxa"/>
            <w:vAlign w:val="bottom"/>
            <w:tcBorders>
              <w:top w:val="single" w:sz="8" w:color="auto"/>
            </w:tcBorders>
            <w:shd w:val="clear" w:color="auto" w:fill="DBE5F1"/>
          </w:tcPr>
          <w:p>
            <w:pPr>
              <w:spacing w:after="0"/>
              <w:rPr>
                <w:sz w:val="20"/>
                <w:szCs w:val="20"/>
                <w:color w:val="auto"/>
              </w:rPr>
            </w:pPr>
          </w:p>
        </w:tc>
        <w:tc>
          <w:tcPr>
            <w:tcW w:w="366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20" w:type="dxa"/>
            <w:vAlign w:val="bottom"/>
            <w:shd w:val="clear" w:color="auto" w:fill="DBE5F1"/>
          </w:tcPr>
          <w:p>
            <w:pPr>
              <w:ind w:left="140"/>
              <w:spacing w:after="0"/>
              <w:rPr>
                <w:sz w:val="20"/>
                <w:szCs w:val="20"/>
                <w:color w:val="auto"/>
              </w:rPr>
            </w:pPr>
            <w:r>
              <w:rPr>
                <w:rFonts w:ascii="Arial" w:cs="Arial" w:eastAsia="Arial" w:hAnsi="Arial"/>
                <w:sz w:val="18"/>
                <w:szCs w:val="18"/>
                <w:color w:val="auto"/>
              </w:rPr>
              <w:t>•</w:t>
            </w:r>
          </w:p>
        </w:tc>
        <w:tc>
          <w:tcPr>
            <w:tcW w:w="3600" w:type="dxa"/>
            <w:vAlign w:val="bottom"/>
            <w:shd w:val="clear" w:color="auto" w:fill="DBE5F1"/>
          </w:tcPr>
          <w:p>
            <w:pPr>
              <w:ind w:left="120"/>
              <w:spacing w:after="0"/>
              <w:rPr>
                <w:sz w:val="20"/>
                <w:szCs w:val="20"/>
                <w:color w:val="auto"/>
              </w:rPr>
            </w:pPr>
            <w:r>
              <w:rPr>
                <w:rFonts w:ascii="Arial" w:cs="Arial" w:eastAsia="Arial" w:hAnsi="Arial"/>
                <w:sz w:val="16"/>
                <w:szCs w:val="16"/>
                <w:color w:val="auto"/>
              </w:rPr>
              <w:t>Active board oversight of strategic planning</w:t>
            </w:r>
          </w:p>
        </w:tc>
        <w:tc>
          <w:tcPr>
            <w:tcW w:w="3560" w:type="dxa"/>
            <w:vAlign w:val="bottom"/>
            <w:shd w:val="clear" w:color="auto" w:fill="DBE5F1"/>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Audit Committee oversight of financial</w:t>
            </w:r>
          </w:p>
        </w:tc>
        <w:tc>
          <w:tcPr>
            <w:tcW w:w="3660" w:type="dxa"/>
            <w:vAlign w:val="bottom"/>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Direct access by the Board to members of</w:t>
            </w:r>
          </w:p>
        </w:tc>
        <w:tc>
          <w:tcPr>
            <w:tcW w:w="0" w:type="dxa"/>
            <w:vAlign w:val="bottom"/>
          </w:tcPr>
          <w:p>
            <w:pPr>
              <w:spacing w:after="0"/>
              <w:rPr>
                <w:sz w:val="1"/>
                <w:szCs w:val="1"/>
                <w:color w:val="auto"/>
              </w:rPr>
            </w:pPr>
          </w:p>
        </w:tc>
      </w:tr>
      <w:tr>
        <w:trPr>
          <w:trHeight w:val="203"/>
        </w:trPr>
        <w:tc>
          <w:tcPr>
            <w:tcW w:w="32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w:t>
            </w:r>
          </w:p>
        </w:tc>
        <w:tc>
          <w:tcPr>
            <w:tcW w:w="360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Robust oversight framework to assess and</w:t>
            </w:r>
          </w:p>
        </w:tc>
        <w:tc>
          <w:tcPr>
            <w:tcW w:w="3560" w:type="dxa"/>
            <w:vAlign w:val="bottom"/>
            <w:shd w:val="clear" w:color="auto" w:fill="DBE5F1"/>
          </w:tcPr>
          <w:p>
            <w:pPr>
              <w:ind w:left="500"/>
              <w:spacing w:after="0"/>
              <w:rPr>
                <w:sz w:val="20"/>
                <w:szCs w:val="20"/>
                <w:color w:val="auto"/>
              </w:rPr>
            </w:pPr>
            <w:r>
              <w:rPr>
                <w:rFonts w:ascii="Arial" w:cs="Arial" w:eastAsia="Arial" w:hAnsi="Arial"/>
                <w:sz w:val="16"/>
                <w:szCs w:val="16"/>
                <w:color w:val="auto"/>
              </w:rPr>
              <w:t>risks, cybersecurity</w:t>
            </w:r>
          </w:p>
        </w:tc>
        <w:tc>
          <w:tcPr>
            <w:tcW w:w="3660" w:type="dxa"/>
            <w:vAlign w:val="bottom"/>
            <w:shd w:val="clear" w:color="auto" w:fill="DBE5F1"/>
          </w:tcPr>
          <w:p>
            <w:pPr>
              <w:ind w:left="480"/>
              <w:spacing w:after="0"/>
              <w:rPr>
                <w:sz w:val="20"/>
                <w:szCs w:val="20"/>
                <w:color w:val="auto"/>
              </w:rPr>
            </w:pPr>
            <w:r>
              <w:rPr>
                <w:rFonts w:ascii="Arial" w:cs="Arial" w:eastAsia="Arial" w:hAnsi="Arial"/>
                <w:sz w:val="16"/>
                <w:szCs w:val="16"/>
                <w:color w:val="auto"/>
              </w:rPr>
              <w:t>management, including Chief Compliance</w:t>
            </w:r>
          </w:p>
        </w:tc>
        <w:tc>
          <w:tcPr>
            <w:tcW w:w="0" w:type="dxa"/>
            <w:vAlign w:val="bottom"/>
          </w:tcPr>
          <w:p>
            <w:pPr>
              <w:spacing w:after="0"/>
              <w:rPr>
                <w:sz w:val="1"/>
                <w:szCs w:val="1"/>
                <w:color w:val="auto"/>
              </w:rPr>
            </w:pPr>
          </w:p>
        </w:tc>
      </w:tr>
      <w:tr>
        <w:trPr>
          <w:trHeight w:val="108"/>
        </w:trPr>
        <w:tc>
          <w:tcPr>
            <w:tcW w:w="320" w:type="dxa"/>
            <w:vAlign w:val="bottom"/>
            <w:vMerge w:val="continue"/>
            <w:shd w:val="clear" w:color="auto" w:fill="DBE5F1"/>
          </w:tcPr>
          <w:p>
            <w:pPr>
              <w:spacing w:after="0"/>
              <w:rPr>
                <w:sz w:val="9"/>
                <w:szCs w:val="9"/>
                <w:color w:val="auto"/>
              </w:rPr>
            </w:pPr>
          </w:p>
        </w:tc>
        <w:tc>
          <w:tcPr>
            <w:tcW w:w="360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NCGCC oversight of nominating process</w:t>
            </w:r>
          </w:p>
        </w:tc>
        <w:tc>
          <w:tcPr>
            <w:tcW w:w="36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Officer</w:t>
            </w:r>
          </w:p>
        </w:tc>
        <w:tc>
          <w:tcPr>
            <w:tcW w:w="0" w:type="dxa"/>
            <w:vAlign w:val="bottom"/>
          </w:tcPr>
          <w:p>
            <w:pPr>
              <w:spacing w:after="0"/>
              <w:rPr>
                <w:sz w:val="1"/>
                <w:szCs w:val="1"/>
                <w:color w:val="auto"/>
              </w:rPr>
            </w:pPr>
          </w:p>
        </w:tc>
      </w:tr>
      <w:tr>
        <w:trPr>
          <w:trHeight w:val="107"/>
        </w:trPr>
        <w:tc>
          <w:tcPr>
            <w:tcW w:w="320" w:type="dxa"/>
            <w:vAlign w:val="bottom"/>
            <w:shd w:val="clear" w:color="auto" w:fill="DBE5F1"/>
          </w:tcPr>
          <w:p>
            <w:pPr>
              <w:spacing w:after="0"/>
              <w:rPr>
                <w:sz w:val="9"/>
                <w:szCs w:val="9"/>
                <w:color w:val="auto"/>
              </w:rPr>
            </w:pPr>
          </w:p>
        </w:tc>
        <w:tc>
          <w:tcPr>
            <w:tcW w:w="36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manage risks</w:t>
            </w:r>
          </w:p>
        </w:tc>
        <w:tc>
          <w:tcPr>
            <w:tcW w:w="3560" w:type="dxa"/>
            <w:vAlign w:val="bottom"/>
            <w:vMerge w:val="continue"/>
            <w:shd w:val="clear" w:color="auto" w:fill="DBE5F1"/>
          </w:tcPr>
          <w:p>
            <w:pPr>
              <w:spacing w:after="0"/>
              <w:rPr>
                <w:sz w:val="9"/>
                <w:szCs w:val="9"/>
                <w:color w:val="auto"/>
              </w:rPr>
            </w:pPr>
          </w:p>
        </w:tc>
        <w:tc>
          <w:tcPr>
            <w:tcW w:w="36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20" w:type="dxa"/>
            <w:vAlign w:val="bottom"/>
            <w:shd w:val="clear" w:color="auto" w:fill="DBE5F1"/>
          </w:tcPr>
          <w:p>
            <w:pPr>
              <w:spacing w:after="0"/>
              <w:rPr>
                <w:sz w:val="7"/>
                <w:szCs w:val="7"/>
                <w:color w:val="auto"/>
              </w:rPr>
            </w:pPr>
          </w:p>
        </w:tc>
        <w:tc>
          <w:tcPr>
            <w:tcW w:w="3600" w:type="dxa"/>
            <w:vAlign w:val="bottom"/>
            <w:vMerge w:val="continue"/>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60" w:type="dxa"/>
            <w:vAlign w:val="bottom"/>
            <w:vMerge w:val="restart"/>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Regular briefings on corporate governance</w:t>
            </w:r>
          </w:p>
        </w:tc>
        <w:tc>
          <w:tcPr>
            <w:tcW w:w="0" w:type="dxa"/>
            <w:vAlign w:val="bottom"/>
          </w:tcPr>
          <w:p>
            <w:pPr>
              <w:spacing w:after="0"/>
              <w:rPr>
                <w:sz w:val="1"/>
                <w:szCs w:val="1"/>
                <w:color w:val="auto"/>
              </w:rPr>
            </w:pPr>
          </w:p>
        </w:tc>
      </w:tr>
      <w:tr>
        <w:trPr>
          <w:trHeight w:val="203"/>
        </w:trPr>
        <w:tc>
          <w:tcPr>
            <w:tcW w:w="32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w:t>
            </w:r>
          </w:p>
        </w:tc>
        <w:tc>
          <w:tcPr>
            <w:tcW w:w="360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Committee charters provide clear allocation of</w:t>
            </w:r>
          </w:p>
        </w:tc>
        <w:tc>
          <w:tcPr>
            <w:tcW w:w="3560" w:type="dxa"/>
            <w:vAlign w:val="bottom"/>
            <w:shd w:val="clear" w:color="auto" w:fill="DBE5F1"/>
          </w:tcPr>
          <w:p>
            <w:pPr>
              <w:ind w:left="500"/>
              <w:spacing w:after="0"/>
              <w:rPr>
                <w:sz w:val="20"/>
                <w:szCs w:val="20"/>
                <w:color w:val="auto"/>
              </w:rPr>
            </w:pPr>
            <w:r>
              <w:rPr>
                <w:rFonts w:ascii="Arial" w:cs="Arial" w:eastAsia="Arial" w:hAnsi="Arial"/>
                <w:sz w:val="16"/>
                <w:szCs w:val="16"/>
                <w:color w:val="auto"/>
              </w:rPr>
              <w:t>and criteria, legal and regulatory</w:t>
            </w:r>
          </w:p>
        </w:tc>
        <w:tc>
          <w:tcPr>
            <w:tcW w:w="3660" w:type="dxa"/>
            <w:vAlign w:val="bottom"/>
            <w:vMerge w:val="continue"/>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320" w:type="dxa"/>
            <w:vAlign w:val="bottom"/>
            <w:vMerge w:val="continue"/>
            <w:shd w:val="clear" w:color="auto" w:fill="DBE5F1"/>
          </w:tcPr>
          <w:p>
            <w:pPr>
              <w:spacing w:after="0"/>
              <w:rPr>
                <w:sz w:val="9"/>
                <w:szCs w:val="9"/>
                <w:color w:val="auto"/>
              </w:rPr>
            </w:pPr>
          </w:p>
        </w:tc>
        <w:tc>
          <w:tcPr>
            <w:tcW w:w="360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compliance</w:t>
            </w:r>
          </w:p>
        </w:tc>
        <w:tc>
          <w:tcPr>
            <w:tcW w:w="36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practices and emerging corporate</w:t>
            </w:r>
          </w:p>
        </w:tc>
        <w:tc>
          <w:tcPr>
            <w:tcW w:w="0" w:type="dxa"/>
            <w:vAlign w:val="bottom"/>
          </w:tcPr>
          <w:p>
            <w:pPr>
              <w:spacing w:after="0"/>
              <w:rPr>
                <w:sz w:val="1"/>
                <w:szCs w:val="1"/>
                <w:color w:val="auto"/>
              </w:rPr>
            </w:pPr>
          </w:p>
        </w:tc>
      </w:tr>
      <w:tr>
        <w:trPr>
          <w:trHeight w:val="81"/>
        </w:trPr>
        <w:tc>
          <w:tcPr>
            <w:tcW w:w="320" w:type="dxa"/>
            <w:vAlign w:val="bottom"/>
            <w:shd w:val="clear" w:color="auto" w:fill="DBE5F1"/>
          </w:tcPr>
          <w:p>
            <w:pPr>
              <w:spacing w:after="0"/>
              <w:rPr>
                <w:sz w:val="7"/>
                <w:szCs w:val="7"/>
                <w:color w:val="auto"/>
              </w:rPr>
            </w:pPr>
          </w:p>
        </w:tc>
        <w:tc>
          <w:tcPr>
            <w:tcW w:w="36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committee and full Board oversight roles</w:t>
            </w: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DBE5F1"/>
          </w:tcPr>
          <w:p>
            <w:pPr>
              <w:spacing w:after="0"/>
              <w:rPr>
                <w:sz w:val="11"/>
                <w:szCs w:val="11"/>
                <w:color w:val="auto"/>
              </w:rPr>
            </w:pPr>
          </w:p>
        </w:tc>
        <w:tc>
          <w:tcPr>
            <w:tcW w:w="3600" w:type="dxa"/>
            <w:vAlign w:val="bottom"/>
            <w:vMerge w:val="continue"/>
            <w:shd w:val="clear" w:color="auto" w:fill="DBE5F1"/>
          </w:tcPr>
          <w:p>
            <w:pPr>
              <w:spacing w:after="0"/>
              <w:rPr>
                <w:sz w:val="11"/>
                <w:szCs w:val="11"/>
                <w:color w:val="auto"/>
              </w:rPr>
            </w:pPr>
          </w:p>
        </w:tc>
        <w:tc>
          <w:tcPr>
            <w:tcW w:w="3560" w:type="dxa"/>
            <w:vAlign w:val="bottom"/>
            <w:vMerge w:val="restart"/>
            <w:shd w:val="clear" w:color="auto" w:fill="DBE5F1"/>
          </w:tcPr>
          <w:p>
            <w:pPr>
              <w:ind w:left="1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Compensation Committee oversight of</w:t>
            </w:r>
          </w:p>
        </w:tc>
        <w:tc>
          <w:tcPr>
            <w:tcW w:w="36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governance issues</w:t>
            </w:r>
          </w:p>
        </w:tc>
        <w:tc>
          <w:tcPr>
            <w:tcW w:w="0" w:type="dxa"/>
            <w:vAlign w:val="bottom"/>
          </w:tcPr>
          <w:p>
            <w:pPr>
              <w:spacing w:after="0"/>
              <w:rPr>
                <w:sz w:val="1"/>
                <w:szCs w:val="1"/>
                <w:color w:val="auto"/>
              </w:rPr>
            </w:pPr>
          </w:p>
        </w:tc>
      </w:tr>
      <w:tr>
        <w:trPr>
          <w:trHeight w:val="81"/>
        </w:trPr>
        <w:tc>
          <w:tcPr>
            <w:tcW w:w="32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w:t>
            </w:r>
          </w:p>
        </w:tc>
        <w:tc>
          <w:tcPr>
            <w:tcW w:w="3600" w:type="dxa"/>
            <w:vAlign w:val="bottom"/>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20" w:type="dxa"/>
            <w:vAlign w:val="bottom"/>
            <w:vMerge w:val="continue"/>
            <w:shd w:val="clear" w:color="auto" w:fill="DBE5F1"/>
          </w:tcPr>
          <w:p>
            <w:pPr>
              <w:spacing w:after="0"/>
              <w:rPr>
                <w:sz w:val="8"/>
                <w:szCs w:val="8"/>
                <w:color w:val="auto"/>
              </w:rPr>
            </w:pPr>
          </w:p>
        </w:tc>
        <w:tc>
          <w:tcPr>
            <w:tcW w:w="3600" w:type="dxa"/>
            <w:vAlign w:val="bottom"/>
            <w:vMerge w:val="restart"/>
            <w:shd w:val="clear" w:color="auto" w:fill="DBE5F1"/>
          </w:tcPr>
          <w:p>
            <w:pPr>
              <w:ind w:left="120"/>
              <w:spacing w:after="0"/>
              <w:rPr>
                <w:sz w:val="20"/>
                <w:szCs w:val="20"/>
                <w:color w:val="auto"/>
              </w:rPr>
            </w:pPr>
            <w:r>
              <w:rPr>
                <w:rFonts w:ascii="Arial" w:cs="Arial" w:eastAsia="Arial" w:hAnsi="Arial"/>
                <w:sz w:val="16"/>
                <w:szCs w:val="16"/>
                <w:color w:val="auto"/>
              </w:rPr>
              <w:t>Regular talent and succession planning</w:t>
            </w:r>
          </w:p>
        </w:tc>
        <w:tc>
          <w:tcPr>
            <w:tcW w:w="3560" w:type="dxa"/>
            <w:vAlign w:val="bottom"/>
            <w:vMerge w:val="continue"/>
            <w:shd w:val="clear" w:color="auto" w:fill="DBE5F1"/>
          </w:tcPr>
          <w:p>
            <w:pPr>
              <w:spacing w:after="0"/>
              <w:rPr>
                <w:sz w:val="8"/>
                <w:szCs w:val="8"/>
                <w:color w:val="auto"/>
              </w:rPr>
            </w:pPr>
          </w:p>
        </w:tc>
        <w:tc>
          <w:tcPr>
            <w:tcW w:w="3660" w:type="dxa"/>
            <w:vAlign w:val="bottom"/>
            <w:vMerge w:val="restart"/>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Monthly “teach-in” board sessions</w:t>
            </w:r>
          </w:p>
        </w:tc>
        <w:tc>
          <w:tcPr>
            <w:tcW w:w="0" w:type="dxa"/>
            <w:vAlign w:val="bottom"/>
          </w:tcPr>
          <w:p>
            <w:pPr>
              <w:spacing w:after="0"/>
              <w:rPr>
                <w:sz w:val="1"/>
                <w:szCs w:val="1"/>
                <w:color w:val="auto"/>
              </w:rPr>
            </w:pPr>
          </w:p>
        </w:tc>
      </w:tr>
      <w:tr>
        <w:trPr>
          <w:trHeight w:val="108"/>
        </w:trPr>
        <w:tc>
          <w:tcPr>
            <w:tcW w:w="320" w:type="dxa"/>
            <w:vAlign w:val="bottom"/>
            <w:vMerge w:val="continue"/>
            <w:shd w:val="clear" w:color="auto" w:fill="DBE5F1"/>
          </w:tcPr>
          <w:p>
            <w:pPr>
              <w:spacing w:after="0"/>
              <w:rPr>
                <w:sz w:val="9"/>
                <w:szCs w:val="9"/>
                <w:color w:val="auto"/>
              </w:rPr>
            </w:pPr>
          </w:p>
        </w:tc>
        <w:tc>
          <w:tcPr>
            <w:tcW w:w="360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compensation program, annual CEO</w:t>
            </w:r>
          </w:p>
        </w:tc>
        <w:tc>
          <w:tcPr>
            <w:tcW w:w="36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20" w:type="dxa"/>
            <w:vAlign w:val="bottom"/>
            <w:shd w:val="clear" w:color="auto" w:fill="DBE5F1"/>
          </w:tcPr>
          <w:p>
            <w:pPr>
              <w:spacing w:after="0"/>
              <w:rPr>
                <w:sz w:val="7"/>
                <w:szCs w:val="7"/>
                <w:color w:val="auto"/>
              </w:rPr>
            </w:pPr>
          </w:p>
        </w:tc>
        <w:tc>
          <w:tcPr>
            <w:tcW w:w="36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discussions</w:t>
            </w: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20" w:type="dxa"/>
            <w:vAlign w:val="bottom"/>
            <w:shd w:val="clear" w:color="auto" w:fill="DBE5F1"/>
          </w:tcPr>
          <w:p>
            <w:pPr>
              <w:spacing w:after="0"/>
              <w:rPr>
                <w:sz w:val="11"/>
                <w:szCs w:val="11"/>
                <w:color w:val="auto"/>
              </w:rPr>
            </w:pPr>
          </w:p>
        </w:tc>
        <w:tc>
          <w:tcPr>
            <w:tcW w:w="3600" w:type="dxa"/>
            <w:vAlign w:val="bottom"/>
            <w:vMerge w:val="continue"/>
            <w:shd w:val="clear" w:color="auto" w:fill="DBE5F1"/>
          </w:tcPr>
          <w:p>
            <w:pPr>
              <w:spacing w:after="0"/>
              <w:rPr>
                <w:sz w:val="11"/>
                <w:szCs w:val="11"/>
                <w:color w:val="auto"/>
              </w:rPr>
            </w:pPr>
          </w:p>
        </w:tc>
        <w:tc>
          <w:tcPr>
            <w:tcW w:w="356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evaluation</w:t>
            </w:r>
          </w:p>
        </w:tc>
        <w:tc>
          <w:tcPr>
            <w:tcW w:w="36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addressing key strategic areas</w:t>
            </w:r>
          </w:p>
        </w:tc>
        <w:tc>
          <w:tcPr>
            <w:tcW w:w="0" w:type="dxa"/>
            <w:vAlign w:val="bottom"/>
          </w:tcPr>
          <w:p>
            <w:pPr>
              <w:spacing w:after="0"/>
              <w:rPr>
                <w:sz w:val="1"/>
                <w:szCs w:val="1"/>
                <w:color w:val="auto"/>
              </w:rPr>
            </w:pPr>
          </w:p>
        </w:tc>
      </w:tr>
      <w:tr>
        <w:trPr>
          <w:trHeight w:val="81"/>
        </w:trPr>
        <w:tc>
          <w:tcPr>
            <w:tcW w:w="320" w:type="dxa"/>
            <w:vAlign w:val="bottom"/>
            <w:shd w:val="clear" w:color="auto" w:fill="DBE5F1"/>
          </w:tcPr>
          <w:p>
            <w:pPr>
              <w:spacing w:after="0"/>
              <w:rPr>
                <w:sz w:val="7"/>
                <w:szCs w:val="7"/>
                <w:color w:val="auto"/>
              </w:rPr>
            </w:pPr>
          </w:p>
        </w:tc>
        <w:tc>
          <w:tcPr>
            <w:tcW w:w="3600" w:type="dxa"/>
            <w:vAlign w:val="bottom"/>
            <w:shd w:val="clear" w:color="auto" w:fill="DBE5F1"/>
          </w:tcPr>
          <w:p>
            <w:pPr>
              <w:spacing w:after="0"/>
              <w:rPr>
                <w:sz w:val="7"/>
                <w:szCs w:val="7"/>
                <w:color w:val="auto"/>
              </w:rPr>
            </w:pPr>
          </w:p>
        </w:tc>
        <w:tc>
          <w:tcPr>
            <w:tcW w:w="3560" w:type="dxa"/>
            <w:vAlign w:val="bottom"/>
            <w:vMerge w:val="continue"/>
            <w:shd w:val="clear" w:color="auto" w:fill="DBE5F1"/>
          </w:tcPr>
          <w:p>
            <w:pPr>
              <w:spacing w:after="0"/>
              <w:rPr>
                <w:sz w:val="7"/>
                <w:szCs w:val="7"/>
                <w:color w:val="auto"/>
              </w:rPr>
            </w:pPr>
          </w:p>
        </w:tc>
        <w:tc>
          <w:tcPr>
            <w:tcW w:w="3660" w:type="dxa"/>
            <w:vAlign w:val="bottom"/>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320" w:type="dxa"/>
            <w:vAlign w:val="bottom"/>
            <w:tcBorders>
              <w:bottom w:val="single" w:sz="8" w:color="auto"/>
            </w:tcBorders>
            <w:shd w:val="clear" w:color="auto" w:fill="DBE5F1"/>
          </w:tcPr>
          <w:p>
            <w:pPr>
              <w:spacing w:after="0"/>
              <w:rPr>
                <w:sz w:val="10"/>
                <w:szCs w:val="10"/>
                <w:color w:val="auto"/>
              </w:rPr>
            </w:pPr>
          </w:p>
        </w:tc>
        <w:tc>
          <w:tcPr>
            <w:tcW w:w="3600" w:type="dxa"/>
            <w:vAlign w:val="bottom"/>
            <w:tcBorders>
              <w:bottom w:val="single" w:sz="8" w:color="auto"/>
            </w:tcBorders>
            <w:shd w:val="clear" w:color="auto" w:fill="DBE5F1"/>
          </w:tcPr>
          <w:p>
            <w:pPr>
              <w:spacing w:after="0"/>
              <w:rPr>
                <w:sz w:val="10"/>
                <w:szCs w:val="10"/>
                <w:color w:val="auto"/>
              </w:rPr>
            </w:pPr>
          </w:p>
        </w:tc>
        <w:tc>
          <w:tcPr>
            <w:tcW w:w="3560" w:type="dxa"/>
            <w:vAlign w:val="bottom"/>
            <w:tcBorders>
              <w:bottom w:val="single" w:sz="8" w:color="auto"/>
            </w:tcBorders>
            <w:shd w:val="clear" w:color="auto" w:fill="DBE5F1"/>
          </w:tcPr>
          <w:p>
            <w:pPr>
              <w:spacing w:after="0"/>
              <w:rPr>
                <w:sz w:val="10"/>
                <w:szCs w:val="10"/>
                <w:color w:val="auto"/>
              </w:rPr>
            </w:pPr>
          </w:p>
        </w:tc>
        <w:tc>
          <w:tcPr>
            <w:tcW w:w="3660" w:type="dxa"/>
            <w:vAlign w:val="bottom"/>
            <w:tcBorders>
              <w:bottom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type w:val="continuous"/>
        </w:sectPr>
      </w:pPr>
    </w:p>
    <w:bookmarkStart w:id="24" w:name="page25"/>
    <w:bookmarkEnd w:id="2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Composition and Director Independence</w:t>
      </w:r>
    </w:p>
    <w:p>
      <w:pPr>
        <w:spacing w:after="0" w:line="171" w:lineRule="exact"/>
        <w:rPr>
          <w:sz w:val="20"/>
          <w:szCs w:val="20"/>
          <w:color w:val="auto"/>
        </w:rPr>
      </w:pPr>
    </w:p>
    <w:p>
      <w:pPr>
        <w:ind w:right="20" w:firstLine="441"/>
        <w:spacing w:after="0" w:line="247" w:lineRule="auto"/>
        <w:rPr>
          <w:sz w:val="20"/>
          <w:szCs w:val="20"/>
          <w:color w:val="auto"/>
        </w:rPr>
      </w:pPr>
      <w:r>
        <w:rPr>
          <w:rFonts w:ascii="Arial" w:cs="Arial" w:eastAsia="Arial" w:hAnsi="Arial"/>
          <w:sz w:val="18"/>
          <w:szCs w:val="18"/>
          <w:color w:val="auto"/>
        </w:rPr>
        <w:t>Our business and affairs are managed under the direction of our Board, which is composed of nine directors. Our certificate of incorporation provides that the authorized number of directors may be changed only by resolution of our Board. Our certificate of incorporation also provides that our Board will be divided into three classes of directors, with the classes as nearly equal in number as possible. Subject to any earlier resignation or removal in accordance with the terms of our certificate of incorporation and bylaws, our Class II directors are Ms. Bilney, Mr. Hodgson and Dr. Kosecoff, who are nominees for election at the Annual Meeting to a three-year term ending at our annual meeting of stockholders in 2029, our Class III directors are Ms. Jorden, Mr. Kao and Mr. Konowiecki, who will serve until our 2027 annual meeting of stockholders, and our Class I directors are Ms. McCarthy, Dr. McClellan and Mr. Vorhoff, who will serve until our 2028 annual meeting of stockholders. This classification of our Board could have the effect of increasing the length of time necessary to change the composition of a majority of the Board. In general, at least two annual meetings of stockholders will be necessary for stockholders to effect a change in a majority of the members of the Board. In addition, our certificate of incorporation provides that directors may be removed for cause and only upon the affirmative vote of stockholders representing at least sixty-six and two-thirds percent (66</w:t>
      </w:r>
      <w:r>
        <w:rPr>
          <w:rFonts w:ascii="Arial" w:cs="Arial" w:eastAsia="Arial" w:hAnsi="Arial"/>
          <w:sz w:val="23"/>
          <w:szCs w:val="23"/>
          <w:color w:val="auto"/>
          <w:vertAlign w:val="superscript"/>
        </w:rPr>
        <w:t>2⁄3</w:t>
      </w:r>
      <w:r>
        <w:rPr>
          <w:rFonts w:ascii="Arial" w:cs="Arial" w:eastAsia="Arial" w:hAnsi="Arial"/>
          <w:sz w:val="18"/>
          <w:szCs w:val="18"/>
          <w:color w:val="auto"/>
        </w:rPr>
        <w:t>%) of the voting power of the then-outstanding shares of voting stock, at a meeting of our stockholders called for that purpose.</w:t>
      </w:r>
    </w:p>
    <w:p>
      <w:pPr>
        <w:spacing w:after="0" w:line="139" w:lineRule="exact"/>
        <w:rPr>
          <w:sz w:val="20"/>
          <w:szCs w:val="20"/>
          <w:color w:val="auto"/>
        </w:rPr>
      </w:pPr>
    </w:p>
    <w:p>
      <w:pPr>
        <w:ind w:firstLine="441"/>
        <w:spacing w:after="0" w:line="268" w:lineRule="auto"/>
        <w:rPr>
          <w:sz w:val="20"/>
          <w:szCs w:val="20"/>
          <w:color w:val="auto"/>
        </w:rPr>
      </w:pPr>
      <w:r>
        <w:rPr>
          <w:rFonts w:ascii="Arial" w:cs="Arial" w:eastAsia="Arial" w:hAnsi="Arial"/>
          <w:sz w:val="18"/>
          <w:szCs w:val="18"/>
          <w:color w:val="auto"/>
        </w:rPr>
        <w:t>Our Board has also determined that all directors (except Mr. Kao, our Chief Executive Officer) meet the requirements to be independent directors. In making this determination, our Board considered the relationships that each non-employee director has with the Company and all other facts and circumstances that our Board deemed relevant in determining their independence.</w:t>
      </w:r>
    </w:p>
    <w:p>
      <w:pPr>
        <w:spacing w:after="0" w:line="117" w:lineRule="exact"/>
        <w:rPr>
          <w:sz w:val="20"/>
          <w:szCs w:val="20"/>
          <w:color w:val="auto"/>
        </w:rPr>
      </w:pPr>
    </w:p>
    <w:p>
      <w:pPr>
        <w:ind w:right="440" w:firstLine="405"/>
        <w:spacing w:after="0" w:line="268" w:lineRule="auto"/>
        <w:rPr>
          <w:sz w:val="20"/>
          <w:szCs w:val="20"/>
          <w:color w:val="auto"/>
        </w:rPr>
      </w:pPr>
      <w:r>
        <w:rPr>
          <w:rFonts w:ascii="Arial" w:cs="Arial" w:eastAsia="Arial" w:hAnsi="Arial"/>
          <w:sz w:val="18"/>
          <w:szCs w:val="18"/>
          <w:color w:val="auto"/>
        </w:rPr>
        <w:t>We were party to an Amended and Restated Stockholders Agreement, dated as of April 30, 2024, with affiliates of General Atlantic ("GA") that provided GA the right to designate nominees for election to our Board. The Stockholders Agreement was terminated as of March 4,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Leadership Structure</w:t>
      </w:r>
    </w:p>
    <w:p>
      <w:pPr>
        <w:spacing w:after="0" w:line="225" w:lineRule="exact"/>
        <w:rPr>
          <w:sz w:val="20"/>
          <w:szCs w:val="20"/>
          <w:color w:val="auto"/>
        </w:rPr>
      </w:pPr>
    </w:p>
    <w:p>
      <w:pPr>
        <w:jc w:val="both"/>
        <w:ind w:right="520" w:firstLine="492"/>
        <w:spacing w:after="0" w:line="268" w:lineRule="auto"/>
        <w:rPr>
          <w:sz w:val="20"/>
          <w:szCs w:val="20"/>
          <w:color w:val="auto"/>
        </w:rPr>
      </w:pPr>
      <w:r>
        <w:rPr>
          <w:rFonts w:ascii="Arial" w:cs="Arial" w:eastAsia="Arial" w:hAnsi="Arial"/>
          <w:sz w:val="18"/>
          <w:szCs w:val="18"/>
          <w:color w:val="auto"/>
        </w:rPr>
        <w:t>We structure leadership of our Board in a manner that we believe is best suited to benefit the Company and its performance. We separate our chair of the Board (the “Board Chair”) and Chief Executive Officer to ensure that the Board maintains robust, independent processes with respect to oversight of our business and affairs. The Board Chair has the following duties: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Borders>
              <w:top w:val="single" w:sz="8" w:color="auto"/>
            </w:tcBorders>
            <w:shd w:val="clear" w:color="auto" w:fill="DBE5F1"/>
          </w:tcPr>
          <w:p>
            <w:pPr>
              <w:ind w:left="80"/>
              <w:spacing w:after="0"/>
              <w:rPr>
                <w:sz w:val="20"/>
                <w:szCs w:val="20"/>
                <w:color w:val="auto"/>
              </w:rPr>
            </w:pPr>
            <w:r>
              <w:rPr>
                <w:rFonts w:ascii="Arial" w:cs="Arial" w:eastAsia="Arial" w:hAnsi="Arial"/>
                <w:sz w:val="16"/>
                <w:szCs w:val="16"/>
                <w:b w:val="1"/>
                <w:bCs w:val="1"/>
                <w:i w:val="1"/>
                <w:iCs w:val="1"/>
                <w:color w:val="auto"/>
              </w:rPr>
              <w:t>Duties of our Board Chair</w:t>
            </w:r>
          </w:p>
        </w:tc>
        <w:tc>
          <w:tcPr>
            <w:tcW w:w="3660" w:type="dxa"/>
            <w:vAlign w:val="bottom"/>
            <w:tcBorders>
              <w:top w:val="single" w:sz="8" w:color="auto"/>
            </w:tcBorders>
            <w:shd w:val="clear" w:color="auto" w:fill="DBE5F1"/>
          </w:tcPr>
          <w:p>
            <w:pPr>
              <w:spacing w:after="0"/>
              <w:rPr>
                <w:sz w:val="20"/>
                <w:szCs w:val="20"/>
                <w:color w:val="auto"/>
              </w:rPr>
            </w:pPr>
          </w:p>
        </w:tc>
        <w:tc>
          <w:tcPr>
            <w:tcW w:w="370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860" w:type="dxa"/>
            <w:vAlign w:val="bottom"/>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Presides as chair of regular sessions of the</w:t>
            </w:r>
          </w:p>
        </w:tc>
        <w:tc>
          <w:tcPr>
            <w:tcW w:w="3660" w:type="dxa"/>
            <w:vAlign w:val="bottom"/>
            <w:shd w:val="clear" w:color="auto" w:fill="DBE5F1"/>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Meets directly with other members of the</w:t>
            </w:r>
          </w:p>
        </w:tc>
        <w:tc>
          <w:tcPr>
            <w:tcW w:w="370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Engages regularly with stockholders and</w:t>
            </w:r>
          </w:p>
        </w:tc>
        <w:tc>
          <w:tcPr>
            <w:tcW w:w="0" w:type="dxa"/>
            <w:vAlign w:val="bottom"/>
          </w:tcPr>
          <w:p>
            <w:pPr>
              <w:spacing w:after="0"/>
              <w:rPr>
                <w:sz w:val="1"/>
                <w:szCs w:val="1"/>
                <w:color w:val="auto"/>
              </w:rPr>
            </w:pPr>
          </w:p>
        </w:tc>
      </w:tr>
      <w:tr>
        <w:trPr>
          <w:trHeight w:val="189"/>
        </w:trPr>
        <w:tc>
          <w:tcPr>
            <w:tcW w:w="3860" w:type="dxa"/>
            <w:vAlign w:val="bottom"/>
            <w:shd w:val="clear" w:color="auto" w:fill="DBE5F1"/>
          </w:tcPr>
          <w:p>
            <w:pPr>
              <w:ind w:left="460"/>
              <w:spacing w:after="0"/>
              <w:rPr>
                <w:sz w:val="20"/>
                <w:szCs w:val="20"/>
                <w:color w:val="auto"/>
              </w:rPr>
            </w:pPr>
            <w:r>
              <w:rPr>
                <w:rFonts w:ascii="Arial" w:cs="Arial" w:eastAsia="Arial" w:hAnsi="Arial"/>
                <w:sz w:val="16"/>
                <w:szCs w:val="16"/>
                <w:color w:val="auto"/>
              </w:rPr>
              <w:t>Board and manages overall Board process</w:t>
            </w:r>
          </w:p>
        </w:tc>
        <w:tc>
          <w:tcPr>
            <w:tcW w:w="3660" w:type="dxa"/>
            <w:vAlign w:val="bottom"/>
            <w:shd w:val="clear" w:color="auto" w:fill="DBE5F1"/>
          </w:tcPr>
          <w:p>
            <w:pPr>
              <w:ind w:left="580"/>
              <w:spacing w:after="0"/>
              <w:rPr>
                <w:sz w:val="20"/>
                <w:szCs w:val="20"/>
                <w:color w:val="auto"/>
              </w:rPr>
            </w:pPr>
            <w:r>
              <w:rPr>
                <w:rFonts w:ascii="Arial" w:cs="Arial" w:eastAsia="Arial" w:hAnsi="Arial"/>
                <w:sz w:val="16"/>
                <w:szCs w:val="16"/>
                <w:color w:val="auto"/>
              </w:rPr>
              <w:t>Board as needed</w:t>
            </w:r>
          </w:p>
        </w:tc>
        <w:tc>
          <w:tcPr>
            <w:tcW w:w="3700" w:type="dxa"/>
            <w:vAlign w:val="bottom"/>
            <w:shd w:val="clear" w:color="auto" w:fill="DBE5F1"/>
          </w:tcPr>
          <w:p>
            <w:pPr>
              <w:ind w:left="520"/>
              <w:spacing w:after="0"/>
              <w:rPr>
                <w:sz w:val="20"/>
                <w:szCs w:val="20"/>
                <w:color w:val="auto"/>
              </w:rPr>
            </w:pPr>
            <w:r>
              <w:rPr>
                <w:rFonts w:ascii="Arial" w:cs="Arial" w:eastAsia="Arial" w:hAnsi="Arial"/>
                <w:sz w:val="16"/>
                <w:szCs w:val="16"/>
                <w:color w:val="auto"/>
              </w:rPr>
              <w:t>presides over annual meeting of</w:t>
            </w:r>
          </w:p>
        </w:tc>
        <w:tc>
          <w:tcPr>
            <w:tcW w:w="0" w:type="dxa"/>
            <w:vAlign w:val="bottom"/>
          </w:tcPr>
          <w:p>
            <w:pPr>
              <w:spacing w:after="0"/>
              <w:rPr>
                <w:sz w:val="1"/>
                <w:szCs w:val="1"/>
                <w:color w:val="auto"/>
              </w:rPr>
            </w:pPr>
          </w:p>
        </w:tc>
      </w:tr>
      <w:tr>
        <w:trPr>
          <w:trHeight w:val="215"/>
        </w:trPr>
        <w:tc>
          <w:tcPr>
            <w:tcW w:w="386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Sets Board meeting agendas and approves</w:t>
            </w:r>
          </w:p>
        </w:tc>
        <w:tc>
          <w:tcPr>
            <w:tcW w:w="3660" w:type="dxa"/>
            <w:vAlign w:val="bottom"/>
            <w:vMerge w:val="restart"/>
            <w:shd w:val="clear" w:color="auto" w:fill="DBE5F1"/>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Oversees board engagement and</w:t>
            </w:r>
          </w:p>
        </w:tc>
        <w:tc>
          <w:tcPr>
            <w:tcW w:w="3700" w:type="dxa"/>
            <w:vAlign w:val="bottom"/>
            <w:shd w:val="clear" w:color="auto" w:fill="DBE5F1"/>
          </w:tcPr>
          <w:p>
            <w:pPr>
              <w:ind w:left="520"/>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109"/>
        </w:trPr>
        <w:tc>
          <w:tcPr>
            <w:tcW w:w="3860" w:type="dxa"/>
            <w:vAlign w:val="bottom"/>
            <w:vMerge w:val="continue"/>
            <w:shd w:val="clear" w:color="auto" w:fill="DBE5F1"/>
          </w:tcPr>
          <w:p>
            <w:pPr>
              <w:spacing w:after="0"/>
              <w:rPr>
                <w:sz w:val="9"/>
                <w:szCs w:val="9"/>
                <w:color w:val="auto"/>
              </w:rPr>
            </w:pPr>
          </w:p>
        </w:tc>
        <w:tc>
          <w:tcPr>
            <w:tcW w:w="3660" w:type="dxa"/>
            <w:vAlign w:val="bottom"/>
            <w:vMerge w:val="continue"/>
            <w:shd w:val="clear" w:color="auto" w:fill="DBE5F1"/>
          </w:tcPr>
          <w:p>
            <w:pPr>
              <w:spacing w:after="0"/>
              <w:rPr>
                <w:sz w:val="9"/>
                <w:szCs w:val="9"/>
                <w:color w:val="auto"/>
              </w:rPr>
            </w:pPr>
          </w:p>
        </w:tc>
        <w:tc>
          <w:tcPr>
            <w:tcW w:w="3700" w:type="dxa"/>
            <w:vAlign w:val="bottom"/>
            <w:vMerge w:val="restart"/>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Partners with the Compensation</w:t>
            </w:r>
          </w:p>
        </w:tc>
        <w:tc>
          <w:tcPr>
            <w:tcW w:w="0" w:type="dxa"/>
            <w:vAlign w:val="bottom"/>
          </w:tcPr>
          <w:p>
            <w:pPr>
              <w:spacing w:after="0"/>
              <w:rPr>
                <w:sz w:val="1"/>
                <w:szCs w:val="1"/>
                <w:color w:val="auto"/>
              </w:rPr>
            </w:pPr>
          </w:p>
        </w:tc>
      </w:tr>
      <w:tr>
        <w:trPr>
          <w:trHeight w:val="189"/>
        </w:trPr>
        <w:tc>
          <w:tcPr>
            <w:tcW w:w="3860" w:type="dxa"/>
            <w:vAlign w:val="bottom"/>
            <w:shd w:val="clear" w:color="auto" w:fill="DBE5F1"/>
          </w:tcPr>
          <w:p>
            <w:pPr>
              <w:ind w:left="460"/>
              <w:spacing w:after="0"/>
              <w:rPr>
                <w:sz w:val="20"/>
                <w:szCs w:val="20"/>
                <w:color w:val="auto"/>
              </w:rPr>
            </w:pPr>
            <w:r>
              <w:rPr>
                <w:rFonts w:ascii="Arial" w:cs="Arial" w:eastAsia="Arial" w:hAnsi="Arial"/>
                <w:sz w:val="16"/>
                <w:szCs w:val="16"/>
                <w:color w:val="auto"/>
              </w:rPr>
              <w:t>materials distributed to Board</w:t>
            </w:r>
          </w:p>
        </w:tc>
        <w:tc>
          <w:tcPr>
            <w:tcW w:w="3660" w:type="dxa"/>
            <w:vAlign w:val="bottom"/>
            <w:shd w:val="clear" w:color="auto" w:fill="DBE5F1"/>
          </w:tcPr>
          <w:p>
            <w:pPr>
              <w:ind w:left="580"/>
              <w:spacing w:after="0"/>
              <w:rPr>
                <w:sz w:val="20"/>
                <w:szCs w:val="20"/>
                <w:color w:val="auto"/>
              </w:rPr>
            </w:pPr>
            <w:r>
              <w:rPr>
                <w:rFonts w:ascii="Arial" w:cs="Arial" w:eastAsia="Arial" w:hAnsi="Arial"/>
                <w:sz w:val="16"/>
                <w:szCs w:val="16"/>
                <w:color w:val="auto"/>
              </w:rPr>
              <w:t>continued education</w:t>
            </w:r>
          </w:p>
        </w:tc>
        <w:tc>
          <w:tcPr>
            <w:tcW w:w="37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Leads response of Board to risks and</w:t>
            </w:r>
          </w:p>
        </w:tc>
        <w:tc>
          <w:tcPr>
            <w:tcW w:w="3660" w:type="dxa"/>
            <w:vAlign w:val="bottom"/>
            <w:vMerge w:val="restart"/>
            <w:shd w:val="clear" w:color="auto" w:fill="DBE5F1"/>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Partners with the NCGCC in director</w:t>
            </w:r>
          </w:p>
        </w:tc>
        <w:tc>
          <w:tcPr>
            <w:tcW w:w="3700" w:type="dxa"/>
            <w:vAlign w:val="bottom"/>
            <w:shd w:val="clear" w:color="auto" w:fill="DBE5F1"/>
          </w:tcPr>
          <w:p>
            <w:pPr>
              <w:ind w:left="520"/>
              <w:spacing w:after="0"/>
              <w:rPr>
                <w:sz w:val="20"/>
                <w:szCs w:val="20"/>
                <w:color w:val="auto"/>
              </w:rPr>
            </w:pPr>
            <w:r>
              <w:rPr>
                <w:rFonts w:ascii="Arial" w:cs="Arial" w:eastAsia="Arial" w:hAnsi="Arial"/>
                <w:sz w:val="16"/>
                <w:szCs w:val="16"/>
                <w:color w:val="auto"/>
              </w:rPr>
              <w:t>Committee to structure and implement the</w:t>
            </w:r>
          </w:p>
        </w:tc>
        <w:tc>
          <w:tcPr>
            <w:tcW w:w="0" w:type="dxa"/>
            <w:vAlign w:val="bottom"/>
          </w:tcPr>
          <w:p>
            <w:pPr>
              <w:spacing w:after="0"/>
              <w:rPr>
                <w:sz w:val="1"/>
                <w:szCs w:val="1"/>
                <w:color w:val="auto"/>
              </w:rPr>
            </w:pPr>
          </w:p>
        </w:tc>
      </w:tr>
      <w:tr>
        <w:trPr>
          <w:trHeight w:val="121"/>
        </w:trPr>
        <w:tc>
          <w:tcPr>
            <w:tcW w:w="3860" w:type="dxa"/>
            <w:vAlign w:val="bottom"/>
            <w:vMerge w:val="continue"/>
            <w:shd w:val="clear" w:color="auto" w:fill="DBE5F1"/>
          </w:tcPr>
          <w:p>
            <w:pPr>
              <w:spacing w:after="0"/>
              <w:rPr>
                <w:sz w:val="10"/>
                <w:szCs w:val="10"/>
                <w:color w:val="auto"/>
              </w:rPr>
            </w:pPr>
          </w:p>
        </w:tc>
        <w:tc>
          <w:tcPr>
            <w:tcW w:w="3660" w:type="dxa"/>
            <w:vAlign w:val="bottom"/>
            <w:vMerge w:val="continue"/>
            <w:shd w:val="clear" w:color="auto" w:fill="DBE5F1"/>
          </w:tcPr>
          <w:p>
            <w:pPr>
              <w:spacing w:after="0"/>
              <w:rPr>
                <w:sz w:val="10"/>
                <w:szCs w:val="10"/>
                <w:color w:val="auto"/>
              </w:rPr>
            </w:pPr>
          </w:p>
        </w:tc>
        <w:tc>
          <w:tcPr>
            <w:tcW w:w="370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annual evaluation of our CEO</w:t>
            </w:r>
          </w:p>
        </w:tc>
        <w:tc>
          <w:tcPr>
            <w:tcW w:w="0" w:type="dxa"/>
            <w:vAlign w:val="bottom"/>
          </w:tcPr>
          <w:p>
            <w:pPr>
              <w:spacing w:after="0"/>
              <w:rPr>
                <w:sz w:val="1"/>
                <w:szCs w:val="1"/>
                <w:color w:val="auto"/>
              </w:rPr>
            </w:pPr>
          </w:p>
        </w:tc>
      </w:tr>
      <w:tr>
        <w:trPr>
          <w:trHeight w:val="93"/>
        </w:trPr>
        <w:tc>
          <w:tcPr>
            <w:tcW w:w="386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opportunities and may call special meetings</w:t>
            </w:r>
          </w:p>
        </w:tc>
        <w:tc>
          <w:tcPr>
            <w:tcW w:w="3660" w:type="dxa"/>
            <w:vAlign w:val="bottom"/>
            <w:vMerge w:val="restart"/>
            <w:shd w:val="clear" w:color="auto" w:fill="DBE5F1"/>
          </w:tcPr>
          <w:p>
            <w:pPr>
              <w:ind w:left="580"/>
              <w:spacing w:after="0"/>
              <w:rPr>
                <w:sz w:val="20"/>
                <w:szCs w:val="20"/>
                <w:color w:val="auto"/>
              </w:rPr>
            </w:pPr>
            <w:r>
              <w:rPr>
                <w:rFonts w:ascii="Arial" w:cs="Arial" w:eastAsia="Arial" w:hAnsi="Arial"/>
                <w:sz w:val="16"/>
                <w:szCs w:val="16"/>
                <w:color w:val="auto"/>
              </w:rPr>
              <w:t>selection process and enterprise risk</w:t>
            </w:r>
          </w:p>
        </w:tc>
        <w:tc>
          <w:tcPr>
            <w:tcW w:w="370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3860" w:type="dxa"/>
            <w:vAlign w:val="bottom"/>
            <w:vMerge w:val="continue"/>
            <w:shd w:val="clear" w:color="auto" w:fill="DBE5F1"/>
          </w:tcPr>
          <w:p>
            <w:pPr>
              <w:spacing w:after="0"/>
              <w:rPr>
                <w:sz w:val="9"/>
                <w:szCs w:val="9"/>
                <w:color w:val="auto"/>
              </w:rPr>
            </w:pPr>
          </w:p>
        </w:tc>
        <w:tc>
          <w:tcPr>
            <w:tcW w:w="3660" w:type="dxa"/>
            <w:vAlign w:val="bottom"/>
            <w:vMerge w:val="continue"/>
            <w:shd w:val="clear" w:color="auto" w:fill="DBE5F1"/>
          </w:tcPr>
          <w:p>
            <w:pPr>
              <w:spacing w:after="0"/>
              <w:rPr>
                <w:sz w:val="9"/>
                <w:szCs w:val="9"/>
                <w:color w:val="auto"/>
              </w:rPr>
            </w:pPr>
          </w:p>
        </w:tc>
        <w:tc>
          <w:tcPr>
            <w:tcW w:w="370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3860" w:type="dxa"/>
            <w:vAlign w:val="bottom"/>
            <w:shd w:val="clear" w:color="auto" w:fill="DBE5F1"/>
          </w:tcPr>
          <w:p>
            <w:pPr>
              <w:spacing w:after="0"/>
              <w:rPr>
                <w:sz w:val="18"/>
                <w:szCs w:val="18"/>
                <w:color w:val="auto"/>
              </w:rPr>
            </w:pPr>
          </w:p>
        </w:tc>
        <w:tc>
          <w:tcPr>
            <w:tcW w:w="3660" w:type="dxa"/>
            <w:vAlign w:val="bottom"/>
            <w:shd w:val="clear" w:color="auto" w:fill="DBE5F1"/>
          </w:tcPr>
          <w:p>
            <w:pPr>
              <w:ind w:left="580"/>
              <w:spacing w:after="0"/>
              <w:rPr>
                <w:sz w:val="20"/>
                <w:szCs w:val="20"/>
                <w:color w:val="auto"/>
              </w:rPr>
            </w:pPr>
            <w:r>
              <w:rPr>
                <w:rFonts w:ascii="Arial" w:cs="Arial" w:eastAsia="Arial" w:hAnsi="Arial"/>
                <w:sz w:val="16"/>
                <w:szCs w:val="16"/>
                <w:color w:val="auto"/>
              </w:rPr>
              <w:t>management</w:t>
            </w:r>
          </w:p>
        </w:tc>
        <w:tc>
          <w:tcPr>
            <w:tcW w:w="37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860" w:type="dxa"/>
            <w:vAlign w:val="bottom"/>
            <w:tcBorders>
              <w:bottom w:val="single" w:sz="8" w:color="auto"/>
            </w:tcBorders>
            <w:shd w:val="clear" w:color="auto" w:fill="DBE5F1"/>
          </w:tcPr>
          <w:p>
            <w:pPr>
              <w:spacing w:after="0"/>
              <w:rPr>
                <w:sz w:val="11"/>
                <w:szCs w:val="11"/>
                <w:color w:val="auto"/>
              </w:rPr>
            </w:pPr>
          </w:p>
        </w:tc>
        <w:tc>
          <w:tcPr>
            <w:tcW w:w="3660" w:type="dxa"/>
            <w:vAlign w:val="bottom"/>
            <w:tcBorders>
              <w:bottom w:val="single" w:sz="8" w:color="auto"/>
            </w:tcBorders>
            <w:shd w:val="clear" w:color="auto" w:fill="DBE5F1"/>
          </w:tcPr>
          <w:p>
            <w:pPr>
              <w:spacing w:after="0"/>
              <w:rPr>
                <w:sz w:val="11"/>
                <w:szCs w:val="11"/>
                <w:color w:val="auto"/>
              </w:rPr>
            </w:pPr>
          </w:p>
        </w:tc>
        <w:tc>
          <w:tcPr>
            <w:tcW w:w="3700" w:type="dxa"/>
            <w:vAlign w:val="bottom"/>
            <w:tcBorders>
              <w:bottom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ind w:right="40" w:firstLine="492"/>
        <w:spacing w:after="0" w:line="259" w:lineRule="auto"/>
        <w:rPr>
          <w:sz w:val="20"/>
          <w:szCs w:val="20"/>
          <w:color w:val="auto"/>
        </w:rPr>
      </w:pPr>
      <w:r>
        <w:rPr>
          <w:rFonts w:ascii="Arial" w:cs="Arial" w:eastAsia="Arial" w:hAnsi="Arial"/>
          <w:sz w:val="18"/>
          <w:szCs w:val="18"/>
          <w:color w:val="auto"/>
        </w:rPr>
        <w:t>From October 2022 to December 2023, our current Board Chair, Mr. Konowiecki, assumed a role as an executive officer leading our strategic network and business development. Given his longstanding role as Board Chair, his expertise in the health care industry and his strong oversight of the Company’s legal, compliance and risk management functions, among others, the Board determined that it would be appropriate and in the best interests of the Company and its stockholders for Mr. Konowiecki to serve concurrently as the Board Chair during the term of his employment. Upon Mr. Konowiecki’s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1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appointment to the executive role, in order to reinforce the independence of our Board in its guidance of the Company’s strategic direction and its oversight role, the Board also appointed Ms. McCarthy to serve as a lead independent director (“Lead Independent Director”). In considering her appointment, the Board determined that Ms. McCarthy’s expertise, independence and integrity qualified her to serve as Lead Independent Director. Although Mr. Konowiecki is no longer an employee of the Company, the Board has determined to continue the Lead Independent Director role at this time to further enhance independent Board leadership, strengthen oversight and governance practices, and provide an additional channel for independent director coordination and stockholder engagement. The Board determined that the Lead Independent Director would have the following duties and authority: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tcBorders>
              <w:top w:val="single" w:sz="8" w:color="auto"/>
            </w:tcBorders>
            <w:shd w:val="clear" w:color="auto" w:fill="DBE5F1"/>
          </w:tcPr>
          <w:p>
            <w:pPr>
              <w:ind w:left="80"/>
              <w:spacing w:after="0"/>
              <w:rPr>
                <w:sz w:val="20"/>
                <w:szCs w:val="20"/>
                <w:color w:val="auto"/>
              </w:rPr>
            </w:pPr>
            <w:r>
              <w:rPr>
                <w:rFonts w:ascii="Arial" w:cs="Arial" w:eastAsia="Arial" w:hAnsi="Arial"/>
                <w:sz w:val="16"/>
                <w:szCs w:val="16"/>
                <w:b w:val="1"/>
                <w:bCs w:val="1"/>
                <w:i w:val="1"/>
                <w:iCs w:val="1"/>
                <w:color w:val="auto"/>
              </w:rPr>
              <w:t>Duties of our Lead Independent Director</w:t>
            </w:r>
          </w:p>
        </w:tc>
        <w:tc>
          <w:tcPr>
            <w:tcW w:w="3500" w:type="dxa"/>
            <w:vAlign w:val="bottom"/>
            <w:tcBorders>
              <w:top w:val="single" w:sz="8" w:color="auto"/>
            </w:tcBorders>
            <w:shd w:val="clear" w:color="auto" w:fill="DBE5F1"/>
          </w:tcPr>
          <w:p>
            <w:pPr>
              <w:spacing w:after="0"/>
              <w:rPr>
                <w:sz w:val="20"/>
                <w:szCs w:val="20"/>
                <w:color w:val="auto"/>
              </w:rPr>
            </w:pPr>
          </w:p>
        </w:tc>
        <w:tc>
          <w:tcPr>
            <w:tcW w:w="3700" w:type="dxa"/>
            <w:vAlign w:val="bottom"/>
            <w:tcBorders>
              <w:top w:val="single" w:sz="8" w:color="auto"/>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3940" w:type="dxa"/>
            <w:vAlign w:val="bottom"/>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Provides input on Board meeting agendas and</w:t>
            </w:r>
          </w:p>
        </w:tc>
        <w:tc>
          <w:tcPr>
            <w:tcW w:w="3500" w:type="dxa"/>
            <w:vAlign w:val="bottom"/>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Serves as a liaison between our Board</w:t>
            </w:r>
          </w:p>
        </w:tc>
        <w:tc>
          <w:tcPr>
            <w:tcW w:w="370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Participates in and oversees the annual</w:t>
            </w:r>
          </w:p>
        </w:tc>
        <w:tc>
          <w:tcPr>
            <w:tcW w:w="0" w:type="dxa"/>
            <w:vAlign w:val="bottom"/>
          </w:tcPr>
          <w:p>
            <w:pPr>
              <w:spacing w:after="0"/>
              <w:rPr>
                <w:sz w:val="1"/>
                <w:szCs w:val="1"/>
                <w:color w:val="auto"/>
              </w:rPr>
            </w:pPr>
          </w:p>
        </w:tc>
      </w:tr>
      <w:tr>
        <w:trPr>
          <w:trHeight w:val="189"/>
        </w:trPr>
        <w:tc>
          <w:tcPr>
            <w:tcW w:w="39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schedules and materials distributed to the</w:t>
            </w:r>
          </w:p>
        </w:tc>
        <w:tc>
          <w:tcPr>
            <w:tcW w:w="3500" w:type="dxa"/>
            <w:vAlign w:val="bottom"/>
            <w:shd w:val="clear" w:color="auto" w:fill="DBE5F1"/>
          </w:tcPr>
          <w:p>
            <w:pPr>
              <w:ind w:left="480"/>
              <w:spacing w:after="0"/>
              <w:rPr>
                <w:sz w:val="20"/>
                <w:szCs w:val="20"/>
                <w:color w:val="auto"/>
              </w:rPr>
            </w:pPr>
            <w:r>
              <w:rPr>
                <w:rFonts w:ascii="Arial" w:cs="Arial" w:eastAsia="Arial" w:hAnsi="Arial"/>
                <w:sz w:val="16"/>
                <w:szCs w:val="16"/>
                <w:color w:val="auto"/>
              </w:rPr>
              <w:t>Chair, CEO and other management, on</w:t>
            </w:r>
          </w:p>
        </w:tc>
        <w:tc>
          <w:tcPr>
            <w:tcW w:w="3700" w:type="dxa"/>
            <w:vAlign w:val="bottom"/>
            <w:shd w:val="clear" w:color="auto" w:fill="DBE5F1"/>
          </w:tcPr>
          <w:p>
            <w:pPr>
              <w:ind w:left="520"/>
              <w:spacing w:after="0"/>
              <w:rPr>
                <w:sz w:val="20"/>
                <w:szCs w:val="20"/>
                <w:color w:val="auto"/>
              </w:rPr>
            </w:pPr>
            <w:r>
              <w:rPr>
                <w:rFonts w:ascii="Arial" w:cs="Arial" w:eastAsia="Arial" w:hAnsi="Arial"/>
                <w:sz w:val="16"/>
                <w:szCs w:val="16"/>
                <w:color w:val="auto"/>
              </w:rPr>
              <w:t>evaluation of our CEO</w:t>
            </w:r>
          </w:p>
        </w:tc>
        <w:tc>
          <w:tcPr>
            <w:tcW w:w="0" w:type="dxa"/>
            <w:vAlign w:val="bottom"/>
          </w:tcPr>
          <w:p>
            <w:pPr>
              <w:spacing w:after="0"/>
              <w:rPr>
                <w:sz w:val="1"/>
                <w:szCs w:val="1"/>
                <w:color w:val="auto"/>
              </w:rPr>
            </w:pPr>
          </w:p>
        </w:tc>
      </w:tr>
      <w:tr>
        <w:trPr>
          <w:trHeight w:val="203"/>
        </w:trPr>
        <w:tc>
          <w:tcPr>
            <w:tcW w:w="39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Board</w:t>
            </w:r>
          </w:p>
        </w:tc>
        <w:tc>
          <w:tcPr>
            <w:tcW w:w="3500" w:type="dxa"/>
            <w:vAlign w:val="bottom"/>
            <w:shd w:val="clear" w:color="auto" w:fill="DBE5F1"/>
          </w:tcPr>
          <w:p>
            <w:pPr>
              <w:ind w:left="480"/>
              <w:spacing w:after="0"/>
              <w:rPr>
                <w:sz w:val="20"/>
                <w:szCs w:val="20"/>
                <w:color w:val="auto"/>
              </w:rPr>
            </w:pPr>
            <w:r>
              <w:rPr>
                <w:rFonts w:ascii="Arial" w:cs="Arial" w:eastAsia="Arial" w:hAnsi="Arial"/>
                <w:sz w:val="16"/>
                <w:szCs w:val="16"/>
                <w:color w:val="auto"/>
              </w:rPr>
              <w:t>the one hand, and the independent</w:t>
            </w:r>
          </w:p>
        </w:tc>
        <w:tc>
          <w:tcPr>
            <w:tcW w:w="3700" w:type="dxa"/>
            <w:vAlign w:val="bottom"/>
            <w:vMerge w:val="restart"/>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Consults directly with Company</w:t>
            </w:r>
          </w:p>
        </w:tc>
        <w:tc>
          <w:tcPr>
            <w:tcW w:w="0" w:type="dxa"/>
            <w:vAlign w:val="bottom"/>
          </w:tcPr>
          <w:p>
            <w:pPr>
              <w:spacing w:after="0"/>
              <w:rPr>
                <w:sz w:val="1"/>
                <w:szCs w:val="1"/>
                <w:color w:val="auto"/>
              </w:rPr>
            </w:pPr>
          </w:p>
        </w:tc>
      </w:tr>
      <w:tr>
        <w:trPr>
          <w:trHeight w:val="121"/>
        </w:trPr>
        <w:tc>
          <w:tcPr>
            <w:tcW w:w="394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Presides over periodic meetings of the</w:t>
            </w:r>
          </w:p>
        </w:tc>
        <w:tc>
          <w:tcPr>
            <w:tcW w:w="35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directors, on the other</w:t>
            </w:r>
          </w:p>
        </w:tc>
        <w:tc>
          <w:tcPr>
            <w:tcW w:w="370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940" w:type="dxa"/>
            <w:vAlign w:val="bottom"/>
            <w:vMerge w:val="continue"/>
            <w:shd w:val="clear" w:color="auto" w:fill="DBE5F1"/>
          </w:tcPr>
          <w:p>
            <w:pPr>
              <w:spacing w:after="0"/>
              <w:rPr>
                <w:sz w:val="8"/>
                <w:szCs w:val="8"/>
                <w:color w:val="auto"/>
              </w:rPr>
            </w:pPr>
          </w:p>
        </w:tc>
        <w:tc>
          <w:tcPr>
            <w:tcW w:w="3500" w:type="dxa"/>
            <w:vAlign w:val="bottom"/>
            <w:vMerge w:val="continue"/>
            <w:shd w:val="clear" w:color="auto" w:fill="DBE5F1"/>
          </w:tcPr>
          <w:p>
            <w:pPr>
              <w:spacing w:after="0"/>
              <w:rPr>
                <w:sz w:val="8"/>
                <w:szCs w:val="8"/>
                <w:color w:val="auto"/>
              </w:rPr>
            </w:pPr>
          </w:p>
        </w:tc>
        <w:tc>
          <w:tcPr>
            <w:tcW w:w="370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management as appropriate</w:t>
            </w:r>
          </w:p>
        </w:tc>
        <w:tc>
          <w:tcPr>
            <w:tcW w:w="0" w:type="dxa"/>
            <w:vAlign w:val="bottom"/>
          </w:tcPr>
          <w:p>
            <w:pPr>
              <w:spacing w:after="0"/>
              <w:rPr>
                <w:sz w:val="1"/>
                <w:szCs w:val="1"/>
                <w:color w:val="auto"/>
              </w:rPr>
            </w:pPr>
          </w:p>
        </w:tc>
      </w:tr>
      <w:tr>
        <w:trPr>
          <w:trHeight w:val="109"/>
        </w:trPr>
        <w:tc>
          <w:tcPr>
            <w:tcW w:w="3940" w:type="dxa"/>
            <w:vAlign w:val="bottom"/>
            <w:vMerge w:val="continue"/>
            <w:shd w:val="clear" w:color="auto" w:fill="DBE5F1"/>
          </w:tcPr>
          <w:p>
            <w:pPr>
              <w:spacing w:after="0"/>
              <w:rPr>
                <w:sz w:val="9"/>
                <w:szCs w:val="9"/>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Assumes leadership role in the Board’s</w:t>
            </w:r>
          </w:p>
        </w:tc>
        <w:tc>
          <w:tcPr>
            <w:tcW w:w="370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9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Company’s independent directors</w:t>
            </w:r>
          </w:p>
        </w:tc>
        <w:tc>
          <w:tcPr>
            <w:tcW w:w="3500" w:type="dxa"/>
            <w:vAlign w:val="bottom"/>
            <w:vMerge w:val="continue"/>
            <w:shd w:val="clear" w:color="auto" w:fill="DBE5F1"/>
          </w:tcPr>
          <w:p>
            <w:pPr>
              <w:spacing w:after="0"/>
              <w:rPr>
                <w:sz w:val="16"/>
                <w:szCs w:val="16"/>
                <w:color w:val="auto"/>
              </w:rPr>
            </w:pPr>
          </w:p>
        </w:tc>
        <w:tc>
          <w:tcPr>
            <w:tcW w:w="3700" w:type="dxa"/>
            <w:vAlign w:val="bottom"/>
            <w:vMerge w:val="restart"/>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Such additional duties as our Board may</w:t>
            </w:r>
          </w:p>
        </w:tc>
        <w:tc>
          <w:tcPr>
            <w:tcW w:w="0" w:type="dxa"/>
            <w:vAlign w:val="bottom"/>
          </w:tcPr>
          <w:p>
            <w:pPr>
              <w:spacing w:after="0"/>
              <w:rPr>
                <w:sz w:val="1"/>
                <w:szCs w:val="1"/>
                <w:color w:val="auto"/>
              </w:rPr>
            </w:pPr>
          </w:p>
        </w:tc>
      </w:tr>
      <w:tr>
        <w:trPr>
          <w:trHeight w:val="135"/>
        </w:trPr>
        <w:tc>
          <w:tcPr>
            <w:tcW w:w="394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Consults directly with significant stockholders,</w:t>
            </w:r>
          </w:p>
        </w:tc>
        <w:tc>
          <w:tcPr>
            <w:tcW w:w="35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annual evaluation of its composition,</w:t>
            </w:r>
          </w:p>
        </w:tc>
        <w:tc>
          <w:tcPr>
            <w:tcW w:w="370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940" w:type="dxa"/>
            <w:vAlign w:val="bottom"/>
            <w:vMerge w:val="continue"/>
            <w:shd w:val="clear" w:color="auto" w:fill="DBE5F1"/>
          </w:tcPr>
          <w:p>
            <w:pPr>
              <w:spacing w:after="0"/>
              <w:rPr>
                <w:sz w:val="5"/>
                <w:szCs w:val="5"/>
                <w:color w:val="auto"/>
              </w:rPr>
            </w:pPr>
          </w:p>
        </w:tc>
        <w:tc>
          <w:tcPr>
            <w:tcW w:w="3500" w:type="dxa"/>
            <w:vAlign w:val="bottom"/>
            <w:vMerge w:val="continue"/>
            <w:shd w:val="clear" w:color="auto" w:fill="DBE5F1"/>
          </w:tcPr>
          <w:p>
            <w:pPr>
              <w:spacing w:after="0"/>
              <w:rPr>
                <w:sz w:val="5"/>
                <w:szCs w:val="5"/>
                <w:color w:val="auto"/>
              </w:rPr>
            </w:pPr>
          </w:p>
        </w:tc>
        <w:tc>
          <w:tcPr>
            <w:tcW w:w="3700" w:type="dxa"/>
            <w:vAlign w:val="bottom"/>
            <w:vMerge w:val="restart"/>
            <w:shd w:val="clear" w:color="auto" w:fill="DBE5F1"/>
          </w:tcPr>
          <w:p>
            <w:pPr>
              <w:ind w:left="520"/>
              <w:spacing w:after="0"/>
              <w:rPr>
                <w:sz w:val="20"/>
                <w:szCs w:val="20"/>
                <w:color w:val="auto"/>
              </w:rPr>
            </w:pPr>
            <w:r>
              <w:rPr>
                <w:rFonts w:ascii="Arial" w:cs="Arial" w:eastAsia="Arial" w:hAnsi="Arial"/>
                <w:sz w:val="16"/>
                <w:szCs w:val="16"/>
                <w:color w:val="auto"/>
              </w:rPr>
              <w:t>otherwise determine and delegate</w:t>
            </w:r>
          </w:p>
        </w:tc>
        <w:tc>
          <w:tcPr>
            <w:tcW w:w="0" w:type="dxa"/>
            <w:vAlign w:val="bottom"/>
          </w:tcPr>
          <w:p>
            <w:pPr>
              <w:spacing w:after="0"/>
              <w:rPr>
                <w:sz w:val="1"/>
                <w:szCs w:val="1"/>
                <w:color w:val="auto"/>
              </w:rPr>
            </w:pPr>
          </w:p>
        </w:tc>
      </w:tr>
      <w:tr>
        <w:trPr>
          <w:trHeight w:val="122"/>
        </w:trPr>
        <w:tc>
          <w:tcPr>
            <w:tcW w:w="3940" w:type="dxa"/>
            <w:vAlign w:val="bottom"/>
            <w:vMerge w:val="continue"/>
            <w:shd w:val="clear" w:color="auto" w:fill="DBE5F1"/>
          </w:tcPr>
          <w:p>
            <w:pPr>
              <w:spacing w:after="0"/>
              <w:rPr>
                <w:sz w:val="10"/>
                <w:szCs w:val="10"/>
                <w:color w:val="auto"/>
              </w:rPr>
            </w:pPr>
          </w:p>
        </w:tc>
        <w:tc>
          <w:tcPr>
            <w:tcW w:w="35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processes and design</w:t>
            </w:r>
          </w:p>
        </w:tc>
        <w:tc>
          <w:tcPr>
            <w:tcW w:w="370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394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upon request</w:t>
            </w:r>
          </w:p>
        </w:tc>
        <w:tc>
          <w:tcPr>
            <w:tcW w:w="3500" w:type="dxa"/>
            <w:vAlign w:val="bottom"/>
            <w:vMerge w:val="continue"/>
            <w:shd w:val="clear" w:color="auto" w:fill="DBE5F1"/>
          </w:tcPr>
          <w:p>
            <w:pPr>
              <w:spacing w:after="0"/>
              <w:rPr>
                <w:sz w:val="8"/>
                <w:szCs w:val="8"/>
                <w:color w:val="auto"/>
              </w:rPr>
            </w:pPr>
          </w:p>
        </w:tc>
        <w:tc>
          <w:tcPr>
            <w:tcW w:w="37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940" w:type="dxa"/>
            <w:vAlign w:val="bottom"/>
            <w:vMerge w:val="continue"/>
            <w:shd w:val="clear" w:color="auto" w:fill="DBE5F1"/>
          </w:tcPr>
          <w:p>
            <w:pPr>
              <w:spacing w:after="0"/>
              <w:rPr>
                <w:sz w:val="10"/>
                <w:szCs w:val="10"/>
                <w:color w:val="auto"/>
              </w:rPr>
            </w:pPr>
          </w:p>
        </w:tc>
        <w:tc>
          <w:tcPr>
            <w:tcW w:w="3500" w:type="dxa"/>
            <w:vAlign w:val="bottom"/>
            <w:shd w:val="clear" w:color="auto" w:fill="DBE5F1"/>
          </w:tcPr>
          <w:p>
            <w:pPr>
              <w:spacing w:after="0"/>
              <w:rPr>
                <w:sz w:val="10"/>
                <w:szCs w:val="10"/>
                <w:color w:val="auto"/>
              </w:rPr>
            </w:pPr>
          </w:p>
        </w:tc>
        <w:tc>
          <w:tcPr>
            <w:tcW w:w="370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940" w:type="dxa"/>
            <w:vAlign w:val="bottom"/>
            <w:tcBorders>
              <w:bottom w:val="single" w:sz="8" w:color="auto"/>
            </w:tcBorders>
            <w:shd w:val="clear" w:color="auto" w:fill="DBE5F1"/>
          </w:tcPr>
          <w:p>
            <w:pPr>
              <w:spacing w:after="0"/>
              <w:rPr>
                <w:sz w:val="11"/>
                <w:szCs w:val="11"/>
                <w:color w:val="auto"/>
              </w:rPr>
            </w:pPr>
          </w:p>
        </w:tc>
        <w:tc>
          <w:tcPr>
            <w:tcW w:w="3500" w:type="dxa"/>
            <w:vAlign w:val="bottom"/>
            <w:tcBorders>
              <w:bottom w:val="single" w:sz="8" w:color="auto"/>
            </w:tcBorders>
            <w:shd w:val="clear" w:color="auto" w:fill="DBE5F1"/>
          </w:tcPr>
          <w:p>
            <w:pPr>
              <w:spacing w:after="0"/>
              <w:rPr>
                <w:sz w:val="11"/>
                <w:szCs w:val="11"/>
                <w:color w:val="auto"/>
              </w:rPr>
            </w:pPr>
          </w:p>
        </w:tc>
        <w:tc>
          <w:tcPr>
            <w:tcW w:w="3700" w:type="dxa"/>
            <w:vAlign w:val="bottom"/>
            <w:tcBorders>
              <w:bottom w:val="single" w:sz="8" w:color="auto"/>
            </w:tcBorders>
            <w:shd w:val="clear" w:color="auto" w:fill="DBE5F1"/>
          </w:tcPr>
          <w:p>
            <w:pPr>
              <w:spacing w:after="0"/>
              <w:rPr>
                <w:sz w:val="11"/>
                <w:szCs w:val="1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Collectively, we believe that our Board Chair and Lead Independent Director are well positioned to objectively evaluate and oversee management’s performance, ensure management accountability, implement and enforce strong corporate governance and align management with the best interests of the Company and its stockholders.</w:t>
      </w:r>
    </w:p>
    <w:p>
      <w:pPr>
        <w:spacing w:after="0" w:line="198" w:lineRule="exact"/>
        <w:rPr>
          <w:sz w:val="20"/>
          <w:szCs w:val="20"/>
          <w:color w:val="auto"/>
        </w:rPr>
      </w:pPr>
    </w:p>
    <w:p>
      <w:pPr>
        <w:ind w:right="200" w:firstLine="567"/>
        <w:spacing w:after="0" w:line="255" w:lineRule="auto"/>
        <w:rPr>
          <w:sz w:val="20"/>
          <w:szCs w:val="20"/>
          <w:color w:val="auto"/>
        </w:rPr>
      </w:pPr>
      <w:r>
        <w:rPr>
          <w:rFonts w:ascii="Arial" w:cs="Arial" w:eastAsia="Arial" w:hAnsi="Arial"/>
          <w:sz w:val="18"/>
          <w:szCs w:val="18"/>
          <w:color w:val="auto"/>
        </w:rPr>
        <w:t>The Board believes the advisability of having separate or combined Board Chair and Chief Executive Officer positions is dependent upon the strengths of the individual or individuals that hold these positions and the most effective means of leveraging these strengths, to lead the Board, set Board agendas, augment the Company’s strategic efforts, support management, and identify and oversee key risks in light of the challenges and circumstances facing the Company, which may change over time. At any time during which the Chief Executive Officer and Board Chair positions are combined, or during which the Board Chair is not independent, the Board would appoint a Lead Independent Director. Our stockholders would be notified promptly upon the occurrence of any changes to our current Board leadership structure. We are continually seeking stockholder input on important matters, including our governance structure, through our stockholder engagement program.</w:t>
      </w:r>
    </w:p>
    <w:p>
      <w:pPr>
        <w:spacing w:after="0" w:line="185"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The independent directors have the opportunity to meet in executive session without members of management as often as they deem appropriate, but at a minimum do so at each regularly scheduled quarterly Board meeting. Our Board leadership structure also includes active and empowered committee chairs, who lead oversight of specific risk areas, regularly provide reports and make recommendations to the Board and who consult directly with members of Company management on a variety of matters.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The Board’s Role in Risk Oversight</w:t>
      </w:r>
    </w:p>
    <w:p>
      <w:pPr>
        <w:spacing w:after="0" w:line="171" w:lineRule="exact"/>
        <w:rPr>
          <w:sz w:val="20"/>
          <w:szCs w:val="20"/>
          <w:color w:val="auto"/>
        </w:rPr>
      </w:pPr>
    </w:p>
    <w:p>
      <w:pPr>
        <w:ind w:right="80" w:firstLine="492"/>
        <w:spacing w:after="0" w:line="268" w:lineRule="auto"/>
        <w:rPr>
          <w:sz w:val="20"/>
          <w:szCs w:val="20"/>
          <w:color w:val="auto"/>
        </w:rPr>
      </w:pPr>
      <w:r>
        <w:rPr>
          <w:rFonts w:ascii="Arial" w:cs="Arial" w:eastAsia="Arial" w:hAnsi="Arial"/>
          <w:sz w:val="18"/>
          <w:szCs w:val="18"/>
          <w:color w:val="auto"/>
        </w:rPr>
        <w:t>One of our Board’s key functions is informed oversight of our risk management process. Our Board administers this oversight function directly as well as through the Board’s standing committees. Our officers are responsible for day-to-day management of the material risks that the Company takes. Management and the Board and committees view their respective risk management roles,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13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collaboration amongst them in the identification, oversight, evaluation and management of risk, as paramount to the Company’s short-term viability and long-term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572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of Directors</w:t>
      </w:r>
    </w:p>
    <w:p>
      <w:pPr>
        <w:spacing w:after="0" w:line="46" w:lineRule="exact"/>
        <w:rPr>
          <w:sz w:val="20"/>
          <w:szCs w:val="20"/>
          <w:color w:val="auto"/>
        </w:rPr>
      </w:pPr>
    </w:p>
    <w:p>
      <w:pPr>
        <w:ind w:left="80" w:right="120"/>
        <w:spacing w:after="0" w:line="265" w:lineRule="auto"/>
        <w:rPr>
          <w:sz w:val="20"/>
          <w:szCs w:val="20"/>
          <w:color w:val="auto"/>
        </w:rPr>
      </w:pPr>
      <w:r>
        <w:rPr>
          <w:rFonts w:ascii="Arial" w:cs="Arial" w:eastAsia="Arial" w:hAnsi="Arial"/>
          <w:sz w:val="16"/>
          <w:szCs w:val="16"/>
          <w:color w:val="auto"/>
        </w:rPr>
        <w:t>The Board as a whole has overall responsibility for risk oversight. It routinely monitors the nature and severity of significant risk exposures, potential mitigation measures and the quality and effectiveness of our enterprise risk management (“ERM”) program. On at least a quarterly basis and more frequently as needed, our Board and committees assess the Company’s risk environment, consult with management and relevant outside advisors, review and analyze key risk areas, including new business, financial, operations and compliance, and analyze regulatory developments affecting such risks. Oversight includes both short-term operational risks and long-term 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 w:type="dxa"/>
            <w:vAlign w:val="bottom"/>
            <w:tcBorders>
              <w:top w:val="single" w:sz="8" w:color="auto"/>
            </w:tcBorders>
            <w:shd w:val="clear" w:color="auto" w:fill="DBE5F1"/>
          </w:tcPr>
          <w:p>
            <w:pPr>
              <w:spacing w:after="0"/>
              <w:rPr>
                <w:sz w:val="15"/>
                <w:szCs w:val="15"/>
                <w:color w:val="auto"/>
              </w:rPr>
            </w:pPr>
          </w:p>
        </w:tc>
        <w:tc>
          <w:tcPr>
            <w:tcW w:w="3500" w:type="dxa"/>
            <w:vAlign w:val="bottom"/>
            <w:tcBorders>
              <w:top w:val="single" w:sz="8" w:color="auto"/>
            </w:tcBorders>
            <w:shd w:val="clear" w:color="auto" w:fill="DBE5F1"/>
          </w:tcPr>
          <w:p>
            <w:pPr>
              <w:ind w:left="100"/>
              <w:spacing w:after="0" w:line="175" w:lineRule="exact"/>
              <w:rPr>
                <w:sz w:val="20"/>
                <w:szCs w:val="20"/>
                <w:color w:val="auto"/>
              </w:rPr>
            </w:pPr>
            <w:r>
              <w:rPr>
                <w:rFonts w:ascii="Arial" w:cs="Arial" w:eastAsia="Arial" w:hAnsi="Arial"/>
                <w:sz w:val="16"/>
                <w:szCs w:val="16"/>
                <w:b w:val="1"/>
                <w:bCs w:val="1"/>
                <w:color w:val="auto"/>
              </w:rPr>
              <w:t>Nominating, Corporate Governance and</w:t>
            </w:r>
          </w:p>
        </w:tc>
        <w:tc>
          <w:tcPr>
            <w:tcW w:w="3680" w:type="dxa"/>
            <w:vAlign w:val="bottom"/>
            <w:tcBorders>
              <w:top w:val="single" w:sz="8" w:color="auto"/>
            </w:tcBorders>
            <w:vMerge w:val="restart"/>
            <w:shd w:val="clear" w:color="auto" w:fill="DBE5F1"/>
          </w:tcPr>
          <w:p>
            <w:pPr>
              <w:ind w:left="1220"/>
              <w:spacing w:after="0"/>
              <w:rPr>
                <w:sz w:val="20"/>
                <w:szCs w:val="20"/>
                <w:color w:val="auto"/>
              </w:rPr>
            </w:pPr>
            <w:r>
              <w:rPr>
                <w:rFonts w:ascii="Arial" w:cs="Arial" w:eastAsia="Arial" w:hAnsi="Arial"/>
                <w:sz w:val="16"/>
                <w:szCs w:val="16"/>
                <w:b w:val="1"/>
                <w:bCs w:val="1"/>
                <w:color w:val="auto"/>
              </w:rPr>
              <w:t>Audit Committee</w:t>
            </w:r>
          </w:p>
        </w:tc>
        <w:tc>
          <w:tcPr>
            <w:tcW w:w="3820" w:type="dxa"/>
            <w:vAlign w:val="bottom"/>
            <w:tcBorders>
              <w:top w:val="single" w:sz="8" w:color="auto"/>
            </w:tcBorders>
            <w:vMerge w:val="restart"/>
            <w:shd w:val="clear" w:color="auto" w:fill="DBE5F1"/>
          </w:tcPr>
          <w:p>
            <w:pPr>
              <w:ind w:left="940"/>
              <w:spacing w:after="0"/>
              <w:rPr>
                <w:sz w:val="20"/>
                <w:szCs w:val="20"/>
                <w:color w:val="auto"/>
              </w:rPr>
            </w:pPr>
            <w:r>
              <w:rPr>
                <w:rFonts w:ascii="Arial" w:cs="Arial" w:eastAsia="Arial" w:hAnsi="Arial"/>
                <w:sz w:val="16"/>
                <w:szCs w:val="16"/>
                <w:b w:val="1"/>
                <w:bCs w:val="1"/>
                <w:color w:val="auto"/>
              </w:rPr>
              <w:t>Compensation Committee</w:t>
            </w:r>
          </w:p>
        </w:tc>
        <w:tc>
          <w:tcPr>
            <w:tcW w:w="0" w:type="dxa"/>
            <w:vAlign w:val="bottom"/>
          </w:tcPr>
          <w:p>
            <w:pPr>
              <w:spacing w:after="0"/>
              <w:rPr>
                <w:sz w:val="1"/>
                <w:szCs w:val="1"/>
                <w:color w:val="auto"/>
              </w:rPr>
            </w:pPr>
          </w:p>
        </w:tc>
      </w:tr>
      <w:tr>
        <w:trPr>
          <w:trHeight w:val="141"/>
        </w:trPr>
        <w:tc>
          <w:tcPr>
            <w:tcW w:w="240" w:type="dxa"/>
            <w:vAlign w:val="bottom"/>
            <w:shd w:val="clear" w:color="auto" w:fill="DBE5F1"/>
          </w:tcPr>
          <w:p>
            <w:pPr>
              <w:spacing w:after="0"/>
              <w:rPr>
                <w:sz w:val="12"/>
                <w:szCs w:val="12"/>
                <w:color w:val="auto"/>
              </w:rPr>
            </w:pPr>
          </w:p>
        </w:tc>
        <w:tc>
          <w:tcPr>
            <w:tcW w:w="3500" w:type="dxa"/>
            <w:vAlign w:val="bottom"/>
            <w:vMerge w:val="restart"/>
            <w:shd w:val="clear" w:color="auto" w:fill="DBE5F1"/>
          </w:tcPr>
          <w:p>
            <w:pPr>
              <w:ind w:left="740"/>
              <w:spacing w:after="0"/>
              <w:rPr>
                <w:sz w:val="20"/>
                <w:szCs w:val="20"/>
                <w:color w:val="auto"/>
              </w:rPr>
            </w:pPr>
            <w:r>
              <w:rPr>
                <w:rFonts w:ascii="Arial" w:cs="Arial" w:eastAsia="Arial" w:hAnsi="Arial"/>
                <w:sz w:val="16"/>
                <w:szCs w:val="16"/>
                <w:b w:val="1"/>
                <w:bCs w:val="1"/>
                <w:color w:val="auto"/>
              </w:rPr>
              <w:t>Compliance Committee</w:t>
            </w:r>
          </w:p>
        </w:tc>
        <w:tc>
          <w:tcPr>
            <w:tcW w:w="3680" w:type="dxa"/>
            <w:vAlign w:val="bottom"/>
            <w:vMerge w:val="continue"/>
            <w:shd w:val="clear" w:color="auto" w:fill="DBE5F1"/>
          </w:tcPr>
          <w:p>
            <w:pPr>
              <w:spacing w:after="0"/>
              <w:rPr>
                <w:sz w:val="12"/>
                <w:szCs w:val="12"/>
                <w:color w:val="auto"/>
              </w:rPr>
            </w:pPr>
          </w:p>
        </w:tc>
        <w:tc>
          <w:tcPr>
            <w:tcW w:w="382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40" w:type="dxa"/>
            <w:vAlign w:val="bottom"/>
            <w:shd w:val="clear" w:color="auto" w:fill="DBE5F1"/>
          </w:tcPr>
          <w:p>
            <w:pPr>
              <w:spacing w:after="0"/>
              <w:rPr>
                <w:sz w:val="6"/>
                <w:szCs w:val="6"/>
                <w:color w:val="auto"/>
              </w:rPr>
            </w:pPr>
          </w:p>
        </w:tc>
        <w:tc>
          <w:tcPr>
            <w:tcW w:w="3500" w:type="dxa"/>
            <w:vAlign w:val="bottom"/>
            <w:vMerge w:val="continue"/>
            <w:shd w:val="clear" w:color="auto" w:fill="DBE5F1"/>
          </w:tcPr>
          <w:p>
            <w:pPr>
              <w:spacing w:after="0"/>
              <w:rPr>
                <w:sz w:val="6"/>
                <w:szCs w:val="6"/>
                <w:color w:val="auto"/>
              </w:rPr>
            </w:pPr>
          </w:p>
        </w:tc>
        <w:tc>
          <w:tcPr>
            <w:tcW w:w="3680" w:type="dxa"/>
            <w:vAlign w:val="bottom"/>
            <w:shd w:val="clear" w:color="auto" w:fill="DBE5F1"/>
          </w:tcPr>
          <w:p>
            <w:pPr>
              <w:spacing w:after="0"/>
              <w:rPr>
                <w:sz w:val="6"/>
                <w:szCs w:val="6"/>
                <w:color w:val="auto"/>
              </w:rPr>
            </w:pPr>
          </w:p>
        </w:tc>
        <w:tc>
          <w:tcPr>
            <w:tcW w:w="3820" w:type="dxa"/>
            <w:vAlign w:val="bottom"/>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40" w:type="dxa"/>
            <w:vAlign w:val="bottom"/>
            <w:shd w:val="clear" w:color="auto" w:fill="DBE5F1"/>
          </w:tcPr>
          <w:p>
            <w:pPr>
              <w:ind w:left="80"/>
              <w:spacing w:after="0"/>
              <w:rPr>
                <w:sz w:val="20"/>
                <w:szCs w:val="20"/>
                <w:color w:val="auto"/>
              </w:rPr>
            </w:pPr>
            <w:r>
              <w:rPr>
                <w:rFonts w:ascii="Arial" w:cs="Arial" w:eastAsia="Arial" w:hAnsi="Arial"/>
                <w:sz w:val="18"/>
                <w:szCs w:val="18"/>
                <w:color w:val="auto"/>
              </w:rPr>
              <w:t>•</w:t>
            </w:r>
          </w:p>
        </w:tc>
        <w:tc>
          <w:tcPr>
            <w:tcW w:w="3500" w:type="dxa"/>
            <w:vAlign w:val="bottom"/>
            <w:shd w:val="clear" w:color="auto" w:fill="DBE5F1"/>
          </w:tcPr>
          <w:p>
            <w:pPr>
              <w:ind w:left="140"/>
              <w:spacing w:after="0"/>
              <w:rPr>
                <w:sz w:val="20"/>
                <w:szCs w:val="20"/>
                <w:color w:val="auto"/>
              </w:rPr>
            </w:pPr>
            <w:r>
              <w:rPr>
                <w:rFonts w:ascii="Arial" w:cs="Arial" w:eastAsia="Arial" w:hAnsi="Arial"/>
                <w:sz w:val="16"/>
                <w:szCs w:val="16"/>
                <w:color w:val="auto"/>
              </w:rPr>
              <w:t>Has primary responsibility for oversight of our</w:t>
            </w:r>
          </w:p>
        </w:tc>
        <w:tc>
          <w:tcPr>
            <w:tcW w:w="3680" w:type="dxa"/>
            <w:vAlign w:val="bottom"/>
            <w:shd w:val="clear" w:color="auto" w:fill="DBE5F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Oversees our major financial risk exposures</w:t>
            </w:r>
          </w:p>
        </w:tc>
        <w:tc>
          <w:tcPr>
            <w:tcW w:w="3820" w:type="dxa"/>
            <w:vAlign w:val="bottom"/>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Assesses and monitors risks related to our</w:t>
            </w:r>
          </w:p>
        </w:tc>
        <w:tc>
          <w:tcPr>
            <w:tcW w:w="0" w:type="dxa"/>
            <w:vAlign w:val="bottom"/>
          </w:tcPr>
          <w:p>
            <w:pPr>
              <w:spacing w:after="0"/>
              <w:rPr>
                <w:sz w:val="1"/>
                <w:szCs w:val="1"/>
                <w:color w:val="auto"/>
              </w:rPr>
            </w:pPr>
          </w:p>
        </w:tc>
      </w:tr>
      <w:tr>
        <w:trPr>
          <w:trHeight w:val="161"/>
        </w:trPr>
        <w:tc>
          <w:tcPr>
            <w:tcW w:w="240" w:type="dxa"/>
            <w:vAlign w:val="bottom"/>
            <w:shd w:val="clear" w:color="auto" w:fill="DBE5F1"/>
          </w:tcPr>
          <w:p>
            <w:pPr>
              <w:spacing w:after="0"/>
              <w:rPr>
                <w:sz w:val="14"/>
                <w:szCs w:val="14"/>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ERM program, consults with management</w:t>
            </w:r>
          </w:p>
        </w:tc>
        <w:tc>
          <w:tcPr>
            <w:tcW w:w="3680" w:type="dxa"/>
            <w:vAlign w:val="bottom"/>
            <w:shd w:val="clear" w:color="auto" w:fill="DBE5F1"/>
          </w:tcPr>
          <w:p>
            <w:pPr>
              <w:ind w:left="400"/>
              <w:spacing w:after="0" w:line="161" w:lineRule="exact"/>
              <w:rPr>
                <w:sz w:val="20"/>
                <w:szCs w:val="20"/>
                <w:color w:val="auto"/>
              </w:rPr>
            </w:pPr>
            <w:r>
              <w:rPr>
                <w:rFonts w:ascii="Arial" w:cs="Arial" w:eastAsia="Arial" w:hAnsi="Arial"/>
                <w:sz w:val="16"/>
                <w:szCs w:val="16"/>
                <w:color w:val="auto"/>
              </w:rPr>
              <w:t>and management actions to monitor and</w:t>
            </w:r>
          </w:p>
        </w:tc>
        <w:tc>
          <w:tcPr>
            <w:tcW w:w="3820" w:type="dxa"/>
            <w:vAlign w:val="bottom"/>
            <w:shd w:val="clear" w:color="auto" w:fill="DBE5F1"/>
          </w:tcPr>
          <w:p>
            <w:pPr>
              <w:ind w:left="460"/>
              <w:spacing w:after="0" w:line="161" w:lineRule="exact"/>
              <w:rPr>
                <w:sz w:val="20"/>
                <w:szCs w:val="20"/>
                <w:color w:val="auto"/>
              </w:rPr>
            </w:pPr>
            <w:r>
              <w:rPr>
                <w:rFonts w:ascii="Arial" w:cs="Arial" w:eastAsia="Arial" w:hAnsi="Arial"/>
                <w:sz w:val="16"/>
                <w:szCs w:val="16"/>
                <w:color w:val="auto"/>
              </w:rPr>
              <w:t>compensation policies and programs, such</w:t>
            </w:r>
          </w:p>
        </w:tc>
        <w:tc>
          <w:tcPr>
            <w:tcW w:w="0" w:type="dxa"/>
            <w:vAlign w:val="bottom"/>
          </w:tcPr>
          <w:p>
            <w:pPr>
              <w:spacing w:after="0"/>
              <w:rPr>
                <w:sz w:val="1"/>
                <w:szCs w:val="1"/>
                <w:color w:val="auto"/>
              </w:rPr>
            </w:pPr>
          </w:p>
        </w:tc>
      </w:tr>
      <w:tr>
        <w:trPr>
          <w:trHeight w:val="81"/>
        </w:trPr>
        <w:tc>
          <w:tcPr>
            <w:tcW w:w="240" w:type="dxa"/>
            <w:vAlign w:val="bottom"/>
            <w:shd w:val="clear" w:color="auto" w:fill="DBE5F1"/>
          </w:tcPr>
          <w:p>
            <w:pPr>
              <w:spacing w:after="0"/>
              <w:rPr>
                <w:sz w:val="7"/>
                <w:szCs w:val="7"/>
                <w:color w:val="auto"/>
              </w:rPr>
            </w:pPr>
          </w:p>
        </w:tc>
        <w:tc>
          <w:tcPr>
            <w:tcW w:w="3500" w:type="dxa"/>
            <w:vAlign w:val="bottom"/>
            <w:vMerge w:val="continue"/>
            <w:shd w:val="clear" w:color="auto" w:fill="DBE5F1"/>
          </w:tcPr>
          <w:p>
            <w:pPr>
              <w:spacing w:after="0"/>
              <w:rPr>
                <w:sz w:val="7"/>
                <w:szCs w:val="7"/>
                <w:color w:val="auto"/>
              </w:rPr>
            </w:pPr>
          </w:p>
        </w:tc>
        <w:tc>
          <w:tcPr>
            <w:tcW w:w="3680" w:type="dxa"/>
            <w:vAlign w:val="bottom"/>
            <w:vMerge w:val="restart"/>
            <w:shd w:val="clear" w:color="auto" w:fill="DBE5F1"/>
          </w:tcPr>
          <w:p>
            <w:pPr>
              <w:ind w:left="400"/>
              <w:spacing w:after="0"/>
              <w:rPr>
                <w:sz w:val="20"/>
                <w:szCs w:val="20"/>
                <w:color w:val="auto"/>
              </w:rPr>
            </w:pPr>
            <w:r>
              <w:rPr>
                <w:rFonts w:ascii="Arial" w:cs="Arial" w:eastAsia="Arial" w:hAnsi="Arial"/>
                <w:sz w:val="16"/>
                <w:szCs w:val="16"/>
                <w:color w:val="auto"/>
              </w:rPr>
              <w:t>control these exposures.</w:t>
            </w:r>
          </w:p>
        </w:tc>
        <w:tc>
          <w:tcPr>
            <w:tcW w:w="38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as retention risk.</w:t>
            </w:r>
          </w:p>
        </w:tc>
        <w:tc>
          <w:tcPr>
            <w:tcW w:w="0" w:type="dxa"/>
            <w:vAlign w:val="bottom"/>
          </w:tcPr>
          <w:p>
            <w:pPr>
              <w:spacing w:after="0"/>
              <w:rPr>
                <w:sz w:val="1"/>
                <w:szCs w:val="1"/>
                <w:color w:val="auto"/>
              </w:rPr>
            </w:pPr>
          </w:p>
        </w:tc>
      </w:tr>
      <w:tr>
        <w:trPr>
          <w:trHeight w:val="134"/>
        </w:trPr>
        <w:tc>
          <w:tcPr>
            <w:tcW w:w="240" w:type="dxa"/>
            <w:vAlign w:val="bottom"/>
            <w:shd w:val="clear" w:color="auto" w:fill="DBE5F1"/>
          </w:tcPr>
          <w:p>
            <w:pPr>
              <w:spacing w:after="0"/>
              <w:rPr>
                <w:sz w:val="11"/>
                <w:szCs w:val="11"/>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and other Board committees as needed.</w:t>
            </w:r>
          </w:p>
        </w:tc>
        <w:tc>
          <w:tcPr>
            <w:tcW w:w="3680" w:type="dxa"/>
            <w:vAlign w:val="bottom"/>
            <w:vMerge w:val="continue"/>
            <w:shd w:val="clear" w:color="auto" w:fill="DBE5F1"/>
          </w:tcPr>
          <w:p>
            <w:pPr>
              <w:spacing w:after="0"/>
              <w:rPr>
                <w:sz w:val="11"/>
                <w:szCs w:val="11"/>
                <w:color w:val="auto"/>
              </w:rPr>
            </w:pPr>
          </w:p>
        </w:tc>
        <w:tc>
          <w:tcPr>
            <w:tcW w:w="382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 w:type="dxa"/>
            <w:vAlign w:val="bottom"/>
            <w:shd w:val="clear" w:color="auto" w:fill="DBE5F1"/>
          </w:tcPr>
          <w:p>
            <w:pPr>
              <w:spacing w:after="0"/>
              <w:rPr>
                <w:sz w:val="7"/>
                <w:szCs w:val="7"/>
                <w:color w:val="auto"/>
              </w:rPr>
            </w:pPr>
          </w:p>
        </w:tc>
        <w:tc>
          <w:tcPr>
            <w:tcW w:w="3500" w:type="dxa"/>
            <w:vAlign w:val="bottom"/>
            <w:vMerge w:val="continue"/>
            <w:shd w:val="clear" w:color="auto" w:fill="DBE5F1"/>
          </w:tcPr>
          <w:p>
            <w:pPr>
              <w:spacing w:after="0"/>
              <w:rPr>
                <w:sz w:val="7"/>
                <w:szCs w:val="7"/>
                <w:color w:val="auto"/>
              </w:rPr>
            </w:pPr>
          </w:p>
        </w:tc>
        <w:tc>
          <w:tcPr>
            <w:tcW w:w="3680" w:type="dxa"/>
            <w:vAlign w:val="bottom"/>
            <w:vMerge w:val="restart"/>
            <w:shd w:val="clear" w:color="auto" w:fill="DBE5F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Oversees the performance of our external</w:t>
            </w:r>
          </w:p>
        </w:tc>
        <w:tc>
          <w:tcPr>
            <w:tcW w:w="382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Oversees management incentives and</w:t>
            </w:r>
          </w:p>
        </w:tc>
        <w:tc>
          <w:tcPr>
            <w:tcW w:w="0" w:type="dxa"/>
            <w:vAlign w:val="bottom"/>
          </w:tcPr>
          <w:p>
            <w:pPr>
              <w:spacing w:after="0"/>
              <w:rPr>
                <w:sz w:val="1"/>
                <w:szCs w:val="1"/>
                <w:color w:val="auto"/>
              </w:rPr>
            </w:pPr>
          </w:p>
        </w:tc>
      </w:tr>
      <w:tr>
        <w:trPr>
          <w:trHeight w:val="190"/>
        </w:trPr>
        <w:tc>
          <w:tcPr>
            <w:tcW w:w="240" w:type="dxa"/>
            <w:vAlign w:val="bottom"/>
            <w:vMerge w:val="restart"/>
            <w:shd w:val="clear" w:color="auto" w:fill="DBE5F1"/>
          </w:tcPr>
          <w:p>
            <w:pPr>
              <w:ind w:left="80"/>
              <w:spacing w:after="0"/>
              <w:rPr>
                <w:sz w:val="20"/>
                <w:szCs w:val="20"/>
                <w:color w:val="auto"/>
              </w:rPr>
            </w:pPr>
            <w:r>
              <w:rPr>
                <w:rFonts w:ascii="Arial" w:cs="Arial" w:eastAsia="Arial" w:hAnsi="Arial"/>
                <w:sz w:val="18"/>
                <w:szCs w:val="18"/>
                <w:color w:val="auto"/>
              </w:rPr>
              <w:t>•</w:t>
            </w:r>
          </w:p>
        </w:tc>
        <w:tc>
          <w:tcPr>
            <w:tcW w:w="35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Oversees governance risks, such as director</w:t>
            </w:r>
          </w:p>
        </w:tc>
        <w:tc>
          <w:tcPr>
            <w:tcW w:w="3680" w:type="dxa"/>
            <w:vAlign w:val="bottom"/>
            <w:vMerge w:val="continue"/>
            <w:shd w:val="clear" w:color="auto" w:fill="DBE5F1"/>
          </w:tcPr>
          <w:p>
            <w:pPr>
              <w:spacing w:after="0"/>
              <w:rPr>
                <w:sz w:val="16"/>
                <w:szCs w:val="16"/>
                <w:color w:val="auto"/>
              </w:rPr>
            </w:pPr>
          </w:p>
        </w:tc>
        <w:tc>
          <w:tcPr>
            <w:tcW w:w="382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40" w:type="dxa"/>
            <w:vAlign w:val="bottom"/>
            <w:vMerge w:val="continue"/>
            <w:shd w:val="clear" w:color="auto" w:fill="DBE5F1"/>
          </w:tcPr>
          <w:p>
            <w:pPr>
              <w:spacing w:after="0"/>
              <w:rPr>
                <w:sz w:val="5"/>
                <w:szCs w:val="5"/>
                <w:color w:val="auto"/>
              </w:rPr>
            </w:pPr>
          </w:p>
        </w:tc>
        <w:tc>
          <w:tcPr>
            <w:tcW w:w="3500" w:type="dxa"/>
            <w:vAlign w:val="bottom"/>
            <w:vMerge w:val="continue"/>
            <w:shd w:val="clear" w:color="auto" w:fill="DBE5F1"/>
          </w:tcPr>
          <w:p>
            <w:pPr>
              <w:spacing w:after="0"/>
              <w:rPr>
                <w:sz w:val="5"/>
                <w:szCs w:val="5"/>
                <w:color w:val="auto"/>
              </w:rPr>
            </w:pPr>
          </w:p>
        </w:tc>
        <w:tc>
          <w:tcPr>
            <w:tcW w:w="3680" w:type="dxa"/>
            <w:vAlign w:val="bottom"/>
            <w:vMerge w:val="restart"/>
            <w:shd w:val="clear" w:color="auto" w:fill="DBE5F1"/>
          </w:tcPr>
          <w:p>
            <w:pPr>
              <w:ind w:left="400"/>
              <w:spacing w:after="0"/>
              <w:rPr>
                <w:sz w:val="20"/>
                <w:szCs w:val="20"/>
                <w:color w:val="auto"/>
              </w:rPr>
            </w:pPr>
            <w:r>
              <w:rPr>
                <w:rFonts w:ascii="Arial" w:cs="Arial" w:eastAsia="Arial" w:hAnsi="Arial"/>
                <w:sz w:val="16"/>
                <w:szCs w:val="16"/>
                <w:color w:val="auto"/>
              </w:rPr>
              <w:t>auditors and internal audit function.</w:t>
            </w:r>
          </w:p>
        </w:tc>
        <w:tc>
          <w:tcPr>
            <w:tcW w:w="38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potential for excessive risk taking.</w:t>
            </w:r>
          </w:p>
        </w:tc>
        <w:tc>
          <w:tcPr>
            <w:tcW w:w="0" w:type="dxa"/>
            <w:vAlign w:val="bottom"/>
          </w:tcPr>
          <w:p>
            <w:pPr>
              <w:spacing w:after="0"/>
              <w:rPr>
                <w:sz w:val="1"/>
                <w:szCs w:val="1"/>
                <w:color w:val="auto"/>
              </w:rPr>
            </w:pPr>
          </w:p>
        </w:tc>
      </w:tr>
      <w:tr>
        <w:trPr>
          <w:trHeight w:val="147"/>
        </w:trPr>
        <w:tc>
          <w:tcPr>
            <w:tcW w:w="240" w:type="dxa"/>
            <w:vAlign w:val="bottom"/>
            <w:shd w:val="clear" w:color="auto" w:fill="DBE5F1"/>
          </w:tcPr>
          <w:p>
            <w:pPr>
              <w:spacing w:after="0"/>
              <w:rPr>
                <w:sz w:val="12"/>
                <w:szCs w:val="12"/>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independence and conflicts of interest.</w:t>
            </w:r>
          </w:p>
        </w:tc>
        <w:tc>
          <w:tcPr>
            <w:tcW w:w="3680" w:type="dxa"/>
            <w:vAlign w:val="bottom"/>
            <w:vMerge w:val="continue"/>
            <w:shd w:val="clear" w:color="auto" w:fill="DBE5F1"/>
          </w:tcPr>
          <w:p>
            <w:pPr>
              <w:spacing w:after="0"/>
              <w:rPr>
                <w:sz w:val="12"/>
                <w:szCs w:val="12"/>
                <w:color w:val="auto"/>
              </w:rPr>
            </w:pPr>
          </w:p>
        </w:tc>
        <w:tc>
          <w:tcPr>
            <w:tcW w:w="382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40" w:type="dxa"/>
            <w:vAlign w:val="bottom"/>
            <w:shd w:val="clear" w:color="auto" w:fill="DBE5F1"/>
          </w:tcPr>
          <w:p>
            <w:pPr>
              <w:spacing w:after="0"/>
              <w:rPr>
                <w:sz w:val="5"/>
                <w:szCs w:val="5"/>
                <w:color w:val="auto"/>
              </w:rPr>
            </w:pPr>
          </w:p>
        </w:tc>
        <w:tc>
          <w:tcPr>
            <w:tcW w:w="3500" w:type="dxa"/>
            <w:vAlign w:val="bottom"/>
            <w:vMerge w:val="continue"/>
            <w:shd w:val="clear" w:color="auto" w:fill="DBE5F1"/>
          </w:tcPr>
          <w:p>
            <w:pPr>
              <w:spacing w:after="0"/>
              <w:rPr>
                <w:sz w:val="5"/>
                <w:szCs w:val="5"/>
                <w:color w:val="auto"/>
              </w:rPr>
            </w:pPr>
          </w:p>
        </w:tc>
        <w:tc>
          <w:tcPr>
            <w:tcW w:w="3680" w:type="dxa"/>
            <w:vAlign w:val="bottom"/>
            <w:vMerge w:val="restart"/>
            <w:shd w:val="clear" w:color="auto" w:fill="DBE5F1"/>
          </w:tcPr>
          <w:p>
            <w:pPr>
              <w:ind w:left="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Monitors risk related to data privacy and</w:t>
            </w:r>
          </w:p>
        </w:tc>
        <w:tc>
          <w:tcPr>
            <w:tcW w:w="3820" w:type="dxa"/>
            <w:vAlign w:val="bottom"/>
            <w:vMerge w:val="restart"/>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Responsible for management succession risk</w:t>
            </w:r>
          </w:p>
        </w:tc>
        <w:tc>
          <w:tcPr>
            <w:tcW w:w="0" w:type="dxa"/>
            <w:vAlign w:val="bottom"/>
          </w:tcPr>
          <w:p>
            <w:pPr>
              <w:spacing w:after="0"/>
              <w:rPr>
                <w:sz w:val="1"/>
                <w:szCs w:val="1"/>
                <w:color w:val="auto"/>
              </w:rPr>
            </w:pPr>
          </w:p>
        </w:tc>
      </w:tr>
      <w:tr>
        <w:trPr>
          <w:trHeight w:val="204"/>
        </w:trPr>
        <w:tc>
          <w:tcPr>
            <w:tcW w:w="240" w:type="dxa"/>
            <w:vAlign w:val="bottom"/>
            <w:vMerge w:val="restart"/>
            <w:shd w:val="clear" w:color="auto" w:fill="DBE5F1"/>
          </w:tcPr>
          <w:p>
            <w:pPr>
              <w:ind w:left="80"/>
              <w:spacing w:after="0"/>
              <w:rPr>
                <w:sz w:val="20"/>
                <w:szCs w:val="20"/>
                <w:color w:val="auto"/>
              </w:rPr>
            </w:pPr>
            <w:r>
              <w:rPr>
                <w:rFonts w:ascii="Arial" w:cs="Arial" w:eastAsia="Arial" w:hAnsi="Arial"/>
                <w:sz w:val="18"/>
                <w:szCs w:val="18"/>
                <w:color w:val="auto"/>
              </w:rPr>
              <w:t>•</w:t>
            </w:r>
          </w:p>
        </w:tc>
        <w:tc>
          <w:tcPr>
            <w:tcW w:w="3500" w:type="dxa"/>
            <w:vAlign w:val="bottom"/>
            <w:vMerge w:val="restart"/>
            <w:shd w:val="clear" w:color="auto" w:fill="DBE5F1"/>
          </w:tcPr>
          <w:p>
            <w:pPr>
              <w:ind w:left="140"/>
              <w:spacing w:after="0"/>
              <w:rPr>
                <w:sz w:val="20"/>
                <w:szCs w:val="20"/>
                <w:color w:val="auto"/>
              </w:rPr>
            </w:pPr>
            <w:r>
              <w:rPr>
                <w:rFonts w:ascii="Arial" w:cs="Arial" w:eastAsia="Arial" w:hAnsi="Arial"/>
                <w:sz w:val="16"/>
                <w:szCs w:val="16"/>
                <w:color w:val="auto"/>
              </w:rPr>
              <w:t>Monitors our health care and other legal</w:t>
            </w:r>
          </w:p>
        </w:tc>
        <w:tc>
          <w:tcPr>
            <w:tcW w:w="3680" w:type="dxa"/>
            <w:vAlign w:val="bottom"/>
            <w:vMerge w:val="continue"/>
            <w:shd w:val="clear" w:color="auto" w:fill="DBE5F1"/>
          </w:tcPr>
          <w:p>
            <w:pPr>
              <w:spacing w:after="0"/>
              <w:rPr>
                <w:sz w:val="17"/>
                <w:szCs w:val="17"/>
                <w:color w:val="auto"/>
              </w:rPr>
            </w:pPr>
          </w:p>
        </w:tc>
        <w:tc>
          <w:tcPr>
            <w:tcW w:w="3820" w:type="dxa"/>
            <w:vAlign w:val="bottom"/>
            <w:vMerge w:val="continue"/>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40" w:type="dxa"/>
            <w:vAlign w:val="bottom"/>
            <w:vMerge w:val="continue"/>
            <w:shd w:val="clear" w:color="auto" w:fill="DBE5F1"/>
          </w:tcPr>
          <w:p>
            <w:pPr>
              <w:spacing w:after="0"/>
              <w:rPr>
                <w:sz w:val="5"/>
                <w:szCs w:val="5"/>
                <w:color w:val="auto"/>
              </w:rPr>
            </w:pPr>
          </w:p>
        </w:tc>
        <w:tc>
          <w:tcPr>
            <w:tcW w:w="3500" w:type="dxa"/>
            <w:vAlign w:val="bottom"/>
            <w:vMerge w:val="continue"/>
            <w:shd w:val="clear" w:color="auto" w:fill="DBE5F1"/>
          </w:tcPr>
          <w:p>
            <w:pPr>
              <w:spacing w:after="0"/>
              <w:rPr>
                <w:sz w:val="5"/>
                <w:szCs w:val="5"/>
                <w:color w:val="auto"/>
              </w:rPr>
            </w:pPr>
          </w:p>
        </w:tc>
        <w:tc>
          <w:tcPr>
            <w:tcW w:w="3680" w:type="dxa"/>
            <w:vAlign w:val="bottom"/>
            <w:vMerge w:val="restart"/>
            <w:shd w:val="clear" w:color="auto" w:fill="DBE5F1"/>
          </w:tcPr>
          <w:p>
            <w:pPr>
              <w:ind w:left="400"/>
              <w:spacing w:after="0"/>
              <w:rPr>
                <w:sz w:val="20"/>
                <w:szCs w:val="20"/>
                <w:color w:val="auto"/>
              </w:rPr>
            </w:pPr>
            <w:r>
              <w:rPr>
                <w:rFonts w:ascii="Arial" w:cs="Arial" w:eastAsia="Arial" w:hAnsi="Arial"/>
                <w:sz w:val="16"/>
                <w:szCs w:val="16"/>
                <w:color w:val="auto"/>
              </w:rPr>
              <w:t>cybersecurity.</w:t>
            </w:r>
          </w:p>
        </w:tc>
        <w:tc>
          <w:tcPr>
            <w:tcW w:w="382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and planning.</w:t>
            </w:r>
          </w:p>
        </w:tc>
        <w:tc>
          <w:tcPr>
            <w:tcW w:w="0" w:type="dxa"/>
            <w:vAlign w:val="bottom"/>
          </w:tcPr>
          <w:p>
            <w:pPr>
              <w:spacing w:after="0"/>
              <w:rPr>
                <w:sz w:val="1"/>
                <w:szCs w:val="1"/>
                <w:color w:val="auto"/>
              </w:rPr>
            </w:pPr>
          </w:p>
        </w:tc>
      </w:tr>
      <w:tr>
        <w:trPr>
          <w:trHeight w:val="147"/>
        </w:trPr>
        <w:tc>
          <w:tcPr>
            <w:tcW w:w="240" w:type="dxa"/>
            <w:vAlign w:val="bottom"/>
            <w:shd w:val="clear" w:color="auto" w:fill="DBE5F1"/>
          </w:tcPr>
          <w:p>
            <w:pPr>
              <w:spacing w:after="0"/>
              <w:rPr>
                <w:sz w:val="12"/>
                <w:szCs w:val="12"/>
                <w:color w:val="auto"/>
              </w:rPr>
            </w:pPr>
          </w:p>
        </w:tc>
        <w:tc>
          <w:tcPr>
            <w:tcW w:w="3500" w:type="dxa"/>
            <w:vAlign w:val="bottom"/>
            <w:vMerge w:val="restart"/>
            <w:shd w:val="clear" w:color="auto" w:fill="DBE5F1"/>
          </w:tcPr>
          <w:p>
            <w:pPr>
              <w:ind w:left="160"/>
              <w:spacing w:after="0"/>
              <w:rPr>
                <w:sz w:val="20"/>
                <w:szCs w:val="20"/>
                <w:color w:val="auto"/>
              </w:rPr>
            </w:pPr>
            <w:r>
              <w:rPr>
                <w:rFonts w:ascii="Arial" w:cs="Arial" w:eastAsia="Arial" w:hAnsi="Arial"/>
                <w:sz w:val="16"/>
                <w:szCs w:val="16"/>
                <w:color w:val="auto"/>
              </w:rPr>
              <w:t>compliance activities, including regulatory</w:t>
            </w:r>
          </w:p>
        </w:tc>
        <w:tc>
          <w:tcPr>
            <w:tcW w:w="3680" w:type="dxa"/>
            <w:vAlign w:val="bottom"/>
            <w:vMerge w:val="continue"/>
            <w:shd w:val="clear" w:color="auto" w:fill="DBE5F1"/>
          </w:tcPr>
          <w:p>
            <w:pPr>
              <w:spacing w:after="0"/>
              <w:rPr>
                <w:sz w:val="12"/>
                <w:szCs w:val="12"/>
                <w:color w:val="auto"/>
              </w:rPr>
            </w:pPr>
          </w:p>
        </w:tc>
        <w:tc>
          <w:tcPr>
            <w:tcW w:w="382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55"/>
        </w:trPr>
        <w:tc>
          <w:tcPr>
            <w:tcW w:w="240" w:type="dxa"/>
            <w:vAlign w:val="bottom"/>
            <w:shd w:val="clear" w:color="auto" w:fill="DBE5F1"/>
          </w:tcPr>
          <w:p>
            <w:pPr>
              <w:spacing w:after="0"/>
              <w:rPr>
                <w:sz w:val="4"/>
                <w:szCs w:val="4"/>
                <w:color w:val="auto"/>
              </w:rPr>
            </w:pPr>
          </w:p>
        </w:tc>
        <w:tc>
          <w:tcPr>
            <w:tcW w:w="3500" w:type="dxa"/>
            <w:vAlign w:val="bottom"/>
            <w:vMerge w:val="continue"/>
            <w:shd w:val="clear" w:color="auto" w:fill="DBE5F1"/>
          </w:tcPr>
          <w:p>
            <w:pPr>
              <w:spacing w:after="0"/>
              <w:rPr>
                <w:sz w:val="4"/>
                <w:szCs w:val="4"/>
                <w:color w:val="auto"/>
              </w:rPr>
            </w:pPr>
          </w:p>
        </w:tc>
        <w:tc>
          <w:tcPr>
            <w:tcW w:w="3680" w:type="dxa"/>
            <w:vAlign w:val="bottom"/>
            <w:shd w:val="clear" w:color="auto" w:fill="DBE5F1"/>
          </w:tcPr>
          <w:p>
            <w:pPr>
              <w:spacing w:after="0"/>
              <w:rPr>
                <w:sz w:val="4"/>
                <w:szCs w:val="4"/>
                <w:color w:val="auto"/>
              </w:rPr>
            </w:pPr>
          </w:p>
        </w:tc>
        <w:tc>
          <w:tcPr>
            <w:tcW w:w="3820" w:type="dxa"/>
            <w:vAlign w:val="bottom"/>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240" w:type="dxa"/>
            <w:vAlign w:val="bottom"/>
            <w:shd w:val="clear" w:color="auto" w:fill="DBE5F1"/>
          </w:tcPr>
          <w:p>
            <w:pPr>
              <w:spacing w:after="0"/>
              <w:rPr>
                <w:sz w:val="18"/>
                <w:szCs w:val="18"/>
                <w:color w:val="auto"/>
              </w:rPr>
            </w:pPr>
          </w:p>
        </w:tc>
        <w:tc>
          <w:tcPr>
            <w:tcW w:w="3500" w:type="dxa"/>
            <w:vAlign w:val="bottom"/>
            <w:shd w:val="clear" w:color="auto" w:fill="DBE5F1"/>
          </w:tcPr>
          <w:p>
            <w:pPr>
              <w:ind w:left="160"/>
              <w:spacing w:after="0"/>
              <w:rPr>
                <w:sz w:val="20"/>
                <w:szCs w:val="20"/>
                <w:color w:val="auto"/>
              </w:rPr>
            </w:pPr>
            <w:r>
              <w:rPr>
                <w:rFonts w:ascii="Arial" w:cs="Arial" w:eastAsia="Arial" w:hAnsi="Arial"/>
                <w:sz w:val="16"/>
                <w:szCs w:val="16"/>
                <w:color w:val="auto"/>
              </w:rPr>
              <w:t>audits and other touchpoints.</w:t>
            </w:r>
          </w:p>
        </w:tc>
        <w:tc>
          <w:tcPr>
            <w:tcW w:w="3680" w:type="dxa"/>
            <w:vAlign w:val="bottom"/>
            <w:shd w:val="clear" w:color="auto" w:fill="DBE5F1"/>
          </w:tcPr>
          <w:p>
            <w:pPr>
              <w:spacing w:after="0"/>
              <w:rPr>
                <w:sz w:val="18"/>
                <w:szCs w:val="18"/>
                <w:color w:val="auto"/>
              </w:rPr>
            </w:pPr>
          </w:p>
        </w:tc>
        <w:tc>
          <w:tcPr>
            <w:tcW w:w="382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40" w:type="dxa"/>
            <w:vAlign w:val="bottom"/>
            <w:tcBorders>
              <w:bottom w:val="single" w:sz="8" w:color="auto"/>
            </w:tcBorders>
            <w:shd w:val="clear" w:color="auto" w:fill="DBE5F1"/>
          </w:tcPr>
          <w:p>
            <w:pPr>
              <w:spacing w:after="0"/>
              <w:rPr>
                <w:sz w:val="7"/>
                <w:szCs w:val="7"/>
                <w:color w:val="auto"/>
              </w:rPr>
            </w:pPr>
          </w:p>
        </w:tc>
        <w:tc>
          <w:tcPr>
            <w:tcW w:w="3500" w:type="dxa"/>
            <w:vAlign w:val="bottom"/>
            <w:tcBorders>
              <w:bottom w:val="single" w:sz="8" w:color="auto"/>
            </w:tcBorders>
            <w:shd w:val="clear" w:color="auto" w:fill="DBE5F1"/>
          </w:tcPr>
          <w:p>
            <w:pPr>
              <w:spacing w:after="0"/>
              <w:rPr>
                <w:sz w:val="7"/>
                <w:szCs w:val="7"/>
                <w:color w:val="auto"/>
              </w:rPr>
            </w:pPr>
          </w:p>
        </w:tc>
        <w:tc>
          <w:tcPr>
            <w:tcW w:w="3680" w:type="dxa"/>
            <w:vAlign w:val="bottom"/>
            <w:tcBorders>
              <w:bottom w:val="single" w:sz="8" w:color="auto"/>
            </w:tcBorders>
            <w:shd w:val="clear" w:color="auto" w:fill="DBE5F1"/>
          </w:tcPr>
          <w:p>
            <w:pPr>
              <w:spacing w:after="0"/>
              <w:rPr>
                <w:sz w:val="7"/>
                <w:szCs w:val="7"/>
                <w:color w:val="auto"/>
              </w:rPr>
            </w:pPr>
          </w:p>
        </w:tc>
        <w:tc>
          <w:tcPr>
            <w:tcW w:w="3820" w:type="dxa"/>
            <w:vAlign w:val="bottom"/>
            <w:tcBorders>
              <w:bottom w:val="single" w:sz="8" w:color="auto"/>
            </w:tcBorders>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3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925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925830"/>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w:t>
      </w:r>
    </w:p>
    <w:p>
      <w:pPr>
        <w:spacing w:after="0" w:line="140" w:lineRule="exact"/>
        <w:rPr>
          <w:sz w:val="20"/>
          <w:szCs w:val="20"/>
          <w:color w:val="auto"/>
        </w:rPr>
      </w:pPr>
    </w:p>
    <w:p>
      <w:pPr>
        <w:ind w:left="400" w:hanging="318"/>
        <w:spacing w:after="0"/>
        <w:tabs>
          <w:tab w:leader="none" w:pos="4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6"/>
          <w:szCs w:val="16"/>
          <w:color w:val="auto"/>
        </w:rPr>
        <w:t>Manages day-to-day risk and regularly confers with the Board and committees regarding the risks and risk management processes.</w:t>
      </w:r>
    </w:p>
    <w:p>
      <w:pPr>
        <w:spacing w:after="0" w:line="90" w:lineRule="exact"/>
        <w:rPr>
          <w:rFonts w:ascii="Times New Roman" w:cs="Times New Roman" w:eastAsia="Times New Roman" w:hAnsi="Times New Roman"/>
          <w:sz w:val="18"/>
          <w:szCs w:val="18"/>
          <w:color w:val="auto"/>
        </w:rPr>
      </w:pPr>
    </w:p>
    <w:p>
      <w:pPr>
        <w:ind w:left="400" w:right="360" w:hanging="318"/>
        <w:spacing w:after="0" w:line="259" w:lineRule="auto"/>
        <w:tabs>
          <w:tab w:leader="none" w:pos="395"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6"/>
          <w:szCs w:val="16"/>
          <w:color w:val="auto"/>
        </w:rPr>
        <w:t>Systematically monitors risk exposure and mitigation planning through an ERM committee, a broad, interdepartmental group led by the Company’s Chief Compliance &amp; Privacy Officer and Director, Enterprise Risk Management, and including, among others, our CEO, CFO and at least one independent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Both our Board and our Board committees receive periodic and incidental reports as matters may arise directly from our Chief Compliance and Privacy Officer, our Chief Legal &amp; Administrative Officer, and our accounting personnel overseeing our internal audit function. Our Chief Compliance and Privacy Officer reports to our President, and our Chief Legal &amp; Administrative Officer reports to our Chief Executive Officer. Such reports include information regarding potential violations of our Code of Conduct, our ethics hotline activity and other complaints we may receive regarding potential ethics violations or our financial controls, accounting and other auditing matters.</w:t>
      </w:r>
    </w:p>
    <w:p>
      <w:pPr>
        <w:spacing w:after="0" w:line="179"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auto"/>
        </w:rPr>
        <w:t>Our approach to risk oversight takes into account the immediacy of the risk assessed and its potential severity. Management and our committee chairs are responsible for promptly reporting findings regarding material risk exposures to the Board. Our Board, with leadership from the NCGCC, assesses, at least annually, our committee structure and the appropriateness of delegation of particular areas of risk oversight to such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3" w:lineRule="exact"/>
        <w:rPr>
          <w:sz w:val="20"/>
          <w:szCs w:val="20"/>
          <w:color w:val="auto"/>
        </w:rPr>
      </w:pPr>
    </w:p>
    <w:p>
      <w:pPr>
        <w:ind w:right="120" w:firstLine="486"/>
        <w:spacing w:after="0" w:line="268" w:lineRule="auto"/>
        <w:rPr>
          <w:sz w:val="20"/>
          <w:szCs w:val="20"/>
          <w:color w:val="auto"/>
        </w:rPr>
      </w:pPr>
      <w:r>
        <w:rPr>
          <w:rFonts w:ascii="Arial" w:cs="Arial" w:eastAsia="Arial" w:hAnsi="Arial"/>
          <w:sz w:val="18"/>
          <w:szCs w:val="18"/>
          <w:color w:val="auto"/>
        </w:rPr>
        <w:t>The Company’s risk oversight process is also integrated into the Company’s disclosure controls and procedures, including risk disclosures contained within our Annual Report on Form 10-K. The Company utilizes a cross-functional enterprise team to review and draft the Company’s disclosures, including a Disclosure Committee that provides reports to executive management and the Board.</w:t>
      </w:r>
    </w:p>
    <w:p>
      <w:pPr>
        <w:spacing w:after="0" w:line="171"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Management and the Board and Board Committees engage outside advisors where appropriate to assist in the identification, oversight, evaluation and management of the risks facing the Company. These outside advisors include the Company’s independent registered public accounting firm, external legal counsel and insurance providers, and the independent compensation consultant retained by the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Committees</w:t>
      </w:r>
    </w:p>
    <w:p>
      <w:pPr>
        <w:spacing w:after="0" w:line="117" w:lineRule="exact"/>
        <w:rPr>
          <w:sz w:val="20"/>
          <w:szCs w:val="20"/>
          <w:color w:val="auto"/>
        </w:rPr>
      </w:pPr>
    </w:p>
    <w:p>
      <w:pPr>
        <w:ind w:right="400" w:firstLine="441"/>
        <w:spacing w:after="0" w:line="287" w:lineRule="auto"/>
        <w:rPr>
          <w:sz w:val="20"/>
          <w:szCs w:val="20"/>
          <w:color w:val="auto"/>
        </w:rPr>
      </w:pPr>
      <w:r>
        <w:rPr>
          <w:rFonts w:ascii="Arial" w:cs="Arial" w:eastAsia="Arial" w:hAnsi="Arial"/>
          <w:sz w:val="18"/>
          <w:szCs w:val="18"/>
          <w:color w:val="auto"/>
        </w:rPr>
        <w:t>The composition, duties and responsibilities of our committees are as set forth below. In the future, our Board may establish other committees, as it deems appropriate, to assist it with its responsibilities. Our current Board committee composition is as follows:</w:t>
      </w:r>
    </w:p>
    <w:p>
      <w:pPr>
        <w:spacing w:after="0" w:line="131" w:lineRule="exact"/>
        <w:rPr>
          <w:sz w:val="20"/>
          <w:szCs w:val="20"/>
          <w:color w:val="auto"/>
        </w:rPr>
      </w:pPr>
    </w:p>
    <w:tbl>
      <w:tblPr>
        <w:tblLayout w:type="fixed"/>
        <w:tblInd w:w="1420" w:type="dxa"/>
        <w:tblCellMar>
          <w:top w:w="0" w:type="dxa"/>
          <w:left w:w="0" w:type="dxa"/>
          <w:bottom w:w="0" w:type="dxa"/>
          <w:right w:w="0" w:type="dxa"/>
        </w:tblCellMar>
      </w:tblPr>
      <w:tr>
        <w:trPr>
          <w:trHeight w:val="217"/>
        </w:trPr>
        <w:tc>
          <w:tcPr>
            <w:tcW w:w="210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Board Member</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Audit Committee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Compensation Committee</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NCGCC</w:t>
            </w:r>
          </w:p>
        </w:tc>
      </w:tr>
      <w:tr>
        <w:trPr>
          <w:trHeight w:val="241"/>
        </w:trPr>
        <w:tc>
          <w:tcPr>
            <w:tcW w:w="210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Jody Bilney</w:t>
            </w:r>
          </w:p>
        </w:tc>
        <w:tc>
          <w:tcPr>
            <w:tcW w:w="21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M</w:t>
            </w:r>
          </w:p>
        </w:tc>
        <w:tc>
          <w:tcPr>
            <w:tcW w:w="2100" w:type="dxa"/>
            <w:vAlign w:val="bottom"/>
            <w:tcBorders>
              <w:bottom w:val="single" w:sz="8" w:color="DBE5F1"/>
              <w:right w:val="single" w:sz="8" w:color="95B3D7"/>
            </w:tcBorders>
            <w:shd w:val="clear" w:color="auto" w:fill="DBE5F1"/>
          </w:tcPr>
          <w:p>
            <w:pPr>
              <w:spacing w:after="0"/>
              <w:rPr>
                <w:sz w:val="20"/>
                <w:szCs w:val="20"/>
                <w:color w:val="auto"/>
              </w:rPr>
            </w:pPr>
          </w:p>
        </w:tc>
        <w:tc>
          <w:tcPr>
            <w:tcW w:w="2100" w:type="dxa"/>
            <w:vAlign w:val="bottom"/>
            <w:tcBorders>
              <w:bottom w:val="single" w:sz="8" w:color="DBE5F1"/>
            </w:tcBorders>
            <w:shd w:val="clear" w:color="auto" w:fill="DBE5F1"/>
          </w:tcPr>
          <w:p>
            <w:pPr>
              <w:spacing w:after="0"/>
              <w:rPr>
                <w:sz w:val="20"/>
                <w:szCs w:val="20"/>
                <w:color w:val="auto"/>
              </w:rPr>
            </w:pPr>
          </w:p>
        </w:tc>
      </w:tr>
      <w:tr>
        <w:trPr>
          <w:trHeight w:val="208"/>
        </w:trPr>
        <w:tc>
          <w:tcPr>
            <w:tcW w:w="2100" w:type="dxa"/>
            <w:vAlign w:val="bottom"/>
            <w:tcBorders>
              <w:top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David Hodgson</w:t>
            </w:r>
          </w:p>
        </w:tc>
        <w:tc>
          <w:tcPr>
            <w:tcW w:w="2120" w:type="dxa"/>
            <w:vAlign w:val="bottom"/>
            <w:tcBorders>
              <w:top w:val="single" w:sz="8" w:color="95B3D7"/>
              <w:right w:val="single" w:sz="8" w:color="95B3D7"/>
            </w:tcBorders>
          </w:tcPr>
          <w:p>
            <w:pPr>
              <w:spacing w:after="0"/>
              <w:rPr>
                <w:sz w:val="18"/>
                <w:szCs w:val="18"/>
                <w:color w:val="auto"/>
              </w:rPr>
            </w:pPr>
          </w:p>
        </w:tc>
        <w:tc>
          <w:tcPr>
            <w:tcW w:w="2100" w:type="dxa"/>
            <w:vAlign w:val="bottom"/>
            <w:tcBorders>
              <w:top w:val="single" w:sz="8" w:color="95B3D7"/>
              <w:right w:val="single" w:sz="8" w:color="95B3D7"/>
            </w:tcBorders>
          </w:tcPr>
          <w:p>
            <w:pPr>
              <w:spacing w:after="0"/>
              <w:rPr>
                <w:sz w:val="18"/>
                <w:szCs w:val="18"/>
                <w:color w:val="auto"/>
              </w:rPr>
            </w:pPr>
          </w:p>
        </w:tc>
        <w:tc>
          <w:tcPr>
            <w:tcW w:w="2100" w:type="dxa"/>
            <w:vAlign w:val="bottom"/>
            <w:tcBorders>
              <w:top w:val="single" w:sz="8" w:color="95B3D7"/>
            </w:tcBorders>
          </w:tcPr>
          <w:p>
            <w:pPr>
              <w:jc w:val="center"/>
              <w:spacing w:after="0"/>
              <w:rPr>
                <w:sz w:val="20"/>
                <w:szCs w:val="20"/>
                <w:color w:val="auto"/>
              </w:rPr>
            </w:pPr>
            <w:r>
              <w:rPr>
                <w:rFonts w:ascii="Arial" w:cs="Arial" w:eastAsia="Arial" w:hAnsi="Arial"/>
                <w:sz w:val="16"/>
                <w:szCs w:val="16"/>
                <w:color w:val="auto"/>
                <w:w w:val="86"/>
              </w:rPr>
              <w:t>C</w:t>
            </w:r>
          </w:p>
        </w:tc>
      </w:tr>
      <w:tr>
        <w:trPr>
          <w:trHeight w:val="28"/>
        </w:trPr>
        <w:tc>
          <w:tcPr>
            <w:tcW w:w="2100" w:type="dxa"/>
            <w:vAlign w:val="bottom"/>
            <w:tcBorders>
              <w:bottom w:val="single" w:sz="8" w:color="95B3D7"/>
              <w:right w:val="single" w:sz="8" w:color="95B3D7"/>
            </w:tcBorders>
          </w:tcPr>
          <w:p>
            <w:pPr>
              <w:spacing w:after="0"/>
              <w:rPr>
                <w:sz w:val="2"/>
                <w:szCs w:val="2"/>
                <w:color w:val="auto"/>
              </w:rPr>
            </w:pPr>
          </w:p>
        </w:tc>
        <w:tc>
          <w:tcPr>
            <w:tcW w:w="2120" w:type="dxa"/>
            <w:vAlign w:val="bottom"/>
            <w:tcBorders>
              <w:bottom w:val="single" w:sz="8" w:color="95B3D7"/>
              <w:right w:val="single" w:sz="8" w:color="95B3D7"/>
            </w:tcBorders>
          </w:tcPr>
          <w:p>
            <w:pPr>
              <w:spacing w:after="0"/>
              <w:rPr>
                <w:sz w:val="2"/>
                <w:szCs w:val="2"/>
                <w:color w:val="auto"/>
              </w:rPr>
            </w:pPr>
          </w:p>
        </w:tc>
        <w:tc>
          <w:tcPr>
            <w:tcW w:w="2100" w:type="dxa"/>
            <w:vAlign w:val="bottom"/>
            <w:tcBorders>
              <w:bottom w:val="single" w:sz="8" w:color="95B3D7"/>
              <w:right w:val="single" w:sz="8" w:color="95B3D7"/>
            </w:tcBorders>
          </w:tcPr>
          <w:p>
            <w:pPr>
              <w:spacing w:after="0"/>
              <w:rPr>
                <w:sz w:val="2"/>
                <w:szCs w:val="2"/>
                <w:color w:val="auto"/>
              </w:rPr>
            </w:pPr>
          </w:p>
        </w:tc>
        <w:tc>
          <w:tcPr>
            <w:tcW w:w="2100" w:type="dxa"/>
            <w:vAlign w:val="bottom"/>
            <w:tcBorders>
              <w:bottom w:val="single" w:sz="8" w:color="95B3D7"/>
            </w:tcBorders>
          </w:tcPr>
          <w:p>
            <w:pPr>
              <w:spacing w:after="0"/>
              <w:rPr>
                <w:sz w:val="2"/>
                <w:szCs w:val="2"/>
                <w:color w:val="auto"/>
              </w:rPr>
            </w:pPr>
          </w:p>
        </w:tc>
      </w:tr>
      <w:tr>
        <w:trPr>
          <w:trHeight w:val="242"/>
        </w:trPr>
        <w:tc>
          <w:tcPr>
            <w:tcW w:w="210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Yon Jorden</w:t>
            </w:r>
          </w:p>
        </w:tc>
        <w:tc>
          <w:tcPr>
            <w:tcW w:w="21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7"/>
              </w:rPr>
              <w:t>C#</w:t>
            </w:r>
          </w:p>
        </w:tc>
        <w:tc>
          <w:tcPr>
            <w:tcW w:w="2100" w:type="dxa"/>
            <w:vAlign w:val="bottom"/>
            <w:tcBorders>
              <w:bottom w:val="single" w:sz="8" w:color="DBE5F1"/>
              <w:right w:val="single" w:sz="8" w:color="95B3D7"/>
            </w:tcBorders>
            <w:shd w:val="clear" w:color="auto" w:fill="DBE5F1"/>
          </w:tcPr>
          <w:p>
            <w:pPr>
              <w:spacing w:after="0"/>
              <w:rPr>
                <w:sz w:val="20"/>
                <w:szCs w:val="20"/>
                <w:color w:val="auto"/>
              </w:rPr>
            </w:pPr>
          </w:p>
        </w:tc>
        <w:tc>
          <w:tcPr>
            <w:tcW w:w="2100" w:type="dxa"/>
            <w:vAlign w:val="bottom"/>
            <w:tcBorders>
              <w:bottom w:val="single" w:sz="8" w:color="DBE5F1"/>
            </w:tcBorders>
            <w:shd w:val="clear" w:color="auto" w:fill="DBE5F1"/>
          </w:tcPr>
          <w:p>
            <w:pPr>
              <w:spacing w:after="0"/>
              <w:rPr>
                <w:sz w:val="20"/>
                <w:szCs w:val="20"/>
                <w:color w:val="auto"/>
              </w:rPr>
            </w:pPr>
          </w:p>
        </w:tc>
      </w:tr>
      <w:tr>
        <w:trPr>
          <w:trHeight w:val="208"/>
        </w:trPr>
        <w:tc>
          <w:tcPr>
            <w:tcW w:w="2100" w:type="dxa"/>
            <w:vAlign w:val="bottom"/>
            <w:tcBorders>
              <w:top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John Kao</w:t>
            </w:r>
          </w:p>
        </w:tc>
        <w:tc>
          <w:tcPr>
            <w:tcW w:w="2120" w:type="dxa"/>
            <w:vAlign w:val="bottom"/>
            <w:tcBorders>
              <w:top w:val="single" w:sz="8" w:color="95B3D7"/>
              <w:right w:val="single" w:sz="8" w:color="95B3D7"/>
            </w:tcBorders>
          </w:tcPr>
          <w:p>
            <w:pPr>
              <w:spacing w:after="0"/>
              <w:rPr>
                <w:sz w:val="18"/>
                <w:szCs w:val="18"/>
                <w:color w:val="auto"/>
              </w:rPr>
            </w:pPr>
          </w:p>
        </w:tc>
        <w:tc>
          <w:tcPr>
            <w:tcW w:w="2100" w:type="dxa"/>
            <w:vAlign w:val="bottom"/>
            <w:tcBorders>
              <w:top w:val="single" w:sz="8" w:color="95B3D7"/>
              <w:right w:val="single" w:sz="8" w:color="95B3D7"/>
            </w:tcBorders>
          </w:tcPr>
          <w:p>
            <w:pPr>
              <w:spacing w:after="0"/>
              <w:rPr>
                <w:sz w:val="18"/>
                <w:szCs w:val="18"/>
                <w:color w:val="auto"/>
              </w:rPr>
            </w:pPr>
          </w:p>
        </w:tc>
        <w:tc>
          <w:tcPr>
            <w:tcW w:w="2100" w:type="dxa"/>
            <w:vAlign w:val="bottom"/>
            <w:tcBorders>
              <w:top w:val="single" w:sz="8" w:color="95B3D7"/>
            </w:tcBorders>
          </w:tcPr>
          <w:p>
            <w:pPr>
              <w:spacing w:after="0"/>
              <w:rPr>
                <w:sz w:val="18"/>
                <w:szCs w:val="18"/>
                <w:color w:val="auto"/>
              </w:rPr>
            </w:pPr>
          </w:p>
        </w:tc>
      </w:tr>
      <w:tr>
        <w:trPr>
          <w:trHeight w:val="28"/>
        </w:trPr>
        <w:tc>
          <w:tcPr>
            <w:tcW w:w="2100" w:type="dxa"/>
            <w:vAlign w:val="bottom"/>
            <w:tcBorders>
              <w:bottom w:val="single" w:sz="8" w:color="95B3D7"/>
              <w:right w:val="single" w:sz="8" w:color="95B3D7"/>
            </w:tcBorders>
          </w:tcPr>
          <w:p>
            <w:pPr>
              <w:spacing w:after="0"/>
              <w:rPr>
                <w:sz w:val="2"/>
                <w:szCs w:val="2"/>
                <w:color w:val="auto"/>
              </w:rPr>
            </w:pPr>
          </w:p>
        </w:tc>
        <w:tc>
          <w:tcPr>
            <w:tcW w:w="2120" w:type="dxa"/>
            <w:vAlign w:val="bottom"/>
            <w:tcBorders>
              <w:bottom w:val="single" w:sz="8" w:color="95B3D7"/>
              <w:right w:val="single" w:sz="8" w:color="95B3D7"/>
            </w:tcBorders>
          </w:tcPr>
          <w:p>
            <w:pPr>
              <w:spacing w:after="0"/>
              <w:rPr>
                <w:sz w:val="2"/>
                <w:szCs w:val="2"/>
                <w:color w:val="auto"/>
              </w:rPr>
            </w:pPr>
          </w:p>
        </w:tc>
        <w:tc>
          <w:tcPr>
            <w:tcW w:w="2100" w:type="dxa"/>
            <w:vAlign w:val="bottom"/>
            <w:tcBorders>
              <w:bottom w:val="single" w:sz="8" w:color="95B3D7"/>
              <w:right w:val="single" w:sz="8" w:color="95B3D7"/>
            </w:tcBorders>
          </w:tcPr>
          <w:p>
            <w:pPr>
              <w:spacing w:after="0"/>
              <w:rPr>
                <w:sz w:val="2"/>
                <w:szCs w:val="2"/>
                <w:color w:val="auto"/>
              </w:rPr>
            </w:pPr>
          </w:p>
        </w:tc>
        <w:tc>
          <w:tcPr>
            <w:tcW w:w="2100" w:type="dxa"/>
            <w:vAlign w:val="bottom"/>
            <w:tcBorders>
              <w:bottom w:val="single" w:sz="8" w:color="95B3D7"/>
            </w:tcBorders>
          </w:tcPr>
          <w:p>
            <w:pPr>
              <w:spacing w:after="0"/>
              <w:rPr>
                <w:sz w:val="2"/>
                <w:szCs w:val="2"/>
                <w:color w:val="auto"/>
              </w:rPr>
            </w:pPr>
          </w:p>
        </w:tc>
      </w:tr>
      <w:tr>
        <w:trPr>
          <w:trHeight w:val="242"/>
        </w:trPr>
        <w:tc>
          <w:tcPr>
            <w:tcW w:w="210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Joseph Konowiecki</w:t>
            </w:r>
          </w:p>
        </w:tc>
        <w:tc>
          <w:tcPr>
            <w:tcW w:w="2120" w:type="dxa"/>
            <w:vAlign w:val="bottom"/>
            <w:tcBorders>
              <w:bottom w:val="single" w:sz="8" w:color="DBE5F1"/>
              <w:right w:val="single" w:sz="8" w:color="95B3D7"/>
            </w:tcBorders>
            <w:shd w:val="clear" w:color="auto" w:fill="DBE5F1"/>
          </w:tcPr>
          <w:p>
            <w:pPr>
              <w:spacing w:after="0"/>
              <w:rPr>
                <w:sz w:val="20"/>
                <w:szCs w:val="20"/>
                <w:color w:val="auto"/>
              </w:rPr>
            </w:pPr>
          </w:p>
        </w:tc>
        <w:tc>
          <w:tcPr>
            <w:tcW w:w="2100" w:type="dxa"/>
            <w:vAlign w:val="bottom"/>
            <w:tcBorders>
              <w:bottom w:val="single" w:sz="8" w:color="DBE5F1"/>
              <w:right w:val="single" w:sz="8" w:color="95B3D7"/>
            </w:tcBorders>
            <w:shd w:val="clear" w:color="auto" w:fill="DBE5F1"/>
          </w:tcPr>
          <w:p>
            <w:pPr>
              <w:spacing w:after="0"/>
              <w:rPr>
                <w:sz w:val="20"/>
                <w:szCs w:val="20"/>
                <w:color w:val="auto"/>
              </w:rPr>
            </w:pPr>
          </w:p>
        </w:tc>
        <w:tc>
          <w:tcPr>
            <w:tcW w:w="2100" w:type="dxa"/>
            <w:vAlign w:val="bottom"/>
            <w:tcBorders>
              <w:bottom w:val="single" w:sz="8" w:color="DBE5F1"/>
            </w:tcBorders>
            <w:shd w:val="clear" w:color="auto" w:fill="DBE5F1"/>
          </w:tcPr>
          <w:p>
            <w:pPr>
              <w:spacing w:after="0"/>
              <w:rPr>
                <w:sz w:val="20"/>
                <w:szCs w:val="20"/>
                <w:color w:val="auto"/>
              </w:rPr>
            </w:pPr>
          </w:p>
        </w:tc>
      </w:tr>
      <w:tr>
        <w:trPr>
          <w:trHeight w:val="208"/>
        </w:trPr>
        <w:tc>
          <w:tcPr>
            <w:tcW w:w="2100" w:type="dxa"/>
            <w:vAlign w:val="bottom"/>
            <w:tcBorders>
              <w:top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Jacqueline Kosecoff</w:t>
            </w:r>
          </w:p>
        </w:tc>
        <w:tc>
          <w:tcPr>
            <w:tcW w:w="2120" w:type="dxa"/>
            <w:vAlign w:val="bottom"/>
            <w:tcBorders>
              <w:top w:val="single" w:sz="8" w:color="95B3D7"/>
              <w:right w:val="single" w:sz="8" w:color="95B3D7"/>
            </w:tcBorders>
          </w:tcPr>
          <w:p>
            <w:pPr>
              <w:spacing w:after="0"/>
              <w:rPr>
                <w:sz w:val="18"/>
                <w:szCs w:val="18"/>
                <w:color w:val="auto"/>
              </w:rPr>
            </w:pPr>
          </w:p>
        </w:tc>
        <w:tc>
          <w:tcPr>
            <w:tcW w:w="210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C</w:t>
            </w:r>
          </w:p>
        </w:tc>
        <w:tc>
          <w:tcPr>
            <w:tcW w:w="2100" w:type="dxa"/>
            <w:vAlign w:val="bottom"/>
            <w:tcBorders>
              <w:top w:val="single" w:sz="8" w:color="95B3D7"/>
            </w:tcBorders>
          </w:tcPr>
          <w:p>
            <w:pPr>
              <w:jc w:val="center"/>
              <w:spacing w:after="0"/>
              <w:rPr>
                <w:sz w:val="20"/>
                <w:szCs w:val="20"/>
                <w:color w:val="auto"/>
              </w:rPr>
            </w:pPr>
            <w:r>
              <w:rPr>
                <w:rFonts w:ascii="Arial" w:cs="Arial" w:eastAsia="Arial" w:hAnsi="Arial"/>
                <w:sz w:val="16"/>
                <w:szCs w:val="16"/>
                <w:color w:val="auto"/>
              </w:rPr>
              <w:t>M</w:t>
            </w:r>
          </w:p>
        </w:tc>
      </w:tr>
      <w:tr>
        <w:trPr>
          <w:trHeight w:val="28"/>
        </w:trPr>
        <w:tc>
          <w:tcPr>
            <w:tcW w:w="2100" w:type="dxa"/>
            <w:vAlign w:val="bottom"/>
            <w:tcBorders>
              <w:bottom w:val="single" w:sz="8" w:color="95B3D7"/>
              <w:right w:val="single" w:sz="8" w:color="95B3D7"/>
            </w:tcBorders>
          </w:tcPr>
          <w:p>
            <w:pPr>
              <w:spacing w:after="0"/>
              <w:rPr>
                <w:sz w:val="2"/>
                <w:szCs w:val="2"/>
                <w:color w:val="auto"/>
              </w:rPr>
            </w:pPr>
          </w:p>
        </w:tc>
        <w:tc>
          <w:tcPr>
            <w:tcW w:w="2120" w:type="dxa"/>
            <w:vAlign w:val="bottom"/>
            <w:tcBorders>
              <w:bottom w:val="single" w:sz="8" w:color="95B3D7"/>
              <w:right w:val="single" w:sz="8" w:color="95B3D7"/>
            </w:tcBorders>
          </w:tcPr>
          <w:p>
            <w:pPr>
              <w:spacing w:after="0"/>
              <w:rPr>
                <w:sz w:val="2"/>
                <w:szCs w:val="2"/>
                <w:color w:val="auto"/>
              </w:rPr>
            </w:pPr>
          </w:p>
        </w:tc>
        <w:tc>
          <w:tcPr>
            <w:tcW w:w="2100" w:type="dxa"/>
            <w:vAlign w:val="bottom"/>
            <w:tcBorders>
              <w:bottom w:val="single" w:sz="8" w:color="95B3D7"/>
              <w:right w:val="single" w:sz="8" w:color="95B3D7"/>
            </w:tcBorders>
          </w:tcPr>
          <w:p>
            <w:pPr>
              <w:spacing w:after="0"/>
              <w:rPr>
                <w:sz w:val="2"/>
                <w:szCs w:val="2"/>
                <w:color w:val="auto"/>
              </w:rPr>
            </w:pPr>
          </w:p>
        </w:tc>
        <w:tc>
          <w:tcPr>
            <w:tcW w:w="2100" w:type="dxa"/>
            <w:vAlign w:val="bottom"/>
            <w:tcBorders>
              <w:bottom w:val="single" w:sz="8" w:color="95B3D7"/>
            </w:tcBorders>
          </w:tcPr>
          <w:p>
            <w:pPr>
              <w:spacing w:after="0"/>
              <w:rPr>
                <w:sz w:val="2"/>
                <w:szCs w:val="2"/>
                <w:color w:val="auto"/>
              </w:rPr>
            </w:pPr>
          </w:p>
        </w:tc>
      </w:tr>
      <w:tr>
        <w:trPr>
          <w:trHeight w:val="242"/>
        </w:trPr>
        <w:tc>
          <w:tcPr>
            <w:tcW w:w="210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Margaret McCarthy</w:t>
            </w:r>
          </w:p>
        </w:tc>
        <w:tc>
          <w:tcPr>
            <w:tcW w:w="21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M</w:t>
            </w:r>
          </w:p>
        </w:tc>
        <w:tc>
          <w:tcPr>
            <w:tcW w:w="210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M</w:t>
            </w:r>
          </w:p>
        </w:tc>
        <w:tc>
          <w:tcPr>
            <w:tcW w:w="2100" w:type="dxa"/>
            <w:vAlign w:val="bottom"/>
            <w:tcBorders>
              <w:bottom w:val="single" w:sz="8" w:color="DBE5F1"/>
            </w:tcBorders>
            <w:shd w:val="clear" w:color="auto" w:fill="DBE5F1"/>
          </w:tcPr>
          <w:p>
            <w:pPr>
              <w:spacing w:after="0"/>
              <w:rPr>
                <w:sz w:val="20"/>
                <w:szCs w:val="20"/>
                <w:color w:val="auto"/>
              </w:rPr>
            </w:pPr>
          </w:p>
        </w:tc>
      </w:tr>
      <w:tr>
        <w:trPr>
          <w:trHeight w:val="208"/>
        </w:trPr>
        <w:tc>
          <w:tcPr>
            <w:tcW w:w="2100" w:type="dxa"/>
            <w:vAlign w:val="bottom"/>
            <w:tcBorders>
              <w:top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Mark McClellan</w:t>
            </w:r>
          </w:p>
        </w:tc>
        <w:tc>
          <w:tcPr>
            <w:tcW w:w="2120" w:type="dxa"/>
            <w:vAlign w:val="bottom"/>
            <w:tcBorders>
              <w:top w:val="single" w:sz="8" w:color="95B3D7"/>
              <w:right w:val="single" w:sz="8" w:color="95B3D7"/>
            </w:tcBorders>
          </w:tcPr>
          <w:p>
            <w:pPr>
              <w:spacing w:after="0"/>
              <w:rPr>
                <w:sz w:val="18"/>
                <w:szCs w:val="18"/>
                <w:color w:val="auto"/>
              </w:rPr>
            </w:pPr>
          </w:p>
        </w:tc>
        <w:tc>
          <w:tcPr>
            <w:tcW w:w="2100" w:type="dxa"/>
            <w:vAlign w:val="bottom"/>
            <w:tcBorders>
              <w:top w:val="single" w:sz="8" w:color="95B3D7"/>
              <w:right w:val="single" w:sz="8" w:color="95B3D7"/>
            </w:tcBorders>
          </w:tcPr>
          <w:p>
            <w:pPr>
              <w:spacing w:after="0"/>
              <w:rPr>
                <w:sz w:val="18"/>
                <w:szCs w:val="18"/>
                <w:color w:val="auto"/>
              </w:rPr>
            </w:pPr>
          </w:p>
        </w:tc>
        <w:tc>
          <w:tcPr>
            <w:tcW w:w="2100" w:type="dxa"/>
            <w:vAlign w:val="bottom"/>
            <w:tcBorders>
              <w:top w:val="single" w:sz="8" w:color="95B3D7"/>
            </w:tcBorders>
          </w:tcPr>
          <w:p>
            <w:pPr>
              <w:jc w:val="center"/>
              <w:spacing w:after="0"/>
              <w:rPr>
                <w:sz w:val="20"/>
                <w:szCs w:val="20"/>
                <w:color w:val="auto"/>
              </w:rPr>
            </w:pPr>
            <w:r>
              <w:rPr>
                <w:rFonts w:ascii="Arial" w:cs="Arial" w:eastAsia="Arial" w:hAnsi="Arial"/>
                <w:sz w:val="16"/>
                <w:szCs w:val="16"/>
                <w:color w:val="auto"/>
              </w:rPr>
              <w:t>M</w:t>
            </w:r>
          </w:p>
        </w:tc>
      </w:tr>
      <w:tr>
        <w:trPr>
          <w:trHeight w:val="28"/>
        </w:trPr>
        <w:tc>
          <w:tcPr>
            <w:tcW w:w="2100" w:type="dxa"/>
            <w:vAlign w:val="bottom"/>
            <w:tcBorders>
              <w:bottom w:val="single" w:sz="8" w:color="95B3D7"/>
              <w:right w:val="single" w:sz="8" w:color="95B3D7"/>
            </w:tcBorders>
          </w:tcPr>
          <w:p>
            <w:pPr>
              <w:spacing w:after="0"/>
              <w:rPr>
                <w:sz w:val="2"/>
                <w:szCs w:val="2"/>
                <w:color w:val="auto"/>
              </w:rPr>
            </w:pPr>
          </w:p>
        </w:tc>
        <w:tc>
          <w:tcPr>
            <w:tcW w:w="2120" w:type="dxa"/>
            <w:vAlign w:val="bottom"/>
            <w:tcBorders>
              <w:bottom w:val="single" w:sz="8" w:color="95B3D7"/>
              <w:right w:val="single" w:sz="8" w:color="95B3D7"/>
            </w:tcBorders>
          </w:tcPr>
          <w:p>
            <w:pPr>
              <w:spacing w:after="0"/>
              <w:rPr>
                <w:sz w:val="2"/>
                <w:szCs w:val="2"/>
                <w:color w:val="auto"/>
              </w:rPr>
            </w:pPr>
          </w:p>
        </w:tc>
        <w:tc>
          <w:tcPr>
            <w:tcW w:w="2100" w:type="dxa"/>
            <w:vAlign w:val="bottom"/>
            <w:tcBorders>
              <w:bottom w:val="single" w:sz="8" w:color="95B3D7"/>
              <w:right w:val="single" w:sz="8" w:color="95B3D7"/>
            </w:tcBorders>
          </w:tcPr>
          <w:p>
            <w:pPr>
              <w:spacing w:after="0"/>
              <w:rPr>
                <w:sz w:val="2"/>
                <w:szCs w:val="2"/>
                <w:color w:val="auto"/>
              </w:rPr>
            </w:pPr>
          </w:p>
        </w:tc>
        <w:tc>
          <w:tcPr>
            <w:tcW w:w="2100" w:type="dxa"/>
            <w:vAlign w:val="bottom"/>
            <w:tcBorders>
              <w:bottom w:val="single" w:sz="8" w:color="95B3D7"/>
            </w:tcBorders>
          </w:tcPr>
          <w:p>
            <w:pPr>
              <w:spacing w:after="0"/>
              <w:rPr>
                <w:sz w:val="2"/>
                <w:szCs w:val="2"/>
                <w:color w:val="auto"/>
              </w:rPr>
            </w:pPr>
          </w:p>
        </w:tc>
      </w:tr>
      <w:tr>
        <w:trPr>
          <w:trHeight w:val="216"/>
        </w:trPr>
        <w:tc>
          <w:tcPr>
            <w:tcW w:w="210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Robbert Vorhoff</w:t>
            </w:r>
          </w:p>
        </w:tc>
        <w:tc>
          <w:tcPr>
            <w:tcW w:w="2120" w:type="dxa"/>
            <w:vAlign w:val="bottom"/>
            <w:tcBorders>
              <w:bottom w:val="single" w:sz="8" w:color="DBE5F1"/>
              <w:right w:val="single" w:sz="8" w:color="95B3D7"/>
            </w:tcBorders>
            <w:shd w:val="clear" w:color="auto" w:fill="DBE5F1"/>
          </w:tcPr>
          <w:p>
            <w:pPr>
              <w:spacing w:after="0"/>
              <w:rPr>
                <w:sz w:val="18"/>
                <w:szCs w:val="18"/>
                <w:color w:val="auto"/>
              </w:rPr>
            </w:pPr>
          </w:p>
        </w:tc>
        <w:tc>
          <w:tcPr>
            <w:tcW w:w="210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M</w:t>
            </w:r>
          </w:p>
        </w:tc>
        <w:tc>
          <w:tcPr>
            <w:tcW w:w="2100" w:type="dxa"/>
            <w:vAlign w:val="bottom"/>
            <w:tcBorders>
              <w:bottom w:val="single" w:sz="8" w:color="DBE5F1"/>
            </w:tcBorders>
            <w:shd w:val="clear" w:color="auto" w:fill="DBE5F1"/>
          </w:tcPr>
          <w:p>
            <w:pPr>
              <w:spacing w:after="0"/>
              <w:rPr>
                <w:sz w:val="18"/>
                <w:szCs w:val="18"/>
                <w:color w:val="auto"/>
              </w:rPr>
            </w:pPr>
          </w:p>
        </w:tc>
      </w:tr>
      <w:tr>
        <w:trPr>
          <w:trHeight w:val="20"/>
        </w:trPr>
        <w:tc>
          <w:tcPr>
            <w:tcW w:w="2100" w:type="dxa"/>
            <w:vAlign w:val="bottom"/>
            <w:tcBorders>
              <w:right w:val="single" w:sz="8" w:color="95B3D7"/>
            </w:tcBorders>
            <w:shd w:val="clear" w:color="auto" w:fill="95B3D7"/>
          </w:tcPr>
          <w:p>
            <w:pPr>
              <w:spacing w:after="0" w:line="20" w:lineRule="exact"/>
              <w:rPr>
                <w:sz w:val="1"/>
                <w:szCs w:val="1"/>
                <w:color w:val="auto"/>
              </w:rPr>
            </w:pPr>
          </w:p>
        </w:tc>
        <w:tc>
          <w:tcPr>
            <w:tcW w:w="2120" w:type="dxa"/>
            <w:vAlign w:val="bottom"/>
            <w:tcBorders>
              <w:right w:val="single" w:sz="8" w:color="95B3D7"/>
            </w:tcBorders>
            <w:shd w:val="clear" w:color="auto" w:fill="95B3D7"/>
          </w:tcPr>
          <w:p>
            <w:pPr>
              <w:spacing w:after="0" w:line="20" w:lineRule="exact"/>
              <w:rPr>
                <w:sz w:val="1"/>
                <w:szCs w:val="1"/>
                <w:color w:val="auto"/>
              </w:rPr>
            </w:pPr>
          </w:p>
        </w:tc>
        <w:tc>
          <w:tcPr>
            <w:tcW w:w="2100" w:type="dxa"/>
            <w:vAlign w:val="bottom"/>
            <w:tcBorders>
              <w:right w:val="single" w:sz="8" w:color="95B3D7"/>
            </w:tcBorders>
            <w:shd w:val="clear" w:color="auto" w:fill="95B3D7"/>
          </w:tcPr>
          <w:p>
            <w:pPr>
              <w:spacing w:after="0" w:line="20" w:lineRule="exact"/>
              <w:rPr>
                <w:sz w:val="1"/>
                <w:szCs w:val="1"/>
                <w:color w:val="auto"/>
              </w:rPr>
            </w:pPr>
          </w:p>
        </w:tc>
        <w:tc>
          <w:tcPr>
            <w:tcW w:w="2100" w:type="dxa"/>
            <w:vAlign w:val="bottom"/>
            <w:shd w:val="clear" w:color="auto" w:fill="95B3D7"/>
          </w:tcPr>
          <w:p>
            <w:pPr>
              <w:spacing w:after="0" w:line="20" w:lineRule="exact"/>
              <w:rPr>
                <w:sz w:val="1"/>
                <w:szCs w:val="1"/>
                <w:color w:val="auto"/>
              </w:rPr>
            </w:pPr>
          </w:p>
        </w:tc>
      </w:tr>
    </w:tbl>
    <w:p>
      <w:pPr>
        <w:spacing w:after="0" w:line="186" w:lineRule="exact"/>
        <w:rPr>
          <w:sz w:val="20"/>
          <w:szCs w:val="20"/>
          <w:color w:val="auto"/>
        </w:rPr>
      </w:pPr>
    </w:p>
    <w:p>
      <w:pPr>
        <w:jc w:val="center"/>
        <w:ind w:right="-99"/>
        <w:spacing w:after="0"/>
        <w:tabs>
          <w:tab w:leader="none" w:pos="240" w:val="left"/>
          <w:tab w:leader="none" w:pos="220" w:val="left"/>
        </w:tabs>
        <w:rPr>
          <w:sz w:val="20"/>
          <w:szCs w:val="20"/>
          <w:color w:val="auto"/>
        </w:rPr>
      </w:pPr>
      <w:r>
        <w:rPr>
          <w:rFonts w:ascii="Arial" w:cs="Arial" w:eastAsia="Arial" w:hAnsi="Arial"/>
          <w:sz w:val="18"/>
          <w:szCs w:val="18"/>
          <w:i w:val="1"/>
          <w:iCs w:val="1"/>
          <w:color w:val="auto"/>
        </w:rPr>
        <w:t>M = Committee Member</w:t>
        <w:tab/>
        <w:t>C = Committee Chair</w:t>
        <w:tab/>
        <w:t># = Financial Expert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67945</wp:posOffset>
            </wp:positionV>
            <wp:extent cx="822960" cy="8229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5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Current Members:</w:t>
      </w:r>
    </w:p>
    <w:p>
      <w:pPr>
        <w:ind w:left="5760" w:hanging="307"/>
        <w:spacing w:after="0" w:line="203" w:lineRule="auto"/>
        <w:tabs>
          <w:tab w:leader="none" w:pos="5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Jody Bilney</w:t>
      </w:r>
    </w:p>
    <w:p>
      <w:pPr>
        <w:ind w:left="5760" w:hanging="307"/>
        <w:spacing w:after="0" w:line="219" w:lineRule="auto"/>
        <w:tabs>
          <w:tab w:leader="none" w:pos="5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Yon Jorden (Chair)</w:t>
      </w:r>
    </w:p>
    <w:p>
      <w:pPr>
        <w:ind w:left="5760" w:hanging="307"/>
        <w:spacing w:after="0"/>
        <w:tabs>
          <w:tab w:leader="none" w:pos="5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Margaret McCarthy</w:t>
      </w:r>
    </w:p>
    <w:p>
      <w:pPr>
        <w:spacing w:after="0" w:line="194"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Number of 2025 Meetings: 9</w:t>
      </w:r>
    </w:p>
    <w:p>
      <w:pPr>
        <w:spacing w:after="0" w:line="212"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We comply with the audit committee requirements of the SEC and Nasdaq, which require that the Audit Committee be composed entirely of independent directors. Our Board has determined that each of the current members of the Audit Committee meet the independence requirements of Rule 10A-3 under the Exchange Act and the applicable listing standards of Nasdaq. In addition, our Board has determined that Ms. Jorden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Furthermore, by virtue of her designation as an “audit committee financial expert,” Ms. Jorden meets the applicable “financial sophistication” requirement of the Nasdaq listing standards.</w:t>
      </w:r>
    </w:p>
    <w:p>
      <w:pPr>
        <w:spacing w:after="0" w:line="75" w:lineRule="exact"/>
        <w:rPr>
          <w:sz w:val="20"/>
          <w:szCs w:val="20"/>
          <w:color w:val="auto"/>
        </w:rPr>
      </w:pPr>
    </w:p>
    <w:p>
      <w:pPr>
        <w:ind w:right="2360" w:firstLine="441"/>
        <w:spacing w:after="0" w:line="287" w:lineRule="auto"/>
        <w:rPr>
          <w:sz w:val="20"/>
          <w:szCs w:val="20"/>
          <w:color w:val="auto"/>
        </w:rPr>
      </w:pPr>
      <w:r>
        <w:rPr>
          <w:rFonts w:ascii="Arial" w:cs="Arial" w:eastAsia="Arial" w:hAnsi="Arial"/>
          <w:sz w:val="18"/>
          <w:szCs w:val="18"/>
          <w:color w:val="auto"/>
        </w:rPr>
        <w:t>The written charter for our Audit Committee is available on the investor relations section of our website at https://ir.alignmenthealth.com/. The Audit Committee’s responsibilities include:</w:t>
      </w:r>
    </w:p>
    <w:p>
      <w:pPr>
        <w:spacing w:after="0" w:line="126" w:lineRule="exact"/>
        <w:rPr>
          <w:sz w:val="20"/>
          <w:szCs w:val="20"/>
          <w:color w:val="auto"/>
        </w:rPr>
      </w:pPr>
    </w:p>
    <w:p>
      <w:pPr>
        <w:ind w:left="1300" w:right="680" w:hanging="644"/>
        <w:spacing w:after="0" w:line="287" w:lineRule="auto"/>
        <w:tabs>
          <w:tab w:leader="none" w:pos="1282"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qualifications, performance and independence of our independent registered public accounting firm;</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28" w:name="page29"/>
    <w:bookmarkEnd w:id="28"/>
    <w:p>
      <w:pPr>
        <w:spacing w:after="0" w:line="153" w:lineRule="exact"/>
        <w:rPr>
          <w:sz w:val="20"/>
          <w:szCs w:val="20"/>
          <w:color w:val="auto"/>
        </w:rPr>
      </w:pPr>
    </w:p>
    <w:p>
      <w:pPr>
        <w:ind w:left="1300" w:right="60" w:hanging="644"/>
        <w:spacing w:after="0" w:line="287" w:lineRule="auto"/>
        <w:tabs>
          <w:tab w:leader="none" w:pos="12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125" w:lineRule="exact"/>
        <w:rPr>
          <w:rFonts w:ascii="Arial" w:cs="Arial" w:eastAsia="Arial" w:hAnsi="Arial"/>
          <w:sz w:val="18"/>
          <w:szCs w:val="18"/>
          <w:color w:val="auto"/>
        </w:rPr>
      </w:pPr>
    </w:p>
    <w:p>
      <w:pPr>
        <w:ind w:left="1300" w:right="220" w:hanging="644"/>
        <w:spacing w:after="0" w:line="287" w:lineRule="auto"/>
        <w:tabs>
          <w:tab w:leader="none" w:pos="12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discussing the scope and results of the audits with our independent registered public accounting firm and reviewing, with management and that accounting firm, our interim and year-end operating results;</w:t>
      </w:r>
    </w:p>
    <w:p>
      <w:pPr>
        <w:spacing w:after="0" w:line="112" w:lineRule="exact"/>
        <w:rPr>
          <w:rFonts w:ascii="Arial" w:cs="Arial" w:eastAsia="Arial" w:hAnsi="Arial"/>
          <w:sz w:val="18"/>
          <w:szCs w:val="18"/>
          <w:color w:val="auto"/>
        </w:rPr>
      </w:pPr>
    </w:p>
    <w:p>
      <w:pPr>
        <w:ind w:left="1300" w:hanging="644"/>
        <w:spacing w:after="0" w:line="287" w:lineRule="auto"/>
        <w:tabs>
          <w:tab w:leader="none" w:pos="12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12" w:lineRule="exact"/>
        <w:rPr>
          <w:rFonts w:ascii="Arial" w:cs="Arial" w:eastAsia="Arial" w:hAnsi="Arial"/>
          <w:sz w:val="18"/>
          <w:szCs w:val="18"/>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the adequacy of our internal control over financial reporting;</w:t>
      </w:r>
    </w:p>
    <w:p>
      <w:pPr>
        <w:spacing w:after="0" w:line="198" w:lineRule="exact"/>
        <w:rPr>
          <w:rFonts w:ascii="Arial" w:cs="Arial" w:eastAsia="Arial" w:hAnsi="Arial"/>
          <w:sz w:val="18"/>
          <w:szCs w:val="18"/>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84" w:lineRule="exact"/>
        <w:rPr>
          <w:rFonts w:ascii="Arial" w:cs="Arial" w:eastAsia="Arial" w:hAnsi="Arial"/>
          <w:sz w:val="18"/>
          <w:szCs w:val="18"/>
          <w:color w:val="auto"/>
        </w:rPr>
      </w:pPr>
    </w:p>
    <w:p>
      <w:pPr>
        <w:ind w:left="1300" w:right="40" w:hanging="644"/>
        <w:spacing w:after="0" w:line="287" w:lineRule="auto"/>
        <w:tabs>
          <w:tab w:leader="none" w:pos="12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monitoring our compliance with legal and regulatory requirements as they relate to our financial statements and accounting matters;</w:t>
      </w:r>
    </w:p>
    <w:p>
      <w:pPr>
        <w:spacing w:after="0" w:line="112" w:lineRule="exact"/>
        <w:rPr>
          <w:rFonts w:ascii="Arial" w:cs="Arial" w:eastAsia="Arial" w:hAnsi="Arial"/>
          <w:sz w:val="18"/>
          <w:szCs w:val="18"/>
          <w:color w:val="auto"/>
        </w:rPr>
      </w:pPr>
    </w:p>
    <w:p>
      <w:pPr>
        <w:ind w:left="1300" w:right="560" w:hanging="644"/>
        <w:spacing w:after="0" w:line="287" w:lineRule="auto"/>
        <w:tabs>
          <w:tab w:leader="none" w:pos="12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overseeing all matters related to the Company’s program, policies, and procedures related to information technology systems, data protection and cyber security;</w:t>
      </w:r>
    </w:p>
    <w:p>
      <w:pPr>
        <w:spacing w:after="0" w:line="125" w:lineRule="exact"/>
        <w:rPr>
          <w:rFonts w:ascii="Arial" w:cs="Arial" w:eastAsia="Arial" w:hAnsi="Arial"/>
          <w:sz w:val="18"/>
          <w:szCs w:val="18"/>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the adequacy and effectiveness of our disclosure controls and procedures;</w:t>
      </w:r>
    </w:p>
    <w:p>
      <w:pPr>
        <w:spacing w:after="0" w:line="184" w:lineRule="exact"/>
        <w:rPr>
          <w:rFonts w:ascii="Arial" w:cs="Arial" w:eastAsia="Arial" w:hAnsi="Arial"/>
          <w:sz w:val="18"/>
          <w:szCs w:val="18"/>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rules of the SEC to be included in our annual proxy statement; and</w:t>
      </w:r>
    </w:p>
    <w:p>
      <w:pPr>
        <w:spacing w:after="0" w:line="184" w:lineRule="exact"/>
        <w:rPr>
          <w:rFonts w:ascii="Arial" w:cs="Arial" w:eastAsia="Arial" w:hAnsi="Arial"/>
          <w:sz w:val="18"/>
          <w:szCs w:val="18"/>
          <w:color w:val="auto"/>
        </w:rPr>
      </w:pPr>
    </w:p>
    <w:p>
      <w:pPr>
        <w:ind w:left="1280" w:hanging="624"/>
        <w:spacing w:after="0"/>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w:t>
      </w:r>
    </w:p>
    <w:p>
      <w:pPr>
        <w:spacing w:after="0" w:line="225" w:lineRule="exact"/>
        <w:rPr>
          <w:sz w:val="20"/>
          <w:szCs w:val="20"/>
          <w:color w:val="auto"/>
        </w:rPr>
      </w:pPr>
    </w:p>
    <w:p>
      <w:pPr>
        <w:ind w:right="280" w:firstLine="486"/>
        <w:spacing w:after="0" w:line="287" w:lineRule="auto"/>
        <w:rPr>
          <w:sz w:val="20"/>
          <w:szCs w:val="20"/>
          <w:color w:val="auto"/>
        </w:rPr>
      </w:pPr>
      <w:r>
        <w:rPr>
          <w:rFonts w:ascii="Arial" w:cs="Arial" w:eastAsia="Arial" w:hAnsi="Arial"/>
          <w:sz w:val="18"/>
          <w:szCs w:val="18"/>
          <w:color w:val="auto"/>
        </w:rPr>
        <w:t>The Audit Committee has the sole authority, at its discretion, to engage independent counsel and other advisors as the committee deems necessary to carry out its duties.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187960</wp:posOffset>
            </wp:positionV>
            <wp:extent cx="822960" cy="8229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Current Members:</w:t>
      </w:r>
    </w:p>
    <w:p>
      <w:pPr>
        <w:ind w:left="5760" w:hanging="307"/>
        <w:spacing w:after="0" w:line="203" w:lineRule="auto"/>
        <w:tabs>
          <w:tab w:leader="none" w:pos="5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Jacqueline Kosecoff (Chair)</w:t>
      </w:r>
    </w:p>
    <w:p>
      <w:pPr>
        <w:ind w:left="5760" w:hanging="307"/>
        <w:spacing w:after="0" w:line="203" w:lineRule="auto"/>
        <w:tabs>
          <w:tab w:leader="none" w:pos="5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Margaret McCarthy</w:t>
      </w:r>
    </w:p>
    <w:p>
      <w:pPr>
        <w:ind w:left="5760" w:hanging="307"/>
        <w:spacing w:after="0"/>
        <w:tabs>
          <w:tab w:leader="none" w:pos="5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Robbert Vorhoff</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Number of 2025 Meetings: 6</w:t>
      </w:r>
    </w:p>
    <w:p>
      <w:pPr>
        <w:spacing w:after="0" w:line="320" w:lineRule="exact"/>
        <w:rPr>
          <w:sz w:val="20"/>
          <w:szCs w:val="20"/>
          <w:color w:val="auto"/>
        </w:rPr>
      </w:pPr>
    </w:p>
    <w:p>
      <w:pPr>
        <w:ind w:right="40" w:firstLine="486"/>
        <w:spacing w:after="0" w:line="287" w:lineRule="auto"/>
        <w:rPr>
          <w:sz w:val="20"/>
          <w:szCs w:val="20"/>
          <w:color w:val="auto"/>
        </w:rPr>
      </w:pPr>
      <w:r>
        <w:rPr>
          <w:rFonts w:ascii="Arial" w:cs="Arial" w:eastAsia="Arial" w:hAnsi="Arial"/>
          <w:sz w:val="18"/>
          <w:szCs w:val="18"/>
          <w:color w:val="auto"/>
        </w:rPr>
        <w:t>All members of our Compensation Committee are independent as defined by Section 10(c) of the Exchange Act, Rule 10C under the Exchange Act and the applicable Nasdaq rules.</w:t>
      </w:r>
    </w:p>
    <w:p>
      <w:pPr>
        <w:spacing w:after="0" w:line="112" w:lineRule="exact"/>
        <w:rPr>
          <w:sz w:val="20"/>
          <w:szCs w:val="20"/>
          <w:color w:val="auto"/>
        </w:rPr>
      </w:pPr>
    </w:p>
    <w:p>
      <w:pPr>
        <w:ind w:right="680" w:firstLine="486"/>
        <w:spacing w:after="0" w:line="287" w:lineRule="auto"/>
        <w:rPr>
          <w:sz w:val="20"/>
          <w:szCs w:val="20"/>
          <w:color w:val="auto"/>
        </w:rPr>
      </w:pPr>
      <w:r>
        <w:rPr>
          <w:rFonts w:ascii="Arial" w:cs="Arial" w:eastAsia="Arial" w:hAnsi="Arial"/>
          <w:sz w:val="18"/>
          <w:szCs w:val="18"/>
          <w:color w:val="auto"/>
        </w:rPr>
        <w:t>The written charter for our Compensation Committee is available on the investor relations section of our corporate website at https://ir.alignmenthealth.com/. The Compensation Committee’s responsibilities include:</w:t>
      </w:r>
    </w:p>
    <w:p>
      <w:pPr>
        <w:spacing w:after="0" w:line="126" w:lineRule="exact"/>
        <w:rPr>
          <w:sz w:val="20"/>
          <w:szCs w:val="20"/>
          <w:color w:val="auto"/>
        </w:rPr>
      </w:pPr>
    </w:p>
    <w:p>
      <w:pPr>
        <w:ind w:left="1280" w:hanging="624"/>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executive officers;</w:t>
      </w:r>
    </w:p>
    <w:p>
      <w:pPr>
        <w:spacing w:after="0" w:line="184" w:lineRule="exact"/>
        <w:rPr>
          <w:rFonts w:ascii="Arial" w:cs="Arial" w:eastAsia="Arial" w:hAnsi="Arial"/>
          <w:sz w:val="18"/>
          <w:szCs w:val="18"/>
          <w:color w:val="auto"/>
        </w:rPr>
      </w:pPr>
    </w:p>
    <w:p>
      <w:pPr>
        <w:ind w:left="1300" w:right="280" w:hanging="644"/>
        <w:spacing w:after="0" w:line="287" w:lineRule="auto"/>
        <w:tabs>
          <w:tab w:leader="none" w:pos="1282"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evaluating the performance of our executive officers in light of such corporate goals and objectives and determining and approving the compensation of our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9" w:name="page30"/>
    <w:bookmarkEnd w:id="29"/>
    <w:p>
      <w:pPr>
        <w:spacing w:after="0" w:line="153" w:lineRule="exact"/>
        <w:rPr>
          <w:sz w:val="20"/>
          <w:szCs w:val="20"/>
          <w:color w:val="auto"/>
        </w:rPr>
      </w:pPr>
    </w:p>
    <w:p>
      <w:pPr>
        <w:ind w:left="1300" w:right="340" w:hanging="644"/>
        <w:spacing w:after="0" w:line="287" w:lineRule="auto"/>
        <w:tabs>
          <w:tab w:leader="none" w:pos="12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conducting the independence assessment outlined in applicable rules with respect to any compensation consultant, legal counsel or other advisor retained by the compensation committee;</w:t>
      </w:r>
    </w:p>
    <w:p>
      <w:pPr>
        <w:spacing w:after="0" w:line="125" w:lineRule="exact"/>
        <w:rPr>
          <w:rFonts w:ascii="Arial" w:cs="Arial" w:eastAsia="Arial" w:hAnsi="Arial"/>
          <w:sz w:val="18"/>
          <w:szCs w:val="18"/>
          <w:color w:val="auto"/>
        </w:rPr>
      </w:pPr>
    </w:p>
    <w:p>
      <w:pPr>
        <w:ind w:left="1280" w:hanging="62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84" w:lineRule="exact"/>
        <w:rPr>
          <w:rFonts w:ascii="Arial" w:cs="Arial" w:eastAsia="Arial" w:hAnsi="Arial"/>
          <w:sz w:val="18"/>
          <w:szCs w:val="18"/>
          <w:color w:val="auto"/>
        </w:rPr>
      </w:pPr>
    </w:p>
    <w:p>
      <w:pPr>
        <w:ind w:left="1280" w:hanging="624"/>
        <w:spacing w:after="0"/>
        <w:tabs>
          <w:tab w:leader="none" w:pos="1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 and</w:t>
      </w:r>
    </w:p>
    <w:p>
      <w:pPr>
        <w:spacing w:after="0" w:line="184" w:lineRule="exact"/>
        <w:rPr>
          <w:rFonts w:ascii="Arial" w:cs="Arial" w:eastAsia="Arial" w:hAnsi="Arial"/>
          <w:sz w:val="18"/>
          <w:szCs w:val="18"/>
          <w:color w:val="auto"/>
        </w:rPr>
      </w:pPr>
    </w:p>
    <w:p>
      <w:pPr>
        <w:ind w:left="1300" w:right="460" w:hanging="644"/>
        <w:spacing w:after="0" w:line="287" w:lineRule="auto"/>
        <w:tabs>
          <w:tab w:leader="none" w:pos="1282"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and other compensation-related disclosure to be included in our annual proxy statement or Annual Report on Form 10-K.</w:t>
      </w:r>
    </w:p>
    <w:p>
      <w:pPr>
        <w:spacing w:after="0" w:line="153"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Compensation Committee has the sole authority, at its discretion, to retain and terminate compensation consultants to assist in the evaluation of director or executive officer compensation and the sole authority to approve the fees and other retention terms of such compensation consultants. The Compensation Committee may also retain independent counsel and other independent advisors to assist it in carrying out its responsibilities.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Nominating, Corporate Governance &amp; Compliance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33655</wp:posOffset>
            </wp:positionV>
            <wp:extent cx="822960" cy="8229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2960" cy="822960"/>
                    </a:xfrm>
                    <a:prstGeom prst="rect">
                      <a:avLst/>
                    </a:prstGeom>
                    <a:noFill/>
                  </pic:spPr>
                </pic:pic>
              </a:graphicData>
            </a:graphic>
          </wp:anchor>
        </w:drawing>
      </w:r>
    </w:p>
    <w:p>
      <w:pPr>
        <w:spacing w:after="0" w:line="2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Current Members:</w:t>
      </w:r>
    </w:p>
    <w:p>
      <w:pPr>
        <w:ind w:left="5760" w:hanging="307"/>
        <w:spacing w:after="0" w:line="203" w:lineRule="auto"/>
        <w:tabs>
          <w:tab w:leader="none" w:pos="5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David Hodgson (Chair)</w:t>
      </w:r>
    </w:p>
    <w:p>
      <w:pPr>
        <w:ind w:left="5760" w:hanging="307"/>
        <w:spacing w:after="0" w:line="203" w:lineRule="auto"/>
        <w:tabs>
          <w:tab w:leader="none" w:pos="5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Jacqueline Kosecoff</w:t>
      </w:r>
    </w:p>
    <w:p>
      <w:pPr>
        <w:ind w:left="5760" w:hanging="307"/>
        <w:spacing w:after="0"/>
        <w:tabs>
          <w:tab w:leader="none" w:pos="5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 McClellan, M.D.</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Number of 2025 Meetings: 4</w:t>
      </w:r>
    </w:p>
    <w:p>
      <w:pPr>
        <w:spacing w:after="0" w:line="2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members of our NCGCC are independent as defined by applicable Nasdaq rules.</w:t>
      </w:r>
    </w:p>
    <w:p>
      <w:pPr>
        <w:spacing w:after="0" w:line="198" w:lineRule="exact"/>
        <w:rPr>
          <w:sz w:val="20"/>
          <w:szCs w:val="20"/>
          <w:color w:val="auto"/>
        </w:rPr>
      </w:pPr>
    </w:p>
    <w:p>
      <w:pPr>
        <w:ind w:right="2380" w:firstLine="405"/>
        <w:spacing w:after="0" w:line="287" w:lineRule="auto"/>
        <w:rPr>
          <w:sz w:val="20"/>
          <w:szCs w:val="20"/>
          <w:color w:val="auto"/>
        </w:rPr>
      </w:pPr>
      <w:r>
        <w:rPr>
          <w:rFonts w:ascii="Arial" w:cs="Arial" w:eastAsia="Arial" w:hAnsi="Arial"/>
          <w:sz w:val="18"/>
          <w:szCs w:val="18"/>
          <w:color w:val="auto"/>
        </w:rPr>
        <w:t>The written charter for our NCGCC is available at the investor relations section of our corporate website at https://ir.alignmenthealth.com/. The NCGCC’s responsibilities include:</w:t>
      </w:r>
    </w:p>
    <w:p>
      <w:pPr>
        <w:spacing w:after="0" w:line="112" w:lineRule="exact"/>
        <w:rPr>
          <w:sz w:val="20"/>
          <w:szCs w:val="20"/>
          <w:color w:val="auto"/>
        </w:rPr>
      </w:pPr>
    </w:p>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and recommending to our Board criteria for board and committee membership;</w:t>
      </w:r>
    </w:p>
    <w:p>
      <w:pPr>
        <w:spacing w:after="0" w:line="184" w:lineRule="exact"/>
        <w:rPr>
          <w:rFonts w:ascii="Arial" w:cs="Arial" w:eastAsia="Arial" w:hAnsi="Arial"/>
          <w:sz w:val="18"/>
          <w:szCs w:val="18"/>
          <w:color w:val="auto"/>
        </w:rPr>
      </w:pPr>
    </w:p>
    <w:p>
      <w:pPr>
        <w:ind w:left="1300" w:right="100" w:hanging="644"/>
        <w:spacing w:after="0" w:line="287" w:lineRule="auto"/>
        <w:tabs>
          <w:tab w:leader="none" w:pos="12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identifying and recommending to our Board the persons to be nominated for election as directors and to each of our Board’s committees;</w:t>
      </w:r>
    </w:p>
    <w:p>
      <w:pPr>
        <w:spacing w:after="0" w:line="125" w:lineRule="exact"/>
        <w:rPr>
          <w:rFonts w:ascii="Arial" w:cs="Arial" w:eastAsia="Arial" w:hAnsi="Arial"/>
          <w:sz w:val="18"/>
          <w:szCs w:val="18"/>
          <w:color w:val="auto"/>
        </w:rPr>
      </w:pPr>
    </w:p>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and recommending to our Board best practices and corporate governance principles;</w:t>
      </w:r>
    </w:p>
    <w:p>
      <w:pPr>
        <w:spacing w:after="0" w:line="184" w:lineRule="exact"/>
        <w:rPr>
          <w:rFonts w:ascii="Arial" w:cs="Arial" w:eastAsia="Arial" w:hAnsi="Arial"/>
          <w:sz w:val="18"/>
          <w:szCs w:val="18"/>
          <w:color w:val="auto"/>
        </w:rPr>
      </w:pPr>
    </w:p>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and recommending to our Board the functions, duties and compositions of the committees of our Board;</w:t>
      </w:r>
    </w:p>
    <w:p>
      <w:pPr>
        <w:spacing w:after="0" w:line="184" w:lineRule="exact"/>
        <w:rPr>
          <w:rFonts w:ascii="Arial" w:cs="Arial" w:eastAsia="Arial" w:hAnsi="Arial"/>
          <w:sz w:val="18"/>
          <w:szCs w:val="18"/>
          <w:color w:val="auto"/>
        </w:rPr>
      </w:pPr>
    </w:p>
    <w:p>
      <w:pPr>
        <w:ind w:left="1300" w:right="260" w:hanging="644"/>
        <w:spacing w:after="0" w:line="287" w:lineRule="auto"/>
        <w:tabs>
          <w:tab w:leader="none" w:pos="12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the Company’s major risk exposures, including financial, operational, privacy, security, business continuity and legal and regulatory risks and the Company’s risk assessment and risk management policies;</w:t>
      </w:r>
    </w:p>
    <w:p>
      <w:pPr>
        <w:spacing w:after="0" w:line="125" w:lineRule="exact"/>
        <w:rPr>
          <w:rFonts w:ascii="Arial" w:cs="Arial" w:eastAsia="Arial" w:hAnsi="Arial"/>
          <w:sz w:val="18"/>
          <w:szCs w:val="18"/>
          <w:color w:val="auto"/>
        </w:rPr>
      </w:pPr>
    </w:p>
    <w:p>
      <w:pPr>
        <w:ind w:left="1300" w:right="80" w:hanging="644"/>
        <w:spacing w:after="0" w:line="287" w:lineRule="auto"/>
        <w:tabs>
          <w:tab w:leader="none" w:pos="12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the annual evaluation of the Board and its committees and reporting the results of such evaluation, including any recommendations for proposed changes, to the Board; and</w:t>
      </w:r>
    </w:p>
    <w:p>
      <w:pPr>
        <w:spacing w:after="0" w:line="112" w:lineRule="exact"/>
        <w:rPr>
          <w:rFonts w:ascii="Arial" w:cs="Arial" w:eastAsia="Arial" w:hAnsi="Arial"/>
          <w:sz w:val="18"/>
          <w:szCs w:val="18"/>
          <w:color w:val="auto"/>
        </w:rPr>
      </w:pPr>
    </w:p>
    <w:p>
      <w:pPr>
        <w:jc w:val="both"/>
        <w:ind w:left="1300" w:right="380" w:hanging="644"/>
        <w:spacing w:after="0" w:line="318" w:lineRule="auto"/>
        <w:tabs>
          <w:tab w:leader="none" w:pos="1282" w:val="left"/>
        </w:tabs>
        <w:numPr>
          <w:ilvl w:val="0"/>
          <w:numId w:val="36"/>
        </w:numPr>
        <w:rPr>
          <w:rFonts w:ascii="Arial" w:cs="Arial" w:eastAsia="Arial" w:hAnsi="Arial"/>
          <w:sz w:val="17"/>
          <w:szCs w:val="17"/>
          <w:color w:val="auto"/>
        </w:rPr>
      </w:pPr>
      <w:r>
        <w:rPr>
          <w:rFonts w:ascii="Arial" w:cs="Arial" w:eastAsia="Arial" w:hAnsi="Arial"/>
          <w:sz w:val="17"/>
          <w:szCs w:val="17"/>
          <w:color w:val="auto"/>
        </w:rPr>
        <w:t>overseeing compliance with the laws and regulations applicable to the Company’s business, including, without limitation, Centers for Medicare and Medicaid Services rules, fraud and abuse laws, and state health plan licensure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line="193"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The NCGCC has the sole authority, at its discretion, to retain and terminate any search firm to assist in the identification of director candidates and the sole authority to set the fees and other retention terms of such search firms. The committee may also retain independent counsel and other independent advisors to assist it in carrying out its responsibilities.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Oversight of Corporate Responsibility and Sustainable Business Practices</w:t>
      </w:r>
    </w:p>
    <w:p>
      <w:pPr>
        <w:spacing w:after="0" w:line="171"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Following the closing of our initial public offering (“IPO”) in March 2021, we began to more formally align our efforts with our long-standing commitment to operating in a responsible and sustainable manner that considers the interests of all our stakeholders. Our Board has formally designated our NCGCC with the responsibility for Board-level oversight of the Company’s practices related to corporate responsibility, sustainability reporting and stakeholder engagement. In addition, our executive management team established a steering committee to guide the integration of these efforts with our long-term business strategy.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Our Mission and Values</w:t>
      </w:r>
    </w:p>
    <w:p>
      <w:pPr>
        <w:spacing w:after="0" w:line="169" w:lineRule="exact"/>
        <w:rPr>
          <w:sz w:val="20"/>
          <w:szCs w:val="20"/>
          <w:color w:val="auto"/>
        </w:rPr>
      </w:pPr>
    </w:p>
    <w:p>
      <w:pPr>
        <w:ind w:right="620" w:firstLine="405"/>
        <w:spacing w:after="0" w:line="287" w:lineRule="auto"/>
        <w:rPr>
          <w:sz w:val="20"/>
          <w:szCs w:val="20"/>
          <w:color w:val="auto"/>
        </w:rPr>
      </w:pPr>
      <w:r>
        <w:rPr>
          <w:rFonts w:ascii="Arial" w:cs="Arial" w:eastAsia="Arial" w:hAnsi="Arial"/>
          <w:sz w:val="18"/>
          <w:szCs w:val="18"/>
          <w:color w:val="auto"/>
        </w:rPr>
        <w:t>Alignment Healthcare was founded in 2013 with one mission in mind: improving health care one senior at a time. We pursue this mission by relentlessly focusing on our core values:</w:t>
      </w:r>
    </w:p>
    <w:p>
      <w:pPr>
        <w:spacing w:after="0" w:line="99"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put the senior first;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support the doctor;</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use data and technology to improve care; and</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lead with a serving heart.</w:t>
      </w:r>
    </w:p>
    <w:p>
      <w:pPr>
        <w:spacing w:after="0" w:line="171" w:lineRule="exact"/>
        <w:rPr>
          <w:sz w:val="20"/>
          <w:szCs w:val="20"/>
          <w:color w:val="auto"/>
        </w:rPr>
      </w:pPr>
    </w:p>
    <w:p>
      <w:pPr>
        <w:ind w:right="100" w:firstLine="405"/>
        <w:spacing w:after="0" w:line="245" w:lineRule="auto"/>
        <w:rPr>
          <w:sz w:val="20"/>
          <w:szCs w:val="20"/>
          <w:color w:val="auto"/>
        </w:rPr>
      </w:pPr>
      <w:r>
        <w:rPr>
          <w:rFonts w:ascii="Arial" w:cs="Arial" w:eastAsia="Arial" w:hAnsi="Arial"/>
          <w:sz w:val="18"/>
          <w:szCs w:val="18"/>
          <w:color w:val="auto"/>
        </w:rPr>
        <w:t>We created Alignment after our own families faced frustrating experiences within the fragmented health care system. Without an advocate to create an integrated, high quality health care experience for them, our loved ones were left to navigate a care delivery and insurance landscape fraught with confusion and complexity. Seniors across the country are systemically and disproportionately impacted by the lack of care coordination, transparency and clear information. Furthermore, they are disadvantaged by misaligned incentives that dominate today’s health care system. As one of our most vulnerable populations, seniors across America need and deserve better. We put our combined decades of health care experience to work to create the Alignment model, incorporating best practices learned over our years serving seniors. Through the combination of this experienced, mission-driven team with purpose-built technology, we have found a way to address the unmet health and wellness needs of seniors. We aim to bring this senior-first health care experience to millions in the United States, become the most trusted senior health care brand in the country, and ultimately “do well by doing good.”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Our Impact Focus: Serving People, Serving Consciously and Serving Responsibly</w:t>
      </w:r>
    </w:p>
    <w:p>
      <w:pPr>
        <w:spacing w:after="0" w:line="16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company name, Alignment Healthcare, reflects one of our founding principles: to align all stakeholders in the health care ecosystem around doing what is best for the senior. Our belief in the importance of alignment goes beyond our business model—we believe it’s the right thing to do. In order to achieve our mission and sustain business excellence, we approach each aspect of our business and operations with integrity, corporate responsibility, and ethics in mind to protect and enhance the interests of each of our stakeholders—every one of our seniors and their families, our regulatory constituents including CMS, our team of passionate employees and clinicians, our external provider and delivery system partners and our stockholders.</w:t>
      </w:r>
    </w:p>
    <w:p>
      <w:pPr>
        <w:spacing w:after="0" w:line="128"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We believe that proactively managing our impacts supports our mission and reflects our commitment to best serve the long-term interests of our stakeholders. It also promotes long-term value creation for our stockholders and other stakeholders. The three pillars to our approach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spacing w:after="0" w:line="153" w:lineRule="exact"/>
        <w:rPr>
          <w:sz w:val="20"/>
          <w:szCs w:val="20"/>
          <w:color w:val="auto"/>
        </w:rPr>
      </w:pPr>
    </w:p>
    <w:p>
      <w:pPr>
        <w:ind w:left="1060" w:right="160" w:hanging="327"/>
        <w:spacing w:after="0" w:line="259" w:lineRule="auto"/>
        <w:tabs>
          <w:tab w:leader="none" w:pos="1042"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Serving People </w:t>
      </w:r>
      <w:r>
        <w:rPr>
          <w:rFonts w:ascii="Arial" w:cs="Arial" w:eastAsia="Arial" w:hAnsi="Arial"/>
          <w:sz w:val="18"/>
          <w:szCs w:val="18"/>
          <w:color w:val="auto"/>
        </w:rPr>
        <w:t>– We are committed to serving our members, health care providers, employees, caregivers and broader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Our employees are our most valuable asset, and we are dedicated to creating an organization where they feel a sense of engagement and belonging. See “</w:t>
      </w:r>
      <w:r>
        <w:rPr>
          <w:rFonts w:ascii="Arial" w:cs="Arial" w:eastAsia="Arial" w:hAnsi="Arial"/>
          <w:sz w:val="18"/>
          <w:szCs w:val="18"/>
          <w:i w:val="1"/>
          <w:iCs w:val="1"/>
          <w:color w:val="auto"/>
        </w:rPr>
        <w:t>—Human Resources</w:t>
      </w:r>
      <w:r>
        <w:rPr>
          <w:rFonts w:ascii="Arial" w:cs="Arial" w:eastAsia="Arial" w:hAnsi="Arial"/>
          <w:sz w:val="18"/>
          <w:szCs w:val="18"/>
          <w:color w:val="auto"/>
        </w:rPr>
        <w:t>” below. We work together and put our members first in everything we do, and we strive to support our health care providers with the tools and resources needed to provide the best care.</w:t>
      </w:r>
    </w:p>
    <w:p>
      <w:pPr>
        <w:spacing w:after="0" w:line="152" w:lineRule="exact"/>
        <w:rPr>
          <w:rFonts w:ascii="Arial" w:cs="Arial" w:eastAsia="Arial" w:hAnsi="Arial"/>
          <w:sz w:val="18"/>
          <w:szCs w:val="18"/>
          <w:color w:val="auto"/>
        </w:rPr>
      </w:pPr>
    </w:p>
    <w:p>
      <w:pPr>
        <w:ind w:left="1060" w:right="840" w:hanging="327"/>
        <w:spacing w:after="0" w:line="287" w:lineRule="auto"/>
        <w:tabs>
          <w:tab w:leader="none" w:pos="1042"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Serving Consciously </w:t>
      </w:r>
      <w:r>
        <w:rPr>
          <w:rFonts w:ascii="Arial" w:cs="Arial" w:eastAsia="Arial" w:hAnsi="Arial"/>
          <w:sz w:val="18"/>
          <w:szCs w:val="18"/>
          <w:color w:val="auto"/>
        </w:rPr>
        <w:t>– Our company is focused on understanding and improving our carbon footprint to mitigate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impact as well as expanding telehealth and supporting hybrid and remote work.</w:t>
      </w:r>
    </w:p>
    <w:p>
      <w:pPr>
        <w:spacing w:after="0" w:line="112" w:lineRule="exact"/>
        <w:rPr>
          <w:rFonts w:ascii="Arial" w:cs="Arial" w:eastAsia="Arial" w:hAnsi="Arial"/>
          <w:sz w:val="18"/>
          <w:szCs w:val="18"/>
          <w:color w:val="auto"/>
        </w:rPr>
      </w:pPr>
    </w:p>
    <w:p>
      <w:pPr>
        <w:ind w:left="1060" w:hanging="327"/>
        <w:spacing w:after="0" w:line="268" w:lineRule="auto"/>
        <w:tabs>
          <w:tab w:leader="none" w:pos="1042"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Serving Responsibly </w:t>
      </w:r>
      <w:r>
        <w:rPr>
          <w:rFonts w:ascii="Arial" w:cs="Arial" w:eastAsia="Arial" w:hAnsi="Arial"/>
          <w:sz w:val="18"/>
          <w:szCs w:val="18"/>
          <w:color w:val="auto"/>
        </w:rPr>
        <w:t>– We are committed to maintaining a high level of transparency and accountability across our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includes a strong and diverse mix of experienced business leaders and is committed to providing effective oversight of the Company’s activities.</w:t>
      </w:r>
    </w:p>
    <w:p>
      <w:pPr>
        <w:spacing w:after="0" w:line="130"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aim is to continue fortifying each pillar and to operate with transparency in a way that always puts seniors first, and respects all people, communities and the environment.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Serving Seniors with Our Differentiated Model</w:t>
      </w:r>
    </w:p>
    <w:p>
      <w:pPr>
        <w:spacing w:after="0" w:line="183" w:lineRule="exact"/>
        <w:rPr>
          <w:sz w:val="20"/>
          <w:szCs w:val="20"/>
          <w:color w:val="auto"/>
        </w:rPr>
      </w:pPr>
    </w:p>
    <w:p>
      <w:pPr>
        <w:jc w:val="both"/>
        <w:ind w:right="580" w:firstLine="405"/>
        <w:spacing w:after="0" w:line="268" w:lineRule="auto"/>
        <w:rPr>
          <w:sz w:val="20"/>
          <w:szCs w:val="20"/>
          <w:color w:val="auto"/>
        </w:rPr>
      </w:pPr>
      <w:r>
        <w:rPr>
          <w:rFonts w:ascii="Arial" w:cs="Arial" w:eastAsia="Arial" w:hAnsi="Arial"/>
          <w:sz w:val="18"/>
          <w:szCs w:val="18"/>
          <w:color w:val="auto"/>
        </w:rPr>
        <w:t>Medicare Advantage allows one entity to influence the entirety of a senior’s health care experience through a singular, direct-to-consumer product. Our value of acting with a serving heart supports our efforts to drive the convergence between traditional Medicare Advantage benefits with social determinants of health and consumerism, ultimately for the long-term well-being of our seniors.</w:t>
      </w:r>
    </w:p>
    <w:p>
      <w:pPr>
        <w:spacing w:after="0" w:line="13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contract with CMS under the Medicare Advantage program to provide health insurance coverage to Medicare-eligible people in exchange for a payment per member per month ("PMPM"). The economic construct of the Medicare Advantage program is designed to reward plans that achieve the triple aim of high-quality care, low costs and a better experience. Under these value-based contracts, we assume the economic risk of funding our members’ health care, supplemental benefits and related administration costs. By transferring the economic risk to managed care companies like Alignment, CMS has enabled us to focus on proactive, cross-disciplinary care targeted at improving health outcomes and lowering unnecessary health care expenditures. Due to the competitive nature of CMS’s bidding system, only those plans that are able to provide low cost and high-quality outcomes will be able to offer enhanced benefit options, which is critical to achieving sustainable membership and growth on a long-term basis. This value-based business model capitalizes on health outcomes, not fees, and is designed to serve all members while emphasizing preventative care and benefits.</w:t>
      </w:r>
    </w:p>
    <w:p>
      <w:pPr>
        <w:spacing w:after="0" w:line="15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We achieve our differentiated outcomes through the utilization of AVA®, our proprietary technology platform. AVA leverages a vast amount of data to curate insights which we use to allocate health resources to our members, driving the creation of an end-to-end, low-cost, high-quality care model. Our focus on driving clinical care through our employed clinical teams to high-risk members, while supporting and enabling preventive care through our network of providers for the remaining population, allows our value-based care model to optimize the utilization of resources and strengthen sustainability of our product offering. Our improved health outcomes allow us to provide individualized, supplemental benefits and products that meet the needs of our seniors, including critical-health support, transportation services, financial support for groceries and non-prescription products, and demographic-based and culturally relevant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Human Resources</w:t>
      </w:r>
    </w:p>
    <w:p>
      <w:pPr>
        <w:spacing w:after="0" w:line="223" w:lineRule="exact"/>
        <w:rPr>
          <w:sz w:val="20"/>
          <w:szCs w:val="20"/>
          <w:color w:val="auto"/>
        </w:rPr>
      </w:pPr>
    </w:p>
    <w:p>
      <w:pPr>
        <w:ind w:right="360" w:firstLine="405"/>
        <w:spacing w:after="0" w:line="268" w:lineRule="auto"/>
        <w:rPr>
          <w:sz w:val="20"/>
          <w:szCs w:val="20"/>
          <w:color w:val="auto"/>
        </w:rPr>
      </w:pPr>
      <w:r>
        <w:rPr>
          <w:rFonts w:ascii="Arial" w:cs="Arial" w:eastAsia="Arial" w:hAnsi="Arial"/>
          <w:sz w:val="18"/>
          <w:szCs w:val="18"/>
          <w:color w:val="auto"/>
        </w:rPr>
        <w:t>We are focused on building a company that is transforming health care by putting seniors first, and our employees are critical to our success. Our human capital strategy focuses on meeting business objectives by attracting, developing, engaging, and retaining a high-performing, diverse workforce.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ind w:right="260"/>
        <w:spacing w:after="0" w:line="287" w:lineRule="auto"/>
        <w:rPr>
          <w:sz w:val="20"/>
          <w:szCs w:val="20"/>
          <w:color w:val="auto"/>
        </w:rPr>
      </w:pPr>
      <w:r>
        <w:rPr>
          <w:rFonts w:ascii="Arial" w:cs="Arial" w:eastAsia="Arial" w:hAnsi="Arial"/>
          <w:sz w:val="18"/>
          <w:szCs w:val="18"/>
          <w:color w:val="auto"/>
        </w:rPr>
        <w:t>December 31, 2025, we had 1,849 full-time employees in addition to seasonal employees who assist with the Medicare annual enrollment period.</w:t>
      </w:r>
    </w:p>
    <w:p>
      <w:pPr>
        <w:spacing w:after="0" w:line="153"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Each year, we conduct an employee survey to further enhance employee engagement and productivity. We also implement rigorous employee training protocols to help ensure our teams operate with rigor, ethics and compliance in mind.</w:t>
      </w:r>
    </w:p>
    <w:p>
      <w:pPr>
        <w:spacing w:after="0" w:line="9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recognize that an inclusive workplace is crucial as we scale and build our high-performing team. All aspects of our inclusive culture continue to be embedded in each aspect of our processes, programs, and structures that drive our talent lifecycle: attraction, recruitment, onboarding, development, and retention efforts. Our efforts to recruit for excellence are reflected in the composition of our current employee workforce and Board of Directors, which are comprised of a diverse group of highly qualified individuals that represent top talent in the industry. As of December 31, 2025:</w:t>
      </w:r>
    </w:p>
    <w:p>
      <w:pPr>
        <w:spacing w:after="0" w:line="125" w:lineRule="exact"/>
        <w:rPr>
          <w:sz w:val="20"/>
          <w:szCs w:val="20"/>
          <w:color w:val="auto"/>
        </w:rPr>
      </w:pPr>
    </w:p>
    <w:p>
      <w:pPr>
        <w:ind w:left="880" w:hanging="4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74% of our employees were female</w:t>
      </w:r>
    </w:p>
    <w:p>
      <w:pPr>
        <w:spacing w:after="0" w:line="171" w:lineRule="exact"/>
        <w:rPr>
          <w:rFonts w:ascii="Arial" w:cs="Arial" w:eastAsia="Arial" w:hAnsi="Arial"/>
          <w:sz w:val="18"/>
          <w:szCs w:val="18"/>
          <w:color w:val="auto"/>
        </w:rPr>
      </w:pPr>
    </w:p>
    <w:p>
      <w:pPr>
        <w:ind w:left="880" w:hanging="4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70% of our employees were ethnically diverse</w:t>
      </w:r>
    </w:p>
    <w:p>
      <w:pPr>
        <w:spacing w:after="0" w:line="171" w:lineRule="exact"/>
        <w:rPr>
          <w:rFonts w:ascii="Arial" w:cs="Arial" w:eastAsia="Arial" w:hAnsi="Arial"/>
          <w:sz w:val="18"/>
          <w:szCs w:val="18"/>
          <w:color w:val="auto"/>
        </w:rPr>
      </w:pPr>
    </w:p>
    <w:p>
      <w:pPr>
        <w:ind w:left="880" w:hanging="4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22% of our executive team was ethnically diverse</w:t>
      </w:r>
    </w:p>
    <w:p>
      <w:pPr>
        <w:spacing w:after="0" w:line="171" w:lineRule="exact"/>
        <w:rPr>
          <w:rFonts w:ascii="Arial" w:cs="Arial" w:eastAsia="Arial" w:hAnsi="Arial"/>
          <w:sz w:val="18"/>
          <w:szCs w:val="18"/>
          <w:color w:val="auto"/>
        </w:rPr>
      </w:pPr>
    </w:p>
    <w:p>
      <w:pPr>
        <w:ind w:left="880" w:hanging="4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11% of our executive team was female</w:t>
      </w:r>
    </w:p>
    <w:p>
      <w:pPr>
        <w:spacing w:after="0" w:line="171" w:lineRule="exact"/>
        <w:rPr>
          <w:rFonts w:ascii="Arial" w:cs="Arial" w:eastAsia="Arial" w:hAnsi="Arial"/>
          <w:sz w:val="18"/>
          <w:szCs w:val="18"/>
          <w:color w:val="auto"/>
        </w:rPr>
      </w:pPr>
    </w:p>
    <w:p>
      <w:pPr>
        <w:ind w:left="880" w:hanging="4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22% of our Board of Directors was ethnically diverse</w:t>
      </w:r>
    </w:p>
    <w:p>
      <w:pPr>
        <w:spacing w:after="0" w:line="171" w:lineRule="exact"/>
        <w:rPr>
          <w:rFonts w:ascii="Arial" w:cs="Arial" w:eastAsia="Arial" w:hAnsi="Arial"/>
          <w:sz w:val="18"/>
          <w:szCs w:val="18"/>
          <w:color w:val="auto"/>
        </w:rPr>
      </w:pPr>
    </w:p>
    <w:p>
      <w:pPr>
        <w:ind w:left="880" w:hanging="432"/>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44% of our Board of Directors was female</w:t>
      </w:r>
    </w:p>
    <w:p>
      <w:pPr>
        <w:spacing w:after="0" w:line="171"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The future success of our company will depend, in part, on our continued ability to attract, develop and retain the best talent as we grow and scale the organization. Our talent acquisition and management strategies are designed to ensure that we create and develop a pipeline of outstanding physicians, clinical employees, and business leaders. A key component of our corporate sustainability and success is learning and development. We are intentional in our efforts to provide all employees opportunities to grow. Our training and development programs for employees focus on enhancing and developing talent within the Company. All of our employees can access the training of their choice on-demand through our learning and development platform. We are currently designing additional training programs and resources for both new hires and longer-tenured employees that will educate them on critical functional areas within the organization.</w:t>
      </w:r>
    </w:p>
    <w:p>
      <w:pPr>
        <w:spacing w:after="0" w:line="1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Our compensation and incentive plans are designed to attract, retain and reward employees by granting cash-based performance and stock-based awards. By motivating individuals to achieve business objectives and perform to the best of their abilities, they support the success of the Company and the increase of stockholder value. We also provide comprehensive medical benefits, a positive work/life balance, generous paid time off, and health and wellness programs. We regularly evaluate each aspect of compensation and benefits to ensure they align with the market and our peers.</w:t>
      </w:r>
    </w:p>
    <w:p>
      <w:pPr>
        <w:spacing w:after="0" w:line="206" w:lineRule="exact"/>
        <w:rPr>
          <w:sz w:val="20"/>
          <w:szCs w:val="20"/>
          <w:color w:val="auto"/>
        </w:rPr>
      </w:pPr>
    </w:p>
    <w:p>
      <w:pPr>
        <w:ind w:right="260" w:firstLine="405"/>
        <w:spacing w:after="0" w:line="268" w:lineRule="auto"/>
        <w:rPr>
          <w:sz w:val="20"/>
          <w:szCs w:val="20"/>
          <w:color w:val="auto"/>
        </w:rPr>
      </w:pPr>
      <w:r>
        <w:rPr>
          <w:rFonts w:ascii="Arial" w:cs="Arial" w:eastAsia="Arial" w:hAnsi="Arial"/>
          <w:sz w:val="18"/>
          <w:szCs w:val="18"/>
          <w:color w:val="auto"/>
        </w:rPr>
        <w:t>Our current workforce model embraces working in a hybrid-remote fashion. Our workforce strategy enhances our ability to attract the best talent nationally, allowing us to serve our members where they live and continue to provide our employees with a healthy work-life balance.</w:t>
      </w:r>
    </w:p>
    <w:p>
      <w:pPr>
        <w:spacing w:after="0" w:line="117" w:lineRule="exact"/>
        <w:rPr>
          <w:sz w:val="20"/>
          <w:szCs w:val="20"/>
          <w:color w:val="auto"/>
        </w:rPr>
      </w:pPr>
    </w:p>
    <w:p>
      <w:pPr>
        <w:jc w:val="both"/>
        <w:ind w:right="420" w:firstLine="405"/>
        <w:spacing w:after="0" w:line="268" w:lineRule="auto"/>
        <w:rPr>
          <w:sz w:val="20"/>
          <w:szCs w:val="20"/>
          <w:color w:val="auto"/>
        </w:rPr>
      </w:pPr>
      <w:r>
        <w:rPr>
          <w:rFonts w:ascii="Arial" w:cs="Arial" w:eastAsia="Arial" w:hAnsi="Arial"/>
          <w:sz w:val="18"/>
          <w:szCs w:val="18"/>
          <w:color w:val="auto"/>
        </w:rPr>
        <w:t>Our Board of Directors believes that human capital management is an essential component of our continued growth and success. Management regularly reports to our Board for input on important decisions related to human capital, including corporate culture, safety, compliance, talent management, organizational development,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3" w:name="page34"/>
    <w:bookmarkEnd w:id="33"/>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Protecting Data Privacy</w:t>
      </w:r>
    </w:p>
    <w:p>
      <w:pPr>
        <w:spacing w:after="0" w:line="223" w:lineRule="exact"/>
        <w:rPr>
          <w:sz w:val="20"/>
          <w:szCs w:val="20"/>
          <w:color w:val="auto"/>
        </w:rPr>
      </w:pPr>
    </w:p>
    <w:p>
      <w:pPr>
        <w:ind w:right="80" w:firstLine="405"/>
        <w:spacing w:after="0" w:line="262" w:lineRule="auto"/>
        <w:rPr>
          <w:sz w:val="20"/>
          <w:szCs w:val="20"/>
          <w:color w:val="auto"/>
        </w:rPr>
      </w:pPr>
      <w:r>
        <w:rPr>
          <w:rFonts w:ascii="Arial" w:cs="Arial" w:eastAsia="Arial" w:hAnsi="Arial"/>
          <w:sz w:val="18"/>
          <w:szCs w:val="18"/>
          <w:color w:val="auto"/>
        </w:rPr>
        <w:t>As we are a company that leverages data, technology and analytics to improve health care, we invest in long-term solutions to address current and foreseeable risks and threats to data security and privacy, while also enabling technological development that enhances the member experience. We recognize the critical importance of developing, implementing, and maintaining robust cybersecurity measures to safeguard our information systems and protect the confidentiality, integrity, and availability of our data.</w:t>
      </w:r>
    </w:p>
    <w:p>
      <w:pPr>
        <w:spacing w:after="0" w:line="12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We have designed and deployed an international-award-winning comprehensive cybersecurity risk management program that is embedded in our broader risk management framework, all of which is overseen by our Board of Directors. Our program is designed to include ongoing assessment of our critical assets; detection and analysis of potential threats; timely management of identified security risks; and prompt remediation planning and implementation. To successfully operate and monitor our security readiness, we maintain a data security and privacy team with substantial real-world experience to detect and respond to cybersecurity threats. Our multi-layered security is bolstered by technologies and partners and includes annual employee and vendor security awareness trainings, enhanced access control, data loss protection and vulnerability management, among other technical and process security controls. Our proprietary data architecture, AVA, incorporates high security controls around member data. Our information security program considers how attackers are using emerging technologies (such as artificial intelligence) to help inform our defensive tactics. Our team also regularly reviews emerging product technology to improve our capabilities.</w:t>
      </w:r>
    </w:p>
    <w:p>
      <w:pPr>
        <w:spacing w:after="0" w:line="18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Our data security and privacy program is overseen by our Chief Information Security Officer, who is responsible for the prevention, detection, mitigation, and remediation of cybersecurity incidents and reports to our Chief Information Officer and Audit Committee of the Board. Our Chief Information Security Officer has served in that role since December 2022, has over 27 years of diverse leadership experience in the health care information space (including over 21 years as a certified information systems security professional and chief information security officer) and holds advanced degrees in information technology management, computer science and business administration. The CISO is continually informed about the latest developments in cybersecurity, including potential threats and innovative risk management techniques. The CISO implements and oversees processes for the regular monitoring of our information systems. This includes the deployment of advanced security measures and regular system audits to identify potential vulnerabilities. In the event of a cybersecurity incident, the CISO is equipped with a well-defined incident response plan. This plan includes immediate actions to mitigate the impact and long-term strategies for remediation and prevention of future incidents.</w:t>
      </w:r>
    </w:p>
    <w:p>
      <w:pPr>
        <w:spacing w:after="0" w:line="18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hold HITRUST certification, an externally validated credential that represents the gold standard for security and privacy compliance frameworks in the health care industry. Through our data security and privacy program and policies, we adhere to the requirements of the Health Insurance Portability and Accountability Act of 1996 (HIPAA), other federal regulations and best practices within the health care industry. Moreover, our risk analysis methodology is consistent with ISO 27001, the Federal Information Security Management Act and the U.S. Department of Commerce National Institute of Standards and Technology and Center for Internet Security Special Publication 800-66.</w:t>
      </w:r>
    </w:p>
    <w:p>
      <w:pPr>
        <w:spacing w:after="0" w:line="125" w:lineRule="exact"/>
        <w:rPr>
          <w:sz w:val="20"/>
          <w:szCs w:val="20"/>
          <w:color w:val="auto"/>
        </w:rPr>
      </w:pPr>
    </w:p>
    <w:p>
      <w:pPr>
        <w:ind w:right="460" w:firstLine="405"/>
        <w:spacing w:after="0" w:line="268" w:lineRule="auto"/>
        <w:rPr>
          <w:sz w:val="20"/>
          <w:szCs w:val="20"/>
          <w:color w:val="auto"/>
        </w:rPr>
      </w:pPr>
      <w:r>
        <w:rPr>
          <w:rFonts w:ascii="Arial" w:cs="Arial" w:eastAsia="Arial" w:hAnsi="Arial"/>
          <w:sz w:val="18"/>
          <w:szCs w:val="18"/>
          <w:color w:val="auto"/>
        </w:rPr>
        <w:t>Our strict protection and security measures have resulted in zero security incident-related disruptions or downtime to our business continuity. However, there is no guarantee that a future security incident would not materially affect our business strategy, results of operations or financial condition.</w:t>
      </w:r>
    </w:p>
    <w:p>
      <w:pPr>
        <w:spacing w:after="0" w:line="117" w:lineRule="exact"/>
        <w:rPr>
          <w:sz w:val="20"/>
          <w:szCs w:val="20"/>
          <w:color w:val="auto"/>
        </w:rPr>
      </w:pPr>
    </w:p>
    <w:p>
      <w:pPr>
        <w:ind w:right="180" w:firstLine="405"/>
        <w:spacing w:after="0" w:line="268" w:lineRule="auto"/>
        <w:rPr>
          <w:sz w:val="20"/>
          <w:szCs w:val="20"/>
          <w:color w:val="auto"/>
        </w:rPr>
      </w:pPr>
      <w:r>
        <w:rPr>
          <w:rFonts w:ascii="Arial" w:cs="Arial" w:eastAsia="Arial" w:hAnsi="Arial"/>
          <w:sz w:val="18"/>
          <w:szCs w:val="18"/>
          <w:color w:val="auto"/>
        </w:rPr>
        <w:t>Our information security program is under nearly constant third-party review as part of Sarbanes-Oxley compliance and the HITRUST certification process, including independent third-party penetration testing of all information technology assets at least annually and assessment of our vulnerability to ransomware. Multiple industry-standard third-party tools are utilized to detect vulnerabilities.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1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Alignment is a member of the Healthcare Information Sharing and Analysis Center (Health-ISAC) operated by the U.S. Department of Health and Human Services and the Department of Homeland Security and is affiliated with the FBI InfraGard program, providing deep, actionable intelligence regarding health care security and privacy threats and countermeasures. We continuously monitor the Health-ISAC reporting to anticipate and respond to potential threats.</w:t>
      </w:r>
    </w:p>
    <w:p>
      <w:pPr>
        <w:spacing w:after="0" w:line="122" w:lineRule="exact"/>
        <w:rPr>
          <w:sz w:val="20"/>
          <w:szCs w:val="20"/>
          <w:color w:val="auto"/>
        </w:rPr>
      </w:pPr>
    </w:p>
    <w:p>
      <w:pPr>
        <w:ind w:right="380" w:firstLine="405"/>
        <w:spacing w:after="0" w:line="259" w:lineRule="auto"/>
        <w:rPr>
          <w:sz w:val="20"/>
          <w:szCs w:val="20"/>
          <w:color w:val="auto"/>
        </w:rPr>
      </w:pPr>
      <w:r>
        <w:rPr>
          <w:rFonts w:ascii="Arial" w:cs="Arial" w:eastAsia="Arial" w:hAnsi="Arial"/>
          <w:sz w:val="18"/>
          <w:szCs w:val="18"/>
          <w:color w:val="auto"/>
        </w:rPr>
        <w:t>We rely on third-party vendors to provide supplemental benefits to our members and for a variety of other key business functions. Accordingly, our vendor onboarding process includes a comprehensive security assessment. Moreover, at least quarterly, we assess the risks from cybersecurity threats relating to each of our member-facing and other key third-party service providers with whom we share protected health information, personal identifying information and confidential information. We generally require our suppliers to adopt security-control principles based on industry-recognized standards and we seek audit rights over their security protocols.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Stockholder Engagement</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are committed to effective corporate governance that is designed to promote the long-term interests of our stockholders. We proactively engage with stockholders and other stakeholders throughout the year to learn more about their perspectives on significant issues, including company performance and strategy, executive compensation and governance matters. This engagement helps us better understand stockholder priorities, gives us an opportunity to elaborate upon our initiatives and practices, and fosters constructive dialogue. Our senior management and investor relations teams maintain regular contact with a broad base of investors through quarterly earnings calls, investor conferences and roundtables and individual meetings. We take feedback and insights from our engagement with stockholders and other stakeholders into consideration as we review and evolve our practices and disclosures, and share this feedback with our Board, as appropriate.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Family Relationships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between any of our executive officers or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Committee Interlocks and Insider Participation</w:t>
      </w:r>
    </w:p>
    <w:p>
      <w:pPr>
        <w:spacing w:after="0" w:line="18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During fiscal year 2025, our Compensation Committee was composed of Dr. Kosecoff, Ms. McCarthy and Mr. Vorhoff. None of the directors who served on our Compensation Committee at any time during fiscal 2025 were officers or associates of the Company or were former officers or associates of the Company. Further, none of the members who served on our Compensation Committee at any time during fiscal 2025 had any relationship with our Company requiring disclosure under the section of this proxy statement entitled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Party Transactions</w:t>
      </w:r>
      <w:r>
        <w:rPr>
          <w:rFonts w:ascii="Arial" w:cs="Arial" w:eastAsia="Arial" w:hAnsi="Arial"/>
          <w:sz w:val="18"/>
          <w:szCs w:val="18"/>
          <w:color w:val="auto"/>
        </w:rPr>
        <w:t>.”</w:t>
      </w:r>
    </w:p>
    <w:p>
      <w:pPr>
        <w:spacing w:after="0" w:line="152" w:lineRule="exact"/>
        <w:rPr>
          <w:sz w:val="20"/>
          <w:szCs w:val="20"/>
          <w:color w:val="auto"/>
        </w:rPr>
      </w:pPr>
    </w:p>
    <w:p>
      <w:pPr>
        <w:ind w:right="840" w:firstLine="441"/>
        <w:spacing w:after="0" w:line="318" w:lineRule="auto"/>
        <w:rPr>
          <w:sz w:val="20"/>
          <w:szCs w:val="20"/>
          <w:color w:val="auto"/>
        </w:rPr>
      </w:pPr>
      <w:r>
        <w:rPr>
          <w:rFonts w:ascii="Arial" w:cs="Arial" w:eastAsia="Arial" w:hAnsi="Arial"/>
          <w:sz w:val="17"/>
          <w:szCs w:val="17"/>
          <w:color w:val="auto"/>
        </w:rPr>
        <w:t>None of our executive officers currently serves, or in the past fiscal year has served, as a member of the board of directors or compensation committee of any entity that has one or more executive officers serving on our Board or Compensation Committee.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Code of Business Conduct and Ethics</w:t>
      </w:r>
    </w:p>
    <w:p>
      <w:pPr>
        <w:spacing w:after="0" w:line="117"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We adopted a written code of business conduct and ethics that applies to our directors, executive officers and employees, including our principal executive officer, principal financial officer, principal accounting officer or controller, or persons performing similar functions. A current copy of the code is posted on the investor relations section of our corporate website at https://ir.alignmenthealth.com/. To the extent required by applicable rules adopted by the SEC and Nasdaq, we intend to disclose future amendments to certain provisions of the code, or waivers of such provisions granted to executive officers and directors, in this location on our website at https://ir.alignmenthealth.com/.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5" w:name="page36"/>
    <w:bookmarkEnd w:id="35"/>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Insider Trading Policy; Hedging and Other Transactions</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Our Insider Trading Policy prohibits all officers, directors, employees, family members and affiliated parties from buying, selling or engaging in transactions in our securities at any time while aware of material non-public information about the Company. It also prohibits them from disclosing material non-public information to persons outside the Company, i.e., “tipping.” These prohibitions apply to purchases and sales, as well as other types of transactions such as gifts, loans, contributions to a trust and broker-assisted cashless exercises of stock options.</w:t>
      </w:r>
    </w:p>
    <w:p>
      <w:pPr>
        <w:spacing w:after="0" w:line="179"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Although we discourage speculative hedging transactions, under our Insider Trading Policy, we permit long-term hedging transactions that are designed to protect an individual’s investment in Company securities (i.e., the hedge must be for at least six months and relate to stock or options held by the individual). If an employee wishes to engage in any such transaction, the employee is required to pre-clear it in accordance with the procedures described in our Insider Trading Policy (even if the employee is not one of the persons otherwise required to submit his or her transaction in Company securities to pre-clearance). Alignment personnel and related parties are prohibited from purchasing Company securities on margin, pledging or otherwise granting a security interest in Company securities in margin accounts, engaging in short-sales and buying or selling puts, calls, options or other derivatives in respect of securities of the Company. We believe our Insider Trading Policy, and the processes we have implemented for the Company, are reasonably designed to promote compliance with applicable insider trading laws, rules and regulations and listing standards. The foregoing summary of our Insider Trading Policy is qualified in its entirety by reference to the full text of the Insider Trading Policy, which was filed as Exhibit 19 to our Annual Report on Form 10-K for the fiscal year ended December 31, 2025,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6" w:name="page37"/>
    <w:bookmarkEnd w:id="36"/>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Evaluation Practices</w:t>
      </w:r>
    </w:p>
    <w:p>
      <w:pPr>
        <w:spacing w:after="0" w:line="225" w:lineRule="exact"/>
        <w:rPr>
          <w:sz w:val="20"/>
          <w:szCs w:val="20"/>
          <w:color w:val="auto"/>
        </w:rPr>
      </w:pPr>
    </w:p>
    <w:p>
      <w:pPr>
        <w:ind w:right="40" w:firstLine="401"/>
        <w:spacing w:after="0" w:line="256" w:lineRule="auto"/>
        <w:rPr>
          <w:sz w:val="20"/>
          <w:szCs w:val="20"/>
          <w:color w:val="auto"/>
        </w:rPr>
      </w:pPr>
      <w:r>
        <w:rPr>
          <w:rFonts w:ascii="Arial" w:cs="Arial" w:eastAsia="Arial" w:hAnsi="Arial"/>
          <w:sz w:val="18"/>
          <w:szCs w:val="18"/>
          <w:color w:val="auto"/>
        </w:rPr>
        <w:t>The Board is committed to a rigorous self-evaluation process. Through evaluation, directors annually review the Board’s performance, including areas where the Board feels it functions effectively, and most importantly, areas where the Board can improve. The NCGCC, with additional leadership from our Chairman and Lead Independent Director, initiates the annual Board evaluation process. We believe that having a review process for the Board and each committee helps to (i) ensure an adequate representation of requisite skills; (ii) encourage high levels of engagement from directors; and (iii) strengthen the overall effectiveness of our Board. These evaluations are typically in written form, although they may also be in oral questionnaire form and may be administered by Board members, management or third-party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213360</wp:posOffset>
            </wp:positionV>
            <wp:extent cx="325755" cy="325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8120" w:type="dxa"/>
            <w:vAlign w:val="bottom"/>
            <w:gridSpan w:val="2"/>
          </w:tcPr>
          <w:p>
            <w:pPr>
              <w:ind w:left="480"/>
              <w:spacing w:after="0"/>
              <w:rPr>
                <w:sz w:val="20"/>
                <w:szCs w:val="20"/>
                <w:color w:val="auto"/>
              </w:rPr>
            </w:pPr>
            <w:r>
              <w:rPr>
                <w:rFonts w:ascii="Arial" w:cs="Arial" w:eastAsia="Arial" w:hAnsi="Arial"/>
                <w:sz w:val="18"/>
                <w:szCs w:val="18"/>
                <w:color w:val="auto"/>
              </w:rPr>
              <w:t>The NCGCC develops and oversees an annual self-evaluation process of the Board and its</w:t>
            </w:r>
          </w:p>
        </w:tc>
        <w:tc>
          <w:tcPr>
            <w:tcW w:w="0" w:type="dxa"/>
            <w:vAlign w:val="bottom"/>
          </w:tcPr>
          <w:p>
            <w:pPr>
              <w:spacing w:after="0"/>
              <w:rPr>
                <w:sz w:val="1"/>
                <w:szCs w:val="1"/>
                <w:color w:val="auto"/>
              </w:rPr>
            </w:pPr>
          </w:p>
        </w:tc>
      </w:tr>
      <w:tr>
        <w:trPr>
          <w:trHeight w:val="181"/>
        </w:trPr>
        <w:tc>
          <w:tcPr>
            <w:tcW w:w="3120" w:type="dxa"/>
            <w:vAlign w:val="bottom"/>
          </w:tcPr>
          <w:p>
            <w:pPr>
              <w:spacing w:after="0"/>
              <w:rPr>
                <w:sz w:val="15"/>
                <w:szCs w:val="15"/>
                <w:color w:val="auto"/>
              </w:rPr>
            </w:pPr>
          </w:p>
        </w:tc>
        <w:tc>
          <w:tcPr>
            <w:tcW w:w="8120" w:type="dxa"/>
            <w:vAlign w:val="bottom"/>
            <w:gridSpan w:val="2"/>
          </w:tcPr>
          <w:p>
            <w:pPr>
              <w:ind w:left="480"/>
              <w:spacing w:after="0" w:line="181" w:lineRule="exact"/>
              <w:rPr>
                <w:sz w:val="20"/>
                <w:szCs w:val="20"/>
                <w:color w:val="auto"/>
              </w:rPr>
            </w:pPr>
            <w:r>
              <w:rPr>
                <w:rFonts w:ascii="Arial" w:cs="Arial" w:eastAsia="Arial" w:hAnsi="Arial"/>
                <w:sz w:val="18"/>
                <w:szCs w:val="18"/>
                <w:color w:val="auto"/>
              </w:rPr>
              <w:t>committees and determines the content of the evaluation questionnaires. The NCGCC may</w:t>
            </w:r>
          </w:p>
        </w:tc>
        <w:tc>
          <w:tcPr>
            <w:tcW w:w="0" w:type="dxa"/>
            <w:vAlign w:val="bottom"/>
          </w:tcPr>
          <w:p>
            <w:pPr>
              <w:spacing w:after="0"/>
              <w:rPr>
                <w:sz w:val="1"/>
                <w:szCs w:val="1"/>
                <w:color w:val="auto"/>
              </w:rPr>
            </w:pPr>
          </w:p>
        </w:tc>
      </w:tr>
      <w:tr>
        <w:trPr>
          <w:trHeight w:val="239"/>
        </w:trPr>
        <w:tc>
          <w:tcPr>
            <w:tcW w:w="31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Review of Evaluation Process</w:t>
            </w:r>
          </w:p>
        </w:tc>
        <w:tc>
          <w:tcPr>
            <w:tcW w:w="8120" w:type="dxa"/>
            <w:vAlign w:val="bottom"/>
            <w:gridSpan w:val="2"/>
          </w:tcPr>
          <w:p>
            <w:pPr>
              <w:ind w:left="480"/>
              <w:spacing w:after="0"/>
              <w:rPr>
                <w:sz w:val="20"/>
                <w:szCs w:val="20"/>
                <w:color w:val="auto"/>
              </w:rPr>
            </w:pPr>
            <w:r>
              <w:rPr>
                <w:rFonts w:ascii="Arial" w:cs="Arial" w:eastAsia="Arial" w:hAnsi="Arial"/>
                <w:sz w:val="18"/>
                <w:szCs w:val="18"/>
                <w:color w:val="auto"/>
              </w:rPr>
              <w:t>also consider whether to engage third-party consultants.</w:t>
            </w:r>
          </w:p>
        </w:tc>
        <w:tc>
          <w:tcPr>
            <w:tcW w:w="0" w:type="dxa"/>
            <w:vAlign w:val="bottom"/>
          </w:tcPr>
          <w:p>
            <w:pPr>
              <w:spacing w:after="0"/>
              <w:rPr>
                <w:sz w:val="1"/>
                <w:szCs w:val="1"/>
                <w:color w:val="auto"/>
              </w:rPr>
            </w:pPr>
          </w:p>
        </w:tc>
      </w:tr>
      <w:tr>
        <w:trPr>
          <w:trHeight w:val="124"/>
        </w:trPr>
        <w:tc>
          <w:tcPr>
            <w:tcW w:w="31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3120" w:type="dxa"/>
            <w:vAlign w:val="bottom"/>
            <w:tcBorders>
              <w:bottom w:val="single" w:sz="8" w:color="auto"/>
            </w:tcBorders>
          </w:tcPr>
          <w:p>
            <w:pPr>
              <w:spacing w:after="0"/>
              <w:rPr>
                <w:sz w:val="10"/>
                <w:szCs w:val="10"/>
                <w:color w:val="auto"/>
              </w:rPr>
            </w:pPr>
          </w:p>
        </w:tc>
        <w:tc>
          <w:tcPr>
            <w:tcW w:w="812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434"/>
        </w:trPr>
        <w:tc>
          <w:tcPr>
            <w:tcW w:w="3120" w:type="dxa"/>
            <w:vAlign w:val="bottom"/>
          </w:tcPr>
          <w:p>
            <w:pPr>
              <w:spacing w:after="0"/>
              <w:rPr>
                <w:sz w:val="24"/>
                <w:szCs w:val="24"/>
                <w:color w:val="auto"/>
              </w:rPr>
            </w:pPr>
          </w:p>
        </w:tc>
        <w:tc>
          <w:tcPr>
            <w:tcW w:w="8120" w:type="dxa"/>
            <w:vAlign w:val="bottom"/>
            <w:gridSpan w:val="2"/>
          </w:tcPr>
          <w:p>
            <w:pPr>
              <w:ind w:left="480"/>
              <w:spacing w:after="0"/>
              <w:rPr>
                <w:sz w:val="20"/>
                <w:szCs w:val="20"/>
                <w:color w:val="auto"/>
              </w:rPr>
            </w:pPr>
            <w:r>
              <w:rPr>
                <w:rFonts w:ascii="Arial" w:cs="Arial" w:eastAsia="Arial" w:hAnsi="Arial"/>
                <w:sz w:val="18"/>
                <w:szCs w:val="18"/>
                <w:color w:val="auto"/>
              </w:rPr>
              <w:t>The Board evaluation typically consists of a written questionnaire containing qualitative scaled</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8120" w:type="dxa"/>
            <w:vAlign w:val="bottom"/>
            <w:gridSpan w:val="2"/>
          </w:tcPr>
          <w:p>
            <w:pPr>
              <w:ind w:left="480"/>
              <w:spacing w:after="0"/>
              <w:rPr>
                <w:sz w:val="20"/>
                <w:szCs w:val="20"/>
                <w:color w:val="auto"/>
              </w:rPr>
            </w:pPr>
            <w:r>
              <w:rPr>
                <w:rFonts w:ascii="Arial" w:cs="Arial" w:eastAsia="Arial" w:hAnsi="Arial"/>
                <w:sz w:val="18"/>
                <w:szCs w:val="18"/>
                <w:color w:val="auto"/>
              </w:rPr>
              <w:t>and open-ended questions related to the effectiveness of the Board during the prior year. The</w:t>
            </w:r>
          </w:p>
        </w:tc>
        <w:tc>
          <w:tcPr>
            <w:tcW w:w="0" w:type="dxa"/>
            <w:vAlign w:val="bottom"/>
          </w:tcPr>
          <w:p>
            <w:pPr>
              <w:spacing w:after="0"/>
              <w:rPr>
                <w:sz w:val="1"/>
                <w:szCs w:val="1"/>
                <w:color w:val="auto"/>
              </w:rPr>
            </w:pPr>
          </w:p>
        </w:tc>
      </w:tr>
      <w:tr>
        <w:trPr>
          <w:trHeight w:val="216"/>
        </w:trPr>
        <w:tc>
          <w:tcPr>
            <w:tcW w:w="312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Questionnaires</w:t>
            </w:r>
          </w:p>
        </w:tc>
        <w:tc>
          <w:tcPr>
            <w:tcW w:w="8120" w:type="dxa"/>
            <w:vAlign w:val="bottom"/>
            <w:gridSpan w:val="2"/>
          </w:tcPr>
          <w:p>
            <w:pPr>
              <w:ind w:left="480"/>
              <w:spacing w:after="0"/>
              <w:rPr>
                <w:sz w:val="20"/>
                <w:szCs w:val="20"/>
                <w:color w:val="auto"/>
              </w:rPr>
            </w:pPr>
            <w:r>
              <w:rPr>
                <w:rFonts w:ascii="Arial" w:cs="Arial" w:eastAsia="Arial" w:hAnsi="Arial"/>
                <w:sz w:val="18"/>
                <w:szCs w:val="18"/>
                <w:color w:val="auto"/>
              </w:rPr>
              <w:t>questionnaire hones in on specific areas of responsibility and critical attributes of the Board in</w:t>
            </w:r>
          </w:p>
        </w:tc>
        <w:tc>
          <w:tcPr>
            <w:tcW w:w="0" w:type="dxa"/>
            <w:vAlign w:val="bottom"/>
          </w:tcPr>
          <w:p>
            <w:pPr>
              <w:spacing w:after="0"/>
              <w:rPr>
                <w:sz w:val="1"/>
                <w:szCs w:val="1"/>
                <w:color w:val="auto"/>
              </w:rPr>
            </w:pPr>
          </w:p>
        </w:tc>
      </w:tr>
      <w:tr>
        <w:trPr>
          <w:trHeight w:val="239"/>
        </w:trPr>
        <w:tc>
          <w:tcPr>
            <w:tcW w:w="3120" w:type="dxa"/>
            <w:vAlign w:val="bottom"/>
            <w:vMerge w:val="continue"/>
          </w:tcPr>
          <w:p>
            <w:pPr>
              <w:spacing w:after="0"/>
              <w:rPr>
                <w:sz w:val="20"/>
                <w:szCs w:val="20"/>
                <w:color w:val="auto"/>
              </w:rPr>
            </w:pPr>
          </w:p>
        </w:tc>
        <w:tc>
          <w:tcPr>
            <w:tcW w:w="8120" w:type="dxa"/>
            <w:vAlign w:val="bottom"/>
            <w:gridSpan w:val="2"/>
          </w:tcPr>
          <w:p>
            <w:pPr>
              <w:ind w:left="480"/>
              <w:spacing w:after="0"/>
              <w:rPr>
                <w:sz w:val="20"/>
                <w:szCs w:val="20"/>
                <w:color w:val="auto"/>
              </w:rPr>
            </w:pPr>
            <w:r>
              <w:rPr>
                <w:rFonts w:ascii="Arial" w:cs="Arial" w:eastAsia="Arial" w:hAnsi="Arial"/>
                <w:sz w:val="18"/>
                <w:szCs w:val="18"/>
                <w:color w:val="auto"/>
              </w:rPr>
              <w:t>order to solicit candid feedback from each director. Questionnaires include topics such as:</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rPr>
              <w:t>•</w:t>
            </w:r>
          </w:p>
        </w:tc>
        <w:tc>
          <w:tcPr>
            <w:tcW w:w="7140" w:type="dxa"/>
            <w:vAlign w:val="bottom"/>
          </w:tcPr>
          <w:p>
            <w:pPr>
              <w:ind w:left="120"/>
              <w:spacing w:after="0"/>
              <w:rPr>
                <w:sz w:val="20"/>
                <w:szCs w:val="20"/>
                <w:color w:val="auto"/>
              </w:rPr>
            </w:pPr>
            <w:r>
              <w:rPr>
                <w:rFonts w:ascii="Arial" w:cs="Arial" w:eastAsia="Arial" w:hAnsi="Arial"/>
                <w:sz w:val="18"/>
                <w:szCs w:val="18"/>
                <w:color w:val="auto"/>
              </w:rPr>
              <w:t>Board Performance</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8120" w:type="dxa"/>
            <w:vAlign w:val="bottom"/>
            <w:gridSpan w:val="2"/>
          </w:tcPr>
          <w:p>
            <w:pPr>
              <w:ind w:left="800"/>
              <w:spacing w:after="0"/>
              <w:rPr>
                <w:sz w:val="20"/>
                <w:szCs w:val="20"/>
                <w:color w:val="auto"/>
              </w:rPr>
            </w:pPr>
            <w:r>
              <w:rPr>
                <w:rFonts w:ascii="Arial" w:cs="Arial" w:eastAsia="Arial" w:hAnsi="Arial"/>
                <w:sz w:val="18"/>
                <w:szCs w:val="18"/>
                <w:color w:val="auto"/>
              </w:rPr>
              <w:t>•   Board Composition, Skills and Diversity</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8120" w:type="dxa"/>
            <w:vAlign w:val="bottom"/>
            <w:gridSpan w:val="2"/>
          </w:tcPr>
          <w:p>
            <w:pPr>
              <w:ind w:left="800"/>
              <w:spacing w:after="0"/>
              <w:rPr>
                <w:sz w:val="20"/>
                <w:szCs w:val="20"/>
                <w:color w:val="auto"/>
              </w:rPr>
            </w:pPr>
            <w:r>
              <w:rPr>
                <w:rFonts w:ascii="Arial" w:cs="Arial" w:eastAsia="Arial" w:hAnsi="Arial"/>
                <w:sz w:val="18"/>
                <w:szCs w:val="18"/>
                <w:color w:val="auto"/>
              </w:rPr>
              <w:t>•   Board and Committee Meetings and Structure</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rPr>
              <w:t>•</w:t>
            </w:r>
          </w:p>
        </w:tc>
        <w:tc>
          <w:tcPr>
            <w:tcW w:w="7140" w:type="dxa"/>
            <w:vAlign w:val="bottom"/>
          </w:tcPr>
          <w:p>
            <w:pPr>
              <w:ind w:left="120"/>
              <w:spacing w:after="0"/>
              <w:rPr>
                <w:sz w:val="20"/>
                <w:szCs w:val="20"/>
                <w:color w:val="auto"/>
              </w:rPr>
            </w:pPr>
            <w:r>
              <w:rPr>
                <w:rFonts w:ascii="Arial" w:cs="Arial" w:eastAsia="Arial" w:hAnsi="Arial"/>
                <w:sz w:val="18"/>
                <w:szCs w:val="18"/>
                <w:color w:val="auto"/>
              </w:rPr>
              <w:t>Management Relations</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8120" w:type="dxa"/>
            <w:vAlign w:val="bottom"/>
            <w:gridSpan w:val="2"/>
          </w:tcPr>
          <w:p>
            <w:pPr>
              <w:ind w:left="800"/>
              <w:spacing w:after="0"/>
              <w:rPr>
                <w:sz w:val="20"/>
                <w:szCs w:val="20"/>
                <w:color w:val="auto"/>
              </w:rPr>
            </w:pPr>
            <w:r>
              <w:rPr>
                <w:rFonts w:ascii="Arial" w:cs="Arial" w:eastAsia="Arial" w:hAnsi="Arial"/>
                <w:sz w:val="18"/>
                <w:szCs w:val="18"/>
                <w:color w:val="auto"/>
              </w:rPr>
              <w:t>•   Risk Oversight by Board and Committees</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rPr>
              <w:t>•</w:t>
            </w:r>
          </w:p>
        </w:tc>
        <w:tc>
          <w:tcPr>
            <w:tcW w:w="7140" w:type="dxa"/>
            <w:vAlign w:val="bottom"/>
          </w:tcPr>
          <w:p>
            <w:pPr>
              <w:ind w:left="120"/>
              <w:spacing w:after="0"/>
              <w:rPr>
                <w:sz w:val="20"/>
                <w:szCs w:val="20"/>
                <w:color w:val="auto"/>
              </w:rPr>
            </w:pPr>
            <w:r>
              <w:rPr>
                <w:rFonts w:ascii="Arial" w:cs="Arial" w:eastAsia="Arial" w:hAnsi="Arial"/>
                <w:sz w:val="18"/>
                <w:szCs w:val="18"/>
                <w:color w:val="auto"/>
              </w:rPr>
              <w:t>Process and Resources</w:t>
            </w:r>
          </w:p>
        </w:tc>
        <w:tc>
          <w:tcPr>
            <w:tcW w:w="0" w:type="dxa"/>
            <w:vAlign w:val="bottom"/>
          </w:tcPr>
          <w:p>
            <w:pPr>
              <w:spacing w:after="0"/>
              <w:rPr>
                <w:sz w:val="1"/>
                <w:szCs w:val="1"/>
                <w:color w:val="auto"/>
              </w:rPr>
            </w:pPr>
          </w:p>
        </w:tc>
      </w:tr>
      <w:tr>
        <w:trPr>
          <w:trHeight w:val="432"/>
        </w:trPr>
        <w:tc>
          <w:tcPr>
            <w:tcW w:w="3120" w:type="dxa"/>
            <w:vAlign w:val="bottom"/>
          </w:tcPr>
          <w:p>
            <w:pPr>
              <w:spacing w:after="0"/>
              <w:rPr>
                <w:sz w:val="24"/>
                <w:szCs w:val="24"/>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rPr>
              <w:t>•</w:t>
            </w:r>
          </w:p>
        </w:tc>
        <w:tc>
          <w:tcPr>
            <w:tcW w:w="7140" w:type="dxa"/>
            <w:vAlign w:val="bottom"/>
          </w:tcPr>
          <w:p>
            <w:pPr>
              <w:ind w:left="120"/>
              <w:spacing w:after="0"/>
              <w:rPr>
                <w:sz w:val="20"/>
                <w:szCs w:val="20"/>
                <w:color w:val="auto"/>
              </w:rPr>
            </w:pPr>
            <w:r>
              <w:rPr>
                <w:rFonts w:ascii="Arial" w:cs="Arial" w:eastAsia="Arial" w:hAnsi="Arial"/>
                <w:sz w:val="18"/>
                <w:szCs w:val="18"/>
                <w:color w:val="auto"/>
              </w:rPr>
              <w:t>Board Culture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-2633345</wp:posOffset>
            </wp:positionV>
            <wp:extent cx="7132320" cy="35401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3540125"/>
                    </a:xfrm>
                    <a:prstGeom prst="rect">
                      <a:avLst/>
                    </a:prstGeom>
                    <a:noFill/>
                  </pic:spPr>
                </pic:pic>
              </a:graphicData>
            </a:graphic>
          </wp:anchor>
        </w:drawing>
      </w:r>
    </w:p>
    <w:p>
      <w:pPr>
        <w:spacing w:after="0" w:line="173" w:lineRule="exact"/>
        <w:rPr>
          <w:sz w:val="20"/>
          <w:szCs w:val="20"/>
          <w:color w:val="auto"/>
        </w:rPr>
      </w:pPr>
    </w:p>
    <w:p>
      <w:pPr>
        <w:jc w:val="both"/>
        <w:ind w:left="3600" w:right="160"/>
        <w:spacing w:after="0" w:line="318" w:lineRule="auto"/>
        <w:rPr>
          <w:sz w:val="20"/>
          <w:szCs w:val="20"/>
          <w:color w:val="auto"/>
        </w:rPr>
      </w:pPr>
      <w:r>
        <w:rPr>
          <w:rFonts w:ascii="Arial" w:cs="Arial" w:eastAsia="Arial" w:hAnsi="Arial"/>
          <w:sz w:val="17"/>
          <w:szCs w:val="17"/>
          <w:color w:val="auto"/>
        </w:rPr>
        <w:t>The questionnaire also seeks practical input as to what the Board is doing well, areas in which the Board could improve and any undertakings that the Board should commence or terminate.</w:t>
      </w:r>
    </w:p>
    <w:p>
      <w:pPr>
        <w:spacing w:after="0" w:line="130" w:lineRule="exact"/>
        <w:rPr>
          <w:sz w:val="20"/>
          <w:szCs w:val="20"/>
          <w:color w:val="auto"/>
        </w:rPr>
      </w:pPr>
    </w:p>
    <w:p>
      <w:pPr>
        <w:ind w:left="3600" w:right="660"/>
        <w:spacing w:after="0" w:line="287" w:lineRule="auto"/>
        <w:rPr>
          <w:sz w:val="20"/>
          <w:szCs w:val="20"/>
          <w:color w:val="auto"/>
        </w:rPr>
      </w:pPr>
      <w:r>
        <w:rPr>
          <w:rFonts w:ascii="Arial" w:cs="Arial" w:eastAsia="Arial" w:hAnsi="Arial"/>
          <w:sz w:val="18"/>
          <w:szCs w:val="18"/>
          <w:color w:val="auto"/>
        </w:rPr>
        <w:t>Another benefit of the questionnaire is that it allows each Board member to evaluate the effectiveness of the Chairman of the Board and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Results of the evaluations are shared with the Chairman of the Board, the Lead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325755" cy="3257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5755" cy="325755"/>
                    </a:xfrm>
                    <a:prstGeom prst="rect">
                      <a:avLst/>
                    </a:prstGeom>
                    <a:noFill/>
                  </pic:spPr>
                </pic:pic>
              </a:graphicData>
            </a:graphic>
          </wp:anchor>
        </w:drawing>
      </w:r>
    </w:p>
    <w:p>
      <w:pPr>
        <w:ind w:left="3600" w:right="180"/>
        <w:spacing w:after="0" w:line="229" w:lineRule="auto"/>
        <w:rPr>
          <w:sz w:val="20"/>
          <w:szCs w:val="20"/>
          <w:color w:val="auto"/>
        </w:rPr>
      </w:pPr>
      <w:r>
        <w:rPr>
          <w:rFonts w:ascii="Arial" w:cs="Arial" w:eastAsia="Arial" w:hAnsi="Arial"/>
          <w:sz w:val="18"/>
          <w:szCs w:val="18"/>
          <w:color w:val="auto"/>
        </w:rPr>
        <w:t>Director and the Chairman of the NCGCC and then later discussed with the entire Board in an aggregated manner.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Board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3"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auto"/>
        </w:rPr>
        <w:t>Each of our Board committees similarly engages in an annual performance evaluation and a general charter adequacy review. Each committee is responsible for determining the manner of evaluation and for carrying out the evaluation. Further, the Board evaluation questionnaire includes a section specifically concerning Board committee structure and performance, which is an opportunity for Board members to provide feedback on each committee, regardless of their individual committee membership.</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and Committee Meetings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For the year ended December 31, 2025, our Board held five meetings. Our Audit Committee, Compensation Committee and NCGCC held nine, six and four meetings, respectively during the year ended December 31, 2025. In 2025, each director attended at least 75% of the aggregate of (1) the total number of meetings of the Board of Directors of the Company (held during the period for which he or she was a director) and (2) the total number of meetings of all committees of the Board of Directors of the Company on which the director served (during the periods that he or she served). Directors are encouraged to attend the annual meeting of stockholders and expected to attend all or substantially all of the Board meetings and meetings of committees on which they serve.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Communications by Stockholders and Other Interested Parties with the Board</w:t>
      </w:r>
    </w:p>
    <w:p>
      <w:pPr>
        <w:spacing w:after="0" w:line="117" w:lineRule="exact"/>
        <w:rPr>
          <w:sz w:val="20"/>
          <w:szCs w:val="20"/>
          <w:color w:val="auto"/>
        </w:rPr>
      </w:pPr>
    </w:p>
    <w:p>
      <w:pPr>
        <w:ind w:right="180" w:firstLine="405"/>
        <w:spacing w:after="0" w:line="287" w:lineRule="auto"/>
        <w:rPr>
          <w:sz w:val="20"/>
          <w:szCs w:val="20"/>
          <w:color w:val="auto"/>
        </w:rPr>
      </w:pPr>
      <w:r>
        <w:rPr>
          <w:rFonts w:ascii="Arial" w:cs="Arial" w:eastAsia="Arial" w:hAnsi="Arial"/>
          <w:sz w:val="18"/>
          <w:szCs w:val="18"/>
          <w:color w:val="auto"/>
        </w:rPr>
        <w:t>Stockholders and other interested parties may contact an individual director, the Board as a group, or a specified Board committee or group, including the independent directors as a group, by sending regular mail to:</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Alignment Healthcare,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1100 W. Town &amp; Country Rd., Suite 1600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Orange, CA 92868</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Board of Directors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c/o Chief Legal &amp; Administrative Officer</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Each communication should specify which director or directors the communication is addressed to, as well as the general topic of the communication. Alignment will receive the communications and process them before forwarding them to the addressee. Alignment may also refer communications to other departments within the Company. Alignment generally will not forward to the directors a communication that is primarily commercial in nature, relates to an improper or irrelevant topic, or requests general information regarding Alignment.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38" w:name="page39"/>
    <w:bookmarkEnd w:id="38"/>
    <w:p>
      <w:pPr>
        <w:jc w:val="center"/>
        <w:ind w:right="-139"/>
        <w:spacing w:after="0"/>
        <w:rPr>
          <w:sz w:val="20"/>
          <w:szCs w:val="20"/>
          <w:color w:val="auto"/>
        </w:rPr>
      </w:pPr>
      <w:r>
        <w:rPr>
          <w:rFonts w:ascii="Arial" w:cs="Arial" w:eastAsia="Arial" w:hAnsi="Arial"/>
          <w:sz w:val="18"/>
          <w:szCs w:val="18"/>
          <w:b w:val="1"/>
          <w:bCs w:val="1"/>
          <w:color w:val="auto"/>
        </w:rPr>
        <w:t>EXECUTIVE OFFICERS</w:t>
      </w:r>
    </w:p>
    <w:p>
      <w:pPr>
        <w:spacing w:after="0" w:line="225" w:lineRule="exact"/>
        <w:rPr>
          <w:sz w:val="20"/>
          <w:szCs w:val="20"/>
          <w:color w:val="auto"/>
        </w:rPr>
      </w:pPr>
    </w:p>
    <w:p>
      <w:pPr>
        <w:ind w:firstLine="492"/>
        <w:spacing w:after="0" w:line="287" w:lineRule="auto"/>
        <w:rPr>
          <w:sz w:val="20"/>
          <w:szCs w:val="20"/>
          <w:color w:val="auto"/>
        </w:rPr>
      </w:pPr>
      <w:r>
        <w:rPr>
          <w:rFonts w:ascii="Arial" w:cs="Arial" w:eastAsia="Arial" w:hAnsi="Arial"/>
          <w:sz w:val="18"/>
          <w:szCs w:val="18"/>
          <w:color w:val="auto"/>
        </w:rPr>
        <w:t>Below is a list of the names, ages, positions, and a brief account of the business experience of the individuals who serve as executive officers of Alignment as of April 24, 2026:</w:t>
      </w:r>
    </w:p>
    <w:p>
      <w:pPr>
        <w:spacing w:after="0" w:line="85" w:lineRule="exact"/>
        <w:rPr>
          <w:sz w:val="20"/>
          <w:szCs w:val="20"/>
          <w:color w:val="auto"/>
        </w:rPr>
      </w:pPr>
    </w:p>
    <w:tbl>
      <w:tblPr>
        <w:tblLayout w:type="fixed"/>
        <w:tblInd w:w="1920" w:type="dxa"/>
        <w:tblCellMar>
          <w:top w:w="0" w:type="dxa"/>
          <w:left w:w="0" w:type="dxa"/>
          <w:bottom w:w="0" w:type="dxa"/>
          <w:right w:w="0" w:type="dxa"/>
        </w:tblCellMar>
      </w:tblPr>
      <w:tr>
        <w:trPr>
          <w:trHeight w:val="262"/>
        </w:trPr>
        <w:tc>
          <w:tcPr>
            <w:tcW w:w="22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8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9"/>
              </w:rPr>
              <w:t>Age</w:t>
            </w:r>
          </w:p>
        </w:tc>
        <w:tc>
          <w:tcPr>
            <w:tcW w:w="43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322"/>
        </w:trPr>
        <w:tc>
          <w:tcPr>
            <w:tcW w:w="2220" w:type="dxa"/>
            <w:vAlign w:val="bottom"/>
            <w:shd w:val="clear" w:color="auto" w:fill="DBE5F1"/>
          </w:tcPr>
          <w:p>
            <w:pPr>
              <w:ind w:left="60"/>
              <w:spacing w:after="0"/>
              <w:rPr>
                <w:sz w:val="20"/>
                <w:szCs w:val="20"/>
                <w:color w:val="auto"/>
              </w:rPr>
            </w:pPr>
            <w:r>
              <w:rPr>
                <w:rFonts w:ascii="Arial" w:cs="Arial" w:eastAsia="Arial" w:hAnsi="Arial"/>
                <w:sz w:val="18"/>
                <w:szCs w:val="18"/>
                <w:color w:val="auto"/>
              </w:rPr>
              <w:t>John Kao</w:t>
            </w:r>
          </w:p>
        </w:tc>
        <w:tc>
          <w:tcPr>
            <w:tcW w:w="860" w:type="dxa"/>
            <w:vAlign w:val="bottom"/>
            <w:shd w:val="clear" w:color="auto" w:fill="DBE5F1"/>
          </w:tcPr>
          <w:p>
            <w:pPr>
              <w:jc w:val="center"/>
              <w:ind w:left="50"/>
              <w:spacing w:after="0"/>
              <w:rPr>
                <w:sz w:val="20"/>
                <w:szCs w:val="20"/>
                <w:color w:val="auto"/>
              </w:rPr>
            </w:pPr>
            <w:r>
              <w:rPr>
                <w:rFonts w:ascii="Arial" w:cs="Arial" w:eastAsia="Arial" w:hAnsi="Arial"/>
                <w:sz w:val="18"/>
                <w:szCs w:val="18"/>
                <w:color w:val="auto"/>
                <w:w w:val="99"/>
              </w:rPr>
              <w:t>64</w:t>
            </w:r>
          </w:p>
        </w:tc>
        <w:tc>
          <w:tcPr>
            <w:tcW w:w="43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Director and Chief Executive Officer</w:t>
            </w:r>
          </w:p>
        </w:tc>
        <w:tc>
          <w:tcPr>
            <w:tcW w:w="0" w:type="dxa"/>
            <w:vAlign w:val="bottom"/>
          </w:tcPr>
          <w:p>
            <w:pPr>
              <w:spacing w:after="0"/>
              <w:rPr>
                <w:sz w:val="1"/>
                <w:szCs w:val="1"/>
                <w:color w:val="auto"/>
              </w:rPr>
            </w:pPr>
          </w:p>
        </w:tc>
      </w:tr>
      <w:tr>
        <w:trPr>
          <w:trHeight w:val="104"/>
        </w:trPr>
        <w:tc>
          <w:tcPr>
            <w:tcW w:w="2220" w:type="dxa"/>
            <w:vAlign w:val="bottom"/>
            <w:shd w:val="clear" w:color="auto" w:fill="DBE5F1"/>
          </w:tcPr>
          <w:p>
            <w:pPr>
              <w:spacing w:after="0"/>
              <w:rPr>
                <w:sz w:val="9"/>
                <w:szCs w:val="9"/>
                <w:color w:val="auto"/>
              </w:rPr>
            </w:pPr>
          </w:p>
        </w:tc>
        <w:tc>
          <w:tcPr>
            <w:tcW w:w="860" w:type="dxa"/>
            <w:vAlign w:val="bottom"/>
            <w:shd w:val="clear" w:color="auto" w:fill="DBE5F1"/>
          </w:tcPr>
          <w:p>
            <w:pPr>
              <w:spacing w:after="0"/>
              <w:rPr>
                <w:sz w:val="9"/>
                <w:szCs w:val="9"/>
                <w:color w:val="auto"/>
              </w:rPr>
            </w:pPr>
          </w:p>
        </w:tc>
        <w:tc>
          <w:tcPr>
            <w:tcW w:w="434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220" w:type="dxa"/>
            <w:vAlign w:val="bottom"/>
          </w:tcPr>
          <w:p>
            <w:pPr>
              <w:ind w:left="60"/>
              <w:spacing w:after="0"/>
              <w:rPr>
                <w:sz w:val="20"/>
                <w:szCs w:val="20"/>
                <w:color w:val="auto"/>
              </w:rPr>
            </w:pPr>
            <w:r>
              <w:rPr>
                <w:rFonts w:ascii="Arial" w:cs="Arial" w:eastAsia="Arial" w:hAnsi="Arial"/>
                <w:sz w:val="18"/>
                <w:szCs w:val="18"/>
                <w:color w:val="auto"/>
              </w:rPr>
              <w:t>Dawn Maroney</w:t>
            </w: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58</w:t>
            </w:r>
          </w:p>
        </w:tc>
        <w:tc>
          <w:tcPr>
            <w:tcW w:w="4340" w:type="dxa"/>
            <w:vAlign w:val="bottom"/>
          </w:tcPr>
          <w:p>
            <w:pPr>
              <w:ind w:left="18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220" w:type="dxa"/>
            <w:vAlign w:val="bottom"/>
            <w:shd w:val="clear" w:color="auto" w:fill="DBE5F1"/>
          </w:tcPr>
          <w:p>
            <w:pPr>
              <w:ind w:left="60"/>
              <w:spacing w:after="0"/>
              <w:rPr>
                <w:sz w:val="20"/>
                <w:szCs w:val="20"/>
                <w:color w:val="auto"/>
              </w:rPr>
            </w:pPr>
            <w:r>
              <w:rPr>
                <w:rFonts w:ascii="Arial" w:cs="Arial" w:eastAsia="Arial" w:hAnsi="Arial"/>
                <w:sz w:val="18"/>
                <w:szCs w:val="18"/>
                <w:color w:val="auto"/>
              </w:rPr>
              <w:t>James M. Head</w:t>
            </w:r>
          </w:p>
        </w:tc>
        <w:tc>
          <w:tcPr>
            <w:tcW w:w="860" w:type="dxa"/>
            <w:vAlign w:val="bottom"/>
            <w:shd w:val="clear" w:color="auto" w:fill="DBE5F1"/>
          </w:tcPr>
          <w:p>
            <w:pPr>
              <w:jc w:val="center"/>
              <w:ind w:left="50"/>
              <w:spacing w:after="0"/>
              <w:rPr>
                <w:sz w:val="20"/>
                <w:szCs w:val="20"/>
                <w:color w:val="auto"/>
              </w:rPr>
            </w:pPr>
            <w:r>
              <w:rPr>
                <w:rFonts w:ascii="Arial" w:cs="Arial" w:eastAsia="Arial" w:hAnsi="Arial"/>
                <w:sz w:val="18"/>
                <w:szCs w:val="18"/>
                <w:color w:val="auto"/>
                <w:w w:val="99"/>
              </w:rPr>
              <w:t>60</w:t>
            </w:r>
          </w:p>
        </w:tc>
        <w:tc>
          <w:tcPr>
            <w:tcW w:w="43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04"/>
        </w:trPr>
        <w:tc>
          <w:tcPr>
            <w:tcW w:w="2220" w:type="dxa"/>
            <w:vAlign w:val="bottom"/>
            <w:shd w:val="clear" w:color="auto" w:fill="DBE5F1"/>
          </w:tcPr>
          <w:p>
            <w:pPr>
              <w:spacing w:after="0"/>
              <w:rPr>
                <w:sz w:val="9"/>
                <w:szCs w:val="9"/>
                <w:color w:val="auto"/>
              </w:rPr>
            </w:pPr>
          </w:p>
        </w:tc>
        <w:tc>
          <w:tcPr>
            <w:tcW w:w="860" w:type="dxa"/>
            <w:vAlign w:val="bottom"/>
            <w:shd w:val="clear" w:color="auto" w:fill="DBE5F1"/>
          </w:tcPr>
          <w:p>
            <w:pPr>
              <w:spacing w:after="0"/>
              <w:rPr>
                <w:sz w:val="9"/>
                <w:szCs w:val="9"/>
                <w:color w:val="auto"/>
              </w:rPr>
            </w:pPr>
          </w:p>
        </w:tc>
        <w:tc>
          <w:tcPr>
            <w:tcW w:w="434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220" w:type="dxa"/>
            <w:vAlign w:val="bottom"/>
          </w:tcPr>
          <w:p>
            <w:pPr>
              <w:ind w:left="60"/>
              <w:spacing w:after="0"/>
              <w:rPr>
                <w:sz w:val="20"/>
                <w:szCs w:val="20"/>
                <w:color w:val="auto"/>
              </w:rPr>
            </w:pPr>
            <w:r>
              <w:rPr>
                <w:rFonts w:ascii="Arial" w:cs="Arial" w:eastAsia="Arial" w:hAnsi="Arial"/>
                <w:sz w:val="18"/>
                <w:szCs w:val="18"/>
                <w:color w:val="auto"/>
              </w:rPr>
              <w:t>Hyong (Ken) Kim, M.D.</w:t>
            </w: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57</w:t>
            </w:r>
          </w:p>
        </w:tc>
        <w:tc>
          <w:tcPr>
            <w:tcW w:w="4340" w:type="dxa"/>
            <w:vAlign w:val="bottom"/>
          </w:tcPr>
          <w:p>
            <w:pPr>
              <w:ind w:left="1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104"/>
        </w:trPr>
        <w:tc>
          <w:tcPr>
            <w:tcW w:w="2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8"/>
        </w:trPr>
        <w:tc>
          <w:tcPr>
            <w:tcW w:w="2220" w:type="dxa"/>
            <w:vAlign w:val="bottom"/>
            <w:shd w:val="clear" w:color="auto" w:fill="DBE5F1"/>
          </w:tcPr>
          <w:p>
            <w:pPr>
              <w:ind w:left="60"/>
              <w:spacing w:after="0"/>
              <w:rPr>
                <w:sz w:val="20"/>
                <w:szCs w:val="20"/>
                <w:color w:val="auto"/>
              </w:rPr>
            </w:pPr>
            <w:r>
              <w:rPr>
                <w:rFonts w:ascii="Arial" w:cs="Arial" w:eastAsia="Arial" w:hAnsi="Arial"/>
                <w:sz w:val="18"/>
                <w:szCs w:val="18"/>
                <w:color w:val="auto"/>
              </w:rPr>
              <w:t>Adnan R. Mansour</w:t>
            </w:r>
          </w:p>
        </w:tc>
        <w:tc>
          <w:tcPr>
            <w:tcW w:w="860" w:type="dxa"/>
            <w:vAlign w:val="bottom"/>
            <w:shd w:val="clear" w:color="auto" w:fill="DBE5F1"/>
          </w:tcPr>
          <w:p>
            <w:pPr>
              <w:jc w:val="center"/>
              <w:ind w:left="50"/>
              <w:spacing w:after="0"/>
              <w:rPr>
                <w:sz w:val="20"/>
                <w:szCs w:val="20"/>
                <w:color w:val="auto"/>
              </w:rPr>
            </w:pPr>
            <w:r>
              <w:rPr>
                <w:rFonts w:ascii="Arial" w:cs="Arial" w:eastAsia="Arial" w:hAnsi="Arial"/>
                <w:sz w:val="18"/>
                <w:szCs w:val="18"/>
                <w:color w:val="auto"/>
                <w:w w:val="99"/>
              </w:rPr>
              <w:t>57</w:t>
            </w:r>
          </w:p>
        </w:tc>
        <w:tc>
          <w:tcPr>
            <w:tcW w:w="43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Chief Digital Officer</w:t>
            </w:r>
          </w:p>
        </w:tc>
        <w:tc>
          <w:tcPr>
            <w:tcW w:w="0" w:type="dxa"/>
            <w:vAlign w:val="bottom"/>
          </w:tcPr>
          <w:p>
            <w:pPr>
              <w:spacing w:after="0"/>
              <w:rPr>
                <w:sz w:val="1"/>
                <w:szCs w:val="1"/>
                <w:color w:val="auto"/>
              </w:rPr>
            </w:pPr>
          </w:p>
        </w:tc>
      </w:tr>
      <w:tr>
        <w:trPr>
          <w:trHeight w:val="104"/>
        </w:trPr>
        <w:tc>
          <w:tcPr>
            <w:tcW w:w="2220" w:type="dxa"/>
            <w:vAlign w:val="bottom"/>
            <w:shd w:val="clear" w:color="auto" w:fill="DBE5F1"/>
          </w:tcPr>
          <w:p>
            <w:pPr>
              <w:spacing w:after="0"/>
              <w:rPr>
                <w:sz w:val="9"/>
                <w:szCs w:val="9"/>
                <w:color w:val="auto"/>
              </w:rPr>
            </w:pPr>
          </w:p>
        </w:tc>
        <w:tc>
          <w:tcPr>
            <w:tcW w:w="860" w:type="dxa"/>
            <w:vAlign w:val="bottom"/>
            <w:shd w:val="clear" w:color="auto" w:fill="DBE5F1"/>
          </w:tcPr>
          <w:p>
            <w:pPr>
              <w:spacing w:after="0"/>
              <w:rPr>
                <w:sz w:val="9"/>
                <w:szCs w:val="9"/>
                <w:color w:val="auto"/>
              </w:rPr>
            </w:pPr>
          </w:p>
        </w:tc>
        <w:tc>
          <w:tcPr>
            <w:tcW w:w="434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220" w:type="dxa"/>
            <w:vAlign w:val="bottom"/>
            <w:vMerge w:val="restart"/>
          </w:tcPr>
          <w:p>
            <w:pPr>
              <w:ind w:left="60"/>
              <w:spacing w:after="0"/>
              <w:rPr>
                <w:sz w:val="20"/>
                <w:szCs w:val="20"/>
                <w:color w:val="auto"/>
              </w:rPr>
            </w:pPr>
            <w:r>
              <w:rPr>
                <w:rFonts w:ascii="Arial" w:cs="Arial" w:eastAsia="Arial" w:hAnsi="Arial"/>
                <w:sz w:val="18"/>
                <w:szCs w:val="18"/>
                <w:color w:val="auto"/>
              </w:rPr>
              <w:t>Sebastian Burzacchi</w:t>
            </w:r>
          </w:p>
        </w:tc>
        <w:tc>
          <w:tcPr>
            <w:tcW w:w="860" w:type="dxa"/>
            <w:vAlign w:val="bottom"/>
            <w:vMerge w:val="restart"/>
          </w:tcPr>
          <w:p>
            <w:pPr>
              <w:jc w:val="center"/>
              <w:ind w:left="50"/>
              <w:spacing w:after="0"/>
              <w:rPr>
                <w:sz w:val="20"/>
                <w:szCs w:val="20"/>
                <w:color w:val="auto"/>
              </w:rPr>
            </w:pPr>
            <w:r>
              <w:rPr>
                <w:rFonts w:ascii="Arial" w:cs="Arial" w:eastAsia="Arial" w:hAnsi="Arial"/>
                <w:sz w:val="18"/>
                <w:szCs w:val="18"/>
                <w:color w:val="auto"/>
                <w:w w:val="99"/>
              </w:rPr>
              <w:t>45</w:t>
            </w:r>
          </w:p>
        </w:tc>
        <w:tc>
          <w:tcPr>
            <w:tcW w:w="4340" w:type="dxa"/>
            <w:vAlign w:val="bottom"/>
          </w:tcPr>
          <w:p>
            <w:pPr>
              <w:ind w:left="180"/>
              <w:spacing w:after="0" w:line="202" w:lineRule="exact"/>
              <w:rPr>
                <w:sz w:val="20"/>
                <w:szCs w:val="20"/>
                <w:color w:val="auto"/>
              </w:rPr>
            </w:pPr>
            <w:r>
              <w:rPr>
                <w:rFonts w:ascii="Arial" w:cs="Arial" w:eastAsia="Arial" w:hAnsi="Arial"/>
                <w:sz w:val="18"/>
                <w:szCs w:val="18"/>
                <w:color w:val="auto"/>
              </w:rPr>
              <w:t>Chief Operating Officer – Management Services</w:t>
            </w:r>
          </w:p>
        </w:tc>
        <w:tc>
          <w:tcPr>
            <w:tcW w:w="0" w:type="dxa"/>
            <w:vAlign w:val="bottom"/>
          </w:tcPr>
          <w:p>
            <w:pPr>
              <w:spacing w:after="0"/>
              <w:rPr>
                <w:sz w:val="1"/>
                <w:szCs w:val="1"/>
                <w:color w:val="auto"/>
              </w:rPr>
            </w:pPr>
          </w:p>
        </w:tc>
      </w:tr>
      <w:tr>
        <w:trPr>
          <w:trHeight w:val="153"/>
        </w:trPr>
        <w:tc>
          <w:tcPr>
            <w:tcW w:w="22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4340" w:type="dxa"/>
            <w:vAlign w:val="bottom"/>
            <w:vMerge w:val="restart"/>
          </w:tcPr>
          <w:p>
            <w:pPr>
              <w:ind w:left="180"/>
              <w:spacing w:after="0"/>
              <w:rPr>
                <w:sz w:val="20"/>
                <w:szCs w:val="20"/>
                <w:color w:val="auto"/>
              </w:rPr>
            </w:pPr>
            <w:r>
              <w:rPr>
                <w:rFonts w:ascii="Arial" w:cs="Arial" w:eastAsia="Arial" w:hAnsi="Arial"/>
                <w:sz w:val="18"/>
                <w:szCs w:val="18"/>
                <w:color w:val="auto"/>
              </w:rPr>
              <w:t>Organization</w:t>
            </w:r>
          </w:p>
        </w:tc>
        <w:tc>
          <w:tcPr>
            <w:tcW w:w="0" w:type="dxa"/>
            <w:vAlign w:val="bottom"/>
          </w:tcPr>
          <w:p>
            <w:pPr>
              <w:spacing w:after="0"/>
              <w:rPr>
                <w:sz w:val="1"/>
                <w:szCs w:val="1"/>
                <w:color w:val="auto"/>
              </w:rPr>
            </w:pPr>
          </w:p>
        </w:tc>
      </w:tr>
      <w:tr>
        <w:trPr>
          <w:trHeight w:val="86"/>
        </w:trPr>
        <w:tc>
          <w:tcPr>
            <w:tcW w:w="2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4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8"/>
        </w:trPr>
        <w:tc>
          <w:tcPr>
            <w:tcW w:w="2220" w:type="dxa"/>
            <w:vAlign w:val="bottom"/>
            <w:shd w:val="clear" w:color="auto" w:fill="DBE5F1"/>
          </w:tcPr>
          <w:p>
            <w:pPr>
              <w:ind w:left="60"/>
              <w:spacing w:after="0"/>
              <w:rPr>
                <w:sz w:val="20"/>
                <w:szCs w:val="20"/>
                <w:color w:val="auto"/>
              </w:rPr>
            </w:pPr>
            <w:r>
              <w:rPr>
                <w:rFonts w:ascii="Arial" w:cs="Arial" w:eastAsia="Arial" w:hAnsi="Arial"/>
                <w:sz w:val="18"/>
                <w:szCs w:val="18"/>
                <w:color w:val="auto"/>
              </w:rPr>
              <w:t>Christopher J. Joyce</w:t>
            </w:r>
          </w:p>
        </w:tc>
        <w:tc>
          <w:tcPr>
            <w:tcW w:w="860" w:type="dxa"/>
            <w:vAlign w:val="bottom"/>
            <w:shd w:val="clear" w:color="auto" w:fill="DBE5F1"/>
          </w:tcPr>
          <w:p>
            <w:pPr>
              <w:jc w:val="center"/>
              <w:ind w:left="50"/>
              <w:spacing w:after="0"/>
              <w:rPr>
                <w:sz w:val="20"/>
                <w:szCs w:val="20"/>
                <w:color w:val="auto"/>
              </w:rPr>
            </w:pPr>
            <w:r>
              <w:rPr>
                <w:rFonts w:ascii="Arial" w:cs="Arial" w:eastAsia="Arial" w:hAnsi="Arial"/>
                <w:sz w:val="18"/>
                <w:szCs w:val="18"/>
                <w:color w:val="auto"/>
                <w:w w:val="99"/>
              </w:rPr>
              <w:t>62</w:t>
            </w:r>
          </w:p>
        </w:tc>
        <w:tc>
          <w:tcPr>
            <w:tcW w:w="4340" w:type="dxa"/>
            <w:vAlign w:val="bottom"/>
            <w:shd w:val="clear" w:color="auto" w:fill="DBE5F1"/>
          </w:tcPr>
          <w:p>
            <w:pPr>
              <w:ind w:left="180"/>
              <w:spacing w:after="0"/>
              <w:rPr>
                <w:sz w:val="20"/>
                <w:szCs w:val="20"/>
                <w:color w:val="auto"/>
              </w:rPr>
            </w:pPr>
            <w:r>
              <w:rPr>
                <w:rFonts w:ascii="Arial" w:cs="Arial" w:eastAsia="Arial" w:hAnsi="Arial"/>
                <w:sz w:val="18"/>
                <w:szCs w:val="18"/>
                <w:color w:val="auto"/>
              </w:rPr>
              <w:t>Chief Legal &amp; Administrative Officer</w:t>
            </w:r>
          </w:p>
        </w:tc>
        <w:tc>
          <w:tcPr>
            <w:tcW w:w="0" w:type="dxa"/>
            <w:vAlign w:val="bottom"/>
          </w:tcPr>
          <w:p>
            <w:pPr>
              <w:spacing w:after="0"/>
              <w:rPr>
                <w:sz w:val="1"/>
                <w:szCs w:val="1"/>
                <w:color w:val="auto"/>
              </w:rPr>
            </w:pPr>
          </w:p>
        </w:tc>
      </w:tr>
      <w:tr>
        <w:trPr>
          <w:trHeight w:val="90"/>
        </w:trPr>
        <w:tc>
          <w:tcPr>
            <w:tcW w:w="2220" w:type="dxa"/>
            <w:vAlign w:val="bottom"/>
            <w:shd w:val="clear" w:color="auto" w:fill="DBE5F1"/>
          </w:tcPr>
          <w:p>
            <w:pPr>
              <w:spacing w:after="0"/>
              <w:rPr>
                <w:sz w:val="7"/>
                <w:szCs w:val="7"/>
                <w:color w:val="auto"/>
              </w:rPr>
            </w:pPr>
          </w:p>
        </w:tc>
        <w:tc>
          <w:tcPr>
            <w:tcW w:w="860" w:type="dxa"/>
            <w:vAlign w:val="bottom"/>
            <w:shd w:val="clear" w:color="auto" w:fill="DBE5F1"/>
          </w:tcPr>
          <w:p>
            <w:pPr>
              <w:spacing w:after="0"/>
              <w:rPr>
                <w:sz w:val="7"/>
                <w:szCs w:val="7"/>
                <w:color w:val="auto"/>
              </w:rPr>
            </w:pPr>
          </w:p>
        </w:tc>
        <w:tc>
          <w:tcPr>
            <w:tcW w:w="434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2220" w:type="dxa"/>
            <w:vAlign w:val="bottom"/>
          </w:tcPr>
          <w:p>
            <w:pPr>
              <w:ind w:left="60"/>
              <w:spacing w:after="0"/>
              <w:rPr>
                <w:sz w:val="20"/>
                <w:szCs w:val="20"/>
                <w:color w:val="auto"/>
              </w:rPr>
            </w:pPr>
            <w:r>
              <w:rPr>
                <w:rFonts w:ascii="Arial" w:cs="Arial" w:eastAsia="Arial" w:hAnsi="Arial"/>
                <w:sz w:val="18"/>
                <w:szCs w:val="18"/>
                <w:color w:val="auto"/>
              </w:rPr>
              <w:t>Andreas Wagner</w:t>
            </w:r>
          </w:p>
        </w:tc>
        <w:tc>
          <w:tcPr>
            <w:tcW w:w="860" w:type="dxa"/>
            <w:vAlign w:val="bottom"/>
          </w:tcPr>
          <w:p>
            <w:pPr>
              <w:jc w:val="center"/>
              <w:ind w:left="50"/>
              <w:spacing w:after="0"/>
              <w:rPr>
                <w:sz w:val="20"/>
                <w:szCs w:val="20"/>
                <w:color w:val="auto"/>
              </w:rPr>
            </w:pPr>
            <w:r>
              <w:rPr>
                <w:rFonts w:ascii="Arial" w:cs="Arial" w:eastAsia="Arial" w:hAnsi="Arial"/>
                <w:sz w:val="18"/>
                <w:szCs w:val="18"/>
                <w:color w:val="auto"/>
                <w:w w:val="99"/>
              </w:rPr>
              <w:t>56</w:t>
            </w:r>
          </w:p>
        </w:tc>
        <w:tc>
          <w:tcPr>
            <w:tcW w:w="4340" w:type="dxa"/>
            <w:vAlign w:val="bottom"/>
          </w:tcPr>
          <w:p>
            <w:pPr>
              <w:ind w:left="180"/>
              <w:spacing w:after="0"/>
              <w:rPr>
                <w:sz w:val="20"/>
                <w:szCs w:val="20"/>
                <w:color w:val="auto"/>
              </w:rPr>
            </w:pPr>
            <w:r>
              <w:rPr>
                <w:rFonts w:ascii="Arial" w:cs="Arial" w:eastAsia="Arial" w:hAnsi="Arial"/>
                <w:sz w:val="18"/>
                <w:szCs w:val="18"/>
                <w:color w:val="auto"/>
              </w:rPr>
              <w:t>Chief Human Resources Officer</w:t>
            </w:r>
          </w:p>
        </w:tc>
        <w:tc>
          <w:tcPr>
            <w:tcW w:w="0" w:type="dxa"/>
            <w:vAlign w:val="bottom"/>
          </w:tcPr>
          <w:p>
            <w:pPr>
              <w:spacing w:after="0"/>
              <w:rPr>
                <w:sz w:val="1"/>
                <w:szCs w:val="1"/>
                <w:color w:val="auto"/>
              </w:rPr>
            </w:pPr>
          </w:p>
        </w:tc>
      </w:tr>
      <w:tr>
        <w:trPr>
          <w:trHeight w:val="104"/>
        </w:trPr>
        <w:tc>
          <w:tcPr>
            <w:tcW w:w="2220" w:type="dxa"/>
            <w:vAlign w:val="bottom"/>
            <w:tcBorders>
              <w:bottom w:val="single" w:sz="8" w:color="95B3D7"/>
            </w:tcBorders>
          </w:tcPr>
          <w:p>
            <w:pPr>
              <w:spacing w:after="0"/>
              <w:rPr>
                <w:sz w:val="9"/>
                <w:szCs w:val="9"/>
                <w:color w:val="auto"/>
              </w:rPr>
            </w:pPr>
          </w:p>
        </w:tc>
        <w:tc>
          <w:tcPr>
            <w:tcW w:w="860" w:type="dxa"/>
            <w:vAlign w:val="bottom"/>
            <w:tcBorders>
              <w:bottom w:val="single" w:sz="8" w:color="95B3D7"/>
            </w:tcBorders>
          </w:tcPr>
          <w:p>
            <w:pPr>
              <w:spacing w:after="0"/>
              <w:rPr>
                <w:sz w:val="9"/>
                <w:szCs w:val="9"/>
                <w:color w:val="auto"/>
              </w:rPr>
            </w:pPr>
          </w:p>
        </w:tc>
        <w:tc>
          <w:tcPr>
            <w:tcW w:w="4340" w:type="dxa"/>
            <w:vAlign w:val="bottom"/>
            <w:tcBorders>
              <w:bottom w:val="single" w:sz="8" w:color="95B3D7"/>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5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205B"/>
        </w:rPr>
        <w:t>John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3257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05B"/>
        </w:rPr>
        <w:t>Director and Chief Executive Officer</w:t>
      </w:r>
    </w:p>
    <w:p>
      <w:pPr>
        <w:spacing w:after="0" w:line="200" w:lineRule="exact"/>
        <w:rPr>
          <w:sz w:val="20"/>
          <w:szCs w:val="20"/>
          <w:color w:val="auto"/>
        </w:rPr>
      </w:pPr>
    </w:p>
    <w:p>
      <w:pPr>
        <w:spacing w:after="0" w:line="270" w:lineRule="exact"/>
        <w:rPr>
          <w:sz w:val="20"/>
          <w:szCs w:val="20"/>
          <w:color w:val="auto"/>
        </w:rPr>
      </w:pPr>
    </w:p>
    <w:p>
      <w:pPr>
        <w:ind w:left="2600" w:right="160"/>
        <w:spacing w:after="0" w:line="287" w:lineRule="auto"/>
        <w:rPr>
          <w:sz w:val="20"/>
          <w:szCs w:val="20"/>
          <w:color w:val="auto"/>
        </w:rPr>
      </w:pPr>
      <w:r>
        <w:rPr>
          <w:rFonts w:ascii="Arial" w:cs="Arial" w:eastAsia="Arial" w:hAnsi="Arial"/>
          <w:sz w:val="18"/>
          <w:szCs w:val="18"/>
          <w:color w:val="auto"/>
        </w:rPr>
        <w:t>Mr. Kao has served as our Chief Executive Officer and as a member of our Board since 2014. Please see “</w:t>
      </w:r>
      <w:r>
        <w:rPr>
          <w:rFonts w:ascii="Arial" w:cs="Arial" w:eastAsia="Arial" w:hAnsi="Arial"/>
          <w:sz w:val="18"/>
          <w:szCs w:val="18"/>
          <w:i w:val="1"/>
          <w:iCs w:val="1"/>
          <w:color w:val="auto"/>
        </w:rPr>
        <w:t>Proposal 1—Election of Directors—Continuing Directors</w:t>
      </w:r>
      <w:r>
        <w:rPr>
          <w:rFonts w:ascii="Arial" w:cs="Arial" w:eastAsia="Arial" w:hAnsi="Arial"/>
          <w:sz w:val="18"/>
          <w:szCs w:val="18"/>
          <w:color w:val="auto"/>
        </w:rPr>
        <w:t>” for Mr. Kao’s 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1077595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-301625</wp:posOffset>
            </wp:positionV>
            <wp:extent cx="1148715" cy="1165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4871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205B"/>
        </w:rPr>
        <w:t>Dawn Maroney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3257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205B"/>
        </w:rPr>
        <w:t>President</w:t>
      </w:r>
    </w:p>
    <w:p>
      <w:pPr>
        <w:spacing w:after="0" w:line="160" w:lineRule="exact"/>
        <w:rPr>
          <w:sz w:val="20"/>
          <w:szCs w:val="20"/>
          <w:color w:val="auto"/>
        </w:rPr>
      </w:pPr>
    </w:p>
    <w:p>
      <w:pPr>
        <w:ind w:left="2600" w:right="20"/>
        <w:spacing w:after="0" w:line="275" w:lineRule="auto"/>
        <w:rPr>
          <w:sz w:val="20"/>
          <w:szCs w:val="20"/>
          <w:color w:val="auto"/>
        </w:rPr>
      </w:pPr>
      <w:r>
        <w:rPr>
          <w:rFonts w:ascii="Arial" w:cs="Arial" w:eastAsia="Arial" w:hAnsi="Arial"/>
          <w:sz w:val="17"/>
          <w:szCs w:val="17"/>
          <w:color w:val="auto"/>
        </w:rPr>
        <w:t>Ms. Maroney has served as our President since January 2025 and served as our President, Markets from 2014 to 2025. Prior to joining Alignment, she was chief Medicare officer for Blue Shield of California (formerly known as Care1st Health Plan) from 2013 to 2014 and was chief marketing and sales officer from 2011 to 2013. From 2005 to 2011, she was chief sales and marketing officer for CareMore Health Plan. Ms. Maroney also served as vice president, Medicare, at Secure Horizons from 2003 to 2005. From 1994 to 2003, she served in various roles at HealthNet, including as regional vice president from 1998 to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-720725</wp:posOffset>
            </wp:positionV>
            <wp:extent cx="1148715" cy="10801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ectPr>
          <w:pgSz w:w="11900" w:h="16838" w:orient="portrait"/>
          <w:cols w:equalWidth="0" w:num="1">
            <w:col w:w="11120"/>
          </w:cols>
          <w:pgMar w:left="320" w:top="1417" w:right="459" w:bottom="7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7" w:right="459" w:bottom="729" w:gutter="0" w:footer="0" w:header="0"/>
          <w:type w:val="continuous"/>
        </w:sectPr>
      </w:pPr>
    </w:p>
    <w:bookmarkStart w:id="39" w:name="page40"/>
    <w:bookmarkEnd w:id="39"/>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00205B"/>
        </w:rPr>
        <w:t>James M. 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32320" cy="3257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205B"/>
        </w:rPr>
        <w:t>Chief Financial Officer</w:t>
      </w:r>
    </w:p>
    <w:p>
      <w:pPr>
        <w:spacing w:after="0" w:line="160" w:lineRule="exact"/>
        <w:rPr>
          <w:sz w:val="20"/>
          <w:szCs w:val="20"/>
          <w:color w:val="auto"/>
        </w:rPr>
      </w:pPr>
    </w:p>
    <w:p>
      <w:pPr>
        <w:ind w:left="2580"/>
        <w:spacing w:after="0" w:line="254" w:lineRule="auto"/>
        <w:rPr>
          <w:sz w:val="20"/>
          <w:szCs w:val="20"/>
          <w:color w:val="auto"/>
        </w:rPr>
      </w:pPr>
      <w:r>
        <w:rPr>
          <w:rFonts w:ascii="Arial" w:cs="Arial" w:eastAsia="Arial" w:hAnsi="Arial"/>
          <w:sz w:val="18"/>
          <w:szCs w:val="18"/>
          <w:color w:val="auto"/>
        </w:rPr>
        <w:t>Mr. Head has served as our Chief Financial Officer since May 2025. Prior to joining us, he was with MultiPlan Corp. (now Claritev Corp.), a health care technology company, where he served as Executive Vice President and Chief Financial Officer from November 2021 to August 2024 and capital structure advisor from September to December 2024. From 2016 to 2021, he was partner at BDT &amp; Company, LLC, a merchant bank serving business owners and strategic investors (now BDT&amp;MSD). He worked in various roles for Morgan Stanley over 21 years, most recently as Managing Director – Co-Head of Mergers &amp; Acquisitions, Americas, from 2013 to 2015. Mr. Head serves on the board of directors of Sally Beauty Holdings, Inc., a distributor of professional beauty supplies. He earned a master's degree in Business Administration from the UCLA Anderson School of Management and a bachelor's of science degree in finance from Indiana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-1241425</wp:posOffset>
            </wp:positionV>
            <wp:extent cx="1148715" cy="11144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48715" cy="111442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00205B"/>
        </w:rPr>
        <w:t>Hyong (Ken) Kim,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32320" cy="3257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205B"/>
        </w:rPr>
        <w:t>Chief Medical Officer</w:t>
      </w:r>
    </w:p>
    <w:p>
      <w:pPr>
        <w:spacing w:after="0" w:line="160" w:lineRule="exact"/>
        <w:rPr>
          <w:sz w:val="20"/>
          <w:szCs w:val="20"/>
          <w:color w:val="auto"/>
        </w:rPr>
      </w:pPr>
    </w:p>
    <w:p>
      <w:pPr>
        <w:ind w:left="2580" w:right="40"/>
        <w:spacing w:after="0" w:line="270" w:lineRule="auto"/>
        <w:rPr>
          <w:sz w:val="20"/>
          <w:szCs w:val="20"/>
          <w:color w:val="auto"/>
        </w:rPr>
      </w:pPr>
      <w:r>
        <w:rPr>
          <w:rFonts w:ascii="Arial" w:cs="Arial" w:eastAsia="Arial" w:hAnsi="Arial"/>
          <w:sz w:val="17"/>
          <w:szCs w:val="17"/>
          <w:color w:val="auto"/>
        </w:rPr>
        <w:t>Dr. Kim has served as our Chief Medical Officer since September 2023. He has over 25 years of experience in the health care space and previously served as the Company’s Chief Medical Officer from June 2013 to March 2018. From May 2022 to August 2023, Dr. Kim served as chief clinical officer of CareConnect MD, a home health care services company, where he was responsible for clinical modeling, data analytics and management of clinical staff. He also served in an advisory role for CareConnect MD from July 2019 to May 2022. From July 2018 to July 2019, Dr. Kim was the chief medical officer of the Center for Medicare &amp; Medicaid Innovation (“CMMI”), where he oversaw all payment and clinical model development, and he chaired the Quality Improvement Council, creating operational pathways for performance reviews for all 36 CMMI models. Over 14 years, Dr. Kim held various roles at CareMore Health, an integrated health plan and provider, starting as a hospitalist and ultimately serving as chief medical officer from June 2009 to March 2013. Board-certified in internal medicine, Dr. Kim completed his medical residency at Loma Linda University and holds a bachelor’s degree and M.D. from Indiana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-1543050</wp:posOffset>
            </wp:positionV>
            <wp:extent cx="1148715" cy="10801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00205B"/>
        </w:rPr>
        <w:t>Sebastian Burzacchi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32320" cy="3257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205B"/>
        </w:rPr>
        <w:t>Chief Operating Officer - Management Services Organization</w:t>
      </w:r>
    </w:p>
    <w:p>
      <w:pPr>
        <w:spacing w:after="0" w:line="146" w:lineRule="exact"/>
        <w:rPr>
          <w:sz w:val="20"/>
          <w:szCs w:val="20"/>
          <w:color w:val="auto"/>
        </w:rPr>
      </w:pPr>
    </w:p>
    <w:p>
      <w:pPr>
        <w:ind w:left="2580"/>
        <w:spacing w:after="0" w:line="255" w:lineRule="auto"/>
        <w:rPr>
          <w:sz w:val="20"/>
          <w:szCs w:val="20"/>
          <w:color w:val="auto"/>
        </w:rPr>
      </w:pPr>
      <w:r>
        <w:rPr>
          <w:rFonts w:ascii="Arial" w:cs="Arial" w:eastAsia="Arial" w:hAnsi="Arial"/>
          <w:sz w:val="18"/>
          <w:szCs w:val="18"/>
          <w:color w:val="auto"/>
        </w:rPr>
        <w:t>Mr. Burzacchi joined Alignment as Chief Operating Officer – Management Services Organization in December 2023. Mr. Burzacchi has 19 years of experience in operations and management, having most recently served as executive vice president of operations for Veho Tech, an e-commerce logistics company, from March to November 2023. From October 2022 to October 2023, Mr. Burzacchi was an advisor to Oscar Health, a health insurance company. From October 2016 to October 2022, he held various positions of employment at Oscar Health, including as head of claims operations, head of concierge and senior vice president of operations. Mr. Burzacchi holds a Master of Business Administration from MIT Sloan School of Management and a Bachelor of Science in industrial and systems engineering from Virginia 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429260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-984885</wp:posOffset>
            </wp:positionV>
            <wp:extent cx="1148715" cy="10801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40" w:name="page41"/>
    <w:bookmarkEnd w:id="40"/>
    <w:p>
      <w:pPr>
        <w:spacing w:after="0" w:line="12" w:lineRule="exact"/>
        <w:rPr>
          <w:sz w:val="20"/>
          <w:szCs w:val="20"/>
          <w:color w:val="auto"/>
        </w:rPr>
      </w:pPr>
    </w:p>
    <w:p>
      <w:pPr>
        <w:spacing w:after="0"/>
        <w:rPr>
          <w:sz w:val="20"/>
          <w:szCs w:val="20"/>
          <w:color w:val="auto"/>
        </w:rPr>
      </w:pPr>
      <w:r>
        <w:rPr>
          <w:rFonts w:ascii="Arial" w:cs="Arial" w:eastAsia="Arial" w:hAnsi="Arial"/>
          <w:sz w:val="25"/>
          <w:szCs w:val="25"/>
          <w:b w:val="1"/>
          <w:bCs w:val="1"/>
          <w:color w:val="00205B"/>
        </w:rPr>
        <w:t>Adnan R. Mansour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32320" cy="3257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205B"/>
        </w:rPr>
        <w:t>Chief Digital Officer</w:t>
      </w:r>
    </w:p>
    <w:p>
      <w:pPr>
        <w:spacing w:after="0" w:line="160" w:lineRule="exact"/>
        <w:rPr>
          <w:sz w:val="20"/>
          <w:szCs w:val="20"/>
          <w:color w:val="auto"/>
        </w:rPr>
      </w:pPr>
    </w:p>
    <w:p>
      <w:pPr>
        <w:ind w:left="2580"/>
        <w:spacing w:after="0" w:line="254" w:lineRule="auto"/>
        <w:rPr>
          <w:sz w:val="20"/>
          <w:szCs w:val="20"/>
          <w:color w:val="auto"/>
        </w:rPr>
      </w:pPr>
      <w:r>
        <w:rPr>
          <w:rFonts w:ascii="Arial" w:cs="Arial" w:eastAsia="Arial" w:hAnsi="Arial"/>
          <w:sz w:val="18"/>
          <w:szCs w:val="18"/>
          <w:color w:val="auto"/>
        </w:rPr>
        <w:t>Mr. Mansour joined us as Chief Digital Officer in January 2026. Prior to joining Alignment, he was with Optum Insight, a health care technology and services provider, where he served as Chief Information Officer, Payer Market &amp; AI from August 2024 to November 2025 and as Chief Technology Officer, Administrative Solutions &amp; AI from January 2023 to August 2024. In those roles, Mr. Mansour was responsible for technology strategy, AI initiatives, and platform development supporting payer solutions. From August 2020 to December 2022, Mr. Mansour was SVP, Enterprise Technology Product &amp; AI at Change Healthcare, a healthcare technology company (acquired by UnitedHealth Group/Optum). Before joining Change Healthcare, he spent almost 21 years at General Electric in technology and product roles of increasing scope and responsibility, including service as VP, Product Management, for GE Digital from 2016 to 2020. Mr. Mansour holds a Ph.D. in Chemistry from the University of Michigan, Ann Arbor, and a Bachelor of Science from Queen’s University in Kingston,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-1380490</wp:posOffset>
            </wp:positionV>
            <wp:extent cx="1148715" cy="11144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48715" cy="1114425"/>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25"/>
          <w:szCs w:val="25"/>
          <w:b w:val="1"/>
          <w:bCs w:val="1"/>
          <w:color w:val="00205B"/>
        </w:rPr>
        <w:t>Christopher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32320" cy="3257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205B"/>
        </w:rPr>
        <w:t>Chief Legal &amp; Administrative Officer</w:t>
      </w:r>
    </w:p>
    <w:p>
      <w:pPr>
        <w:spacing w:after="0" w:line="160" w:lineRule="exact"/>
        <w:rPr>
          <w:sz w:val="20"/>
          <w:szCs w:val="20"/>
          <w:color w:val="auto"/>
        </w:rPr>
      </w:pPr>
    </w:p>
    <w:p>
      <w:pPr>
        <w:ind w:left="2580"/>
        <w:spacing w:after="0" w:line="255" w:lineRule="auto"/>
        <w:rPr>
          <w:sz w:val="20"/>
          <w:szCs w:val="20"/>
          <w:color w:val="auto"/>
        </w:rPr>
      </w:pPr>
      <w:r>
        <w:rPr>
          <w:rFonts w:ascii="Arial" w:cs="Arial" w:eastAsia="Arial" w:hAnsi="Arial"/>
          <w:sz w:val="18"/>
          <w:szCs w:val="18"/>
          <w:color w:val="auto"/>
        </w:rPr>
        <w:t>Mr. Joyce joined the Company as Chief Legal &amp; Administrative Officer in August 2023. He previously served as general counsel of AdaptHealth Holdings, a national leader in providing patient-centered, healthcare-at-home solutions including home medical equipment, medical supplies and related services, from 2018 to 2023, and of InnovaCare, Inc., a $ 2.0 billion managed care insurance company with 450,000 Medicare and Medicaid beneficiaries, from 2011 to 2018. Mr. Joyce has over 27 years of experience as chief legal officer and business development executive for publicly traded and privately held provider-based and managed care companies. Mr. Joyce holds a bachelor’s degree in Economics from the State University of New York at Albany and a JD from the University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-967740</wp:posOffset>
            </wp:positionV>
            <wp:extent cx="1148715" cy="10801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5"/>
          <w:szCs w:val="25"/>
          <w:b w:val="1"/>
          <w:bCs w:val="1"/>
          <w:color w:val="00205B"/>
        </w:rPr>
        <w:t>Andreas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32320" cy="3257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00205B"/>
        </w:rPr>
        <w:t>Chief Human Resources Officer</w:t>
      </w:r>
    </w:p>
    <w:p>
      <w:pPr>
        <w:spacing w:after="0" w:line="146" w:lineRule="exact"/>
        <w:rPr>
          <w:sz w:val="20"/>
          <w:szCs w:val="20"/>
          <w:color w:val="auto"/>
        </w:rPr>
      </w:pPr>
    </w:p>
    <w:p>
      <w:pPr>
        <w:ind w:left="2580" w:right="60"/>
        <w:spacing w:after="0" w:line="255" w:lineRule="auto"/>
        <w:rPr>
          <w:sz w:val="20"/>
          <w:szCs w:val="20"/>
          <w:color w:val="auto"/>
        </w:rPr>
      </w:pPr>
      <w:r>
        <w:rPr>
          <w:rFonts w:ascii="Arial" w:cs="Arial" w:eastAsia="Arial" w:hAnsi="Arial"/>
          <w:sz w:val="18"/>
          <w:szCs w:val="18"/>
          <w:color w:val="auto"/>
        </w:rPr>
        <w:t>Mr. Wagner joined Alignment as Chief Human Resources Officer in January 2024. Mr. Wagner is a human resources executive with over 30 years of leadership experience where he held various key human resources positions. Prior to joining Alignment, from 2020 to 2023, Mr. Wagner served as the chief human resources officer at Aerojet Rocketdyne, a technology-based engineering and manufacturing company that develops and produces specialized power and propulsion systems. From 2014 to 2019, he served as vice president of human resources at TE Connectivity, an electrical and electronics manufacturing company, and was their director of human resources from 2012 to 2014. From 2004 to 2012, he served as director of human resources at Bombardier Transportation, an aviation and aerospace component manufacturing company. Mr. Wagner holds a master’s degree in Sport Science from the University of Munich,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-1106805</wp:posOffset>
            </wp:positionV>
            <wp:extent cx="1148715" cy="10801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4871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440" w:right="379" w:bottom="1440" w:gutter="0" w:footer="0" w:header="0"/>
        </w:sectPr>
      </w:pPr>
    </w:p>
    <w:bookmarkStart w:id="41" w:name="page42"/>
    <w:bookmarkEnd w:id="41"/>
    <w:p>
      <w:pPr>
        <w:jc w:val="center"/>
        <w:ind w:right="-5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ind w:firstLine="405"/>
        <w:spacing w:after="0" w:line="282" w:lineRule="auto"/>
        <w:rPr>
          <w:sz w:val="20"/>
          <w:szCs w:val="20"/>
          <w:color w:val="auto"/>
        </w:rPr>
      </w:pPr>
      <w:r>
        <w:rPr>
          <w:rFonts w:ascii="Arial" w:cs="Arial" w:eastAsia="Arial" w:hAnsi="Arial"/>
          <w:sz w:val="17"/>
          <w:szCs w:val="17"/>
          <w:color w:val="auto"/>
        </w:rPr>
        <w:t>This Compensation Discussion and Analysis (“CD&amp;A”) explains our executive compensation program for our named executive officers (“Named Executive Officers” or “NEOs”) listed below. Generally, Alignment's executive compensation programs apply to all officers; however, this CD&amp;A focuses on the NEOs for the Company for the 2025 fiscal year. This CD&amp;A also describes the Compensation Committee’s process for making pay decisions, as well as its rationale for specific decisions related to the fiscal year ended December 31, 2025.</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255"/>
        </w:trPr>
        <w:tc>
          <w:tcPr>
            <w:tcW w:w="3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Name</w:t>
            </w:r>
          </w:p>
        </w:tc>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Position</w:t>
            </w:r>
          </w:p>
        </w:tc>
      </w:tr>
      <w:tr>
        <w:trPr>
          <w:trHeight w:val="241"/>
        </w:trPr>
        <w:tc>
          <w:tcPr>
            <w:tcW w:w="376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John Kao</w:t>
            </w:r>
          </w:p>
        </w:tc>
        <w:tc>
          <w:tcPr>
            <w:tcW w:w="3720" w:type="dxa"/>
            <w:vAlign w:val="bottom"/>
            <w:tcBorders>
              <w:bottom w:val="single" w:sz="8" w:color="95B3D7"/>
            </w:tcBorders>
            <w:shd w:val="clear" w:color="auto" w:fill="DBE5F1"/>
          </w:tcPr>
          <w:p>
            <w:pPr>
              <w:ind w:left="60"/>
              <w:spacing w:after="0"/>
              <w:rPr>
                <w:sz w:val="20"/>
                <w:szCs w:val="20"/>
                <w:color w:val="auto"/>
              </w:rPr>
            </w:pPr>
            <w:r>
              <w:rPr>
                <w:rFonts w:ascii="Arial" w:cs="Arial" w:eastAsia="Arial" w:hAnsi="Arial"/>
                <w:sz w:val="18"/>
                <w:szCs w:val="18"/>
                <w:color w:val="auto"/>
              </w:rPr>
              <w:t>Chief Executive Officer (“CEO”)</w:t>
            </w:r>
          </w:p>
        </w:tc>
      </w:tr>
      <w:tr>
        <w:trPr>
          <w:trHeight w:val="236"/>
        </w:trPr>
        <w:tc>
          <w:tcPr>
            <w:tcW w:w="376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8"/>
                <w:szCs w:val="18"/>
                <w:color w:val="auto"/>
              </w:rPr>
              <w:t>Dawn Maroney</w:t>
            </w:r>
          </w:p>
        </w:tc>
        <w:tc>
          <w:tcPr>
            <w:tcW w:w="3720" w:type="dxa"/>
            <w:vAlign w:val="bottom"/>
            <w:tcBorders>
              <w:bottom w:val="single" w:sz="8" w:color="95B3D7"/>
            </w:tcBorders>
          </w:tcPr>
          <w:p>
            <w:pPr>
              <w:ind w:left="60"/>
              <w:spacing w:after="0"/>
              <w:rPr>
                <w:sz w:val="20"/>
                <w:szCs w:val="20"/>
                <w:color w:val="auto"/>
              </w:rPr>
            </w:pPr>
            <w:r>
              <w:rPr>
                <w:rFonts w:ascii="Arial" w:cs="Arial" w:eastAsia="Arial" w:hAnsi="Arial"/>
                <w:sz w:val="18"/>
                <w:szCs w:val="18"/>
                <w:color w:val="auto"/>
              </w:rPr>
              <w:t>President</w:t>
            </w:r>
          </w:p>
        </w:tc>
      </w:tr>
      <w:tr>
        <w:trPr>
          <w:trHeight w:val="236"/>
        </w:trPr>
        <w:tc>
          <w:tcPr>
            <w:tcW w:w="376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James M. Head</w:t>
            </w:r>
          </w:p>
        </w:tc>
        <w:tc>
          <w:tcPr>
            <w:tcW w:w="3720" w:type="dxa"/>
            <w:vAlign w:val="bottom"/>
            <w:tcBorders>
              <w:bottom w:val="single" w:sz="8" w:color="95B3D7"/>
            </w:tcBorders>
            <w:shd w:val="clear" w:color="auto" w:fill="DBE5F1"/>
          </w:tcPr>
          <w:p>
            <w:pPr>
              <w:ind w:left="60"/>
              <w:spacing w:after="0"/>
              <w:rPr>
                <w:sz w:val="20"/>
                <w:szCs w:val="20"/>
                <w:color w:val="auto"/>
              </w:rPr>
            </w:pPr>
            <w:r>
              <w:rPr>
                <w:rFonts w:ascii="Arial" w:cs="Arial" w:eastAsia="Arial" w:hAnsi="Arial"/>
                <w:sz w:val="18"/>
                <w:szCs w:val="18"/>
                <w:color w:val="auto"/>
              </w:rPr>
              <w:t>Chief Financial Officer*</w:t>
            </w:r>
          </w:p>
        </w:tc>
      </w:tr>
      <w:tr>
        <w:trPr>
          <w:trHeight w:val="237"/>
        </w:trPr>
        <w:tc>
          <w:tcPr>
            <w:tcW w:w="376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8"/>
                <w:szCs w:val="18"/>
                <w:color w:val="auto"/>
              </w:rPr>
              <w:t>Thomas Freeman</w:t>
            </w:r>
          </w:p>
        </w:tc>
        <w:tc>
          <w:tcPr>
            <w:tcW w:w="3720" w:type="dxa"/>
            <w:vAlign w:val="bottom"/>
            <w:tcBorders>
              <w:bottom w:val="single" w:sz="8" w:color="95B3D7"/>
            </w:tcBorders>
          </w:tcPr>
          <w:p>
            <w:pPr>
              <w:ind w:left="60"/>
              <w:spacing w:after="0"/>
              <w:rPr>
                <w:sz w:val="20"/>
                <w:szCs w:val="20"/>
                <w:color w:val="auto"/>
              </w:rPr>
            </w:pPr>
            <w:r>
              <w:rPr>
                <w:rFonts w:ascii="Arial" w:cs="Arial" w:eastAsia="Arial" w:hAnsi="Arial"/>
                <w:sz w:val="18"/>
                <w:szCs w:val="18"/>
                <w:color w:val="auto"/>
              </w:rPr>
              <w:t>Former Chief Financial Officer*</w:t>
            </w:r>
          </w:p>
        </w:tc>
      </w:tr>
      <w:tr>
        <w:trPr>
          <w:trHeight w:val="271"/>
        </w:trPr>
        <w:tc>
          <w:tcPr>
            <w:tcW w:w="376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Hyong (Ken) Kim, M.D.</w:t>
            </w:r>
          </w:p>
        </w:tc>
        <w:tc>
          <w:tcPr>
            <w:tcW w:w="372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8"/>
                <w:szCs w:val="18"/>
                <w:color w:val="auto"/>
              </w:rPr>
              <w:t>Chief Medical Officer</w:t>
            </w:r>
          </w:p>
        </w:tc>
      </w:tr>
      <w:tr>
        <w:trPr>
          <w:trHeight w:val="241"/>
        </w:trPr>
        <w:tc>
          <w:tcPr>
            <w:tcW w:w="3760" w:type="dxa"/>
            <w:vAlign w:val="bottom"/>
            <w:tcBorders>
              <w:top w:val="single" w:sz="8" w:color="95B3D7"/>
              <w:right w:val="single" w:sz="8" w:color="95B3D7"/>
            </w:tcBorders>
          </w:tcPr>
          <w:p>
            <w:pPr>
              <w:ind w:left="80"/>
              <w:spacing w:after="0"/>
              <w:rPr>
                <w:sz w:val="20"/>
                <w:szCs w:val="20"/>
                <w:color w:val="auto"/>
              </w:rPr>
            </w:pPr>
            <w:r>
              <w:rPr>
                <w:rFonts w:ascii="Arial" w:cs="Arial" w:eastAsia="Arial" w:hAnsi="Arial"/>
                <w:sz w:val="18"/>
                <w:szCs w:val="18"/>
                <w:color w:val="auto"/>
              </w:rPr>
              <w:t>Christopher Joyce</w:t>
            </w:r>
          </w:p>
        </w:tc>
        <w:tc>
          <w:tcPr>
            <w:tcW w:w="3720" w:type="dxa"/>
            <w:vAlign w:val="bottom"/>
            <w:tcBorders>
              <w:top w:val="single" w:sz="8" w:color="95B3D7"/>
            </w:tcBorders>
          </w:tcPr>
          <w:p>
            <w:pPr>
              <w:ind w:left="60"/>
              <w:spacing w:after="0"/>
              <w:rPr>
                <w:sz w:val="20"/>
                <w:szCs w:val="20"/>
                <w:color w:val="auto"/>
              </w:rPr>
            </w:pPr>
            <w:r>
              <w:rPr>
                <w:rFonts w:ascii="Arial" w:cs="Arial" w:eastAsia="Arial" w:hAnsi="Arial"/>
                <w:sz w:val="18"/>
                <w:szCs w:val="18"/>
                <w:color w:val="auto"/>
              </w:rPr>
              <w:t>Chief Legal &amp; Administrative Officer</w:t>
            </w:r>
          </w:p>
        </w:tc>
      </w:tr>
      <w:tr>
        <w:trPr>
          <w:trHeight w:val="23"/>
        </w:trPr>
        <w:tc>
          <w:tcPr>
            <w:tcW w:w="3760" w:type="dxa"/>
            <w:vAlign w:val="bottom"/>
            <w:tcBorders>
              <w:bottom w:val="single" w:sz="8" w:color="95B3D7"/>
              <w:right w:val="single" w:sz="8" w:color="95B3D7"/>
            </w:tcBorders>
          </w:tcPr>
          <w:p>
            <w:pPr>
              <w:spacing w:after="0"/>
              <w:rPr>
                <w:sz w:val="2"/>
                <w:szCs w:val="2"/>
                <w:color w:val="auto"/>
              </w:rPr>
            </w:pPr>
          </w:p>
        </w:tc>
        <w:tc>
          <w:tcPr>
            <w:tcW w:w="3720" w:type="dxa"/>
            <w:vAlign w:val="bottom"/>
            <w:tcBorders>
              <w:bottom w:val="single" w:sz="8" w:color="95B3D7"/>
            </w:tcBorders>
          </w:tcPr>
          <w:p>
            <w:pPr>
              <w:spacing w:after="0"/>
              <w:rPr>
                <w:sz w:val="2"/>
                <w:szCs w:val="2"/>
                <w:color w:val="auto"/>
              </w:rPr>
            </w:pPr>
          </w:p>
        </w:tc>
      </w:tr>
    </w:tbl>
    <w:p>
      <w:pPr>
        <w:spacing w:after="0" w:line="153" w:lineRule="exact"/>
        <w:rPr>
          <w:sz w:val="20"/>
          <w:szCs w:val="20"/>
          <w:color w:val="auto"/>
        </w:rPr>
      </w:pPr>
    </w:p>
    <w:p>
      <w:pPr>
        <w:ind w:left="2640" w:right="2260" w:hanging="90"/>
        <w:spacing w:after="0" w:line="305" w:lineRule="auto"/>
        <w:tabs>
          <w:tab w:leader="none" w:pos="2655"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Freeman resigned as Chief Financial Officer effective May 2, 2025, at which time Mr. Head was appointed to succeed him as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97790</wp:posOffset>
            </wp:positionV>
            <wp:extent cx="1234440" cy="16630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344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60" w:right="240"/>
        <w:spacing w:after="0" w:line="255" w:lineRule="auto"/>
        <w:rPr>
          <w:sz w:val="20"/>
          <w:szCs w:val="20"/>
          <w:color w:val="auto"/>
        </w:rPr>
      </w:pPr>
      <w:r>
        <w:rPr>
          <w:rFonts w:ascii="Arial" w:cs="Arial" w:eastAsia="Arial" w:hAnsi="Arial"/>
          <w:sz w:val="18"/>
          <w:szCs w:val="18"/>
          <w:color w:val="auto"/>
        </w:rPr>
        <w:t>We seek stockholder support on our executive compensation programs annually. In 2025, our stockholders approved our programs with 98.6% of votes cast in favor. The Compensation Committee continues to work closely with its independent compensation consultant to ensure our compensation program remains aligned with the interests of both our stockholders and executive team. In 2025, we also continued to engage with institutional investors throughout the year to discuss human capital management and our compensation program design. The following pages describe our program in detail, including the strong linkage between pay and performance.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Summary</w:t>
      </w:r>
    </w:p>
    <w:p>
      <w:pPr>
        <w:spacing w:after="0" w:line="252"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We are a next generation, consumer-centric and clinically focused platform designed to improve the health care experience for seniors enrolled in Medicare who choose a private Medicare Advantage plan. Our goal is to provide seniors with easier access to care, better coordination among providers, fewer gaps in care and avoidable hospital visits, and support that meets them where they are—at home, online, or in their community. We deliver this experience through our wide variety of Medicare Advantage plans, which offer varied benefits tailored to the diverse needs, preferences, and lifestyles of seniors. We believe our plans are differentiated because of our unique ability to manage costs by delivering proactive care and managing chronic conditions through an integrated clinical and technology model. Our operations primarily consist of Medicare Advantage Plans in the states of California, North Carolina, Nevada, Arizona and Texas. Our ultimate goal is to bring this differentiated, advocacy-driven health care experience to millions of senior consumers in the United States and to become the most trusted senior health care brand in the country. Our model is based on a flywheel concept, referred to as our “virtuous cycle,” which reflects our unique ability to manage health care expenditures while maintaining quality and member satisfaction—a distinct and sustainable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42" w:name="page43"/>
    <w:bookmarkEnd w:id="42"/>
    <w:p>
      <w:pPr>
        <w:ind w:right="20" w:firstLine="405"/>
        <w:spacing w:after="0" w:line="291" w:lineRule="auto"/>
        <w:rPr>
          <w:sz w:val="20"/>
          <w:szCs w:val="20"/>
          <w:color w:val="auto"/>
        </w:rPr>
      </w:pPr>
      <w:r>
        <w:rPr>
          <w:rFonts w:ascii="Arial" w:cs="Arial" w:eastAsia="Arial" w:hAnsi="Arial"/>
          <w:sz w:val="17"/>
          <w:szCs w:val="17"/>
          <w:color w:val="auto"/>
        </w:rPr>
        <w:t>We are committed to our stockholder engagement efforts and open and ongoing dialogues with key stakeholders with respect to executive compensation to help ensure that we remain apprised of investor perspectives. We will also continue to consider the feedback we receive from our major stockholders as well as the outcome of say-on-pay votes when making compensation decisions regarding our NEOs.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2025 Business Highlights</w:t>
      </w:r>
    </w:p>
    <w:p>
      <w:pPr>
        <w:spacing w:after="0" w:line="156" w:lineRule="exact"/>
        <w:rPr>
          <w:sz w:val="20"/>
          <w:szCs w:val="20"/>
          <w:color w:val="auto"/>
        </w:rPr>
      </w:pPr>
    </w:p>
    <w:p>
      <w:pPr>
        <w:ind w:right="20" w:firstLine="401"/>
        <w:spacing w:after="0" w:line="259" w:lineRule="auto"/>
        <w:rPr>
          <w:sz w:val="20"/>
          <w:szCs w:val="20"/>
          <w:color w:val="auto"/>
        </w:rPr>
      </w:pPr>
      <w:r>
        <w:rPr>
          <w:rFonts w:ascii="Arial" w:cs="Arial" w:eastAsia="Arial" w:hAnsi="Arial"/>
          <w:sz w:val="18"/>
          <w:szCs w:val="18"/>
          <w:color w:val="auto"/>
        </w:rPr>
        <w:t>We delivered strong financial results in fiscal 2025, highlighted by continued momentum on revenue growth and a positive step forward in profitability and margin expansion, including free cash flow on a full-year basis. By leading with our care model, we are putting our seniors first and lowering costs by delivering more care, not less. We believe that ongoing strategic investments in our people and technology will continue to drive meaningful improvements in the health and quality of life of all those we serve. The following key operational and financial highlights demonstrate our strong performance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125730</wp:posOffset>
            </wp:positionV>
            <wp:extent cx="4937760" cy="19716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377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right="340" w:hanging="328"/>
        <w:spacing w:after="0" w:line="287" w:lineRule="auto"/>
        <w:tabs>
          <w:tab w:leader="none" w:pos="642" w:val="left"/>
        </w:tabs>
        <w:numPr>
          <w:ilvl w:val="0"/>
          <w:numId w:val="41"/>
        </w:numPr>
        <w:rPr>
          <w:rFonts w:ascii="Arial" w:cs="Arial" w:eastAsia="Arial" w:hAnsi="Arial"/>
          <w:sz w:val="18"/>
          <w:szCs w:val="18"/>
          <w:color w:val="auto"/>
        </w:rPr>
      </w:pPr>
      <w:r>
        <w:rPr>
          <w:rFonts w:ascii="Arial" w:cs="Arial" w:eastAsia="Arial" w:hAnsi="Arial"/>
          <w:sz w:val="18"/>
          <w:szCs w:val="18"/>
          <w:color w:val="auto"/>
        </w:rPr>
        <w:t>Health plan membership, which we define as members enrolled in our HMO and PPO contracts, was approximately 236,300, up 25.0% year-over-year.</w:t>
      </w:r>
    </w:p>
    <w:p>
      <w:pPr>
        <w:spacing w:after="0" w:line="112"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Total revenue was $3,948.7 million, up 46.1% year-over-year.</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gross profit was $494.8 million and loss from operations was $14.8 million.</w:t>
      </w:r>
    </w:p>
    <w:p>
      <w:pPr>
        <w:spacing w:after="0" w:line="198" w:lineRule="exact"/>
        <w:rPr>
          <w:rFonts w:ascii="Arial" w:cs="Arial" w:eastAsia="Arial" w:hAnsi="Arial"/>
          <w:sz w:val="18"/>
          <w:szCs w:val="18"/>
          <w:color w:val="auto"/>
        </w:rPr>
      </w:pPr>
    </w:p>
    <w:p>
      <w:pPr>
        <w:ind w:left="1300" w:hanging="320"/>
        <w:spacing w:after="0" w:line="262" w:lineRule="auto"/>
        <w:tabs>
          <w:tab w:leader="none" w:pos="128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Adjusted gross profit excludes depreciation and amortization of $30.4 million and selling, general, and administrative expenses of $443.4 million (which includes $55.9 million of equity-based compensation). Adjusted gross profit also excludes $0.1 million of depreciation expense and an additional $6.1 million of equity-based compensation recorded within medical expenses.</w:t>
      </w:r>
    </w:p>
    <w:p>
      <w:pPr>
        <w:spacing w:after="0" w:line="135" w:lineRule="exact"/>
        <w:rPr>
          <w:rFonts w:ascii="Arial" w:cs="Arial" w:eastAsia="Arial" w:hAnsi="Arial"/>
          <w:sz w:val="18"/>
          <w:szCs w:val="18"/>
          <w:color w:val="auto"/>
        </w:rPr>
      </w:pPr>
    </w:p>
    <w:p>
      <w:pPr>
        <w:ind w:left="1280" w:hanging="300"/>
        <w:spacing w:after="0"/>
        <w:tabs>
          <w:tab w:leader="none" w:pos="12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Medical benefits ratio based on adjusted gross profit was 87.5%.</w:t>
      </w:r>
    </w:p>
    <w:p>
      <w:pPr>
        <w:spacing w:after="0" w:line="184"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Adjusted EBITDA was $109.9 million and net loss was $1.0 million.</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gross profit and adjusted EBITDA are non-GAAP measures. An explanation of these measures, how they are calculated and reconciliations to the most directly comparable GAAP financial measures can be found in “</w:t>
      </w:r>
      <w:r>
        <w:rPr>
          <w:rFonts w:ascii="Arial" w:cs="Arial" w:eastAsia="Arial" w:hAnsi="Arial"/>
          <w:sz w:val="18"/>
          <w:szCs w:val="18"/>
          <w:i w:val="1"/>
          <w:iCs w:val="1"/>
          <w:color w:val="auto"/>
        </w:rPr>
        <w:t>Item 7.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Operations—Key Business Metrics</w:t>
      </w:r>
      <w:r>
        <w:rPr>
          <w:rFonts w:ascii="Arial" w:cs="Arial" w:eastAsia="Arial" w:hAnsi="Arial"/>
          <w:sz w:val="18"/>
          <w:szCs w:val="18"/>
          <w:color w:val="auto"/>
        </w:rPr>
        <w:t>” in the Company’s Annual Report on Form 10-K for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2025 and in the Appendix to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1F497D"/>
        </w:rPr>
        <w:t>2025 Compensation Highlights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and Compensation Committee made the following executive compensation decisions for fiscal 2025:</w:t>
      </w:r>
    </w:p>
    <w:p>
      <w:pPr>
        <w:spacing w:after="0" w:line="225" w:lineRule="exact"/>
        <w:rPr>
          <w:sz w:val="20"/>
          <w:szCs w:val="20"/>
          <w:color w:val="auto"/>
        </w:rPr>
      </w:pPr>
    </w:p>
    <w:p>
      <w:pPr>
        <w:ind w:left="980" w:right="300" w:hanging="324"/>
        <w:spacing w:after="0" w:line="262" w:lineRule="auto"/>
        <w:tabs>
          <w:tab w:leader="none" w:pos="96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Compensation Program Approach</w:t>
      </w:r>
      <w:r>
        <w:rPr>
          <w:rFonts w:ascii="Arial" w:cs="Arial" w:eastAsia="Arial" w:hAnsi="Arial"/>
          <w:sz w:val="18"/>
          <w:szCs w:val="18"/>
          <w:color w:val="auto"/>
        </w:rPr>
        <w:t>. Our executive compensation program is built on a pay-for-performance philosophy and</w:t>
      </w:r>
      <w:r>
        <w:rPr>
          <w:rFonts w:ascii="Arial" w:cs="Arial" w:eastAsia="Arial" w:hAnsi="Arial"/>
          <w:sz w:val="18"/>
          <w:szCs w:val="18"/>
          <w:b w:val="1"/>
          <w:bCs w:val="1"/>
          <w:color w:val="auto"/>
        </w:rPr>
        <w:t xml:space="preserve"> </w:t>
      </w:r>
      <w:r>
        <w:rPr>
          <w:rFonts w:ascii="Arial" w:cs="Arial" w:eastAsia="Arial" w:hAnsi="Arial"/>
          <w:sz w:val="18"/>
          <w:szCs w:val="18"/>
          <w:color w:val="auto"/>
        </w:rPr>
        <w:t>rigorous governance framework that emphasizes variable pay over fixed pay, ties the majority of NEO compensation to measurable financial and operational outcomes, and aligns executive and stockholder interests through multi-year equity incentives focused on sustained long-term value creation.</w:t>
      </w:r>
    </w:p>
    <w:p>
      <w:pPr>
        <w:spacing w:after="0" w:line="149" w:lineRule="exact"/>
        <w:rPr>
          <w:rFonts w:ascii="Arial" w:cs="Arial" w:eastAsia="Arial" w:hAnsi="Arial"/>
          <w:sz w:val="18"/>
          <w:szCs w:val="18"/>
          <w:color w:val="auto"/>
        </w:rPr>
      </w:pPr>
    </w:p>
    <w:p>
      <w:pPr>
        <w:ind w:left="980" w:right="260" w:hanging="324"/>
        <w:spacing w:after="0" w:line="257" w:lineRule="auto"/>
        <w:tabs>
          <w:tab w:leader="none" w:pos="96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Annual Cash Incentives</w:t>
      </w:r>
      <w:r>
        <w:rPr>
          <w:rFonts w:ascii="Arial" w:cs="Arial" w:eastAsia="Arial" w:hAnsi="Arial"/>
          <w:sz w:val="18"/>
          <w:szCs w:val="18"/>
          <w:color w:val="auto"/>
        </w:rPr>
        <w:t>. Based on the Company's financial performance in 2025, the Compensation Committee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that corporate goals under the Annual Incentive Plan were achieved at the maximum level of 200.0% of target, reflecting maximum achievement of each of the three corporate metrics. Corporate goals represented 100% of the CEO's bonus opportunity and 75% of the bonus opportunity for all other NEOs. The remaining 25% of each other NEO's bonus opportunity was based on individual performance goals, which the Compensation Committee assessed at levels ranging from 50.0% to 200.0% of target.</w:t>
      </w:r>
    </w:p>
    <w:p>
      <w:pPr>
        <w:spacing w:after="0" w:line="209" w:lineRule="exact"/>
        <w:rPr>
          <w:rFonts w:ascii="Arial" w:cs="Arial" w:eastAsia="Arial" w:hAnsi="Arial"/>
          <w:sz w:val="18"/>
          <w:szCs w:val="18"/>
          <w:color w:val="auto"/>
        </w:rPr>
      </w:pPr>
    </w:p>
    <w:p>
      <w:pPr>
        <w:ind w:left="980" w:right="320" w:hanging="324"/>
        <w:spacing w:after="0" w:line="268" w:lineRule="auto"/>
        <w:tabs>
          <w:tab w:leader="none" w:pos="96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Long-Term Equity Incentives</w:t>
      </w:r>
      <w:r>
        <w:rPr>
          <w:rFonts w:ascii="Arial" w:cs="Arial" w:eastAsia="Arial" w:hAnsi="Arial"/>
          <w:sz w:val="18"/>
          <w:szCs w:val="18"/>
          <w:color w:val="auto"/>
        </w:rPr>
        <w:t>. In March 2025, the Compensation Committee recommended, and the Board approved, long-term equity grants to executive officers consisting of 50% time-vested restricted stock units ("RSUs") and 50% performance share units ("PSUs" and together with the RSUs, the "March 2025 Equity Awards").</w:t>
      </w:r>
    </w:p>
    <w:p>
      <w:pPr>
        <w:spacing w:after="0" w:line="130" w:lineRule="exact"/>
        <w:rPr>
          <w:rFonts w:ascii="Arial" w:cs="Arial" w:eastAsia="Arial" w:hAnsi="Arial"/>
          <w:sz w:val="18"/>
          <w:szCs w:val="18"/>
          <w:color w:val="auto"/>
        </w:rPr>
      </w:pPr>
    </w:p>
    <w:p>
      <w:pPr>
        <w:jc w:val="both"/>
        <w:ind w:left="1620" w:right="80" w:hanging="316"/>
        <w:spacing w:after="0" w:line="268" w:lineRule="auto"/>
        <w:tabs>
          <w:tab w:leader="none" w:pos="1602"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Continuing our commitment to performance-based compensation, the PSUs are subject to the achievement of specified revenue and adjusted EBITDA targets. PSUs granted in 2025 have a three-year vesting period and will be earned, if at all, upon certification of our financial results for the third year (i.e., fiscal year 2027).</w:t>
      </w:r>
    </w:p>
    <w:p>
      <w:pPr>
        <w:spacing w:after="0" w:line="130" w:lineRule="exact"/>
        <w:rPr>
          <w:rFonts w:ascii="Arial" w:cs="Arial" w:eastAsia="Arial" w:hAnsi="Arial"/>
          <w:sz w:val="18"/>
          <w:szCs w:val="18"/>
          <w:color w:val="auto"/>
        </w:rPr>
      </w:pPr>
    </w:p>
    <w:p>
      <w:pPr>
        <w:jc w:val="both"/>
        <w:ind w:left="1620" w:right="140" w:hanging="316"/>
        <w:spacing w:after="0" w:line="262" w:lineRule="auto"/>
        <w:tabs>
          <w:tab w:leader="none" w:pos="1602" w:val="left"/>
        </w:tabs>
        <w:numPr>
          <w:ilvl w:val="1"/>
          <w:numId w:val="42"/>
        </w:numPr>
        <w:rPr>
          <w:rFonts w:ascii="Arial" w:cs="Arial" w:eastAsia="Arial" w:hAnsi="Arial"/>
          <w:sz w:val="18"/>
          <w:szCs w:val="18"/>
          <w:color w:val="auto"/>
        </w:rPr>
      </w:pPr>
      <w:r>
        <w:rPr>
          <w:rFonts w:ascii="Arial" w:cs="Arial" w:eastAsia="Arial" w:hAnsi="Arial"/>
          <w:sz w:val="18"/>
          <w:szCs w:val="18"/>
          <w:color w:val="auto"/>
        </w:rPr>
        <w:t>RSUs were a substantial component of long-term equity compensation, as the Compensation Committee believes they are consistent with the Company’s retention objectives in light of competition for talent in the health care space. RSUs granted in 2025 vest in equal annual installments over three years. In prior years, RSUs were granted with a four-year vesting period.</w:t>
      </w:r>
    </w:p>
    <w:p>
      <w:pPr>
        <w:spacing w:after="0" w:line="149" w:lineRule="exact"/>
        <w:rPr>
          <w:rFonts w:ascii="Arial" w:cs="Arial" w:eastAsia="Arial" w:hAnsi="Arial"/>
          <w:sz w:val="18"/>
          <w:szCs w:val="18"/>
          <w:color w:val="auto"/>
        </w:rPr>
      </w:pPr>
    </w:p>
    <w:p>
      <w:pPr>
        <w:ind w:left="980" w:right="80" w:hanging="324"/>
        <w:spacing w:after="0" w:line="255" w:lineRule="auto"/>
        <w:tabs>
          <w:tab w:leader="none" w:pos="96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September 2023 PSUs Results</w:t>
      </w:r>
      <w:r>
        <w:rPr>
          <w:rFonts w:ascii="Arial" w:cs="Arial" w:eastAsia="Arial" w:hAnsi="Arial"/>
          <w:sz w:val="18"/>
          <w:szCs w:val="18"/>
          <w:color w:val="auto"/>
        </w:rPr>
        <w:t>. In March 2025, the Compensation Committee certified the results of the corporate metrics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PSU awards granted to executive officers and other senior employees in September 2023 (the "September 2023 PSUs"). In the aggregate, the September 2023 PSUs (for the performance period January 1, 2024 to December 31, 2024) were earned at 116.8% of target. Corporate metrics applicable to the September 2023 PSUs were health plan revenue growth (weighted 60%), at-risk loyal medical benefit ratio (weighted 20%) and adjusted EBITDA (less capital expenditures) (weighted 20%). 50% of the earned PSUs vested upon certification and the remaining 50% vested upon satisfaction of the time-based vesting component on December 22, 2025. For more information, see "</w:t>
      </w:r>
      <w:r>
        <w:rPr>
          <w:rFonts w:ascii="Arial" w:cs="Arial" w:eastAsia="Arial" w:hAnsi="Arial"/>
          <w:sz w:val="18"/>
          <w:szCs w:val="18"/>
          <w:i w:val="1"/>
          <w:iCs w:val="1"/>
          <w:color w:val="auto"/>
        </w:rPr>
        <w:t>—2025 Executive Compensation Program in Detail—</w:t>
      </w:r>
      <w:r>
        <w:rPr>
          <w:rFonts w:ascii="Arial" w:cs="Arial" w:eastAsia="Arial" w:hAnsi="Arial"/>
          <w:sz w:val="18"/>
          <w:szCs w:val="18"/>
          <w:color w:val="auto"/>
        </w:rPr>
        <w:t xml:space="preserve"> </w:t>
      </w:r>
      <w:r>
        <w:rPr>
          <w:rFonts w:ascii="Arial" w:cs="Arial" w:eastAsia="Arial" w:hAnsi="Arial"/>
          <w:sz w:val="18"/>
          <w:szCs w:val="18"/>
          <w:i w:val="1"/>
          <w:iCs w:val="1"/>
          <w:color w:val="auto"/>
        </w:rPr>
        <w:t>Long Term Equity Incentives—September 2023 Performance Share Units</w:t>
      </w:r>
      <w:r>
        <w:rPr>
          <w:rFonts w:ascii="Arial" w:cs="Arial" w:eastAsia="Arial" w:hAnsi="Arial"/>
          <w:sz w:val="18"/>
          <w:szCs w:val="18"/>
          <w:color w:val="auto"/>
        </w:rPr>
        <w:t>" below.</w:t>
      </w:r>
    </w:p>
    <w:p>
      <w:pPr>
        <w:spacing w:after="0" w:line="211" w:lineRule="exact"/>
        <w:rPr>
          <w:rFonts w:ascii="Arial" w:cs="Arial" w:eastAsia="Arial" w:hAnsi="Arial"/>
          <w:sz w:val="18"/>
          <w:szCs w:val="18"/>
          <w:color w:val="auto"/>
        </w:rPr>
      </w:pPr>
    </w:p>
    <w:p>
      <w:pPr>
        <w:ind w:left="980" w:hanging="324"/>
        <w:spacing w:after="0" w:line="259" w:lineRule="auto"/>
        <w:tabs>
          <w:tab w:leader="none" w:pos="962"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2024 AIP Bonus Modifier</w:t>
      </w:r>
      <w:r>
        <w:rPr>
          <w:rFonts w:ascii="Arial" w:cs="Arial" w:eastAsia="Arial" w:hAnsi="Arial"/>
          <w:sz w:val="18"/>
          <w:szCs w:val="18"/>
          <w:color w:val="auto"/>
        </w:rPr>
        <w:t>. 25% of each NEO's total 2024 Annual Incentive Plan payout was held back and made subject to an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 based on the CMS Star Rating achieved by the Company’s Medicare Advantage plans for plan rating year 2026. The Company's aggregate health plan CMS Star Rating for that plan year was 4.06 Stars. Accordingly, under the AIP framework approved by our Compensation Committee, in the fourth quarter of 2025, our NEOs received the 25% holdback, plus an additional 2.6% due to the achievement of 4.5 Stars by certain of our health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9" w:right="379" w:bottom="1440" w:gutter="0" w:footer="0" w:header="0"/>
        </w:sectPr>
      </w:pPr>
    </w:p>
    <w:bookmarkStart w:id="44" w:name="page45"/>
    <w:bookmarkEnd w:id="44"/>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Best Practices &amp; Policies</w:t>
      </w:r>
    </w:p>
    <w:p>
      <w:pPr>
        <w:spacing w:after="0" w:line="22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believe the following practices and policies within our program promote sound compensation governance and are in the best interests of our stockholders and executives. We also believe that these principles have been instrumental in the Company’s attraction, recruitment, retention and motivation of executive talent and the successful execution of the Company’s initiatives and our overall performance, particularly in light of the relative headwinds our competitors have faced as the result of the challenging regulatory and macroeconomic environment.</w:t>
      </w: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34925</wp:posOffset>
            </wp:positionV>
            <wp:extent cx="5366385" cy="8826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366385" cy="882650"/>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sectPr>
      </w:pPr>
    </w:p>
    <w:p>
      <w:pPr>
        <w:spacing w:after="0" w:line="63" w:lineRule="exact"/>
        <w:rPr>
          <w:sz w:val="20"/>
          <w:szCs w:val="20"/>
          <w:color w:val="auto"/>
        </w:rPr>
      </w:pPr>
    </w:p>
    <w:p>
      <w:pPr>
        <w:ind w:left="1880" w:right="80"/>
        <w:spacing w:after="0" w:line="221" w:lineRule="auto"/>
        <w:rPr>
          <w:sz w:val="20"/>
          <w:szCs w:val="20"/>
          <w:color w:val="auto"/>
        </w:rPr>
      </w:pPr>
      <w:r>
        <w:rPr>
          <w:rFonts w:ascii="Arial" w:cs="Arial" w:eastAsia="Arial" w:hAnsi="Arial"/>
          <w:sz w:val="18"/>
          <w:szCs w:val="18"/>
          <w:color w:val="auto"/>
        </w:rPr>
        <w:t>Emphasize variable pay over fixed pay, with a significant portion tied to pre-established</w:t>
      </w:r>
    </w:p>
    <w:p>
      <w:pPr>
        <w:spacing w:after="0" w:line="1" w:lineRule="exact"/>
        <w:rPr>
          <w:sz w:val="20"/>
          <w:szCs w:val="20"/>
          <w:color w:val="auto"/>
        </w:rPr>
      </w:pPr>
    </w:p>
    <w:p>
      <w:pPr>
        <w:ind w:left="1880"/>
        <w:spacing w:after="0" w:line="229" w:lineRule="auto"/>
        <w:rPr>
          <w:sz w:val="20"/>
          <w:szCs w:val="20"/>
          <w:color w:val="auto"/>
        </w:rPr>
      </w:pPr>
      <w:r>
        <w:rPr>
          <w:rFonts w:ascii="Arial" w:cs="Arial" w:eastAsia="Arial" w:hAnsi="Arial"/>
          <w:sz w:val="18"/>
          <w:szCs w:val="18"/>
          <w:color w:val="auto"/>
        </w:rPr>
        <w:t>performance goals focused on long-term value creation</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1360"/>
        <w:spacing w:after="0" w:line="234" w:lineRule="auto"/>
        <w:rPr>
          <w:sz w:val="20"/>
          <w:szCs w:val="20"/>
          <w:color w:val="auto"/>
        </w:rPr>
      </w:pPr>
      <w:r>
        <w:rPr>
          <w:rFonts w:ascii="Arial" w:cs="Arial" w:eastAsia="Arial" w:hAnsi="Arial"/>
          <w:sz w:val="17"/>
          <w:szCs w:val="17"/>
          <w:color w:val="auto"/>
        </w:rPr>
        <w:t>Engage an independent compensation consultant to evaluate and advise the</w:t>
      </w:r>
    </w:p>
    <w:p>
      <w:pPr>
        <w:spacing w:after="0" w:line="1" w:lineRule="exact"/>
        <w:rPr>
          <w:sz w:val="20"/>
          <w:szCs w:val="20"/>
          <w:color w:val="auto"/>
        </w:rPr>
      </w:pPr>
    </w:p>
    <w:p>
      <w:pPr>
        <w:ind w:right="1000"/>
        <w:spacing w:after="0" w:line="221" w:lineRule="auto"/>
        <w:rPr>
          <w:sz w:val="20"/>
          <w:szCs w:val="20"/>
          <w:color w:val="auto"/>
        </w:rPr>
      </w:pPr>
      <w:r>
        <w:rPr>
          <w:rFonts w:ascii="Arial" w:cs="Arial" w:eastAsia="Arial" w:hAnsi="Arial"/>
          <w:sz w:val="18"/>
          <w:szCs w:val="18"/>
          <w:color w:val="auto"/>
        </w:rPr>
        <w:t>Compensation Committee on our executive compensation program design and pay decisions</w:t>
      </w:r>
    </w:p>
    <w:p>
      <w:pPr>
        <w:spacing w:after="0" w:line="45" w:lineRule="exact"/>
        <w:rPr>
          <w:sz w:val="20"/>
          <w:szCs w:val="20"/>
          <w:color w:val="auto"/>
        </w:rPr>
      </w:pPr>
    </w:p>
    <w:p>
      <w:pPr>
        <w:sectPr>
          <w:pgSz w:w="11900" w:h="16838" w:orient="portrait"/>
          <w:cols w:equalWidth="0" w:num="2">
            <w:col w:w="5600" w:space="680"/>
            <w:col w:w="4440"/>
          </w:cols>
          <w:pgMar w:left="320" w:top="1440" w:right="859" w:bottom="1440" w:gutter="0" w:footer="0" w:header="0"/>
          <w:type w:val="continuous"/>
        </w:sectPr>
      </w:pPr>
    </w:p>
    <w:p>
      <w:pPr>
        <w:ind w:left="1880"/>
        <w:spacing w:after="0" w:line="221" w:lineRule="auto"/>
        <w:rPr>
          <w:sz w:val="20"/>
          <w:szCs w:val="20"/>
          <w:color w:val="auto"/>
        </w:rPr>
      </w:pPr>
      <w:r>
        <w:rPr>
          <w:rFonts w:ascii="Arial" w:cs="Arial" w:eastAsia="Arial" w:hAnsi="Arial"/>
          <w:sz w:val="18"/>
          <w:szCs w:val="18"/>
          <w:color w:val="auto"/>
        </w:rPr>
        <w:t>Cap maximum vesting or payout levels under our incentive compensation awards, which are</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aligned with competitive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143510</wp:posOffset>
            </wp:positionV>
            <wp:extent cx="240030"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60"/>
        <w:spacing w:after="0"/>
        <w:rPr>
          <w:sz w:val="20"/>
          <w:szCs w:val="20"/>
          <w:color w:val="auto"/>
        </w:rPr>
      </w:pPr>
      <w:r>
        <w:rPr>
          <w:rFonts w:ascii="Arial" w:cs="Arial" w:eastAsia="Arial" w:hAnsi="Arial"/>
          <w:sz w:val="18"/>
          <w:szCs w:val="18"/>
          <w:color w:val="auto"/>
        </w:rPr>
        <w:t>Annually review and approve peer group for comparative compensation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254635</wp:posOffset>
            </wp:positionV>
            <wp:extent cx="24003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69" w:lineRule="exact"/>
        <w:rPr>
          <w:sz w:val="20"/>
          <w:szCs w:val="20"/>
          <w:color w:val="auto"/>
        </w:rPr>
      </w:pPr>
    </w:p>
    <w:p>
      <w:pPr>
        <w:sectPr>
          <w:pgSz w:w="11900" w:h="16838" w:orient="portrait"/>
          <w:cols w:equalWidth="0" w:num="2">
            <w:col w:w="5580" w:space="700"/>
            <w:col w:w="4440"/>
          </w:cols>
          <w:pgMar w:left="320" w:top="1440" w:right="859" w:bottom="1440" w:gutter="0" w:footer="0" w:header="0"/>
          <w:type w:val="continuous"/>
        </w:sectPr>
      </w:pPr>
    </w:p>
    <w:tbl>
      <w:tblPr>
        <w:tblLayout w:type="fixed"/>
        <w:tblInd w:w="1400" w:type="dxa"/>
        <w:tblCellMar>
          <w:top w:w="0" w:type="dxa"/>
          <w:left w:w="0" w:type="dxa"/>
          <w:bottom w:w="0" w:type="dxa"/>
          <w:right w:w="0" w:type="dxa"/>
        </w:tblCellMar>
      </w:tblPr>
      <w:tr>
        <w:trPr>
          <w:trHeight w:val="207"/>
        </w:trPr>
        <w:tc>
          <w:tcPr>
            <w:tcW w:w="4620" w:type="dxa"/>
            <w:vAlign w:val="bottom"/>
            <w:shd w:val="clear" w:color="auto" w:fill="DBE5F1"/>
          </w:tcPr>
          <w:p>
            <w:pPr>
              <w:ind w:left="480"/>
              <w:spacing w:after="0"/>
              <w:rPr>
                <w:sz w:val="20"/>
                <w:szCs w:val="20"/>
                <w:color w:val="auto"/>
              </w:rPr>
            </w:pPr>
            <w:r>
              <w:rPr>
                <w:rFonts w:ascii="Arial" w:cs="Arial" w:eastAsia="Arial" w:hAnsi="Arial"/>
                <w:sz w:val="18"/>
                <w:szCs w:val="18"/>
                <w:color w:val="auto"/>
              </w:rPr>
              <w:t>Conduct an annual advisory vote on the</w:t>
            </w:r>
          </w:p>
        </w:tc>
        <w:tc>
          <w:tcPr>
            <w:tcW w:w="3820" w:type="dxa"/>
            <w:vAlign w:val="bottom"/>
            <w:shd w:val="clear" w:color="auto" w:fill="DBE5F1"/>
          </w:tcPr>
          <w:p>
            <w:pPr>
              <w:ind w:left="260"/>
              <w:spacing w:after="0"/>
              <w:rPr>
                <w:sz w:val="20"/>
                <w:szCs w:val="20"/>
                <w:color w:val="auto"/>
              </w:rPr>
            </w:pPr>
            <w:r>
              <w:rPr>
                <w:rFonts w:ascii="Arial" w:cs="Arial" w:eastAsia="Arial" w:hAnsi="Arial"/>
                <w:sz w:val="18"/>
                <w:szCs w:val="18"/>
                <w:color w:val="auto"/>
              </w:rPr>
              <w:t>Maintain stock ownership guidelines for our</w:t>
            </w:r>
          </w:p>
        </w:tc>
      </w:tr>
      <w:tr>
        <w:trPr>
          <w:trHeight w:val="239"/>
        </w:trPr>
        <w:tc>
          <w:tcPr>
            <w:tcW w:w="4620" w:type="dxa"/>
            <w:vAlign w:val="bottom"/>
            <w:shd w:val="clear" w:color="auto" w:fill="DBE5F1"/>
          </w:tcPr>
          <w:p>
            <w:pPr>
              <w:ind w:left="480"/>
              <w:spacing w:after="0"/>
              <w:rPr>
                <w:sz w:val="20"/>
                <w:szCs w:val="20"/>
                <w:color w:val="auto"/>
              </w:rPr>
            </w:pPr>
            <w:r>
              <w:rPr>
                <w:rFonts w:ascii="Arial" w:cs="Arial" w:eastAsia="Arial" w:hAnsi="Arial"/>
                <w:sz w:val="18"/>
                <w:szCs w:val="18"/>
                <w:color w:val="auto"/>
              </w:rPr>
              <w:t>compensation of our NEOs</w:t>
            </w:r>
          </w:p>
        </w:tc>
        <w:tc>
          <w:tcPr>
            <w:tcW w:w="3820" w:type="dxa"/>
            <w:vAlign w:val="bottom"/>
            <w:shd w:val="clear" w:color="auto" w:fill="DBE5F1"/>
          </w:tcPr>
          <w:p>
            <w:pPr>
              <w:ind w:left="260"/>
              <w:spacing w:after="0"/>
              <w:rPr>
                <w:sz w:val="20"/>
                <w:szCs w:val="20"/>
                <w:color w:val="auto"/>
              </w:rPr>
            </w:pPr>
            <w:r>
              <w:rPr>
                <w:rFonts w:ascii="Arial" w:cs="Arial" w:eastAsia="Arial" w:hAnsi="Arial"/>
                <w:sz w:val="18"/>
                <w:szCs w:val="18"/>
                <w:color w:val="auto"/>
              </w:rPr>
              <w:t>executive officers and Board of Directors</w:t>
            </w:r>
          </w:p>
        </w:tc>
      </w:tr>
      <w:tr>
        <w:trPr>
          <w:trHeight w:val="220"/>
        </w:trPr>
        <w:tc>
          <w:tcPr>
            <w:tcW w:w="4620" w:type="dxa"/>
            <w:vAlign w:val="bottom"/>
            <w:shd w:val="clear" w:color="auto" w:fill="DBE5F1"/>
          </w:tcPr>
          <w:p>
            <w:pPr>
              <w:spacing w:after="0"/>
              <w:rPr>
                <w:sz w:val="19"/>
                <w:szCs w:val="19"/>
                <w:color w:val="auto"/>
              </w:rPr>
            </w:pPr>
          </w:p>
        </w:tc>
        <w:tc>
          <w:tcPr>
            <w:tcW w:w="3820" w:type="dxa"/>
            <w:vAlign w:val="bottom"/>
            <w:shd w:val="clear" w:color="auto" w:fill="DBE5F1"/>
          </w:tcPr>
          <w:p>
            <w:pPr>
              <w:spacing w:after="0"/>
              <w:rPr>
                <w:sz w:val="19"/>
                <w:szCs w:val="19"/>
                <w:color w:val="auto"/>
              </w:rPr>
            </w:pPr>
          </w:p>
        </w:tc>
      </w:tr>
      <w:tr>
        <w:trPr>
          <w:trHeight w:val="175"/>
        </w:trPr>
        <w:tc>
          <w:tcPr>
            <w:tcW w:w="4620" w:type="dxa"/>
            <w:vAlign w:val="bottom"/>
          </w:tcPr>
          <w:p>
            <w:pPr>
              <w:ind w:left="480"/>
              <w:spacing w:after="0" w:line="176" w:lineRule="exact"/>
              <w:rPr>
                <w:sz w:val="20"/>
                <w:szCs w:val="20"/>
                <w:color w:val="auto"/>
              </w:rPr>
            </w:pPr>
            <w:r>
              <w:rPr>
                <w:rFonts w:ascii="Arial" w:cs="Arial" w:eastAsia="Arial" w:hAnsi="Arial"/>
                <w:sz w:val="18"/>
                <w:szCs w:val="18"/>
                <w:color w:val="auto"/>
              </w:rPr>
              <w:t>Maintain anti-hedging and anti-pledging policies</w:t>
            </w:r>
          </w:p>
        </w:tc>
        <w:tc>
          <w:tcPr>
            <w:tcW w:w="3820" w:type="dxa"/>
            <w:vAlign w:val="bottom"/>
          </w:tcPr>
          <w:p>
            <w:pPr>
              <w:ind w:left="260"/>
              <w:spacing w:after="0" w:line="176" w:lineRule="exact"/>
              <w:rPr>
                <w:sz w:val="20"/>
                <w:szCs w:val="20"/>
                <w:color w:val="auto"/>
              </w:rPr>
            </w:pPr>
            <w:r>
              <w:rPr>
                <w:rFonts w:ascii="Arial" w:cs="Arial" w:eastAsia="Arial" w:hAnsi="Arial"/>
                <w:sz w:val="18"/>
                <w:szCs w:val="18"/>
                <w:color w:val="auto"/>
              </w:rPr>
              <w:t>Conduct annual risk assessment of all</w:t>
            </w:r>
          </w:p>
        </w:tc>
      </w:tr>
      <w:tr>
        <w:trPr>
          <w:trHeight w:val="239"/>
        </w:trPr>
        <w:tc>
          <w:tcPr>
            <w:tcW w:w="4620" w:type="dxa"/>
            <w:vAlign w:val="bottom"/>
          </w:tcPr>
          <w:p>
            <w:pPr>
              <w:spacing w:after="0"/>
              <w:rPr>
                <w:sz w:val="20"/>
                <w:szCs w:val="20"/>
                <w:color w:val="auto"/>
              </w:rPr>
            </w:pPr>
          </w:p>
        </w:tc>
        <w:tc>
          <w:tcPr>
            <w:tcW w:w="3820" w:type="dxa"/>
            <w:vAlign w:val="bottom"/>
          </w:tcPr>
          <w:p>
            <w:pPr>
              <w:ind w:left="260"/>
              <w:spacing w:after="0"/>
              <w:rPr>
                <w:sz w:val="20"/>
                <w:szCs w:val="20"/>
                <w:color w:val="auto"/>
              </w:rPr>
            </w:pPr>
            <w:r>
              <w:rPr>
                <w:rFonts w:ascii="Arial" w:cs="Arial" w:eastAsia="Arial" w:hAnsi="Arial"/>
                <w:sz w:val="18"/>
                <w:szCs w:val="18"/>
                <w:color w:val="auto"/>
              </w:rPr>
              <w:t>compensation plans and programs</w:t>
            </w:r>
          </w:p>
        </w:tc>
      </w:tr>
      <w:tr>
        <w:trPr>
          <w:trHeight w:val="166"/>
        </w:trPr>
        <w:tc>
          <w:tcPr>
            <w:tcW w:w="4620" w:type="dxa"/>
            <w:vAlign w:val="bottom"/>
          </w:tcPr>
          <w:p>
            <w:pPr>
              <w:spacing w:after="0"/>
              <w:rPr>
                <w:sz w:val="14"/>
                <w:szCs w:val="14"/>
                <w:color w:val="auto"/>
              </w:rPr>
            </w:pPr>
          </w:p>
        </w:tc>
        <w:tc>
          <w:tcPr>
            <w:tcW w:w="3820" w:type="dxa"/>
            <w:vAlign w:val="bottom"/>
          </w:tcPr>
          <w:p>
            <w:pPr>
              <w:spacing w:after="0"/>
              <w:rPr>
                <w:sz w:val="14"/>
                <w:szCs w:val="14"/>
                <w:color w:val="auto"/>
              </w:rPr>
            </w:pPr>
          </w:p>
        </w:tc>
      </w:tr>
      <w:tr>
        <w:trPr>
          <w:trHeight w:val="175"/>
        </w:trPr>
        <w:tc>
          <w:tcPr>
            <w:tcW w:w="4620" w:type="dxa"/>
            <w:vAlign w:val="bottom"/>
            <w:shd w:val="clear" w:color="auto" w:fill="DBE5F1"/>
          </w:tcPr>
          <w:p>
            <w:pPr>
              <w:ind w:left="480"/>
              <w:spacing w:after="0" w:line="176" w:lineRule="exact"/>
              <w:rPr>
                <w:sz w:val="20"/>
                <w:szCs w:val="20"/>
                <w:color w:val="auto"/>
              </w:rPr>
            </w:pPr>
            <w:r>
              <w:rPr>
                <w:rFonts w:ascii="Arial" w:cs="Arial" w:eastAsia="Arial" w:hAnsi="Arial"/>
                <w:sz w:val="18"/>
                <w:szCs w:val="18"/>
                <w:color w:val="auto"/>
              </w:rPr>
              <w:t>Maintain a Clawback Policy applicable to cash</w:t>
            </w:r>
          </w:p>
        </w:tc>
        <w:tc>
          <w:tcPr>
            <w:tcW w:w="3820" w:type="dxa"/>
            <w:vAlign w:val="bottom"/>
            <w:shd w:val="clear" w:color="auto" w:fill="DBE5F1"/>
          </w:tcPr>
          <w:p>
            <w:pPr>
              <w:spacing w:after="0"/>
              <w:rPr>
                <w:sz w:val="15"/>
                <w:szCs w:val="15"/>
                <w:color w:val="auto"/>
              </w:rPr>
            </w:pPr>
          </w:p>
        </w:tc>
      </w:tr>
      <w:tr>
        <w:trPr>
          <w:trHeight w:val="184"/>
        </w:trPr>
        <w:tc>
          <w:tcPr>
            <w:tcW w:w="4620" w:type="dxa"/>
            <w:vAlign w:val="bottom"/>
            <w:shd w:val="clear" w:color="auto" w:fill="DBE5F1"/>
          </w:tcPr>
          <w:p>
            <w:pPr>
              <w:ind w:left="480"/>
              <w:spacing w:after="0" w:line="183" w:lineRule="exact"/>
              <w:rPr>
                <w:sz w:val="20"/>
                <w:szCs w:val="20"/>
                <w:color w:val="auto"/>
              </w:rPr>
            </w:pPr>
            <w:r>
              <w:rPr>
                <w:rFonts w:ascii="Arial" w:cs="Arial" w:eastAsia="Arial" w:hAnsi="Arial"/>
                <w:sz w:val="18"/>
                <w:szCs w:val="18"/>
                <w:color w:val="auto"/>
              </w:rPr>
              <w:t>incentive compensation and equity awards in the</w:t>
            </w:r>
          </w:p>
        </w:tc>
        <w:tc>
          <w:tcPr>
            <w:tcW w:w="3820" w:type="dxa"/>
            <w:vAlign w:val="bottom"/>
            <w:shd w:val="clear" w:color="auto" w:fill="DBE5F1"/>
          </w:tcPr>
          <w:p>
            <w:pPr>
              <w:spacing w:after="0"/>
              <w:rPr>
                <w:sz w:val="15"/>
                <w:szCs w:val="15"/>
                <w:color w:val="auto"/>
              </w:rPr>
            </w:pPr>
          </w:p>
        </w:tc>
      </w:tr>
      <w:tr>
        <w:trPr>
          <w:trHeight w:val="181"/>
        </w:trPr>
        <w:tc>
          <w:tcPr>
            <w:tcW w:w="4620" w:type="dxa"/>
            <w:vAlign w:val="bottom"/>
            <w:shd w:val="clear" w:color="auto" w:fill="DBE5F1"/>
          </w:tcPr>
          <w:p>
            <w:pPr>
              <w:ind w:left="480"/>
              <w:spacing w:after="0" w:line="181" w:lineRule="exact"/>
              <w:rPr>
                <w:sz w:val="20"/>
                <w:szCs w:val="20"/>
                <w:color w:val="auto"/>
              </w:rPr>
            </w:pPr>
            <w:r>
              <w:rPr>
                <w:rFonts w:ascii="Arial" w:cs="Arial" w:eastAsia="Arial" w:hAnsi="Arial"/>
                <w:sz w:val="18"/>
                <w:szCs w:val="18"/>
                <w:color w:val="auto"/>
              </w:rPr>
              <w:t>event of a financial restatement, consistent with</w:t>
            </w:r>
          </w:p>
        </w:tc>
        <w:tc>
          <w:tcPr>
            <w:tcW w:w="3820" w:type="dxa"/>
            <w:vAlign w:val="bottom"/>
            <w:shd w:val="clear" w:color="auto" w:fill="DBE5F1"/>
          </w:tcPr>
          <w:p>
            <w:pPr>
              <w:spacing w:after="0"/>
              <w:rPr>
                <w:sz w:val="15"/>
                <w:szCs w:val="15"/>
                <w:color w:val="auto"/>
              </w:rPr>
            </w:pPr>
          </w:p>
        </w:tc>
      </w:tr>
      <w:tr>
        <w:trPr>
          <w:trHeight w:val="239"/>
        </w:trPr>
        <w:tc>
          <w:tcPr>
            <w:tcW w:w="4620" w:type="dxa"/>
            <w:vAlign w:val="bottom"/>
            <w:shd w:val="clear" w:color="auto" w:fill="DBE5F1"/>
          </w:tcPr>
          <w:p>
            <w:pPr>
              <w:ind w:left="480"/>
              <w:spacing w:after="0"/>
              <w:rPr>
                <w:sz w:val="20"/>
                <w:szCs w:val="20"/>
                <w:color w:val="auto"/>
              </w:rPr>
            </w:pPr>
            <w:r>
              <w:rPr>
                <w:rFonts w:ascii="Arial" w:cs="Arial" w:eastAsia="Arial" w:hAnsi="Arial"/>
                <w:sz w:val="18"/>
                <w:szCs w:val="18"/>
                <w:color w:val="auto"/>
              </w:rPr>
              <w:t>SEC and Nasdaq requirements</w:t>
            </w:r>
          </w:p>
        </w:tc>
        <w:tc>
          <w:tcPr>
            <w:tcW w:w="3820" w:type="dxa"/>
            <w:vAlign w:val="bottom"/>
            <w:shd w:val="clear" w:color="auto" w:fill="DBE5F1"/>
          </w:tcPr>
          <w:p>
            <w:pPr>
              <w:spacing w:after="0"/>
              <w:rPr>
                <w:sz w:val="20"/>
                <w:szCs w:val="20"/>
                <w:color w:val="auto"/>
              </w:rPr>
            </w:pPr>
          </w:p>
        </w:tc>
      </w:tr>
      <w:tr>
        <w:trPr>
          <w:trHeight w:val="99"/>
        </w:trPr>
        <w:tc>
          <w:tcPr>
            <w:tcW w:w="4620" w:type="dxa"/>
            <w:vAlign w:val="bottom"/>
            <w:shd w:val="clear" w:color="auto" w:fill="DBE5F1"/>
          </w:tcPr>
          <w:p>
            <w:pPr>
              <w:spacing w:after="0"/>
              <w:rPr>
                <w:sz w:val="8"/>
                <w:szCs w:val="8"/>
                <w:color w:val="auto"/>
              </w:rPr>
            </w:pPr>
          </w:p>
        </w:tc>
        <w:tc>
          <w:tcPr>
            <w:tcW w:w="3820" w:type="dxa"/>
            <w:vAlign w:val="bottom"/>
            <w:shd w:val="clear" w:color="auto" w:fill="DBE5F1"/>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-925195</wp:posOffset>
            </wp:positionV>
            <wp:extent cx="24003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-925195</wp:posOffset>
            </wp:positionV>
            <wp:extent cx="24003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-556895</wp:posOffset>
            </wp:positionV>
            <wp:extent cx="240030" cy="240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33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What We Don't Do</w:t>
      </w:r>
    </w:p>
    <w:p>
      <w:pPr>
        <w:spacing w:after="0" w:line="40" w:lineRule="exact"/>
        <w:rPr>
          <w:sz w:val="20"/>
          <w:szCs w:val="20"/>
          <w:color w:val="auto"/>
        </w:rPr>
      </w:pPr>
    </w:p>
    <w:tbl>
      <w:tblPr>
        <w:tblLayout w:type="fixed"/>
        <w:tblInd w:w="1400" w:type="dxa"/>
        <w:tblCellMar>
          <w:top w:w="0" w:type="dxa"/>
          <w:left w:w="0" w:type="dxa"/>
          <w:bottom w:w="0" w:type="dxa"/>
          <w:right w:w="0" w:type="dxa"/>
        </w:tblCellMar>
      </w:tblPr>
      <w:tr>
        <w:trPr>
          <w:trHeight w:val="184"/>
        </w:trPr>
        <w:tc>
          <w:tcPr>
            <w:tcW w:w="4620" w:type="dxa"/>
            <w:vAlign w:val="bottom"/>
            <w:tcBorders>
              <w:top w:val="single" w:sz="8" w:color="auto"/>
            </w:tcBorders>
            <w:shd w:val="clear" w:color="auto" w:fill="DBE5F1"/>
          </w:tcPr>
          <w:p>
            <w:pPr>
              <w:ind w:left="480"/>
              <w:spacing w:after="0" w:line="184" w:lineRule="exact"/>
              <w:rPr>
                <w:sz w:val="20"/>
                <w:szCs w:val="20"/>
                <w:color w:val="auto"/>
              </w:rPr>
            </w:pPr>
            <w:r>
              <w:rPr>
                <w:rFonts w:ascii="Arial" w:cs="Arial" w:eastAsia="Arial" w:hAnsi="Arial"/>
                <w:sz w:val="18"/>
                <w:szCs w:val="18"/>
                <w:color w:val="auto"/>
              </w:rPr>
              <w:t>No guaranteed or uncapped incentive payouts in</w:t>
            </w:r>
          </w:p>
        </w:tc>
        <w:tc>
          <w:tcPr>
            <w:tcW w:w="3820" w:type="dxa"/>
            <w:vAlign w:val="bottom"/>
            <w:tcBorders>
              <w:top w:val="single" w:sz="8" w:color="auto"/>
            </w:tcBorders>
            <w:shd w:val="clear" w:color="auto" w:fill="DBE5F1"/>
          </w:tcPr>
          <w:p>
            <w:pPr>
              <w:ind w:left="260"/>
              <w:spacing w:after="0" w:line="184" w:lineRule="exact"/>
              <w:rPr>
                <w:sz w:val="20"/>
                <w:szCs w:val="20"/>
                <w:color w:val="auto"/>
              </w:rPr>
            </w:pPr>
            <w:r>
              <w:rPr>
                <w:rFonts w:ascii="Arial" w:cs="Arial" w:eastAsia="Arial" w:hAnsi="Arial"/>
                <w:sz w:val="18"/>
                <w:szCs w:val="18"/>
                <w:color w:val="auto"/>
              </w:rPr>
              <w:t>No option or stock appreciation rights</w:t>
            </w:r>
          </w:p>
        </w:tc>
      </w:tr>
      <w:tr>
        <w:trPr>
          <w:trHeight w:val="239"/>
        </w:trPr>
        <w:tc>
          <w:tcPr>
            <w:tcW w:w="4620" w:type="dxa"/>
            <w:vAlign w:val="bottom"/>
            <w:shd w:val="clear" w:color="auto" w:fill="DBE5F1"/>
          </w:tcPr>
          <w:p>
            <w:pPr>
              <w:ind w:left="480"/>
              <w:spacing w:after="0"/>
              <w:rPr>
                <w:sz w:val="20"/>
                <w:szCs w:val="20"/>
                <w:color w:val="auto"/>
              </w:rPr>
            </w:pPr>
            <w:r>
              <w:rPr>
                <w:rFonts w:ascii="Arial" w:cs="Arial" w:eastAsia="Arial" w:hAnsi="Arial"/>
                <w:sz w:val="18"/>
                <w:szCs w:val="18"/>
                <w:color w:val="auto"/>
              </w:rPr>
              <w:t>our annual bonus plan</w:t>
            </w:r>
          </w:p>
        </w:tc>
        <w:tc>
          <w:tcPr>
            <w:tcW w:w="3820" w:type="dxa"/>
            <w:vAlign w:val="bottom"/>
            <w:shd w:val="clear" w:color="auto" w:fill="DBE5F1"/>
          </w:tcPr>
          <w:p>
            <w:pPr>
              <w:ind w:left="260"/>
              <w:spacing w:after="0"/>
              <w:rPr>
                <w:sz w:val="20"/>
                <w:szCs w:val="20"/>
                <w:color w:val="auto"/>
              </w:rPr>
            </w:pPr>
            <w:r>
              <w:rPr>
                <w:rFonts w:ascii="Arial" w:cs="Arial" w:eastAsia="Arial" w:hAnsi="Arial"/>
                <w:sz w:val="18"/>
                <w:szCs w:val="18"/>
                <w:color w:val="auto"/>
              </w:rPr>
              <w:t>granted below fair market value</w:t>
            </w:r>
          </w:p>
        </w:tc>
      </w:tr>
      <w:tr>
        <w:trPr>
          <w:trHeight w:val="328"/>
        </w:trPr>
        <w:tc>
          <w:tcPr>
            <w:tcW w:w="4620" w:type="dxa"/>
            <w:vAlign w:val="bottom"/>
            <w:shd w:val="clear" w:color="auto" w:fill="DBE5F1"/>
          </w:tcPr>
          <w:p>
            <w:pPr>
              <w:spacing w:after="0"/>
              <w:rPr>
                <w:sz w:val="24"/>
                <w:szCs w:val="24"/>
                <w:color w:val="auto"/>
              </w:rPr>
            </w:pPr>
          </w:p>
        </w:tc>
        <w:tc>
          <w:tcPr>
            <w:tcW w:w="3820" w:type="dxa"/>
            <w:vAlign w:val="bottom"/>
            <w:shd w:val="clear" w:color="auto" w:fill="DBE5F1"/>
          </w:tcPr>
          <w:p>
            <w:pPr>
              <w:spacing w:after="0"/>
              <w:rPr>
                <w:sz w:val="24"/>
                <w:szCs w:val="24"/>
                <w:color w:val="auto"/>
              </w:rPr>
            </w:pPr>
          </w:p>
        </w:tc>
      </w:tr>
      <w:tr>
        <w:trPr>
          <w:trHeight w:val="175"/>
        </w:trPr>
        <w:tc>
          <w:tcPr>
            <w:tcW w:w="4620" w:type="dxa"/>
            <w:vAlign w:val="bottom"/>
          </w:tcPr>
          <w:p>
            <w:pPr>
              <w:ind w:left="480"/>
              <w:spacing w:after="0" w:line="176" w:lineRule="exact"/>
              <w:rPr>
                <w:sz w:val="20"/>
                <w:szCs w:val="20"/>
                <w:color w:val="auto"/>
              </w:rPr>
            </w:pPr>
            <w:r>
              <w:rPr>
                <w:rFonts w:ascii="Arial" w:cs="Arial" w:eastAsia="Arial" w:hAnsi="Arial"/>
                <w:sz w:val="18"/>
                <w:szCs w:val="18"/>
                <w:color w:val="auto"/>
              </w:rPr>
              <w:t>No significant perquisites</w:t>
            </w:r>
          </w:p>
        </w:tc>
        <w:tc>
          <w:tcPr>
            <w:tcW w:w="3820" w:type="dxa"/>
            <w:vAlign w:val="bottom"/>
          </w:tcPr>
          <w:p>
            <w:pPr>
              <w:ind w:left="260"/>
              <w:spacing w:after="0" w:line="176" w:lineRule="exact"/>
              <w:rPr>
                <w:sz w:val="20"/>
                <w:szCs w:val="20"/>
                <w:color w:val="auto"/>
              </w:rPr>
            </w:pPr>
            <w:r>
              <w:rPr>
                <w:rFonts w:ascii="Arial" w:cs="Arial" w:eastAsia="Arial" w:hAnsi="Arial"/>
                <w:sz w:val="18"/>
                <w:szCs w:val="18"/>
                <w:color w:val="auto"/>
              </w:rPr>
              <w:t>No repricing or exchange of underwater</w:t>
            </w:r>
          </w:p>
        </w:tc>
      </w:tr>
      <w:tr>
        <w:trPr>
          <w:trHeight w:val="239"/>
        </w:trPr>
        <w:tc>
          <w:tcPr>
            <w:tcW w:w="4620" w:type="dxa"/>
            <w:vAlign w:val="bottom"/>
          </w:tcPr>
          <w:p>
            <w:pPr>
              <w:spacing w:after="0"/>
              <w:rPr>
                <w:sz w:val="20"/>
                <w:szCs w:val="20"/>
                <w:color w:val="auto"/>
              </w:rPr>
            </w:pPr>
          </w:p>
        </w:tc>
        <w:tc>
          <w:tcPr>
            <w:tcW w:w="3820" w:type="dxa"/>
            <w:vAlign w:val="bottom"/>
          </w:tcPr>
          <w:p>
            <w:pPr>
              <w:ind w:left="260"/>
              <w:spacing w:after="0"/>
              <w:rPr>
                <w:sz w:val="20"/>
                <w:szCs w:val="20"/>
                <w:color w:val="auto"/>
              </w:rPr>
            </w:pPr>
            <w:r>
              <w:rPr>
                <w:rFonts w:ascii="Arial" w:cs="Arial" w:eastAsia="Arial" w:hAnsi="Arial"/>
                <w:sz w:val="18"/>
                <w:szCs w:val="18"/>
                <w:color w:val="auto"/>
              </w:rPr>
              <w:t>options without stockholder approval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-734060</wp:posOffset>
            </wp:positionV>
            <wp:extent cx="24003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-734060</wp:posOffset>
            </wp:positionV>
            <wp:extent cx="240030" cy="2400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904875</wp:posOffset>
            </wp:positionH>
            <wp:positionV relativeFrom="paragraph">
              <wp:posOffset>-262255</wp:posOffset>
            </wp:positionV>
            <wp:extent cx="240030" cy="2400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40030" cy="24003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-262255</wp:posOffset>
            </wp:positionV>
            <wp:extent cx="24003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type w:val="continuous"/>
        </w:sectPr>
      </w:pPr>
    </w:p>
    <w:p>
      <w:pPr>
        <w:spacing w:after="0" w:line="323" w:lineRule="exact"/>
        <w:rPr>
          <w:sz w:val="20"/>
          <w:szCs w:val="20"/>
          <w:color w:val="auto"/>
        </w:rPr>
      </w:pPr>
    </w:p>
    <w:p>
      <w:pPr>
        <w:ind w:left="1880" w:right="560"/>
        <w:spacing w:after="0"/>
        <w:rPr>
          <w:sz w:val="20"/>
          <w:szCs w:val="20"/>
          <w:color w:val="auto"/>
        </w:rPr>
      </w:pPr>
      <w:r>
        <w:rPr>
          <w:rFonts w:ascii="Arial" w:cs="Arial" w:eastAsia="Arial" w:hAnsi="Arial"/>
          <w:sz w:val="18"/>
          <w:szCs w:val="18"/>
          <w:color w:val="auto"/>
        </w:rPr>
        <w:t>No tax gross-ups, other than for certain relocation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-259080</wp:posOffset>
            </wp:positionV>
            <wp:extent cx="5366385" cy="420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66385" cy="420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right="1040"/>
        <w:spacing w:after="0" w:line="227" w:lineRule="auto"/>
        <w:rPr>
          <w:sz w:val="20"/>
          <w:szCs w:val="20"/>
          <w:color w:val="auto"/>
        </w:rPr>
      </w:pPr>
      <w:r>
        <w:rPr>
          <w:rFonts w:ascii="Arial" w:cs="Arial" w:eastAsia="Arial" w:hAnsi="Arial"/>
          <w:sz w:val="18"/>
          <w:szCs w:val="18"/>
          <w:color w:val="auto"/>
        </w:rPr>
        <w:t>No dividend equivalents on unearned restricted stock units or performance share units</w:t>
      </w:r>
    </w:p>
    <w:p>
      <w:pPr>
        <w:spacing w:after="0" w:line="200" w:lineRule="exact"/>
        <w:rPr>
          <w:sz w:val="20"/>
          <w:szCs w:val="20"/>
          <w:color w:val="auto"/>
        </w:rPr>
      </w:pPr>
    </w:p>
    <w:p>
      <w:pPr>
        <w:sectPr>
          <w:pgSz w:w="11900" w:h="16838" w:orient="portrait"/>
          <w:cols w:equalWidth="0" w:num="2">
            <w:col w:w="5560" w:space="720"/>
            <w:col w:w="4440"/>
          </w:cols>
          <w:pgMar w:left="320" w:top="1440" w:right="8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440" w:right="859" w:bottom="1440" w:gutter="0" w:footer="0" w:header="0"/>
          <w:type w:val="continuous"/>
        </w:sectPr>
      </w:pPr>
    </w:p>
    <w:bookmarkStart w:id="45" w:name="page46"/>
    <w:bookmarkEnd w:id="45"/>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Guides Our Program</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Executive Compensation Philosophy and Objectives</w:t>
      </w:r>
    </w:p>
    <w:p>
      <w:pPr>
        <w:spacing w:after="0" w:line="183"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Our executive compensation philosophy is to forge critical connections between performance, long-term value creation, employee engagement and retention, compensation governance and our cultural values. To that end, our executive compensation program is grounded in the following principles: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337"/>
        </w:trPr>
        <w:tc>
          <w:tcPr>
            <w:tcW w:w="2620" w:type="dxa"/>
            <w:vAlign w:val="bottom"/>
            <w:tcBorders>
              <w:top w:val="single" w:sz="8" w:color="95B3D7"/>
            </w:tcBorders>
            <w:shd w:val="clear" w:color="auto" w:fill="DBE5F1"/>
          </w:tcPr>
          <w:p>
            <w:pPr>
              <w:ind w:left="120"/>
              <w:spacing w:after="0"/>
              <w:rPr>
                <w:sz w:val="20"/>
                <w:szCs w:val="20"/>
                <w:color w:val="auto"/>
              </w:rPr>
            </w:pPr>
            <w:r>
              <w:rPr>
                <w:rFonts w:ascii="Arial" w:cs="Arial" w:eastAsia="Arial" w:hAnsi="Arial"/>
                <w:sz w:val="16"/>
                <w:szCs w:val="16"/>
                <w:b w:val="1"/>
                <w:bCs w:val="1"/>
                <w:color w:val="auto"/>
              </w:rPr>
              <w:t>Attraction and Retention</w:t>
            </w:r>
          </w:p>
        </w:tc>
        <w:tc>
          <w:tcPr>
            <w:tcW w:w="8620" w:type="dxa"/>
            <w:vAlign w:val="bottom"/>
            <w:tcBorders>
              <w:top w:val="single" w:sz="8" w:color="95B3D7"/>
            </w:tcBorders>
            <w:shd w:val="clear" w:color="auto" w:fill="DBE5F1"/>
          </w:tcPr>
          <w:p>
            <w:pPr>
              <w:ind w:left="560"/>
              <w:spacing w:after="0"/>
              <w:rPr>
                <w:sz w:val="20"/>
                <w:szCs w:val="20"/>
                <w:color w:val="auto"/>
              </w:rPr>
            </w:pPr>
            <w:r>
              <w:rPr>
                <w:rFonts w:ascii="Arial" w:cs="Arial" w:eastAsia="Arial" w:hAnsi="Arial"/>
                <w:sz w:val="16"/>
                <w:szCs w:val="16"/>
                <w:color w:val="auto"/>
              </w:rPr>
              <w:t>Our compensation program should enable the Company to attract and retain highly talented people with</w:t>
            </w:r>
          </w:p>
        </w:tc>
      </w:tr>
      <w:tr>
        <w:trPr>
          <w:trHeight w:val="215"/>
        </w:trPr>
        <w:tc>
          <w:tcPr>
            <w:tcW w:w="2620" w:type="dxa"/>
            <w:vAlign w:val="bottom"/>
            <w:shd w:val="clear" w:color="auto" w:fill="DBE5F1"/>
          </w:tcPr>
          <w:p>
            <w:pPr>
              <w:spacing w:after="0"/>
              <w:rPr>
                <w:sz w:val="18"/>
                <w:szCs w:val="18"/>
                <w:color w:val="auto"/>
              </w:rPr>
            </w:pP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exceptional leadership capabilities.</w:t>
            </w:r>
          </w:p>
        </w:tc>
      </w:tr>
      <w:tr>
        <w:trPr>
          <w:trHeight w:val="380"/>
        </w:trPr>
        <w:tc>
          <w:tcPr>
            <w:tcW w:w="2620" w:type="dxa"/>
            <w:vAlign w:val="bottom"/>
            <w:shd w:val="clear" w:color="auto" w:fill="DBE5F1"/>
          </w:tcPr>
          <w:p>
            <w:pPr>
              <w:spacing w:after="0"/>
              <w:rPr>
                <w:sz w:val="24"/>
                <w:szCs w:val="24"/>
                <w:color w:val="auto"/>
              </w:rPr>
            </w:pPr>
          </w:p>
        </w:tc>
        <w:tc>
          <w:tcPr>
            <w:tcW w:w="8620" w:type="dxa"/>
            <w:vAlign w:val="bottom"/>
            <w:shd w:val="clear" w:color="auto" w:fill="DBE5F1"/>
          </w:tcPr>
          <w:p>
            <w:pPr>
              <w:spacing w:after="0"/>
              <w:rPr>
                <w:sz w:val="24"/>
                <w:szCs w:val="24"/>
                <w:color w:val="auto"/>
              </w:rPr>
            </w:pPr>
          </w:p>
        </w:tc>
      </w:tr>
      <w:tr>
        <w:trPr>
          <w:trHeight w:val="323"/>
        </w:trPr>
        <w:tc>
          <w:tcPr>
            <w:tcW w:w="2620" w:type="dxa"/>
            <w:vAlign w:val="bottom"/>
          </w:tcPr>
          <w:p>
            <w:pPr>
              <w:ind w:left="120"/>
              <w:spacing w:after="0"/>
              <w:rPr>
                <w:sz w:val="20"/>
                <w:szCs w:val="20"/>
                <w:color w:val="auto"/>
              </w:rPr>
            </w:pPr>
            <w:r>
              <w:rPr>
                <w:rFonts w:ascii="Arial" w:cs="Arial" w:eastAsia="Arial" w:hAnsi="Arial"/>
                <w:sz w:val="16"/>
                <w:szCs w:val="16"/>
                <w:b w:val="1"/>
                <w:bCs w:val="1"/>
                <w:color w:val="auto"/>
              </w:rPr>
              <w:t>Competitiveness</w:t>
            </w:r>
          </w:p>
        </w:tc>
        <w:tc>
          <w:tcPr>
            <w:tcW w:w="8620" w:type="dxa"/>
            <w:vAlign w:val="bottom"/>
          </w:tcPr>
          <w:p>
            <w:pPr>
              <w:ind w:left="560"/>
              <w:spacing w:after="0"/>
              <w:rPr>
                <w:sz w:val="20"/>
                <w:szCs w:val="20"/>
                <w:color w:val="auto"/>
              </w:rPr>
            </w:pPr>
            <w:r>
              <w:rPr>
                <w:rFonts w:ascii="Arial" w:cs="Arial" w:eastAsia="Arial" w:hAnsi="Arial"/>
                <w:sz w:val="16"/>
                <w:szCs w:val="16"/>
                <w:color w:val="auto"/>
              </w:rPr>
              <w:t>We seek to provide total compensation opportunity levels that are competitive with those being offered to</w:t>
            </w:r>
          </w:p>
        </w:tc>
      </w:tr>
      <w:tr>
        <w:trPr>
          <w:trHeight w:val="203"/>
        </w:trPr>
        <w:tc>
          <w:tcPr>
            <w:tcW w:w="2620" w:type="dxa"/>
            <w:vAlign w:val="bottom"/>
          </w:tcPr>
          <w:p>
            <w:pPr>
              <w:spacing w:after="0"/>
              <w:rPr>
                <w:sz w:val="17"/>
                <w:szCs w:val="17"/>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individuals holding comparable positions at other companies with which we compete for business and</w:t>
            </w:r>
          </w:p>
        </w:tc>
      </w:tr>
      <w:tr>
        <w:trPr>
          <w:trHeight w:val="215"/>
        </w:trPr>
        <w:tc>
          <w:tcPr>
            <w:tcW w:w="262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leadership talent.</w:t>
            </w:r>
          </w:p>
        </w:tc>
      </w:tr>
      <w:tr>
        <w:trPr>
          <w:trHeight w:val="380"/>
        </w:trPr>
        <w:tc>
          <w:tcPr>
            <w:tcW w:w="262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323"/>
        </w:trPr>
        <w:tc>
          <w:tcPr>
            <w:tcW w:w="262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Stockholder Alignment</w:t>
            </w: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We employ pay elements that are designed to create long-term value for our stockholders, as well as foster a</w:t>
            </w:r>
          </w:p>
        </w:tc>
      </w:tr>
      <w:tr>
        <w:trPr>
          <w:trHeight w:val="215"/>
        </w:trPr>
        <w:tc>
          <w:tcPr>
            <w:tcW w:w="2620" w:type="dxa"/>
            <w:vAlign w:val="bottom"/>
            <w:shd w:val="clear" w:color="auto" w:fill="DBE5F1"/>
          </w:tcPr>
          <w:p>
            <w:pPr>
              <w:spacing w:after="0"/>
              <w:rPr>
                <w:sz w:val="18"/>
                <w:szCs w:val="18"/>
                <w:color w:val="auto"/>
              </w:rPr>
            </w:pP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culture of ownership in the Company.</w:t>
            </w:r>
          </w:p>
        </w:tc>
      </w:tr>
      <w:tr>
        <w:trPr>
          <w:trHeight w:val="380"/>
        </w:trPr>
        <w:tc>
          <w:tcPr>
            <w:tcW w:w="2620" w:type="dxa"/>
            <w:vAlign w:val="bottom"/>
            <w:shd w:val="clear" w:color="auto" w:fill="DBE5F1"/>
          </w:tcPr>
          <w:p>
            <w:pPr>
              <w:spacing w:after="0"/>
              <w:rPr>
                <w:sz w:val="24"/>
                <w:szCs w:val="24"/>
                <w:color w:val="auto"/>
              </w:rPr>
            </w:pPr>
          </w:p>
        </w:tc>
        <w:tc>
          <w:tcPr>
            <w:tcW w:w="8620" w:type="dxa"/>
            <w:vAlign w:val="bottom"/>
            <w:shd w:val="clear" w:color="auto" w:fill="DBE5F1"/>
          </w:tcPr>
          <w:p>
            <w:pPr>
              <w:spacing w:after="0"/>
              <w:rPr>
                <w:sz w:val="24"/>
                <w:szCs w:val="24"/>
                <w:color w:val="auto"/>
              </w:rPr>
            </w:pPr>
          </w:p>
        </w:tc>
      </w:tr>
      <w:tr>
        <w:trPr>
          <w:trHeight w:val="323"/>
        </w:trPr>
        <w:tc>
          <w:tcPr>
            <w:tcW w:w="2620" w:type="dxa"/>
            <w:vAlign w:val="bottom"/>
          </w:tcPr>
          <w:p>
            <w:pPr>
              <w:ind w:left="120"/>
              <w:spacing w:after="0"/>
              <w:rPr>
                <w:sz w:val="20"/>
                <w:szCs w:val="20"/>
                <w:color w:val="auto"/>
              </w:rPr>
            </w:pPr>
            <w:r>
              <w:rPr>
                <w:rFonts w:ascii="Arial" w:cs="Arial" w:eastAsia="Arial" w:hAnsi="Arial"/>
                <w:sz w:val="16"/>
                <w:szCs w:val="16"/>
                <w:b w:val="1"/>
                <w:bCs w:val="1"/>
                <w:color w:val="auto"/>
              </w:rPr>
              <w:t>Pay for Performance</w:t>
            </w:r>
          </w:p>
        </w:tc>
        <w:tc>
          <w:tcPr>
            <w:tcW w:w="8620" w:type="dxa"/>
            <w:vAlign w:val="bottom"/>
          </w:tcPr>
          <w:p>
            <w:pPr>
              <w:ind w:left="560"/>
              <w:spacing w:after="0"/>
              <w:rPr>
                <w:sz w:val="20"/>
                <w:szCs w:val="20"/>
                <w:color w:val="auto"/>
              </w:rPr>
            </w:pPr>
            <w:r>
              <w:rPr>
                <w:rFonts w:ascii="Arial" w:cs="Arial" w:eastAsia="Arial" w:hAnsi="Arial"/>
                <w:sz w:val="16"/>
                <w:szCs w:val="16"/>
                <w:color w:val="auto"/>
              </w:rPr>
              <w:t>Our program is designed to ensure that a significant portion of an executive’s total compensation is variable</w:t>
            </w:r>
          </w:p>
        </w:tc>
      </w:tr>
      <w:tr>
        <w:trPr>
          <w:trHeight w:val="203"/>
        </w:trPr>
        <w:tc>
          <w:tcPr>
            <w:tcW w:w="2620" w:type="dxa"/>
            <w:vAlign w:val="bottom"/>
          </w:tcPr>
          <w:p>
            <w:pPr>
              <w:spacing w:after="0"/>
              <w:rPr>
                <w:sz w:val="17"/>
                <w:szCs w:val="17"/>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(or “at risk”) and dependent upon the attainment of certain specific and measurable short-term and long-term</w:t>
            </w:r>
          </w:p>
        </w:tc>
      </w:tr>
      <w:tr>
        <w:trPr>
          <w:trHeight w:val="215"/>
        </w:trPr>
        <w:tc>
          <w:tcPr>
            <w:tcW w:w="2620" w:type="dxa"/>
            <w:vAlign w:val="bottom"/>
          </w:tcPr>
          <w:p>
            <w:pPr>
              <w:spacing w:after="0"/>
              <w:rPr>
                <w:sz w:val="18"/>
                <w:szCs w:val="18"/>
                <w:color w:val="auto"/>
              </w:rPr>
            </w:pPr>
          </w:p>
        </w:tc>
        <w:tc>
          <w:tcPr>
            <w:tcW w:w="8620" w:type="dxa"/>
            <w:vAlign w:val="bottom"/>
          </w:tcPr>
          <w:p>
            <w:pPr>
              <w:ind w:left="560"/>
              <w:spacing w:after="0"/>
              <w:rPr>
                <w:sz w:val="20"/>
                <w:szCs w:val="20"/>
                <w:color w:val="auto"/>
              </w:rPr>
            </w:pPr>
            <w:r>
              <w:rPr>
                <w:rFonts w:ascii="Arial" w:cs="Arial" w:eastAsia="Arial" w:hAnsi="Arial"/>
                <w:sz w:val="16"/>
                <w:szCs w:val="16"/>
                <w:color w:val="auto"/>
              </w:rPr>
              <w:t>business performance objectives.</w:t>
            </w:r>
          </w:p>
        </w:tc>
      </w:tr>
      <w:tr>
        <w:trPr>
          <w:trHeight w:val="380"/>
        </w:trPr>
        <w:tc>
          <w:tcPr>
            <w:tcW w:w="2620" w:type="dxa"/>
            <w:vAlign w:val="bottom"/>
          </w:tcPr>
          <w:p>
            <w:pPr>
              <w:spacing w:after="0"/>
              <w:rPr>
                <w:sz w:val="24"/>
                <w:szCs w:val="24"/>
                <w:color w:val="auto"/>
              </w:rPr>
            </w:pPr>
          </w:p>
        </w:tc>
        <w:tc>
          <w:tcPr>
            <w:tcW w:w="8620" w:type="dxa"/>
            <w:vAlign w:val="bottom"/>
          </w:tcPr>
          <w:p>
            <w:pPr>
              <w:spacing w:after="0"/>
              <w:rPr>
                <w:sz w:val="24"/>
                <w:szCs w:val="24"/>
                <w:color w:val="auto"/>
              </w:rPr>
            </w:pPr>
          </w:p>
        </w:tc>
      </w:tr>
      <w:tr>
        <w:trPr>
          <w:trHeight w:val="323"/>
        </w:trPr>
        <w:tc>
          <w:tcPr>
            <w:tcW w:w="262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Responsible Governance</w:t>
            </w: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Decisions about compensation should be guided by best-practice governance standards and rigorous</w:t>
            </w:r>
          </w:p>
        </w:tc>
      </w:tr>
      <w:tr>
        <w:trPr>
          <w:trHeight w:val="215"/>
        </w:trPr>
        <w:tc>
          <w:tcPr>
            <w:tcW w:w="2620" w:type="dxa"/>
            <w:vAlign w:val="bottom"/>
            <w:shd w:val="clear" w:color="auto" w:fill="DBE5F1"/>
          </w:tcPr>
          <w:p>
            <w:pPr>
              <w:spacing w:after="0"/>
              <w:rPr>
                <w:sz w:val="18"/>
                <w:szCs w:val="18"/>
                <w:color w:val="auto"/>
              </w:rPr>
            </w:pPr>
          </w:p>
        </w:tc>
        <w:tc>
          <w:tcPr>
            <w:tcW w:w="8620" w:type="dxa"/>
            <w:vAlign w:val="bottom"/>
            <w:shd w:val="clear" w:color="auto" w:fill="DBE5F1"/>
          </w:tcPr>
          <w:p>
            <w:pPr>
              <w:ind w:left="560"/>
              <w:spacing w:after="0"/>
              <w:rPr>
                <w:sz w:val="20"/>
                <w:szCs w:val="20"/>
                <w:color w:val="auto"/>
              </w:rPr>
            </w:pPr>
            <w:r>
              <w:rPr>
                <w:rFonts w:ascii="Arial" w:cs="Arial" w:eastAsia="Arial" w:hAnsi="Arial"/>
                <w:sz w:val="16"/>
                <w:szCs w:val="16"/>
                <w:color w:val="auto"/>
              </w:rPr>
              <w:t>processes that encourage prudent decision-making.</w:t>
            </w:r>
          </w:p>
        </w:tc>
      </w:tr>
      <w:tr>
        <w:trPr>
          <w:trHeight w:val="380"/>
        </w:trPr>
        <w:tc>
          <w:tcPr>
            <w:tcW w:w="2620" w:type="dxa"/>
            <w:vAlign w:val="bottom"/>
            <w:shd w:val="clear" w:color="auto" w:fill="DBE5F1"/>
          </w:tcPr>
          <w:p>
            <w:pPr>
              <w:spacing w:after="0"/>
              <w:rPr>
                <w:sz w:val="24"/>
                <w:szCs w:val="24"/>
                <w:color w:val="auto"/>
              </w:rPr>
            </w:pPr>
          </w:p>
        </w:tc>
        <w:tc>
          <w:tcPr>
            <w:tcW w:w="8620" w:type="dxa"/>
            <w:vAlign w:val="bottom"/>
            <w:shd w:val="clear" w:color="auto" w:fill="DBE5F1"/>
          </w:tcPr>
          <w:p>
            <w:pPr>
              <w:spacing w:after="0"/>
              <w:rPr>
                <w:sz w:val="24"/>
                <w:szCs w:val="24"/>
                <w:color w:val="auto"/>
              </w:rPr>
            </w:pPr>
          </w:p>
        </w:tc>
      </w:tr>
      <w:tr>
        <w:trPr>
          <w:trHeight w:val="162"/>
        </w:trPr>
        <w:tc>
          <w:tcPr>
            <w:tcW w:w="2620" w:type="dxa"/>
            <w:vAlign w:val="bottom"/>
          </w:tcPr>
          <w:p>
            <w:pPr>
              <w:ind w:left="120"/>
              <w:spacing w:after="0" w:line="162" w:lineRule="exact"/>
              <w:rPr>
                <w:sz w:val="20"/>
                <w:szCs w:val="20"/>
                <w:color w:val="auto"/>
              </w:rPr>
            </w:pPr>
            <w:r>
              <w:rPr>
                <w:rFonts w:ascii="Arial" w:cs="Arial" w:eastAsia="Arial" w:hAnsi="Arial"/>
                <w:sz w:val="16"/>
                <w:szCs w:val="16"/>
                <w:b w:val="1"/>
                <w:bCs w:val="1"/>
                <w:color w:val="auto"/>
              </w:rPr>
              <w:t>Pay Positioning</w:t>
            </w:r>
          </w:p>
        </w:tc>
        <w:tc>
          <w:tcPr>
            <w:tcW w:w="8620" w:type="dxa"/>
            <w:vAlign w:val="bottom"/>
          </w:tcPr>
          <w:p>
            <w:pPr>
              <w:ind w:left="560"/>
              <w:spacing w:after="0" w:line="162" w:lineRule="exact"/>
              <w:rPr>
                <w:sz w:val="20"/>
                <w:szCs w:val="20"/>
                <w:color w:val="auto"/>
              </w:rPr>
            </w:pPr>
            <w:r>
              <w:rPr>
                <w:rFonts w:ascii="Arial" w:cs="Arial" w:eastAsia="Arial" w:hAnsi="Arial"/>
                <w:sz w:val="16"/>
                <w:szCs w:val="16"/>
                <w:color w:val="auto"/>
              </w:rPr>
              <w:t>Each year, the Compensation Committee assesses the competitiveness of total compensation levels for</w:t>
            </w:r>
          </w:p>
        </w:tc>
      </w:tr>
      <w:tr>
        <w:trPr>
          <w:trHeight w:val="162"/>
        </w:trPr>
        <w:tc>
          <w:tcPr>
            <w:tcW w:w="2620" w:type="dxa"/>
            <w:vAlign w:val="bottom"/>
          </w:tcPr>
          <w:p>
            <w:pPr>
              <w:spacing w:after="0"/>
              <w:rPr>
                <w:sz w:val="14"/>
                <w:szCs w:val="14"/>
                <w:color w:val="auto"/>
              </w:rPr>
            </w:pPr>
          </w:p>
        </w:tc>
        <w:tc>
          <w:tcPr>
            <w:tcW w:w="8620" w:type="dxa"/>
            <w:vAlign w:val="bottom"/>
          </w:tcPr>
          <w:p>
            <w:pPr>
              <w:ind w:left="560"/>
              <w:spacing w:after="0" w:line="162" w:lineRule="exact"/>
              <w:rPr>
                <w:sz w:val="20"/>
                <w:szCs w:val="20"/>
                <w:color w:val="auto"/>
              </w:rPr>
            </w:pPr>
            <w:r>
              <w:rPr>
                <w:rFonts w:ascii="Arial" w:cs="Arial" w:eastAsia="Arial" w:hAnsi="Arial"/>
                <w:sz w:val="16"/>
                <w:szCs w:val="16"/>
                <w:color w:val="auto"/>
              </w:rPr>
              <w:t>executives to enable us to successfully attract, motivate and retain top executive talent. Total compensation is</w:t>
            </w:r>
          </w:p>
        </w:tc>
      </w:tr>
      <w:tr>
        <w:trPr>
          <w:trHeight w:val="215"/>
        </w:trPr>
        <w:tc>
          <w:tcPr>
            <w:tcW w:w="2620" w:type="dxa"/>
            <w:vAlign w:val="bottom"/>
            <w:tcBorders>
              <w:bottom w:val="single" w:sz="8" w:color="95B3D7"/>
            </w:tcBorders>
          </w:tcPr>
          <w:p>
            <w:pPr>
              <w:spacing w:after="0"/>
              <w:rPr>
                <w:sz w:val="18"/>
                <w:szCs w:val="18"/>
                <w:color w:val="auto"/>
              </w:rPr>
            </w:pPr>
          </w:p>
        </w:tc>
        <w:tc>
          <w:tcPr>
            <w:tcW w:w="8620" w:type="dxa"/>
            <w:vAlign w:val="bottom"/>
            <w:tcBorders>
              <w:bottom w:val="single" w:sz="8" w:color="95B3D7"/>
            </w:tcBorders>
          </w:tcPr>
          <w:p>
            <w:pPr>
              <w:ind w:left="560"/>
              <w:spacing w:after="0"/>
              <w:rPr>
                <w:sz w:val="20"/>
                <w:szCs w:val="20"/>
                <w:color w:val="auto"/>
              </w:rPr>
            </w:pPr>
            <w:r>
              <w:rPr>
                <w:rFonts w:ascii="Arial" w:cs="Arial" w:eastAsia="Arial" w:hAnsi="Arial"/>
                <w:sz w:val="16"/>
                <w:szCs w:val="16"/>
                <w:color w:val="auto"/>
              </w:rPr>
              <w:t>generally established within a range around the median of market-competitive levels.</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Elements of Pay</w:t>
      </w:r>
    </w:p>
    <w:p>
      <w:pPr>
        <w:spacing w:after="0" w:line="196"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auto"/>
        </w:rPr>
        <w:t>The executive compensation program uses a mix of fixed and variable pay, with an emphasis on pay-for-performance and variable pay. The program is structured to create a meaningful balance between achieving strong short-term annual results while ensuring long-term viability and success. Therefore, the mix of incentives is reviewed and determined regularly by the Compensation Committee based on the short- and long-term objectives of the business. The following table illustrates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elements of pay we currently employ, the primary objectives achieved by each element and the factors we consider when determining the amount of pay: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60" w:type="dxa"/>
            <w:vAlign w:val="bottom"/>
          </w:tcPr>
          <w:p>
            <w:pPr>
              <w:ind w:left="520"/>
              <w:spacing w:after="0"/>
              <w:rPr>
                <w:sz w:val="20"/>
                <w:szCs w:val="20"/>
                <w:color w:val="auto"/>
              </w:rPr>
            </w:pPr>
            <w:r>
              <w:rPr>
                <w:rFonts w:ascii="Arial" w:cs="Arial" w:eastAsia="Arial" w:hAnsi="Arial"/>
                <w:sz w:val="16"/>
                <w:szCs w:val="16"/>
                <w:b w:val="1"/>
                <w:bCs w:val="1"/>
                <w:color w:val="auto"/>
              </w:rPr>
              <w:t>Element</w:t>
            </w:r>
          </w:p>
        </w:tc>
        <w:tc>
          <w:tcPr>
            <w:tcW w:w="4340" w:type="dxa"/>
            <w:vAlign w:val="bottom"/>
          </w:tcPr>
          <w:p>
            <w:pPr>
              <w:ind w:left="1520"/>
              <w:spacing w:after="0"/>
              <w:rPr>
                <w:sz w:val="20"/>
                <w:szCs w:val="20"/>
                <w:color w:val="auto"/>
              </w:rPr>
            </w:pPr>
            <w:r>
              <w:rPr>
                <w:rFonts w:ascii="Arial" w:cs="Arial" w:eastAsia="Arial" w:hAnsi="Arial"/>
                <w:sz w:val="16"/>
                <w:szCs w:val="16"/>
                <w:b w:val="1"/>
                <w:bCs w:val="1"/>
                <w:color w:val="auto"/>
              </w:rPr>
              <w:t>Primary Objective</w:t>
            </w:r>
          </w:p>
        </w:tc>
        <w:tc>
          <w:tcPr>
            <w:tcW w:w="880" w:type="dxa"/>
            <w:vAlign w:val="bottom"/>
          </w:tcPr>
          <w:p>
            <w:pPr>
              <w:spacing w:after="0"/>
              <w:rPr>
                <w:sz w:val="19"/>
                <w:szCs w:val="19"/>
                <w:color w:val="auto"/>
              </w:rPr>
            </w:pPr>
          </w:p>
        </w:tc>
        <w:tc>
          <w:tcPr>
            <w:tcW w:w="4360" w:type="dxa"/>
            <w:vAlign w:val="bottom"/>
          </w:tcPr>
          <w:p>
            <w:pPr>
              <w:ind w:left="900"/>
              <w:spacing w:after="0"/>
              <w:rPr>
                <w:sz w:val="20"/>
                <w:szCs w:val="20"/>
                <w:color w:val="auto"/>
              </w:rPr>
            </w:pPr>
            <w:r>
              <w:rPr>
                <w:rFonts w:ascii="Arial" w:cs="Arial" w:eastAsia="Arial" w:hAnsi="Arial"/>
                <w:sz w:val="16"/>
                <w:szCs w:val="16"/>
                <w:b w:val="1"/>
                <w:bCs w:val="1"/>
                <w:color w:val="auto"/>
              </w:rPr>
              <w:t>Determination Factors</w:t>
            </w:r>
          </w:p>
        </w:tc>
        <w:tc>
          <w:tcPr>
            <w:tcW w:w="0" w:type="dxa"/>
            <w:vAlign w:val="bottom"/>
          </w:tcPr>
          <w:p>
            <w:pPr>
              <w:spacing w:after="0"/>
              <w:rPr>
                <w:sz w:val="1"/>
                <w:szCs w:val="1"/>
                <w:color w:val="auto"/>
              </w:rPr>
            </w:pPr>
          </w:p>
        </w:tc>
      </w:tr>
      <w:tr>
        <w:trPr>
          <w:trHeight w:val="21"/>
        </w:trPr>
        <w:tc>
          <w:tcPr>
            <w:tcW w:w="166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52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1"/>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Base Salary</w:t>
            </w:r>
          </w:p>
        </w:tc>
        <w:tc>
          <w:tcPr>
            <w:tcW w:w="4340" w:type="dxa"/>
            <w:vAlign w:val="bottom"/>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Attract and retain high-performing and experienced</w:t>
            </w:r>
          </w:p>
        </w:tc>
        <w:tc>
          <w:tcPr>
            <w:tcW w:w="524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Value of role in competitive marketplace</w:t>
            </w:r>
          </w:p>
        </w:tc>
        <w:tc>
          <w:tcPr>
            <w:tcW w:w="0" w:type="dxa"/>
            <w:vAlign w:val="bottom"/>
          </w:tcPr>
          <w:p>
            <w:pPr>
              <w:spacing w:after="0"/>
              <w:rPr>
                <w:sz w:val="1"/>
                <w:szCs w:val="1"/>
                <w:color w:val="auto"/>
              </w:rPr>
            </w:pPr>
          </w:p>
        </w:tc>
      </w:tr>
      <w:tr>
        <w:trPr>
          <w:trHeight w:val="189"/>
        </w:trPr>
        <w:tc>
          <w:tcPr>
            <w:tcW w:w="1660" w:type="dxa"/>
            <w:vAlign w:val="bottom"/>
            <w:shd w:val="clear" w:color="auto" w:fill="DBE5F1"/>
          </w:tcPr>
          <w:p>
            <w:pPr>
              <w:spacing w:after="0"/>
              <w:rPr>
                <w:sz w:val="16"/>
                <w:szCs w:val="16"/>
                <w:color w:val="auto"/>
              </w:rPr>
            </w:pPr>
          </w:p>
        </w:tc>
        <w:tc>
          <w:tcPr>
            <w:tcW w:w="4340" w:type="dxa"/>
            <w:vAlign w:val="bottom"/>
            <w:shd w:val="clear" w:color="auto" w:fill="DBE5F1"/>
          </w:tcPr>
          <w:p>
            <w:pPr>
              <w:ind w:left="420"/>
              <w:spacing w:after="0"/>
              <w:rPr>
                <w:sz w:val="20"/>
                <w:szCs w:val="20"/>
                <w:color w:val="auto"/>
              </w:rPr>
            </w:pPr>
            <w:r>
              <w:rPr>
                <w:rFonts w:ascii="Arial" w:cs="Arial" w:eastAsia="Arial" w:hAnsi="Arial"/>
                <w:sz w:val="16"/>
                <w:szCs w:val="16"/>
                <w:color w:val="auto"/>
              </w:rPr>
              <w:t>individuals</w:t>
            </w:r>
          </w:p>
        </w:tc>
        <w:tc>
          <w:tcPr>
            <w:tcW w:w="5240" w:type="dxa"/>
            <w:vAlign w:val="bottom"/>
            <w:gridSpan w:val="2"/>
            <w:shd w:val="clear" w:color="auto" w:fill="DBE5F1"/>
          </w:tcPr>
          <w:p>
            <w:pPr>
              <w:ind w:left="140"/>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Value of role to the Company</w:t>
            </w:r>
          </w:p>
        </w:tc>
        <w:tc>
          <w:tcPr>
            <w:tcW w:w="0" w:type="dxa"/>
            <w:vAlign w:val="bottom"/>
          </w:tcPr>
          <w:p>
            <w:pPr>
              <w:spacing w:after="0"/>
              <w:rPr>
                <w:sz w:val="1"/>
                <w:szCs w:val="1"/>
                <w:color w:val="auto"/>
              </w:rPr>
            </w:pPr>
          </w:p>
        </w:tc>
      </w:tr>
      <w:tr>
        <w:trPr>
          <w:trHeight w:val="234"/>
        </w:trPr>
        <w:tc>
          <w:tcPr>
            <w:tcW w:w="1660" w:type="dxa"/>
            <w:vAlign w:val="bottom"/>
            <w:shd w:val="clear" w:color="auto" w:fill="DBE5F1"/>
          </w:tcPr>
          <w:p>
            <w:pPr>
              <w:spacing w:after="0"/>
              <w:rPr>
                <w:sz w:val="20"/>
                <w:szCs w:val="20"/>
                <w:color w:val="auto"/>
              </w:rPr>
            </w:pPr>
          </w:p>
        </w:tc>
        <w:tc>
          <w:tcPr>
            <w:tcW w:w="4340" w:type="dxa"/>
            <w:vAlign w:val="bottom"/>
            <w:shd w:val="clear" w:color="auto" w:fill="DBE5F1"/>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Provide steady source of income so executives can</w:t>
            </w:r>
          </w:p>
        </w:tc>
        <w:tc>
          <w:tcPr>
            <w:tcW w:w="524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Skills, experience and performance of individual compared to</w:t>
            </w:r>
          </w:p>
        </w:tc>
        <w:tc>
          <w:tcPr>
            <w:tcW w:w="0" w:type="dxa"/>
            <w:vAlign w:val="bottom"/>
          </w:tcPr>
          <w:p>
            <w:pPr>
              <w:spacing w:after="0"/>
              <w:rPr>
                <w:sz w:val="1"/>
                <w:szCs w:val="1"/>
                <w:color w:val="auto"/>
              </w:rPr>
            </w:pPr>
          </w:p>
        </w:tc>
      </w:tr>
      <w:tr>
        <w:trPr>
          <w:trHeight w:val="242"/>
        </w:trPr>
        <w:tc>
          <w:tcPr>
            <w:tcW w:w="1660" w:type="dxa"/>
            <w:vAlign w:val="bottom"/>
            <w:shd w:val="clear" w:color="auto" w:fill="DBE5F1"/>
          </w:tcPr>
          <w:p>
            <w:pPr>
              <w:spacing w:after="0"/>
              <w:rPr>
                <w:sz w:val="21"/>
                <w:szCs w:val="21"/>
                <w:color w:val="auto"/>
              </w:rPr>
            </w:pPr>
          </w:p>
        </w:tc>
        <w:tc>
          <w:tcPr>
            <w:tcW w:w="4340" w:type="dxa"/>
            <w:vAlign w:val="bottom"/>
            <w:shd w:val="clear" w:color="auto" w:fill="DBE5F1"/>
          </w:tcPr>
          <w:p>
            <w:pPr>
              <w:ind w:left="420"/>
              <w:spacing w:after="0"/>
              <w:rPr>
                <w:sz w:val="20"/>
                <w:szCs w:val="20"/>
                <w:color w:val="auto"/>
              </w:rPr>
            </w:pPr>
            <w:r>
              <w:rPr>
                <w:rFonts w:ascii="Arial" w:cs="Arial" w:eastAsia="Arial" w:hAnsi="Arial"/>
                <w:sz w:val="16"/>
                <w:szCs w:val="16"/>
                <w:color w:val="auto"/>
              </w:rPr>
              <w:t>focus on the needs of the business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the market as well as others in the Company</w:t>
            </w:r>
          </w:p>
        </w:tc>
        <w:tc>
          <w:tcPr>
            <w:tcW w:w="0" w:type="dxa"/>
            <w:vAlign w:val="bottom"/>
          </w:tcPr>
          <w:p>
            <w:pPr>
              <w:spacing w:after="0"/>
              <w:rPr>
                <w:sz w:val="1"/>
                <w:szCs w:val="1"/>
                <w:color w:val="auto"/>
              </w:rPr>
            </w:pPr>
          </w:p>
        </w:tc>
      </w:tr>
      <w:tr>
        <w:trPr>
          <w:trHeight w:val="353"/>
        </w:trPr>
        <w:tc>
          <w:tcPr>
            <w:tcW w:w="1660" w:type="dxa"/>
            <w:vAlign w:val="bottom"/>
            <w:shd w:val="clear" w:color="auto" w:fill="DBE5F1"/>
          </w:tcPr>
          <w:p>
            <w:pPr>
              <w:spacing w:after="0"/>
              <w:rPr>
                <w:sz w:val="24"/>
                <w:szCs w:val="24"/>
                <w:color w:val="auto"/>
              </w:rPr>
            </w:pPr>
          </w:p>
        </w:tc>
        <w:tc>
          <w:tcPr>
            <w:tcW w:w="4340" w:type="dxa"/>
            <w:vAlign w:val="bottom"/>
            <w:shd w:val="clear" w:color="auto" w:fill="DBE5F1"/>
          </w:tcPr>
          <w:p>
            <w:pPr>
              <w:spacing w:after="0"/>
              <w:rPr>
                <w:sz w:val="24"/>
                <w:szCs w:val="24"/>
                <w:color w:val="auto"/>
              </w:rPr>
            </w:pPr>
          </w:p>
        </w:tc>
        <w:tc>
          <w:tcPr>
            <w:tcW w:w="5240" w:type="dxa"/>
            <w:vAlign w:val="bottom"/>
            <w:gridSpan w:val="2"/>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Annual Cash</w:t>
            </w:r>
          </w:p>
        </w:tc>
        <w:tc>
          <w:tcPr>
            <w:tcW w:w="4340" w:type="dxa"/>
            <w:vAlign w:val="bottom"/>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Motivate executives to achieve challenging short-</w:t>
            </w: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Target awards based on competitive marketplace, level of</w:t>
            </w:r>
          </w:p>
        </w:tc>
        <w:tc>
          <w:tcPr>
            <w:tcW w:w="0" w:type="dxa"/>
            <w:vAlign w:val="bottom"/>
          </w:tcPr>
          <w:p>
            <w:pPr>
              <w:spacing w:after="0"/>
              <w:rPr>
                <w:sz w:val="1"/>
                <w:szCs w:val="1"/>
                <w:color w:val="auto"/>
              </w:rPr>
            </w:pPr>
          </w:p>
        </w:tc>
      </w:tr>
      <w:tr>
        <w:trPr>
          <w:trHeight w:val="211"/>
        </w:trPr>
        <w:tc>
          <w:tcPr>
            <w:tcW w:w="1660" w:type="dxa"/>
            <w:vAlign w:val="bottom"/>
          </w:tcPr>
          <w:p>
            <w:pPr>
              <w:ind w:left="120"/>
              <w:spacing w:after="0"/>
              <w:rPr>
                <w:sz w:val="20"/>
                <w:szCs w:val="20"/>
                <w:color w:val="auto"/>
              </w:rPr>
            </w:pPr>
            <w:r>
              <w:rPr>
                <w:rFonts w:ascii="Arial" w:cs="Arial" w:eastAsia="Arial" w:hAnsi="Arial"/>
                <w:sz w:val="16"/>
                <w:szCs w:val="16"/>
                <w:b w:val="1"/>
                <w:bCs w:val="1"/>
                <w:color w:val="auto"/>
              </w:rPr>
              <w:t>Incentives</w:t>
            </w:r>
          </w:p>
        </w:tc>
        <w:tc>
          <w:tcPr>
            <w:tcW w:w="4340" w:type="dxa"/>
            <w:vAlign w:val="bottom"/>
          </w:tcPr>
          <w:p>
            <w:pPr>
              <w:ind w:left="460"/>
              <w:spacing w:after="0"/>
              <w:rPr>
                <w:sz w:val="20"/>
                <w:szCs w:val="20"/>
                <w:color w:val="auto"/>
              </w:rPr>
            </w:pPr>
            <w:r>
              <w:rPr>
                <w:rFonts w:ascii="Arial" w:cs="Arial" w:eastAsia="Arial" w:hAnsi="Arial"/>
                <w:sz w:val="16"/>
                <w:szCs w:val="16"/>
                <w:color w:val="auto"/>
              </w:rPr>
              <w:t>term performance goals</w:t>
            </w: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position, skills and performance of executive</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Align with annual financial objectives</w:t>
            </w: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For 2025, the award to our CEO was based 100% on the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achievement against certain corporate metrics: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80" w:type="dxa"/>
            <w:vAlign w:val="bottom"/>
          </w:tcPr>
          <w:p>
            <w:pPr>
              <w:ind w:left="800"/>
              <w:spacing w:after="0"/>
              <w:rPr>
                <w:sz w:val="20"/>
                <w:szCs w:val="20"/>
                <w:color w:val="auto"/>
              </w:rPr>
            </w:pPr>
            <w:r>
              <w:rPr>
                <w:rFonts w:ascii="Arial" w:cs="Arial" w:eastAsia="Arial" w:hAnsi="Arial"/>
                <w:sz w:val="16"/>
                <w:szCs w:val="16"/>
                <w:color w:val="auto"/>
              </w:rPr>
              <w:t>•</w:t>
            </w:r>
          </w:p>
        </w:tc>
        <w:tc>
          <w:tcPr>
            <w:tcW w:w="4360" w:type="dxa"/>
            <w:vAlign w:val="bottom"/>
          </w:tcPr>
          <w:p>
            <w:pPr>
              <w:ind w:left="240"/>
              <w:spacing w:after="0"/>
              <w:rPr>
                <w:sz w:val="20"/>
                <w:szCs w:val="20"/>
                <w:color w:val="auto"/>
              </w:rPr>
            </w:pPr>
            <w:r>
              <w:rPr>
                <w:rFonts w:ascii="Arial" w:cs="Arial" w:eastAsia="Arial" w:hAnsi="Arial"/>
                <w:sz w:val="16"/>
                <w:szCs w:val="16"/>
                <w:color w:val="auto"/>
              </w:rPr>
              <w:t>Health Plan Membership</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880" w:type="dxa"/>
            <w:vAlign w:val="bottom"/>
          </w:tcPr>
          <w:p>
            <w:pPr>
              <w:ind w:left="800"/>
              <w:spacing w:after="0"/>
              <w:rPr>
                <w:sz w:val="20"/>
                <w:szCs w:val="20"/>
                <w:color w:val="auto"/>
              </w:rPr>
            </w:pPr>
            <w:r>
              <w:rPr>
                <w:rFonts w:ascii="Arial" w:cs="Arial" w:eastAsia="Arial" w:hAnsi="Arial"/>
                <w:sz w:val="16"/>
                <w:szCs w:val="16"/>
                <w:color w:val="auto"/>
              </w:rPr>
              <w:t>•</w:t>
            </w:r>
          </w:p>
        </w:tc>
        <w:tc>
          <w:tcPr>
            <w:tcW w:w="4360" w:type="dxa"/>
            <w:vAlign w:val="bottom"/>
          </w:tcPr>
          <w:p>
            <w:pPr>
              <w:ind w:left="240"/>
              <w:spacing w:after="0"/>
              <w:rPr>
                <w:sz w:val="20"/>
                <w:szCs w:val="20"/>
                <w:color w:val="auto"/>
              </w:rPr>
            </w:pPr>
            <w:r>
              <w:rPr>
                <w:rFonts w:ascii="Arial" w:cs="Arial" w:eastAsia="Arial" w:hAnsi="Arial"/>
                <w:sz w:val="16"/>
                <w:szCs w:val="16"/>
                <w:color w:val="auto"/>
              </w:rPr>
              <w:t>Adjusted Gross Profit</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240" w:type="dxa"/>
            <w:vAlign w:val="bottom"/>
            <w:gridSpan w:val="2"/>
          </w:tcPr>
          <w:p>
            <w:pPr>
              <w:ind w:left="800"/>
              <w:spacing w:after="0"/>
              <w:rPr>
                <w:sz w:val="20"/>
                <w:szCs w:val="20"/>
                <w:color w:val="auto"/>
              </w:rPr>
            </w:pPr>
            <w:r>
              <w:rPr>
                <w:rFonts w:ascii="Arial" w:cs="Arial" w:eastAsia="Arial" w:hAnsi="Arial"/>
                <w:sz w:val="16"/>
                <w:szCs w:val="16"/>
                <w:color w:val="auto"/>
              </w:rPr>
              <w:t>•   Adjusted EBITDA minus Capital Expenditures</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140"/>
              <w:spacing w:after="0"/>
              <w:rPr>
                <w:sz w:val="20"/>
                <w:szCs w:val="20"/>
                <w:color w:val="auto"/>
              </w:rPr>
            </w:pPr>
            <w:r>
              <w:rPr>
                <w:rFonts w:ascii="Arial" w:cs="Arial" w:eastAsia="Arial" w:hAnsi="Arial"/>
                <w:sz w:val="16"/>
                <w:szCs w:val="16"/>
                <w:color w:val="auto"/>
              </w:rPr>
              <w:t>•   For our other NEOs, 75% of actual awards was based on these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corporate metrics, with 25% of actual awards based on</w:t>
            </w: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achievement of individual and/or departmental goals.</w:t>
            </w:r>
          </w:p>
        </w:tc>
        <w:tc>
          <w:tcPr>
            <w:tcW w:w="0" w:type="dxa"/>
            <w:vAlign w:val="bottom"/>
          </w:tcPr>
          <w:p>
            <w:pPr>
              <w:spacing w:after="0"/>
              <w:rPr>
                <w:sz w:val="1"/>
                <w:szCs w:val="1"/>
                <w:color w:val="auto"/>
              </w:rPr>
            </w:pPr>
          </w:p>
        </w:tc>
      </w:tr>
      <w:tr>
        <w:trPr>
          <w:trHeight w:val="234"/>
        </w:trPr>
        <w:tc>
          <w:tcPr>
            <w:tcW w:w="16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5240" w:type="dxa"/>
            <w:vAlign w:val="bottom"/>
            <w:gridSpan w:val="2"/>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Awards are subject to a 25% holdback and a modifier (-25% to</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+35%) to the subsequent payout, if any, based on the</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Company’s CMS Star Ratings, with potential payouts ranging</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5240" w:type="dxa"/>
            <w:vAlign w:val="bottom"/>
            <w:gridSpan w:val="2"/>
          </w:tcPr>
          <w:p>
            <w:pPr>
              <w:ind w:left="480"/>
              <w:spacing w:after="0"/>
              <w:rPr>
                <w:sz w:val="20"/>
                <w:szCs w:val="20"/>
                <w:color w:val="auto"/>
              </w:rPr>
            </w:pPr>
            <w:r>
              <w:rPr>
                <w:rFonts w:ascii="Arial" w:cs="Arial" w:eastAsia="Arial" w:hAnsi="Arial"/>
                <w:sz w:val="16"/>
                <w:szCs w:val="16"/>
                <w:color w:val="auto"/>
              </w:rPr>
              <w:t>from 0% to 200% of target bonus</w:t>
            </w:r>
          </w:p>
        </w:tc>
        <w:tc>
          <w:tcPr>
            <w:tcW w:w="0" w:type="dxa"/>
            <w:vAlign w:val="bottom"/>
          </w:tcPr>
          <w:p>
            <w:pPr>
              <w:spacing w:after="0"/>
              <w:rPr>
                <w:sz w:val="1"/>
                <w:szCs w:val="1"/>
                <w:color w:val="auto"/>
              </w:rPr>
            </w:pPr>
          </w:p>
        </w:tc>
      </w:tr>
      <w:tr>
        <w:trPr>
          <w:trHeight w:val="137"/>
        </w:trPr>
        <w:tc>
          <w:tcPr>
            <w:tcW w:w="16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2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Long-Term Equity</w:t>
            </w:r>
          </w:p>
        </w:tc>
        <w:tc>
          <w:tcPr>
            <w:tcW w:w="43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Align executives’ interests with those of our</w:t>
            </w:r>
          </w:p>
        </w:tc>
        <w:tc>
          <w:tcPr>
            <w:tcW w:w="524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Awards based on competitive marketplace, current value of</w:t>
            </w:r>
          </w:p>
        </w:tc>
        <w:tc>
          <w:tcPr>
            <w:tcW w:w="0" w:type="dxa"/>
            <w:vAlign w:val="bottom"/>
          </w:tcPr>
          <w:p>
            <w:pPr>
              <w:spacing w:after="0"/>
              <w:rPr>
                <w:sz w:val="1"/>
                <w:szCs w:val="1"/>
                <w:color w:val="auto"/>
              </w:rPr>
            </w:pPr>
          </w:p>
        </w:tc>
      </w:tr>
      <w:tr>
        <w:trPr>
          <w:trHeight w:val="211"/>
        </w:trPr>
        <w:tc>
          <w:tcPr>
            <w:tcW w:w="1660" w:type="dxa"/>
            <w:vAlign w:val="bottom"/>
            <w:shd w:val="clear" w:color="auto" w:fill="DBE5F1"/>
          </w:tcPr>
          <w:p>
            <w:pPr>
              <w:ind w:left="120"/>
              <w:spacing w:after="0"/>
              <w:rPr>
                <w:sz w:val="20"/>
                <w:szCs w:val="20"/>
                <w:color w:val="auto"/>
              </w:rPr>
            </w:pPr>
            <w:r>
              <w:rPr>
                <w:rFonts w:ascii="Arial" w:cs="Arial" w:eastAsia="Arial" w:hAnsi="Arial"/>
                <w:sz w:val="16"/>
                <w:szCs w:val="16"/>
                <w:b w:val="1"/>
                <w:bCs w:val="1"/>
                <w:color w:val="auto"/>
              </w:rPr>
              <w:t>Incentives</w:t>
            </w: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stockholders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unvested equity holdings, level of position, skills and</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2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Align with long-term business strategy</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performance of the executive</w:t>
            </w:r>
          </w:p>
        </w:tc>
        <w:tc>
          <w:tcPr>
            <w:tcW w:w="0" w:type="dxa"/>
            <w:vAlign w:val="bottom"/>
          </w:tcPr>
          <w:p>
            <w:pPr>
              <w:spacing w:after="0"/>
              <w:rPr>
                <w:sz w:val="1"/>
                <w:szCs w:val="1"/>
                <w:color w:val="auto"/>
              </w:rPr>
            </w:pPr>
          </w:p>
        </w:tc>
      </w:tr>
      <w:tr>
        <w:trPr>
          <w:trHeight w:val="234"/>
        </w:trPr>
        <w:tc>
          <w:tcPr>
            <w:tcW w:w="1660" w:type="dxa"/>
            <w:vAlign w:val="bottom"/>
            <w:shd w:val="clear" w:color="auto" w:fill="DBE5F1"/>
          </w:tcPr>
          <w:p>
            <w:pPr>
              <w:spacing w:after="0"/>
              <w:rPr>
                <w:sz w:val="20"/>
                <w:szCs w:val="20"/>
                <w:color w:val="auto"/>
              </w:rPr>
            </w:pPr>
          </w:p>
        </w:tc>
        <w:tc>
          <w:tcPr>
            <w:tcW w:w="43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Retain executive talent through multi-year vesting</w:t>
            </w:r>
          </w:p>
        </w:tc>
        <w:tc>
          <w:tcPr>
            <w:tcW w:w="524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For 2025, awards were issued 50% in the form of RSUs that</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schedules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vest over three years and 50% in the form of PSUs that have a</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200"/>
              <w:spacing w:after="0" w:line="202" w:lineRule="exact"/>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Motivate sustainable performance that creates long-</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three-year time-vesting period and are earned, if at all, based on</w:t>
            </w:r>
          </w:p>
        </w:tc>
        <w:tc>
          <w:tcPr>
            <w:tcW w:w="0" w:type="dxa"/>
            <w:vAlign w:val="bottom"/>
          </w:tcPr>
          <w:p>
            <w:pPr>
              <w:spacing w:after="0"/>
              <w:rPr>
                <w:sz w:val="1"/>
                <w:szCs w:val="1"/>
                <w:color w:val="auto"/>
              </w:rPr>
            </w:pPr>
          </w:p>
        </w:tc>
      </w:tr>
      <w:tr>
        <w:trPr>
          <w:trHeight w:val="203"/>
        </w:trPr>
        <w:tc>
          <w:tcPr>
            <w:tcW w:w="1660" w:type="dxa"/>
            <w:vAlign w:val="bottom"/>
            <w:shd w:val="clear" w:color="auto" w:fill="DBE5F1"/>
          </w:tcPr>
          <w:p>
            <w:pPr>
              <w:spacing w:after="0"/>
              <w:rPr>
                <w:sz w:val="17"/>
                <w:szCs w:val="17"/>
                <w:color w:val="auto"/>
              </w:rPr>
            </w:pPr>
          </w:p>
        </w:tc>
        <w:tc>
          <w:tcPr>
            <w:tcW w:w="4340" w:type="dxa"/>
            <w:vAlign w:val="bottom"/>
            <w:shd w:val="clear" w:color="auto" w:fill="DBE5F1"/>
          </w:tcPr>
          <w:p>
            <w:pPr>
              <w:ind w:left="460"/>
              <w:spacing w:after="0"/>
              <w:rPr>
                <w:sz w:val="20"/>
                <w:szCs w:val="20"/>
                <w:color w:val="auto"/>
              </w:rPr>
            </w:pPr>
            <w:r>
              <w:rPr>
                <w:rFonts w:ascii="Arial" w:cs="Arial" w:eastAsia="Arial" w:hAnsi="Arial"/>
                <w:sz w:val="16"/>
                <w:szCs w:val="16"/>
                <w:color w:val="auto"/>
              </w:rPr>
              <w:t>term value for stockholders</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achievement of the following metrics for the third year (i.e., fiscal</w:t>
            </w:r>
          </w:p>
        </w:tc>
        <w:tc>
          <w:tcPr>
            <w:tcW w:w="0" w:type="dxa"/>
            <w:vAlign w:val="bottom"/>
          </w:tcPr>
          <w:p>
            <w:pPr>
              <w:spacing w:after="0"/>
              <w:rPr>
                <w:sz w:val="1"/>
                <w:szCs w:val="1"/>
                <w:color w:val="auto"/>
              </w:rPr>
            </w:pPr>
          </w:p>
        </w:tc>
      </w:tr>
      <w:tr>
        <w:trPr>
          <w:trHeight w:val="216"/>
        </w:trPr>
        <w:tc>
          <w:tcPr>
            <w:tcW w:w="1660" w:type="dxa"/>
            <w:vAlign w:val="bottom"/>
            <w:shd w:val="clear" w:color="auto" w:fill="DBE5F1"/>
          </w:tcPr>
          <w:p>
            <w:pPr>
              <w:spacing w:after="0"/>
              <w:rPr>
                <w:sz w:val="18"/>
                <w:szCs w:val="18"/>
                <w:color w:val="auto"/>
              </w:rPr>
            </w:pPr>
          </w:p>
        </w:tc>
        <w:tc>
          <w:tcPr>
            <w:tcW w:w="43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Foster our purpose and values to build teams that</w:t>
            </w:r>
          </w:p>
        </w:tc>
        <w:tc>
          <w:tcPr>
            <w:tcW w:w="5240" w:type="dxa"/>
            <w:vAlign w:val="bottom"/>
            <w:gridSpan w:val="2"/>
            <w:shd w:val="clear" w:color="auto" w:fill="DBE5F1"/>
          </w:tcPr>
          <w:p>
            <w:pPr>
              <w:ind w:left="480"/>
              <w:spacing w:after="0"/>
              <w:rPr>
                <w:sz w:val="20"/>
                <w:szCs w:val="20"/>
                <w:color w:val="auto"/>
              </w:rPr>
            </w:pPr>
            <w:r>
              <w:rPr>
                <w:rFonts w:ascii="Arial" w:cs="Arial" w:eastAsia="Arial" w:hAnsi="Arial"/>
                <w:sz w:val="16"/>
                <w:szCs w:val="16"/>
                <w:color w:val="auto"/>
              </w:rPr>
              <w:t>year 2027):</w:t>
            </w:r>
          </w:p>
        </w:tc>
        <w:tc>
          <w:tcPr>
            <w:tcW w:w="0" w:type="dxa"/>
            <w:vAlign w:val="bottom"/>
          </w:tcPr>
          <w:p>
            <w:pPr>
              <w:spacing w:after="0"/>
              <w:rPr>
                <w:sz w:val="1"/>
                <w:szCs w:val="1"/>
                <w:color w:val="auto"/>
              </w:rPr>
            </w:pPr>
          </w:p>
        </w:tc>
      </w:tr>
      <w:tr>
        <w:trPr>
          <w:trHeight w:val="175"/>
        </w:trPr>
        <w:tc>
          <w:tcPr>
            <w:tcW w:w="1660" w:type="dxa"/>
            <w:vAlign w:val="bottom"/>
            <w:shd w:val="clear" w:color="auto" w:fill="DBE5F1"/>
          </w:tcPr>
          <w:p>
            <w:pPr>
              <w:spacing w:after="0"/>
              <w:rPr>
                <w:sz w:val="15"/>
                <w:szCs w:val="15"/>
                <w:color w:val="auto"/>
              </w:rPr>
            </w:pPr>
          </w:p>
        </w:tc>
        <w:tc>
          <w:tcPr>
            <w:tcW w:w="4340" w:type="dxa"/>
            <w:vAlign w:val="bottom"/>
            <w:vMerge w:val="restart"/>
            <w:shd w:val="clear" w:color="auto" w:fill="DBE5F1"/>
          </w:tcPr>
          <w:p>
            <w:pPr>
              <w:ind w:left="460"/>
              <w:spacing w:after="0"/>
              <w:rPr>
                <w:sz w:val="20"/>
                <w:szCs w:val="20"/>
                <w:color w:val="auto"/>
              </w:rPr>
            </w:pPr>
            <w:r>
              <w:rPr>
                <w:rFonts w:ascii="Arial" w:cs="Arial" w:eastAsia="Arial" w:hAnsi="Arial"/>
                <w:sz w:val="16"/>
                <w:szCs w:val="16"/>
                <w:color w:val="auto"/>
              </w:rPr>
              <w:t>think and act like owners</w:t>
            </w:r>
          </w:p>
        </w:tc>
        <w:tc>
          <w:tcPr>
            <w:tcW w:w="880" w:type="dxa"/>
            <w:vAlign w:val="bottom"/>
            <w:shd w:val="clear" w:color="auto" w:fill="DBE5F1"/>
          </w:tcPr>
          <w:p>
            <w:pPr>
              <w:ind w:left="500"/>
              <w:spacing w:after="0" w:line="175" w:lineRule="exact"/>
              <w:rPr>
                <w:sz w:val="20"/>
                <w:szCs w:val="20"/>
                <w:color w:val="auto"/>
              </w:rPr>
            </w:pPr>
            <w:r>
              <w:rPr>
                <w:rFonts w:ascii="Arial" w:cs="Arial" w:eastAsia="Arial" w:hAnsi="Arial"/>
                <w:sz w:val="16"/>
                <w:szCs w:val="16"/>
                <w:color w:val="auto"/>
              </w:rPr>
              <w:t>o</w:t>
            </w:r>
          </w:p>
        </w:tc>
        <w:tc>
          <w:tcPr>
            <w:tcW w:w="4360" w:type="dxa"/>
            <w:vAlign w:val="bottom"/>
            <w:shd w:val="clear" w:color="auto" w:fill="DBE5F1"/>
          </w:tcPr>
          <w:p>
            <w:pPr>
              <w:ind w:left="20"/>
              <w:spacing w:after="0" w:line="175"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80"/>
        </w:trPr>
        <w:tc>
          <w:tcPr>
            <w:tcW w:w="1660" w:type="dxa"/>
            <w:vAlign w:val="bottom"/>
            <w:shd w:val="clear" w:color="auto" w:fill="DBE5F1"/>
          </w:tcPr>
          <w:p>
            <w:pPr>
              <w:spacing w:after="0"/>
              <w:rPr>
                <w:sz w:val="6"/>
                <w:szCs w:val="6"/>
                <w:color w:val="auto"/>
              </w:rPr>
            </w:pPr>
          </w:p>
        </w:tc>
        <w:tc>
          <w:tcPr>
            <w:tcW w:w="4340" w:type="dxa"/>
            <w:vAlign w:val="bottom"/>
            <w:vMerge w:val="continue"/>
            <w:shd w:val="clear" w:color="auto" w:fill="DBE5F1"/>
          </w:tcPr>
          <w:p>
            <w:pPr>
              <w:spacing w:after="0"/>
              <w:rPr>
                <w:sz w:val="6"/>
                <w:szCs w:val="6"/>
                <w:color w:val="auto"/>
              </w:rPr>
            </w:pPr>
          </w:p>
        </w:tc>
        <w:tc>
          <w:tcPr>
            <w:tcW w:w="880" w:type="dxa"/>
            <w:vAlign w:val="bottom"/>
            <w:vMerge w:val="restart"/>
            <w:shd w:val="clear" w:color="auto" w:fill="DBE5F1"/>
          </w:tcPr>
          <w:p>
            <w:pPr>
              <w:ind w:left="500"/>
              <w:spacing w:after="0"/>
              <w:rPr>
                <w:sz w:val="20"/>
                <w:szCs w:val="20"/>
                <w:color w:val="auto"/>
              </w:rPr>
            </w:pPr>
            <w:r>
              <w:rPr>
                <w:rFonts w:ascii="Arial" w:cs="Arial" w:eastAsia="Arial" w:hAnsi="Arial"/>
                <w:sz w:val="16"/>
                <w:szCs w:val="16"/>
                <w:color w:val="auto"/>
              </w:rPr>
              <w:t>o</w:t>
            </w:r>
          </w:p>
        </w:tc>
        <w:tc>
          <w:tcPr>
            <w:tcW w:w="4360" w:type="dxa"/>
            <w:vAlign w:val="bottom"/>
            <w:vMerge w:val="restart"/>
            <w:shd w:val="clear" w:color="auto" w:fill="DBE5F1"/>
          </w:tcPr>
          <w:p>
            <w:pPr>
              <w:ind w:left="20"/>
              <w:spacing w:after="0"/>
              <w:rPr>
                <w:sz w:val="20"/>
                <w:szCs w:val="20"/>
                <w:color w:val="auto"/>
              </w:rPr>
            </w:pPr>
            <w:r>
              <w:rPr>
                <w:rFonts w:ascii="Arial" w:cs="Arial" w:eastAsia="Arial" w:hAnsi="Arial"/>
                <w:sz w:val="16"/>
                <w:szCs w:val="16"/>
                <w:color w:val="auto"/>
              </w:rPr>
              <w:t>Adjusted EBITDA</w:t>
            </w:r>
          </w:p>
        </w:tc>
        <w:tc>
          <w:tcPr>
            <w:tcW w:w="0" w:type="dxa"/>
            <w:vAlign w:val="bottom"/>
          </w:tcPr>
          <w:p>
            <w:pPr>
              <w:spacing w:after="0"/>
              <w:rPr>
                <w:sz w:val="1"/>
                <w:szCs w:val="1"/>
                <w:color w:val="auto"/>
              </w:rPr>
            </w:pPr>
          </w:p>
        </w:tc>
      </w:tr>
      <w:tr>
        <w:trPr>
          <w:trHeight w:val="144"/>
        </w:trPr>
        <w:tc>
          <w:tcPr>
            <w:tcW w:w="1660" w:type="dxa"/>
            <w:vAlign w:val="bottom"/>
            <w:tcBorders>
              <w:bottom w:val="single" w:sz="8" w:color="DBE5F1"/>
            </w:tcBorders>
            <w:shd w:val="clear" w:color="auto" w:fill="DBE5F1"/>
          </w:tcPr>
          <w:p>
            <w:pPr>
              <w:spacing w:after="0"/>
              <w:rPr>
                <w:sz w:val="12"/>
                <w:szCs w:val="12"/>
                <w:color w:val="auto"/>
              </w:rPr>
            </w:pPr>
          </w:p>
        </w:tc>
        <w:tc>
          <w:tcPr>
            <w:tcW w:w="4340" w:type="dxa"/>
            <w:vAlign w:val="bottom"/>
            <w:tcBorders>
              <w:bottom w:val="single" w:sz="8" w:color="DBE5F1"/>
            </w:tcBorders>
            <w:shd w:val="clear" w:color="auto" w:fill="DBE5F1"/>
          </w:tcPr>
          <w:p>
            <w:pPr>
              <w:spacing w:after="0"/>
              <w:rPr>
                <w:sz w:val="12"/>
                <w:szCs w:val="12"/>
                <w:color w:val="auto"/>
              </w:rPr>
            </w:pPr>
          </w:p>
        </w:tc>
        <w:tc>
          <w:tcPr>
            <w:tcW w:w="880" w:type="dxa"/>
            <w:vAlign w:val="bottom"/>
            <w:tcBorders>
              <w:bottom w:val="single" w:sz="8" w:color="DBE5F1"/>
            </w:tcBorders>
            <w:vMerge w:val="continue"/>
            <w:shd w:val="clear" w:color="auto" w:fill="DBE5F1"/>
          </w:tcPr>
          <w:p>
            <w:pPr>
              <w:spacing w:after="0"/>
              <w:rPr>
                <w:sz w:val="12"/>
                <w:szCs w:val="12"/>
                <w:color w:val="auto"/>
              </w:rPr>
            </w:pPr>
          </w:p>
        </w:tc>
        <w:tc>
          <w:tcPr>
            <w:tcW w:w="4360" w:type="dxa"/>
            <w:vAlign w:val="bottom"/>
            <w:tcBorders>
              <w:bottom w:val="single" w:sz="8" w:color="DBE5F1"/>
            </w:tcBorders>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95B3D7"/>
          </w:tcPr>
          <w:p>
            <w:pPr>
              <w:spacing w:after="0" w:line="20" w:lineRule="exact"/>
              <w:rPr>
                <w:sz w:val="1"/>
                <w:szCs w:val="1"/>
                <w:color w:val="auto"/>
              </w:rPr>
            </w:pPr>
          </w:p>
        </w:tc>
        <w:tc>
          <w:tcPr>
            <w:tcW w:w="4340" w:type="dxa"/>
            <w:vAlign w:val="bottom"/>
            <w:shd w:val="clear" w:color="auto" w:fill="95B3D7"/>
          </w:tcPr>
          <w:p>
            <w:pPr>
              <w:spacing w:after="0" w:line="20" w:lineRule="exact"/>
              <w:rPr>
                <w:sz w:val="1"/>
                <w:szCs w:val="1"/>
                <w:color w:val="auto"/>
              </w:rPr>
            </w:pPr>
          </w:p>
        </w:tc>
        <w:tc>
          <w:tcPr>
            <w:tcW w:w="880" w:type="dxa"/>
            <w:vAlign w:val="bottom"/>
            <w:shd w:val="clear" w:color="auto" w:fill="95B3D7"/>
          </w:tcPr>
          <w:p>
            <w:pPr>
              <w:spacing w:after="0" w:line="20" w:lineRule="exact"/>
              <w:rPr>
                <w:sz w:val="1"/>
                <w:szCs w:val="1"/>
                <w:color w:val="auto"/>
              </w:rPr>
            </w:pPr>
          </w:p>
        </w:tc>
        <w:tc>
          <w:tcPr>
            <w:tcW w:w="436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-3925570</wp:posOffset>
            </wp:positionV>
            <wp:extent cx="574040" cy="5746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4040" cy="5746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-2999740</wp:posOffset>
            </wp:positionV>
            <wp:extent cx="574040" cy="5740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4040" cy="5740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-1071245</wp:posOffset>
            </wp:positionV>
            <wp:extent cx="574040" cy="5740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404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3"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For fiscal 2025, using the base salaries, the target annual incentive plan awards as of the end of the year and the March 2025 Equity Awards, the vast majority of executive compensation was variable (91.9% for our CEO as illustrated below and an average of 78.5% for our other NEOs). The following charts do not include compensation paid to Messrs. Freeman and Head, as each served for only a portion of 2025. For more information, please see “</w:t>
      </w:r>
      <w:r>
        <w:rPr>
          <w:rFonts w:ascii="Arial" w:cs="Arial" w:eastAsia="Arial" w:hAnsi="Arial"/>
          <w:sz w:val="18"/>
          <w:szCs w:val="18"/>
          <w:i w:val="1"/>
          <w:iCs w:val="1"/>
          <w:color w:val="auto"/>
        </w:rPr>
        <w:t>—2025 Executive Compensation Program in Detail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123825</wp:posOffset>
            </wp:positionV>
            <wp:extent cx="3454400" cy="19970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5440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Compensation Decision-Making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172085</wp:posOffset>
            </wp:positionV>
            <wp:extent cx="5426075" cy="13716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26075" cy="137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The Role of the Compensation Committee</w:t>
      </w:r>
    </w:p>
    <w:p>
      <w:pPr>
        <w:spacing w:after="0" w:line="18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Compensation Committee oversees the executive compensation program for our NEOs. The committee is composed solely of independent members of the Board. The Committee works closely with its independent compensation consultant and management to examine the effectiveness of the Company’s executive compensation program throughout the year. Details of the Compensation Committee’s authority and responsibilities are specified in its charter, which may be accessed on the investor relations section of our corporate website at https://ir.alignmenthealth.com/. The committee makes all final compensation decisions and equity award recommendations regarding our NEOs.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The Role of Management</w:t>
      </w:r>
    </w:p>
    <w:p>
      <w:pPr>
        <w:spacing w:after="0" w:line="19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Members of our management team attend regular meetings where executive compensation, corporate and individual performance, and competitive compensation levels and practices are discussed and evaluated; however, they are not present in the board room for, nor do they participate in, discussions about their own pay. Only the Compensation Committee members are allowed to vote on decisions regarding NEO compensation. The CEO reviews his recommendations pertaining to other executives' pay with the Committee providing transparency and oversight. Decisions on non-executive officer pay are made by the CEO in collaboration with the executive officers who manage such</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8" w:name="page49"/>
    <w:bookmarkEnd w:id="48"/>
    <w:p>
      <w:pPr>
        <w:ind w:right="660"/>
        <w:spacing w:after="0" w:line="287" w:lineRule="auto"/>
        <w:rPr>
          <w:sz w:val="20"/>
          <w:szCs w:val="20"/>
          <w:color w:val="auto"/>
        </w:rPr>
      </w:pPr>
      <w:r>
        <w:rPr>
          <w:rFonts w:ascii="Arial" w:cs="Arial" w:eastAsia="Arial" w:hAnsi="Arial"/>
          <w:sz w:val="18"/>
          <w:szCs w:val="18"/>
          <w:color w:val="auto"/>
        </w:rPr>
        <w:t>employees. The CEO does not participate in the deliberations of the Compensation Committee regarding his own compensation. The Compensation Committee makes all final determinations regarding CEO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The Role of the Independent Consultant</w:t>
      </w:r>
    </w:p>
    <w:p>
      <w:pPr>
        <w:spacing w:after="0" w:line="196"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The Compensation Committee engages an independent compensation consultant to provide expertise on competitive pay practices, program design, and an objective assessment of any inherent risks of any programs. In 2024, pursuant to authority granted to it under its charter, the Compensation Committee engaged FW Cook as its independent consultant. FW Cook reports directly to the Compensation Committee and does not provide any additional services to management. The Compensation Committee has conducted an independence assessment of FW Cook in accordance with Nasdaq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The Role of Peer Group Companies</w:t>
      </w:r>
    </w:p>
    <w:p>
      <w:pPr>
        <w:spacing w:after="0" w:line="22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Compensation Committee strives to set a competitive level of total compensation for each NEO as compared with executive officers in similar positions at peer companies. For purposes of setting 2025 compensation levels, in conjunction with the recommendation of FW Cook, its independent compensation consultant, the Compensation Committee considered publicly available data for a group of peer companies (the “2025 Compensation Peer Group”) listed below, along with industry specific survey data, where appropriate. In choosing companies for our proxy peer group, the Compensation Committee focused primarily on industry, talent market and revenue size. Revenue is a commonly used proxy for organizational size and complexity and is typically stable from year-to-year, making it a valuable metric when selecting peers for executive compensation purposes. As part of its decision process, the committee also referenced other metrics for informational purposes, including comparative market capitalization and profitability metrics. Following its annual review, the committee selected the executive compensation peer group for its 2025-26 compensation cycle as follows:</w:t>
      </w:r>
    </w:p>
    <w:p>
      <w:pPr>
        <w:spacing w:after="0" w:line="166" w:lineRule="exact"/>
        <w:rPr>
          <w:sz w:val="20"/>
          <w:szCs w:val="20"/>
          <w:color w:val="auto"/>
        </w:rPr>
      </w:pPr>
    </w:p>
    <w:tbl>
      <w:tblPr>
        <w:tblLayout w:type="fixed"/>
        <w:tblInd w:w="2800" w:type="dxa"/>
        <w:tblCellMar>
          <w:top w:w="0" w:type="dxa"/>
          <w:left w:w="0" w:type="dxa"/>
          <w:bottom w:w="0" w:type="dxa"/>
          <w:right w:w="0" w:type="dxa"/>
        </w:tblCellMar>
      </w:tblPr>
      <w:tr>
        <w:trPr>
          <w:trHeight w:val="228"/>
        </w:trPr>
        <w:tc>
          <w:tcPr>
            <w:tcW w:w="2600" w:type="dxa"/>
            <w:vAlign w:val="bottom"/>
            <w:tcBorders>
              <w:top w:val="single" w:sz="8" w:color="8EAADB"/>
            </w:tcBorders>
          </w:tcPr>
          <w:p>
            <w:pPr>
              <w:ind w:left="20"/>
              <w:spacing w:after="0"/>
              <w:rPr>
                <w:sz w:val="20"/>
                <w:szCs w:val="20"/>
                <w:color w:val="auto"/>
              </w:rPr>
            </w:pPr>
            <w:r>
              <w:rPr>
                <w:rFonts w:ascii="Arial" w:cs="Arial" w:eastAsia="Arial" w:hAnsi="Arial"/>
                <w:sz w:val="16"/>
                <w:szCs w:val="16"/>
                <w:color w:val="auto"/>
              </w:rPr>
              <w:t>AdaptHealth Corp.</w:t>
            </w:r>
          </w:p>
        </w:tc>
        <w:tc>
          <w:tcPr>
            <w:tcW w:w="3040" w:type="dxa"/>
            <w:vAlign w:val="bottom"/>
            <w:tcBorders>
              <w:top w:val="single" w:sz="8" w:color="8EAADB"/>
            </w:tcBorders>
          </w:tcPr>
          <w:p>
            <w:pPr>
              <w:ind w:left="240"/>
              <w:spacing w:after="0"/>
              <w:rPr>
                <w:sz w:val="20"/>
                <w:szCs w:val="20"/>
                <w:color w:val="auto"/>
              </w:rPr>
            </w:pPr>
            <w:r>
              <w:rPr>
                <w:rFonts w:ascii="Arial" w:cs="Arial" w:eastAsia="Arial" w:hAnsi="Arial"/>
                <w:sz w:val="16"/>
                <w:szCs w:val="16"/>
                <w:color w:val="auto"/>
              </w:rPr>
              <w:t>Option Care Health, Inc.</w:t>
            </w:r>
          </w:p>
        </w:tc>
      </w:tr>
      <w:tr>
        <w:trPr>
          <w:trHeight w:val="28"/>
        </w:trPr>
        <w:tc>
          <w:tcPr>
            <w:tcW w:w="2600" w:type="dxa"/>
            <w:vAlign w:val="bottom"/>
            <w:tcBorders>
              <w:bottom w:val="single" w:sz="8" w:color="8EAADB"/>
            </w:tcBorders>
          </w:tcPr>
          <w:p>
            <w:pPr>
              <w:spacing w:after="0"/>
              <w:rPr>
                <w:sz w:val="2"/>
                <w:szCs w:val="2"/>
                <w:color w:val="auto"/>
              </w:rPr>
            </w:pPr>
          </w:p>
        </w:tc>
        <w:tc>
          <w:tcPr>
            <w:tcW w:w="3040" w:type="dxa"/>
            <w:vAlign w:val="bottom"/>
            <w:tcBorders>
              <w:bottom w:val="single" w:sz="8" w:color="8EAADB"/>
            </w:tcBorders>
          </w:tcPr>
          <w:p>
            <w:pPr>
              <w:spacing w:after="0"/>
              <w:rPr>
                <w:sz w:val="2"/>
                <w:szCs w:val="2"/>
                <w:color w:val="auto"/>
              </w:rPr>
            </w:pPr>
          </w:p>
        </w:tc>
      </w:tr>
      <w:tr>
        <w:trPr>
          <w:trHeight w:val="242"/>
        </w:trPr>
        <w:tc>
          <w:tcPr>
            <w:tcW w:w="260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agilon health, inc.</w:t>
            </w:r>
          </w:p>
        </w:tc>
        <w:tc>
          <w:tcPr>
            <w:tcW w:w="30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Oscar Health, Inc.</w:t>
            </w:r>
          </w:p>
        </w:tc>
      </w:tr>
      <w:tr>
        <w:trPr>
          <w:trHeight w:val="208"/>
        </w:trPr>
        <w:tc>
          <w:tcPr>
            <w:tcW w:w="2600" w:type="dxa"/>
            <w:vAlign w:val="bottom"/>
            <w:tcBorders>
              <w:top w:val="single" w:sz="8" w:color="8EAADB"/>
            </w:tcBorders>
          </w:tcPr>
          <w:p>
            <w:pPr>
              <w:ind w:left="20"/>
              <w:spacing w:after="0"/>
              <w:rPr>
                <w:sz w:val="20"/>
                <w:szCs w:val="20"/>
                <w:color w:val="auto"/>
              </w:rPr>
            </w:pPr>
            <w:r>
              <w:rPr>
                <w:rFonts w:ascii="Arial" w:cs="Arial" w:eastAsia="Arial" w:hAnsi="Arial"/>
                <w:sz w:val="16"/>
                <w:szCs w:val="16"/>
                <w:color w:val="auto"/>
              </w:rPr>
              <w:t>Astrana Health, Inc.</w:t>
            </w:r>
          </w:p>
        </w:tc>
        <w:tc>
          <w:tcPr>
            <w:tcW w:w="3040" w:type="dxa"/>
            <w:vAlign w:val="bottom"/>
            <w:tcBorders>
              <w:top w:val="single" w:sz="8" w:color="8EAADB"/>
            </w:tcBorders>
          </w:tcPr>
          <w:p>
            <w:pPr>
              <w:ind w:left="240"/>
              <w:spacing w:after="0"/>
              <w:rPr>
                <w:sz w:val="20"/>
                <w:szCs w:val="20"/>
                <w:color w:val="auto"/>
              </w:rPr>
            </w:pPr>
            <w:r>
              <w:rPr>
                <w:rFonts w:ascii="Arial" w:cs="Arial" w:eastAsia="Arial" w:hAnsi="Arial"/>
                <w:sz w:val="16"/>
                <w:szCs w:val="16"/>
                <w:color w:val="auto"/>
              </w:rPr>
              <w:t>Pediatrix Medical Group, Inc.</w:t>
            </w:r>
          </w:p>
        </w:tc>
      </w:tr>
      <w:tr>
        <w:trPr>
          <w:trHeight w:val="28"/>
        </w:trPr>
        <w:tc>
          <w:tcPr>
            <w:tcW w:w="2600" w:type="dxa"/>
            <w:vAlign w:val="bottom"/>
            <w:tcBorders>
              <w:bottom w:val="single" w:sz="8" w:color="8EAADB"/>
            </w:tcBorders>
          </w:tcPr>
          <w:p>
            <w:pPr>
              <w:spacing w:after="0"/>
              <w:rPr>
                <w:sz w:val="2"/>
                <w:szCs w:val="2"/>
                <w:color w:val="auto"/>
              </w:rPr>
            </w:pPr>
          </w:p>
        </w:tc>
        <w:tc>
          <w:tcPr>
            <w:tcW w:w="3040" w:type="dxa"/>
            <w:vAlign w:val="bottom"/>
            <w:tcBorders>
              <w:bottom w:val="single" w:sz="8" w:color="8EAADB"/>
            </w:tcBorders>
          </w:tcPr>
          <w:p>
            <w:pPr>
              <w:spacing w:after="0"/>
              <w:rPr>
                <w:sz w:val="2"/>
                <w:szCs w:val="2"/>
                <w:color w:val="auto"/>
              </w:rPr>
            </w:pPr>
          </w:p>
        </w:tc>
      </w:tr>
      <w:tr>
        <w:trPr>
          <w:trHeight w:val="242"/>
        </w:trPr>
        <w:tc>
          <w:tcPr>
            <w:tcW w:w="260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Bausch &amp; Lomb Corp.</w:t>
            </w:r>
          </w:p>
        </w:tc>
        <w:tc>
          <w:tcPr>
            <w:tcW w:w="30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Privia Health Group, Inc.</w:t>
            </w:r>
          </w:p>
        </w:tc>
      </w:tr>
      <w:tr>
        <w:trPr>
          <w:trHeight w:val="208"/>
        </w:trPr>
        <w:tc>
          <w:tcPr>
            <w:tcW w:w="2600" w:type="dxa"/>
            <w:vAlign w:val="bottom"/>
            <w:tcBorders>
              <w:top w:val="single" w:sz="8" w:color="8EAADB"/>
            </w:tcBorders>
          </w:tcPr>
          <w:p>
            <w:pPr>
              <w:ind w:left="20"/>
              <w:spacing w:after="0"/>
              <w:rPr>
                <w:sz w:val="20"/>
                <w:szCs w:val="20"/>
                <w:color w:val="auto"/>
              </w:rPr>
            </w:pPr>
            <w:r>
              <w:rPr>
                <w:rFonts w:ascii="Arial" w:cs="Arial" w:eastAsia="Arial" w:hAnsi="Arial"/>
                <w:sz w:val="16"/>
                <w:szCs w:val="16"/>
                <w:color w:val="auto"/>
              </w:rPr>
              <w:t>Clover Health Investments Corp.</w:t>
            </w:r>
          </w:p>
        </w:tc>
        <w:tc>
          <w:tcPr>
            <w:tcW w:w="3040" w:type="dxa"/>
            <w:vAlign w:val="bottom"/>
            <w:tcBorders>
              <w:top w:val="single" w:sz="8" w:color="8EAADB"/>
            </w:tcBorders>
          </w:tcPr>
          <w:p>
            <w:pPr>
              <w:ind w:left="240"/>
              <w:spacing w:after="0"/>
              <w:rPr>
                <w:sz w:val="20"/>
                <w:szCs w:val="20"/>
                <w:color w:val="auto"/>
              </w:rPr>
            </w:pPr>
            <w:r>
              <w:rPr>
                <w:rFonts w:ascii="Arial" w:cs="Arial" w:eastAsia="Arial" w:hAnsi="Arial"/>
                <w:sz w:val="16"/>
                <w:szCs w:val="16"/>
                <w:color w:val="auto"/>
              </w:rPr>
              <w:t>Quest Diagnostics Inc.</w:t>
            </w:r>
          </w:p>
        </w:tc>
      </w:tr>
      <w:tr>
        <w:trPr>
          <w:trHeight w:val="28"/>
        </w:trPr>
        <w:tc>
          <w:tcPr>
            <w:tcW w:w="2600" w:type="dxa"/>
            <w:vAlign w:val="bottom"/>
            <w:tcBorders>
              <w:bottom w:val="single" w:sz="8" w:color="8EAADB"/>
            </w:tcBorders>
          </w:tcPr>
          <w:p>
            <w:pPr>
              <w:spacing w:after="0"/>
              <w:rPr>
                <w:sz w:val="2"/>
                <w:szCs w:val="2"/>
                <w:color w:val="auto"/>
              </w:rPr>
            </w:pPr>
          </w:p>
        </w:tc>
        <w:tc>
          <w:tcPr>
            <w:tcW w:w="3040" w:type="dxa"/>
            <w:vAlign w:val="bottom"/>
            <w:tcBorders>
              <w:bottom w:val="single" w:sz="8" w:color="8EAADB"/>
            </w:tcBorders>
          </w:tcPr>
          <w:p>
            <w:pPr>
              <w:spacing w:after="0"/>
              <w:rPr>
                <w:sz w:val="2"/>
                <w:szCs w:val="2"/>
                <w:color w:val="auto"/>
              </w:rPr>
            </w:pPr>
          </w:p>
        </w:tc>
      </w:tr>
      <w:tr>
        <w:trPr>
          <w:trHeight w:val="242"/>
        </w:trPr>
        <w:tc>
          <w:tcPr>
            <w:tcW w:w="260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DaVita Inc.</w:t>
            </w:r>
          </w:p>
        </w:tc>
        <w:tc>
          <w:tcPr>
            <w:tcW w:w="30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RadNet, Inc.</w:t>
            </w:r>
          </w:p>
        </w:tc>
      </w:tr>
      <w:tr>
        <w:trPr>
          <w:trHeight w:val="208"/>
        </w:trPr>
        <w:tc>
          <w:tcPr>
            <w:tcW w:w="2600" w:type="dxa"/>
            <w:vAlign w:val="bottom"/>
            <w:tcBorders>
              <w:top w:val="single" w:sz="8" w:color="8EAADB"/>
            </w:tcBorders>
          </w:tcPr>
          <w:p>
            <w:pPr>
              <w:ind w:left="20"/>
              <w:spacing w:after="0"/>
              <w:rPr>
                <w:sz w:val="20"/>
                <w:szCs w:val="20"/>
                <w:color w:val="auto"/>
              </w:rPr>
            </w:pPr>
            <w:r>
              <w:rPr>
                <w:rFonts w:ascii="Arial" w:cs="Arial" w:eastAsia="Arial" w:hAnsi="Arial"/>
                <w:sz w:val="16"/>
                <w:szCs w:val="16"/>
                <w:color w:val="auto"/>
              </w:rPr>
              <w:t>Ensign Group, Inc.</w:t>
            </w:r>
          </w:p>
        </w:tc>
        <w:tc>
          <w:tcPr>
            <w:tcW w:w="3040" w:type="dxa"/>
            <w:vAlign w:val="bottom"/>
            <w:tcBorders>
              <w:top w:val="single" w:sz="8" w:color="8EAADB"/>
            </w:tcBorders>
          </w:tcPr>
          <w:p>
            <w:pPr>
              <w:ind w:left="240"/>
              <w:spacing w:after="0"/>
              <w:rPr>
                <w:sz w:val="20"/>
                <w:szCs w:val="20"/>
                <w:color w:val="auto"/>
              </w:rPr>
            </w:pPr>
            <w:r>
              <w:rPr>
                <w:rFonts w:ascii="Arial" w:cs="Arial" w:eastAsia="Arial" w:hAnsi="Arial"/>
                <w:sz w:val="16"/>
                <w:szCs w:val="16"/>
                <w:color w:val="auto"/>
              </w:rPr>
              <w:t>Select Medical Holdings Corp.</w:t>
            </w:r>
          </w:p>
        </w:tc>
      </w:tr>
      <w:tr>
        <w:trPr>
          <w:trHeight w:val="28"/>
        </w:trPr>
        <w:tc>
          <w:tcPr>
            <w:tcW w:w="2600" w:type="dxa"/>
            <w:vAlign w:val="bottom"/>
            <w:tcBorders>
              <w:bottom w:val="single" w:sz="8" w:color="8EAADB"/>
            </w:tcBorders>
          </w:tcPr>
          <w:p>
            <w:pPr>
              <w:spacing w:after="0"/>
              <w:rPr>
                <w:sz w:val="2"/>
                <w:szCs w:val="2"/>
                <w:color w:val="auto"/>
              </w:rPr>
            </w:pPr>
          </w:p>
        </w:tc>
        <w:tc>
          <w:tcPr>
            <w:tcW w:w="3040" w:type="dxa"/>
            <w:vAlign w:val="bottom"/>
            <w:tcBorders>
              <w:bottom w:val="single" w:sz="8" w:color="8EAADB"/>
            </w:tcBorders>
          </w:tcPr>
          <w:p>
            <w:pPr>
              <w:spacing w:after="0"/>
              <w:rPr>
                <w:sz w:val="2"/>
                <w:szCs w:val="2"/>
                <w:color w:val="auto"/>
              </w:rPr>
            </w:pPr>
          </w:p>
        </w:tc>
      </w:tr>
      <w:tr>
        <w:trPr>
          <w:trHeight w:val="217"/>
        </w:trPr>
        <w:tc>
          <w:tcPr>
            <w:tcW w:w="260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6"/>
                <w:szCs w:val="16"/>
                <w:color w:val="auto"/>
              </w:rPr>
              <w:t>Evolent Health, Inc.</w:t>
            </w:r>
          </w:p>
        </w:tc>
        <w:tc>
          <w:tcPr>
            <w:tcW w:w="3040" w:type="dxa"/>
            <w:vAlign w:val="bottom"/>
            <w:tcBorders>
              <w:bottom w:val="single" w:sz="8" w:color="DBE5F1"/>
            </w:tcBorders>
            <w:shd w:val="clear" w:color="auto" w:fill="DBE5F1"/>
          </w:tcPr>
          <w:p>
            <w:pPr>
              <w:ind w:left="240"/>
              <w:spacing w:after="0"/>
              <w:rPr>
                <w:sz w:val="20"/>
                <w:szCs w:val="20"/>
                <w:color w:val="auto"/>
              </w:rPr>
            </w:pPr>
            <w:r>
              <w:rPr>
                <w:rFonts w:ascii="Arial" w:cs="Arial" w:eastAsia="Arial" w:hAnsi="Arial"/>
                <w:sz w:val="16"/>
                <w:szCs w:val="16"/>
                <w:color w:val="auto"/>
              </w:rPr>
              <w:t>Teladoc Health, Inc.</w:t>
            </w:r>
          </w:p>
        </w:tc>
      </w:tr>
      <w:tr>
        <w:trPr>
          <w:trHeight w:val="20"/>
        </w:trPr>
        <w:tc>
          <w:tcPr>
            <w:tcW w:w="2600" w:type="dxa"/>
            <w:vAlign w:val="bottom"/>
            <w:shd w:val="clear" w:color="auto" w:fill="8EAADB"/>
          </w:tcPr>
          <w:p>
            <w:pPr>
              <w:spacing w:after="0" w:line="20" w:lineRule="exact"/>
              <w:rPr>
                <w:sz w:val="1"/>
                <w:szCs w:val="1"/>
                <w:color w:val="auto"/>
              </w:rPr>
            </w:pPr>
          </w:p>
        </w:tc>
        <w:tc>
          <w:tcPr>
            <w:tcW w:w="3040" w:type="dxa"/>
            <w:vAlign w:val="bottom"/>
            <w:shd w:val="clear" w:color="auto" w:fill="8EAADB"/>
          </w:tcPr>
          <w:p>
            <w:pPr>
              <w:spacing w:after="0" w:line="20" w:lineRule="exact"/>
              <w:rPr>
                <w:sz w:val="1"/>
                <w:szCs w:val="1"/>
                <w:color w:val="auto"/>
              </w:rPr>
            </w:pPr>
          </w:p>
        </w:tc>
      </w:tr>
    </w:tbl>
    <w:p>
      <w:pPr>
        <w:spacing w:after="0" w:line="29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It is important to note that this market data is not the sole determinant in setting pay levels for the NEOs. Actual pay levels can be above or below the targeted levels depending on factors such as experience, individual or company performance, tenure, employee potential, unique skills, criticality of the position to the Company and other factors. In general, the Compensation Committee desires to balance general internal and external equity and reserves the right to use discretion to deviate when necessary to recruit employees and/or retain the right talent.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2025 Executive Compensation Program in Detail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Base Salary</w:t>
      </w:r>
    </w:p>
    <w:p>
      <w:pPr>
        <w:spacing w:after="0" w:line="250" w:lineRule="exact"/>
        <w:rPr>
          <w:sz w:val="20"/>
          <w:szCs w:val="20"/>
          <w:color w:val="auto"/>
        </w:rPr>
      </w:pPr>
    </w:p>
    <w:p>
      <w:pPr>
        <w:ind w:right="20" w:firstLine="405"/>
        <w:spacing w:after="0" w:line="268"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executive leadership talent. In making base salary decisions, the Compensation Committee considers the CEO’s recommendations, as well as each NEO’s position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ind w:right="320"/>
        <w:spacing w:after="0" w:line="262" w:lineRule="auto"/>
        <w:rPr>
          <w:sz w:val="20"/>
          <w:szCs w:val="20"/>
          <w:color w:val="auto"/>
        </w:rPr>
      </w:pPr>
      <w:r>
        <w:rPr>
          <w:rFonts w:ascii="Arial" w:cs="Arial" w:eastAsia="Arial" w:hAnsi="Arial"/>
          <w:sz w:val="18"/>
          <w:szCs w:val="18"/>
          <w:color w:val="auto"/>
        </w:rPr>
        <w:t>level of responsibility within the Company. The Committee considers factors such as competitive market data as well as individual performance, experience, tenure, internal equity and employee potential. In 2025, the Compensation Committee approved a base salary increase for Ms. Maroney, in order to reward outstanding performance and to align her compensation with the market for similar roles and responsibilities. Annual base salary rates for 2025 were as follows:</w:t>
      </w:r>
    </w:p>
    <w:p>
      <w:pPr>
        <w:spacing w:after="0" w:line="227" w:lineRule="exact"/>
        <w:rPr>
          <w:sz w:val="20"/>
          <w:szCs w:val="20"/>
          <w:color w:val="auto"/>
        </w:rPr>
      </w:pPr>
    </w:p>
    <w:tbl>
      <w:tblPr>
        <w:tblLayout w:type="fixed"/>
        <w:tblInd w:w="2000"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1780" w:type="dxa"/>
            <w:vAlign w:val="bottom"/>
          </w:tcPr>
          <w:p>
            <w:pPr>
              <w:ind w:left="440"/>
              <w:spacing w:after="0"/>
              <w:rPr>
                <w:sz w:val="20"/>
                <w:szCs w:val="20"/>
                <w:color w:val="auto"/>
              </w:rPr>
            </w:pPr>
            <w:r>
              <w:rPr>
                <w:rFonts w:ascii="Arial" w:cs="Arial" w:eastAsia="Arial" w:hAnsi="Arial"/>
                <w:sz w:val="16"/>
                <w:szCs w:val="16"/>
                <w:b w:val="1"/>
                <w:bCs w:val="1"/>
                <w:color w:val="auto"/>
              </w:rPr>
              <w:t>Initial 2025</w:t>
            </w: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Adjusted 2025</w:t>
            </w:r>
          </w:p>
        </w:tc>
        <w:tc>
          <w:tcPr>
            <w:tcW w:w="1780" w:type="dxa"/>
            <w:vAlign w:val="bottom"/>
          </w:tcPr>
          <w:p>
            <w:pPr>
              <w:spacing w:after="0"/>
              <w:rPr>
                <w:sz w:val="16"/>
                <w:szCs w:val="16"/>
                <w:color w:val="auto"/>
              </w:rPr>
            </w:pPr>
          </w:p>
        </w:tc>
      </w:tr>
      <w:tr>
        <w:trPr>
          <w:trHeight w:val="256"/>
        </w:trPr>
        <w:tc>
          <w:tcPr>
            <w:tcW w:w="190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Name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Base Salary</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Base Salary</w:t>
            </w:r>
            <w:r>
              <w:rPr>
                <w:rFonts w:ascii="Arial" w:cs="Arial" w:eastAsia="Arial" w:hAnsi="Arial"/>
                <w:sz w:val="21"/>
                <w:szCs w:val="21"/>
                <w:b w:val="1"/>
                <w:bCs w:val="1"/>
                <w:color w:val="auto"/>
                <w:w w:val="96"/>
                <w:vertAlign w:val="superscript"/>
              </w:rPr>
              <w:t>(1)</w:t>
            </w:r>
          </w:p>
        </w:tc>
        <w:tc>
          <w:tcPr>
            <w:tcW w:w="1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Market Adjustment</w:t>
            </w:r>
          </w:p>
        </w:tc>
      </w:tr>
      <w:tr>
        <w:trPr>
          <w:trHeight w:val="237"/>
        </w:trPr>
        <w:tc>
          <w:tcPr>
            <w:tcW w:w="19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John Kao</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$850,000</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$850,000</w:t>
            </w:r>
          </w:p>
        </w:tc>
        <w:tc>
          <w:tcPr>
            <w:tcW w:w="1780" w:type="dxa"/>
            <w:vAlign w:val="bottom"/>
            <w:shd w:val="clear" w:color="auto" w:fill="DBE5F1"/>
          </w:tcPr>
          <w:p>
            <w:pPr>
              <w:jc w:val="right"/>
              <w:ind w:right="719"/>
              <w:spacing w:after="0"/>
              <w:rPr>
                <w:sz w:val="20"/>
                <w:szCs w:val="20"/>
                <w:color w:val="auto"/>
              </w:rPr>
            </w:pPr>
            <w:r>
              <w:rPr>
                <w:rFonts w:ascii="Arial" w:cs="Arial" w:eastAsia="Arial" w:hAnsi="Arial"/>
                <w:sz w:val="16"/>
                <w:szCs w:val="16"/>
                <w:color w:val="auto"/>
              </w:rPr>
              <w:t>—</w:t>
            </w:r>
          </w:p>
        </w:tc>
      </w:tr>
      <w:tr>
        <w:trPr>
          <w:trHeight w:val="255"/>
        </w:trPr>
        <w:tc>
          <w:tcPr>
            <w:tcW w:w="19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Dawn Maroney</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$600,000</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$700,000</w:t>
            </w:r>
          </w:p>
        </w:tc>
        <w:tc>
          <w:tcPr>
            <w:tcW w:w="1780" w:type="dxa"/>
            <w:vAlign w:val="bottom"/>
          </w:tcPr>
          <w:p>
            <w:pPr>
              <w:jc w:val="right"/>
              <w:ind w:right="579"/>
              <w:spacing w:after="0"/>
              <w:rPr>
                <w:sz w:val="20"/>
                <w:szCs w:val="20"/>
                <w:color w:val="auto"/>
              </w:rPr>
            </w:pPr>
            <w:r>
              <w:rPr>
                <w:rFonts w:ascii="Arial" w:cs="Arial" w:eastAsia="Arial" w:hAnsi="Arial"/>
                <w:sz w:val="16"/>
                <w:szCs w:val="16"/>
                <w:color w:val="auto"/>
              </w:rPr>
              <w:t>16.6%</w:t>
            </w:r>
          </w:p>
        </w:tc>
      </w:tr>
      <w:tr>
        <w:trPr>
          <w:trHeight w:val="258"/>
        </w:trPr>
        <w:tc>
          <w:tcPr>
            <w:tcW w:w="19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James M. Head</w:t>
            </w:r>
            <w:r>
              <w:rPr>
                <w:rFonts w:ascii="Arial" w:cs="Arial" w:eastAsia="Arial" w:hAnsi="Arial"/>
                <w:sz w:val="21"/>
                <w:szCs w:val="21"/>
                <w:color w:val="auto"/>
                <w:vertAlign w:val="superscript"/>
              </w:rPr>
              <w:t>(2)</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n/a</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$600,000</w:t>
            </w:r>
          </w:p>
        </w:tc>
        <w:tc>
          <w:tcPr>
            <w:tcW w:w="1780" w:type="dxa"/>
            <w:vAlign w:val="bottom"/>
            <w:shd w:val="clear" w:color="auto" w:fill="DBE5F1"/>
          </w:tcPr>
          <w:p>
            <w:pPr>
              <w:jc w:val="right"/>
              <w:ind w:right="719"/>
              <w:spacing w:after="0"/>
              <w:rPr>
                <w:sz w:val="20"/>
                <w:szCs w:val="20"/>
                <w:color w:val="auto"/>
              </w:rPr>
            </w:pPr>
            <w:r>
              <w:rPr>
                <w:rFonts w:ascii="Arial" w:cs="Arial" w:eastAsia="Arial" w:hAnsi="Arial"/>
                <w:sz w:val="16"/>
                <w:szCs w:val="16"/>
                <w:color w:val="auto"/>
              </w:rPr>
              <w:t>—</w:t>
            </w:r>
          </w:p>
        </w:tc>
      </w:tr>
      <w:tr>
        <w:trPr>
          <w:trHeight w:val="257"/>
        </w:trPr>
        <w:tc>
          <w:tcPr>
            <w:tcW w:w="19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Thomas Freeman</w:t>
            </w:r>
            <w:r>
              <w:rPr>
                <w:rFonts w:ascii="Arial" w:cs="Arial" w:eastAsia="Arial" w:hAnsi="Arial"/>
                <w:sz w:val="21"/>
                <w:szCs w:val="21"/>
                <w:color w:val="auto"/>
                <w:vertAlign w:val="superscript"/>
              </w:rPr>
              <w:t>(2)</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$580,000</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$580,000</w:t>
            </w:r>
          </w:p>
        </w:tc>
        <w:tc>
          <w:tcPr>
            <w:tcW w:w="1780" w:type="dxa"/>
            <w:vAlign w:val="bottom"/>
          </w:tcPr>
          <w:p>
            <w:pPr>
              <w:jc w:val="right"/>
              <w:ind w:right="719"/>
              <w:spacing w:after="0"/>
              <w:rPr>
                <w:sz w:val="20"/>
                <w:szCs w:val="20"/>
                <w:color w:val="auto"/>
              </w:rPr>
            </w:pPr>
            <w:r>
              <w:rPr>
                <w:rFonts w:ascii="Arial" w:cs="Arial" w:eastAsia="Arial" w:hAnsi="Arial"/>
                <w:sz w:val="16"/>
                <w:szCs w:val="16"/>
                <w:color w:val="auto"/>
              </w:rPr>
              <w:t>—</w:t>
            </w:r>
          </w:p>
        </w:tc>
      </w:tr>
      <w:tr>
        <w:trPr>
          <w:trHeight w:val="256"/>
        </w:trPr>
        <w:tc>
          <w:tcPr>
            <w:tcW w:w="19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Hyong (Ken) Kim, M.D.</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$560,000</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$560,000</w:t>
            </w:r>
          </w:p>
        </w:tc>
        <w:tc>
          <w:tcPr>
            <w:tcW w:w="1780" w:type="dxa"/>
            <w:vAlign w:val="bottom"/>
            <w:shd w:val="clear" w:color="auto" w:fill="DBE5F1"/>
          </w:tcPr>
          <w:p>
            <w:pPr>
              <w:jc w:val="right"/>
              <w:ind w:right="719"/>
              <w:spacing w:after="0"/>
              <w:rPr>
                <w:sz w:val="20"/>
                <w:szCs w:val="20"/>
                <w:color w:val="auto"/>
              </w:rPr>
            </w:pPr>
            <w:r>
              <w:rPr>
                <w:rFonts w:ascii="Arial" w:cs="Arial" w:eastAsia="Arial" w:hAnsi="Arial"/>
                <w:sz w:val="16"/>
                <w:szCs w:val="16"/>
                <w:color w:val="auto"/>
              </w:rPr>
              <w:t>—</w:t>
            </w:r>
          </w:p>
        </w:tc>
      </w:tr>
      <w:tr>
        <w:trPr>
          <w:trHeight w:val="256"/>
        </w:trPr>
        <w:tc>
          <w:tcPr>
            <w:tcW w:w="190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Christopher Joyce</w:t>
            </w:r>
          </w:p>
        </w:tc>
        <w:tc>
          <w:tcPr>
            <w:tcW w:w="178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$525,000</w:t>
            </w:r>
          </w:p>
        </w:tc>
        <w:tc>
          <w:tcPr>
            <w:tcW w:w="178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$525,000</w:t>
            </w:r>
          </w:p>
        </w:tc>
        <w:tc>
          <w:tcPr>
            <w:tcW w:w="1780" w:type="dxa"/>
            <w:vAlign w:val="bottom"/>
            <w:tcBorders>
              <w:bottom w:val="single" w:sz="8" w:color="95B3D7"/>
            </w:tcBorders>
          </w:tcPr>
          <w:p>
            <w:pPr>
              <w:jc w:val="right"/>
              <w:ind w:right="719"/>
              <w:spacing w:after="0"/>
              <w:rPr>
                <w:sz w:val="20"/>
                <w:szCs w:val="20"/>
                <w:color w:val="auto"/>
              </w:rPr>
            </w:pPr>
            <w:r>
              <w:rPr>
                <w:rFonts w:ascii="Arial" w:cs="Arial" w:eastAsia="Arial" w:hAnsi="Arial"/>
                <w:sz w:val="16"/>
                <w:szCs w:val="16"/>
                <w:color w:val="auto"/>
              </w:rPr>
              <w:t>—</w:t>
            </w:r>
          </w:p>
        </w:tc>
      </w:tr>
    </w:tbl>
    <w:p>
      <w:pPr>
        <w:spacing w:after="0" w:line="193" w:lineRule="exact"/>
        <w:rPr>
          <w:sz w:val="20"/>
          <w:szCs w:val="20"/>
          <w:color w:val="auto"/>
        </w:rPr>
      </w:pPr>
    </w:p>
    <w:p>
      <w:pPr>
        <w:ind w:left="1320" w:hanging="340"/>
        <w:spacing w:after="0"/>
        <w:tabs>
          <w:tab w:leader="none" w:pos="13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Salary increases were approved in and made effective as of March 2025.</w:t>
      </w:r>
    </w:p>
    <w:p>
      <w:pPr>
        <w:spacing w:after="0" w:line="95" w:lineRule="exact"/>
        <w:rPr>
          <w:rFonts w:ascii="Arial" w:cs="Arial" w:eastAsia="Arial" w:hAnsi="Arial"/>
          <w:sz w:val="14"/>
          <w:szCs w:val="14"/>
          <w:color w:val="auto"/>
        </w:rPr>
      </w:pPr>
    </w:p>
    <w:p>
      <w:pPr>
        <w:ind w:left="1300" w:hanging="320"/>
        <w:spacing w:after="0"/>
        <w:tabs>
          <w:tab w:leader="none" w:pos="1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Mr. Freeman resigned as Chief Financial Officer effective May 2, 2025, at which time Mr. Head was appointed to succeed him as Chief Financial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Annual Incentives</w:t>
      </w:r>
    </w:p>
    <w:p>
      <w:pPr>
        <w:spacing w:after="0" w:line="196"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2025 Annual Incentive Plan provided our NEOs the opportunity to earn a performance-based annual cash bonus. Actual payouts reflect achievement against pre-established corporate performance goals, which represent 100% of the CEO's award and 75% of the award for all other NEOs, with the remaining 25% of each other NEO's award determined by individual and/or departmental performance. Based on results, payouts can range from 0% to 200% of target award amounts. In addition, a modifier (-25% to +35%) is applied to the total bonus payout based on the Company’s CMS Star Ratings (see further description below), subject to the 200% maximum award amount. The modifier ensures a direct and meaningful focus on the quality of care and experience delivered to our members. Target annual bonus opportunities are expressed as a percentage of base salary and were established based on the NEO’s level of responsibility and his or her ability to impact overall results. The Committee also considers market data in setting target award amounts.</w:t>
      </w:r>
    </w:p>
    <w:p>
      <w:pPr>
        <w:spacing w:after="0" w:line="18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Payouts under the 2025 Annual Incentive Plan occur as follows: (i) 75% of each NEO’s total annual incentive payout based on corporate and individual performance was paid in March 2026; and (ii) the remaining 25% of each NEO’s total annual incentive payout is held back and is expected to be paid in the fourth quarter of 2026, subject to achievement of CMS Star Ratings-related performance measures. See “—</w:t>
      </w:r>
      <w:r>
        <w:rPr>
          <w:rFonts w:ascii="Arial" w:cs="Arial" w:eastAsia="Arial" w:hAnsi="Arial"/>
          <w:sz w:val="18"/>
          <w:szCs w:val="18"/>
          <w:i w:val="1"/>
          <w:iCs w:val="1"/>
          <w:color w:val="auto"/>
        </w:rPr>
        <w:t>2025 Annual Incentive Plan Payouts—Adjustment for CMS Star Ratings</w:t>
      </w:r>
      <w:r>
        <w:rPr>
          <w:rFonts w:ascii="Arial" w:cs="Arial" w:eastAsia="Arial" w:hAnsi="Arial"/>
          <w:sz w:val="18"/>
          <w:szCs w:val="18"/>
          <w:color w:val="auto"/>
        </w:rPr>
        <w:t>” below.</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Target bonus opportunities for 2025 for each of the NEOs are summarized in the table below:</w:t>
      </w:r>
    </w:p>
    <w:p>
      <w:pPr>
        <w:spacing w:after="0" w:line="357" w:lineRule="exact"/>
        <w:rPr>
          <w:sz w:val="20"/>
          <w:szCs w:val="20"/>
          <w:color w:val="auto"/>
        </w:rPr>
      </w:pPr>
    </w:p>
    <w:tbl>
      <w:tblPr>
        <w:tblLayout w:type="fixed"/>
        <w:tblInd w:w="200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20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2025 Base Salary Rate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8"/>
              </w:rPr>
              <w:t>Target Bonus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rPr>
              <w:t>2025 Target Bonus</w:t>
            </w:r>
          </w:p>
        </w:tc>
        <w:tc>
          <w:tcPr>
            <w:tcW w:w="0" w:type="dxa"/>
            <w:vAlign w:val="bottom"/>
          </w:tcPr>
          <w:p>
            <w:pPr>
              <w:spacing w:after="0"/>
              <w:rPr>
                <w:sz w:val="1"/>
                <w:szCs w:val="1"/>
                <w:color w:val="auto"/>
              </w:rPr>
            </w:pPr>
          </w:p>
        </w:tc>
      </w:tr>
      <w:tr>
        <w:trPr>
          <w:trHeight w:val="162"/>
        </w:trPr>
        <w:tc>
          <w:tcPr>
            <w:tcW w:w="2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2080" w:type="dxa"/>
            <w:vAlign w:val="bottom"/>
            <w:vMerge w:val="continue"/>
          </w:tcPr>
          <w:p>
            <w:pPr>
              <w:spacing w:after="0"/>
              <w:rPr>
                <w:sz w:val="14"/>
                <w:szCs w:val="14"/>
                <w:color w:val="auto"/>
              </w:rPr>
            </w:pPr>
          </w:p>
        </w:tc>
        <w:tc>
          <w:tcPr>
            <w:tcW w:w="14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rPr>
              <w:t>Opportunity</w:t>
            </w:r>
          </w:p>
        </w:tc>
        <w:tc>
          <w:tcPr>
            <w:tcW w:w="15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Opportunity</w:t>
            </w:r>
          </w:p>
        </w:tc>
        <w:tc>
          <w:tcPr>
            <w:tcW w:w="0" w:type="dxa"/>
            <w:vAlign w:val="bottom"/>
          </w:tcPr>
          <w:p>
            <w:pPr>
              <w:spacing w:after="0"/>
              <w:rPr>
                <w:sz w:val="1"/>
                <w:szCs w:val="1"/>
                <w:color w:val="auto"/>
              </w:rPr>
            </w:pPr>
          </w:p>
        </w:tc>
      </w:tr>
      <w:tr>
        <w:trPr>
          <w:trHeight w:val="216"/>
        </w:trPr>
        <w:tc>
          <w:tcPr>
            <w:tcW w:w="2160" w:type="dxa"/>
            <w:vAlign w:val="bottom"/>
            <w:tcBorders>
              <w:bottom w:val="single" w:sz="8" w:color="auto"/>
            </w:tcBorders>
            <w:vMerge w:val="continue"/>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87"/>
              </w:rPr>
              <w:t>($)</w:t>
            </w:r>
            <w:r>
              <w:rPr>
                <w:rFonts w:ascii="Arial" w:cs="Arial" w:eastAsia="Arial" w:hAnsi="Arial"/>
                <w:sz w:val="21"/>
                <w:szCs w:val="21"/>
                <w:b w:val="1"/>
                <w:bCs w:val="1"/>
                <w:color w:val="auto"/>
                <w:w w:val="87"/>
                <w:vertAlign w:val="superscript"/>
              </w:rPr>
              <w:t>(1)</w:t>
            </w:r>
          </w:p>
        </w:tc>
        <w:tc>
          <w:tcPr>
            <w:tcW w:w="0" w:type="dxa"/>
            <w:vAlign w:val="bottom"/>
          </w:tcPr>
          <w:p>
            <w:pPr>
              <w:spacing w:after="0"/>
              <w:rPr>
                <w:sz w:val="1"/>
                <w:szCs w:val="1"/>
                <w:color w:val="auto"/>
              </w:rPr>
            </w:pPr>
          </w:p>
        </w:tc>
      </w:tr>
      <w:tr>
        <w:trPr>
          <w:trHeight w:val="217"/>
        </w:trPr>
        <w:tc>
          <w:tcPr>
            <w:tcW w:w="2160" w:type="dxa"/>
            <w:vAlign w:val="bottom"/>
            <w:tcBorders>
              <w:bottom w:val="single" w:sz="8" w:color="DBE5F1"/>
              <w:right w:val="single" w:sz="8" w:color="95B3D7"/>
            </w:tcBorders>
            <w:shd w:val="clear" w:color="auto" w:fill="DBE5F1"/>
          </w:tcPr>
          <w:p>
            <w:pPr>
              <w:ind w:left="80"/>
              <w:spacing w:after="0" w:line="210" w:lineRule="exact"/>
              <w:rPr>
                <w:sz w:val="20"/>
                <w:szCs w:val="20"/>
                <w:color w:val="auto"/>
              </w:rPr>
            </w:pPr>
            <w:r>
              <w:rPr>
                <w:rFonts w:ascii="Arial" w:cs="Arial" w:eastAsia="Arial" w:hAnsi="Arial"/>
                <w:sz w:val="16"/>
                <w:szCs w:val="16"/>
                <w:color w:val="auto"/>
              </w:rPr>
              <w:t>John Kao</w:t>
            </w:r>
            <w:r>
              <w:rPr>
                <w:rFonts w:ascii="Arial" w:cs="Arial" w:eastAsia="Arial" w:hAnsi="Arial"/>
                <w:sz w:val="21"/>
                <w:szCs w:val="21"/>
                <w:color w:val="auto"/>
                <w:vertAlign w:val="superscript"/>
              </w:rPr>
              <w:t>(2)</w:t>
            </w:r>
          </w:p>
        </w:tc>
        <w:tc>
          <w:tcPr>
            <w:tcW w:w="208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850,000</w:t>
            </w:r>
          </w:p>
        </w:tc>
        <w:tc>
          <w:tcPr>
            <w:tcW w:w="14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123.6</w:t>
            </w:r>
          </w:p>
        </w:tc>
        <w:tc>
          <w:tcPr>
            <w:tcW w:w="15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shd w:val="clear" w:color="auto" w:fill="DBE5F1"/>
              </w:rPr>
              <w:t>1,050,192</w:t>
            </w:r>
          </w:p>
        </w:tc>
        <w:tc>
          <w:tcPr>
            <w:tcW w:w="0" w:type="dxa"/>
            <w:vAlign w:val="bottom"/>
          </w:tcPr>
          <w:p>
            <w:pPr>
              <w:spacing w:after="0"/>
              <w:rPr>
                <w:sz w:val="1"/>
                <w:szCs w:val="1"/>
                <w:color w:val="auto"/>
              </w:rPr>
            </w:pPr>
          </w:p>
        </w:tc>
      </w:tr>
      <w:tr>
        <w:trPr>
          <w:trHeight w:val="216"/>
        </w:trPr>
        <w:tc>
          <w:tcPr>
            <w:tcW w:w="2160" w:type="dxa"/>
            <w:vAlign w:val="bottom"/>
            <w:tcBorders>
              <w:right w:val="single" w:sz="8" w:color="95B3D7"/>
            </w:tcBorders>
          </w:tcPr>
          <w:p>
            <w:pPr>
              <w:ind w:left="80"/>
              <w:spacing w:after="0" w:line="216" w:lineRule="exact"/>
              <w:rPr>
                <w:sz w:val="20"/>
                <w:szCs w:val="20"/>
                <w:color w:val="auto"/>
              </w:rPr>
            </w:pPr>
            <w:r>
              <w:rPr>
                <w:rFonts w:ascii="Arial" w:cs="Arial" w:eastAsia="Arial" w:hAnsi="Arial"/>
                <w:sz w:val="16"/>
                <w:szCs w:val="16"/>
                <w:color w:val="auto"/>
              </w:rPr>
              <w:t>Dawn Maroney</w:t>
            </w:r>
            <w:r>
              <w:rPr>
                <w:rFonts w:ascii="Arial" w:cs="Arial" w:eastAsia="Arial" w:hAnsi="Arial"/>
                <w:sz w:val="21"/>
                <w:szCs w:val="21"/>
                <w:color w:val="auto"/>
                <w:vertAlign w:val="superscript"/>
              </w:rPr>
              <w:t>(3)</w:t>
            </w:r>
          </w:p>
        </w:tc>
        <w:tc>
          <w:tcPr>
            <w:tcW w:w="20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700,000</w:t>
            </w:r>
          </w:p>
        </w:tc>
        <w:tc>
          <w:tcPr>
            <w:tcW w:w="14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85</w:t>
            </w:r>
          </w:p>
        </w:tc>
        <w:tc>
          <w:tcPr>
            <w:tcW w:w="1540" w:type="dxa"/>
            <w:vAlign w:val="bottom"/>
          </w:tcPr>
          <w:p>
            <w:pPr>
              <w:jc w:val="center"/>
              <w:spacing w:after="0"/>
              <w:rPr>
                <w:sz w:val="20"/>
                <w:szCs w:val="20"/>
                <w:color w:val="auto"/>
              </w:rPr>
            </w:pPr>
            <w:r>
              <w:rPr>
                <w:rFonts w:ascii="Arial" w:cs="Arial" w:eastAsia="Arial" w:hAnsi="Arial"/>
                <w:sz w:val="16"/>
                <w:szCs w:val="16"/>
                <w:color w:val="auto"/>
              </w:rPr>
              <w:t>572,116</w:t>
            </w:r>
          </w:p>
        </w:tc>
        <w:tc>
          <w:tcPr>
            <w:tcW w:w="0" w:type="dxa"/>
            <w:vAlign w:val="bottom"/>
          </w:tcPr>
          <w:p>
            <w:pPr>
              <w:spacing w:after="0"/>
              <w:rPr>
                <w:sz w:val="1"/>
                <w:szCs w:val="1"/>
                <w:color w:val="auto"/>
              </w:rPr>
            </w:pPr>
          </w:p>
        </w:tc>
      </w:tr>
      <w:tr>
        <w:trPr>
          <w:trHeight w:val="243"/>
        </w:trPr>
        <w:tc>
          <w:tcPr>
            <w:tcW w:w="21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James M. Head</w:t>
            </w:r>
            <w:r>
              <w:rPr>
                <w:rFonts w:ascii="Arial" w:cs="Arial" w:eastAsia="Arial" w:hAnsi="Arial"/>
                <w:sz w:val="21"/>
                <w:szCs w:val="21"/>
                <w:color w:val="auto"/>
                <w:vertAlign w:val="superscript"/>
              </w:rPr>
              <w:t>(4)</w:t>
            </w:r>
          </w:p>
        </w:tc>
        <w:tc>
          <w:tcPr>
            <w:tcW w:w="20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600,000</w:t>
            </w:r>
          </w:p>
        </w:tc>
        <w:tc>
          <w:tcPr>
            <w:tcW w:w="14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w:t>
            </w:r>
          </w:p>
        </w:tc>
        <w:tc>
          <w:tcPr>
            <w:tcW w:w="154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315,808</w:t>
            </w:r>
          </w:p>
        </w:tc>
        <w:tc>
          <w:tcPr>
            <w:tcW w:w="0" w:type="dxa"/>
            <w:vAlign w:val="bottom"/>
          </w:tcPr>
          <w:p>
            <w:pPr>
              <w:spacing w:after="0"/>
              <w:rPr>
                <w:sz w:val="1"/>
                <w:szCs w:val="1"/>
                <w:color w:val="auto"/>
              </w:rPr>
            </w:pPr>
          </w:p>
        </w:tc>
      </w:tr>
      <w:tr>
        <w:trPr>
          <w:trHeight w:val="243"/>
        </w:trPr>
        <w:tc>
          <w:tcPr>
            <w:tcW w:w="216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Thomas Freeman</w:t>
            </w:r>
            <w:r>
              <w:rPr>
                <w:rFonts w:ascii="Arial" w:cs="Arial" w:eastAsia="Arial" w:hAnsi="Arial"/>
                <w:sz w:val="21"/>
                <w:szCs w:val="21"/>
                <w:color w:val="auto"/>
                <w:vertAlign w:val="superscript"/>
              </w:rPr>
              <w:t>(4)</w:t>
            </w:r>
          </w:p>
        </w:tc>
        <w:tc>
          <w:tcPr>
            <w:tcW w:w="20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580,000</w:t>
            </w:r>
          </w:p>
        </w:tc>
        <w:tc>
          <w:tcPr>
            <w:tcW w:w="14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85</w:t>
            </w:r>
          </w:p>
        </w:tc>
        <w:tc>
          <w:tcPr>
            <w:tcW w:w="1540" w:type="dxa"/>
            <w:vAlign w:val="bottom"/>
          </w:tcPr>
          <w:p>
            <w:pPr>
              <w:jc w:val="center"/>
              <w:spacing w:after="0"/>
              <w:rPr>
                <w:sz w:val="20"/>
                <w:szCs w:val="20"/>
                <w:color w:val="auto"/>
              </w:rPr>
            </w:pPr>
            <w:r>
              <w:rPr>
                <w:rFonts w:ascii="Arial" w:cs="Arial" w:eastAsia="Arial" w:hAnsi="Arial"/>
                <w:sz w:val="16"/>
                <w:szCs w:val="16"/>
                <w:color w:val="auto"/>
              </w:rPr>
              <w:t>205,304</w:t>
            </w:r>
          </w:p>
        </w:tc>
        <w:tc>
          <w:tcPr>
            <w:tcW w:w="0" w:type="dxa"/>
            <w:vAlign w:val="bottom"/>
          </w:tcPr>
          <w:p>
            <w:pPr>
              <w:spacing w:after="0"/>
              <w:rPr>
                <w:sz w:val="1"/>
                <w:szCs w:val="1"/>
                <w:color w:val="auto"/>
              </w:rPr>
            </w:pPr>
          </w:p>
        </w:tc>
      </w:tr>
      <w:tr>
        <w:trPr>
          <w:trHeight w:val="216"/>
        </w:trPr>
        <w:tc>
          <w:tcPr>
            <w:tcW w:w="21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Hyong (Ken) Kim, M.D.</w:t>
            </w:r>
          </w:p>
        </w:tc>
        <w:tc>
          <w:tcPr>
            <w:tcW w:w="20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560,000</w:t>
            </w:r>
          </w:p>
        </w:tc>
        <w:tc>
          <w:tcPr>
            <w:tcW w:w="14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85</w:t>
            </w:r>
          </w:p>
        </w:tc>
        <w:tc>
          <w:tcPr>
            <w:tcW w:w="154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476,000</w:t>
            </w:r>
          </w:p>
        </w:tc>
        <w:tc>
          <w:tcPr>
            <w:tcW w:w="0" w:type="dxa"/>
            <w:vAlign w:val="bottom"/>
          </w:tcPr>
          <w:p>
            <w:pPr>
              <w:spacing w:after="0"/>
              <w:rPr>
                <w:sz w:val="1"/>
                <w:szCs w:val="1"/>
                <w:color w:val="auto"/>
              </w:rPr>
            </w:pPr>
          </w:p>
        </w:tc>
      </w:tr>
      <w:tr>
        <w:trPr>
          <w:trHeight w:val="215"/>
        </w:trPr>
        <w:tc>
          <w:tcPr>
            <w:tcW w:w="216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Christopher Joyce</w:t>
            </w:r>
          </w:p>
        </w:tc>
        <w:tc>
          <w:tcPr>
            <w:tcW w:w="208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525,000</w:t>
            </w:r>
          </w:p>
        </w:tc>
        <w:tc>
          <w:tcPr>
            <w:tcW w:w="14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85</w:t>
            </w:r>
          </w:p>
        </w:tc>
        <w:tc>
          <w:tcPr>
            <w:tcW w:w="154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446,250</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1480" w:hanging="332"/>
        <w:spacing w:after="0"/>
        <w:tabs>
          <w:tab w:leader="none" w:pos="14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Target bonus opportunity is based on weighted average of each NEO’s base salary and each NEO's target award during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0" w:name="page51"/>
    <w:bookmarkEnd w:id="50"/>
    <w:p>
      <w:pPr>
        <w:ind w:left="1480" w:hanging="332"/>
        <w:spacing w:after="0"/>
        <w:tabs>
          <w:tab w:leader="none" w:pos="1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Kao's target bonus opportunity was increased from 120% to 125% in March 2025 and the increase is prorated for the applicable portion of the year.</w:t>
      </w:r>
    </w:p>
    <w:p>
      <w:pPr>
        <w:spacing w:after="0" w:line="122" w:lineRule="exact"/>
        <w:rPr>
          <w:rFonts w:ascii="Arial" w:cs="Arial" w:eastAsia="Arial" w:hAnsi="Arial"/>
          <w:sz w:val="14"/>
          <w:szCs w:val="14"/>
          <w:color w:val="auto"/>
        </w:rPr>
      </w:pPr>
    </w:p>
    <w:p>
      <w:pPr>
        <w:ind w:left="1480" w:right="220" w:hanging="332"/>
        <w:spacing w:after="0" w:line="305" w:lineRule="auto"/>
        <w:tabs>
          <w:tab w:leader="none" w:pos="1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 base salary increase for Ms. Maroney became effective in March 2025 and the target bonus opportunity is a weighted average of her salaries during the year.</w:t>
      </w:r>
    </w:p>
    <w:p>
      <w:pPr>
        <w:spacing w:after="0" w:line="36" w:lineRule="exact"/>
        <w:rPr>
          <w:rFonts w:ascii="Arial" w:cs="Arial" w:eastAsia="Arial" w:hAnsi="Arial"/>
          <w:sz w:val="14"/>
          <w:szCs w:val="14"/>
          <w:color w:val="auto"/>
        </w:rPr>
      </w:pPr>
    </w:p>
    <w:p>
      <w:pPr>
        <w:ind w:left="1480" w:right="180" w:hanging="332"/>
        <w:spacing w:after="0" w:line="305" w:lineRule="auto"/>
        <w:tabs>
          <w:tab w:leader="none" w:pos="14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Mr. Freeman's and Mr. Head's target bonus opportunity are prorated to reflect the May 2, 2025 resignation as CFO by Mr. Freeman and appointment of Mr. Head as his successor.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2025 Corporate Performance Metrics, Weightings and Results</w:t>
      </w:r>
    </w:p>
    <w:p>
      <w:pPr>
        <w:spacing w:after="0" w:line="22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In 2025, consistent with the prior year's Annual Incentive Plan, we used (i) health plan membership, (ii) adjusted gross profit and (iii) adjusted EBITDA minus capital expenditures as the corporate performance metrics in the Annual Incentive Plan. We chose these metrics for the following reasons:</w:t>
      </w:r>
    </w:p>
    <w:p>
      <w:pPr>
        <w:spacing w:after="0" w:line="171" w:lineRule="exact"/>
        <w:rPr>
          <w:sz w:val="20"/>
          <w:szCs w:val="20"/>
          <w:color w:val="auto"/>
        </w:rPr>
      </w:pPr>
    </w:p>
    <w:p>
      <w:pPr>
        <w:ind w:left="820" w:hanging="320"/>
        <w:spacing w:after="0" w:line="287" w:lineRule="auto"/>
        <w:tabs>
          <w:tab w:leader="none" w:pos="8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Health plan membership growth shows that we are increasing our customer base and is a leading indicator of long-term profitability and revenue growth for Alignment Healthcare.</w:t>
      </w:r>
    </w:p>
    <w:p>
      <w:pPr>
        <w:spacing w:after="0" w:line="112" w:lineRule="exact"/>
        <w:rPr>
          <w:rFonts w:ascii="Arial" w:cs="Arial" w:eastAsia="Arial" w:hAnsi="Arial"/>
          <w:sz w:val="18"/>
          <w:szCs w:val="18"/>
          <w:color w:val="auto"/>
        </w:rPr>
      </w:pPr>
    </w:p>
    <w:p>
      <w:pPr>
        <w:ind w:left="800" w:hanging="300"/>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gross profit keeps us focused on efficient delivery and execution.</w:t>
      </w:r>
    </w:p>
    <w:p>
      <w:pPr>
        <w:spacing w:after="0" w:line="198" w:lineRule="exact"/>
        <w:rPr>
          <w:rFonts w:ascii="Arial" w:cs="Arial" w:eastAsia="Arial" w:hAnsi="Arial"/>
          <w:sz w:val="18"/>
          <w:szCs w:val="18"/>
          <w:color w:val="auto"/>
        </w:rPr>
      </w:pPr>
    </w:p>
    <w:p>
      <w:pPr>
        <w:jc w:val="both"/>
        <w:ind w:left="820" w:hanging="320"/>
        <w:spacing w:after="0" w:line="268" w:lineRule="auto"/>
        <w:tabs>
          <w:tab w:leader="none" w:pos="80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Adjusted EBITDA minus capital expenditures provides a clear view of our operational profitability while also holding management accountable for capital allocation decisions — it focuses on sustainable growth and reinforces disciplined investment of Company resources.</w:t>
      </w:r>
    </w:p>
    <w:p>
      <w:pPr>
        <w:spacing w:after="0" w:line="130" w:lineRule="exact"/>
        <w:rPr>
          <w:sz w:val="20"/>
          <w:szCs w:val="20"/>
          <w:color w:val="auto"/>
        </w:rPr>
      </w:pPr>
    </w:p>
    <w:p>
      <w:pPr>
        <w:jc w:val="both"/>
        <w:ind w:firstLine="492"/>
        <w:spacing w:after="0" w:line="268" w:lineRule="auto"/>
        <w:rPr>
          <w:sz w:val="20"/>
          <w:szCs w:val="20"/>
          <w:color w:val="auto"/>
        </w:rPr>
      </w:pPr>
      <w:r>
        <w:rPr>
          <w:rFonts w:ascii="Arial" w:cs="Arial" w:eastAsia="Arial" w:hAnsi="Arial"/>
          <w:sz w:val="18"/>
          <w:szCs w:val="18"/>
          <w:color w:val="auto"/>
        </w:rPr>
        <w:t>The table below sets forth the relative weighting of the metrics selected for our 2025 Annual Incentive Plan, the results achieved for each metric, as determined by the Compensation Committee, and the resulting aggregate percentage achieved with respect to our corporate objectives. With respect to each metric, target levels for 2025 were set above actual performance results for fiscal year 2024.</w:t>
      </w:r>
    </w:p>
    <w:p>
      <w:pPr>
        <w:spacing w:after="0" w:line="351" w:lineRule="exact"/>
        <w:rPr>
          <w:sz w:val="20"/>
          <w:szCs w:val="20"/>
          <w:color w:val="auto"/>
        </w:rPr>
      </w:pPr>
    </w:p>
    <w:tbl>
      <w:tblPr>
        <w:tblLayout w:type="fixed"/>
        <w:tblInd w:w="1560" w:type="dxa"/>
        <w:tblCellMar>
          <w:top w:w="0" w:type="dxa"/>
          <w:left w:w="0" w:type="dxa"/>
          <w:bottom w:w="0" w:type="dxa"/>
          <w:right w:w="0" w:type="dxa"/>
        </w:tblCellMar>
      </w:tblPr>
      <w:tr>
        <w:trPr>
          <w:trHeight w:val="223"/>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960" w:type="dxa"/>
            <w:vAlign w:val="bottom"/>
            <w:gridSpan w:val="3"/>
          </w:tcPr>
          <w:p>
            <w:pPr>
              <w:jc w:val="center"/>
              <w:spacing w:after="0"/>
              <w:rPr>
                <w:sz w:val="20"/>
                <w:szCs w:val="20"/>
                <w:color w:val="auto"/>
              </w:rPr>
            </w:pPr>
            <w:r>
              <w:rPr>
                <w:rFonts w:ascii="Arial" w:cs="Arial" w:eastAsia="Arial" w:hAnsi="Arial"/>
                <w:sz w:val="16"/>
                <w:szCs w:val="16"/>
                <w:b w:val="1"/>
                <w:bCs w:val="1"/>
                <w:color w:val="auto"/>
              </w:rPr>
              <w:t>2025 Performance Metrics and Levels</w:t>
            </w:r>
          </w:p>
        </w:tc>
      </w:tr>
      <w:tr>
        <w:trPr>
          <w:trHeight w:val="34"/>
        </w:trPr>
        <w:tc>
          <w:tcPr>
            <w:tcW w:w="1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60" w:type="dxa"/>
            <w:vAlign w:val="bottom"/>
            <w:tcBorders>
              <w:bottom w:val="single" w:sz="8" w:color="95B3D7"/>
            </w:tcBorders>
          </w:tcPr>
          <w:p>
            <w:pPr>
              <w:spacing w:after="0"/>
              <w:rPr>
                <w:sz w:val="3"/>
                <w:szCs w:val="3"/>
                <w:color w:val="auto"/>
              </w:rPr>
            </w:pPr>
          </w:p>
        </w:tc>
        <w:tc>
          <w:tcPr>
            <w:tcW w:w="1740" w:type="dxa"/>
            <w:vAlign w:val="bottom"/>
            <w:tcBorders>
              <w:bottom w:val="single" w:sz="8" w:color="95B3D7"/>
            </w:tcBorders>
          </w:tcPr>
          <w:p>
            <w:pPr>
              <w:spacing w:after="0"/>
              <w:rPr>
                <w:sz w:val="3"/>
                <w:szCs w:val="3"/>
                <w:color w:val="auto"/>
              </w:rPr>
            </w:pPr>
          </w:p>
        </w:tc>
        <w:tc>
          <w:tcPr>
            <w:tcW w:w="1960" w:type="dxa"/>
            <w:vAlign w:val="bottom"/>
            <w:tcBorders>
              <w:bottom w:val="single" w:sz="8" w:color="95B3D7"/>
            </w:tcBorders>
          </w:tcPr>
          <w:p>
            <w:pPr>
              <w:spacing w:after="0"/>
              <w:rPr>
                <w:sz w:val="3"/>
                <w:szCs w:val="3"/>
                <w:color w:val="auto"/>
              </w:rPr>
            </w:pPr>
          </w:p>
        </w:tc>
      </w:tr>
      <w:tr>
        <w:trPr>
          <w:trHeight w:val="169"/>
        </w:trPr>
        <w:tc>
          <w:tcPr>
            <w:tcW w:w="1840" w:type="dxa"/>
            <w:vAlign w:val="bottom"/>
          </w:tcPr>
          <w:p>
            <w:pPr>
              <w:spacing w:after="0"/>
              <w:rPr>
                <w:sz w:val="14"/>
                <w:szCs w:val="14"/>
                <w:color w:val="auto"/>
              </w:rPr>
            </w:pPr>
          </w:p>
        </w:tc>
        <w:tc>
          <w:tcPr>
            <w:tcW w:w="340" w:type="dxa"/>
            <w:vAlign w:val="bottom"/>
            <w:tcBorders>
              <w:right w:val="single" w:sz="8" w:color="95B3D7"/>
            </w:tcBorders>
          </w:tcPr>
          <w:p>
            <w:pPr>
              <w:spacing w:after="0"/>
              <w:rPr>
                <w:sz w:val="14"/>
                <w:szCs w:val="14"/>
                <w:color w:val="auto"/>
              </w:rPr>
            </w:pPr>
          </w:p>
        </w:tc>
        <w:tc>
          <w:tcPr>
            <w:tcW w:w="2260" w:type="dxa"/>
            <w:vAlign w:val="bottom"/>
            <w:tcBorders>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b w:val="1"/>
                <w:bCs w:val="1"/>
                <w:color w:val="auto"/>
              </w:rPr>
              <w:t>Health Plan Membership as</w:t>
            </w:r>
          </w:p>
        </w:tc>
        <w:tc>
          <w:tcPr>
            <w:tcW w:w="1740" w:type="dxa"/>
            <w:vAlign w:val="bottom"/>
            <w:tcBorders>
              <w:right w:val="single" w:sz="8" w:color="95B3D7"/>
            </w:tcBorders>
            <w:shd w:val="clear" w:color="auto" w:fill="DBE5F1"/>
          </w:tcPr>
          <w:p>
            <w:pPr>
              <w:jc w:val="center"/>
              <w:spacing w:after="0" w:line="169" w:lineRule="exact"/>
              <w:rPr>
                <w:sz w:val="20"/>
                <w:szCs w:val="20"/>
                <w:color w:val="auto"/>
              </w:rPr>
            </w:pPr>
            <w:r>
              <w:rPr>
                <w:rFonts w:ascii="Arial" w:cs="Arial" w:eastAsia="Arial" w:hAnsi="Arial"/>
                <w:sz w:val="16"/>
                <w:szCs w:val="16"/>
                <w:b w:val="1"/>
                <w:bCs w:val="1"/>
                <w:color w:val="auto"/>
              </w:rPr>
              <w:t>Adjusted Gross</w:t>
            </w:r>
          </w:p>
        </w:tc>
        <w:tc>
          <w:tcPr>
            <w:tcW w:w="1960" w:type="dxa"/>
            <w:vAlign w:val="bottom"/>
            <w:shd w:val="clear" w:color="auto" w:fill="DBE5F1"/>
          </w:tcPr>
          <w:p>
            <w:pPr>
              <w:jc w:val="center"/>
              <w:spacing w:after="0" w:line="169" w:lineRule="exact"/>
              <w:rPr>
                <w:sz w:val="20"/>
                <w:szCs w:val="20"/>
                <w:color w:val="auto"/>
              </w:rPr>
            </w:pPr>
            <w:r>
              <w:rPr>
                <w:rFonts w:ascii="Arial" w:cs="Arial" w:eastAsia="Arial" w:hAnsi="Arial"/>
                <w:sz w:val="16"/>
                <w:szCs w:val="16"/>
                <w:b w:val="1"/>
                <w:bCs w:val="1"/>
                <w:color w:val="auto"/>
              </w:rPr>
              <w:t>Adjusted EBITDA</w:t>
            </w:r>
          </w:p>
        </w:tc>
      </w:tr>
      <w:tr>
        <w:trPr>
          <w:trHeight w:val="270"/>
        </w:trPr>
        <w:tc>
          <w:tcPr>
            <w:tcW w:w="1840" w:type="dxa"/>
            <w:vAlign w:val="bottom"/>
          </w:tcPr>
          <w:p>
            <w:pPr>
              <w:spacing w:after="0"/>
              <w:rPr>
                <w:sz w:val="23"/>
                <w:szCs w:val="23"/>
                <w:color w:val="auto"/>
              </w:rPr>
            </w:pPr>
          </w:p>
        </w:tc>
        <w:tc>
          <w:tcPr>
            <w:tcW w:w="340" w:type="dxa"/>
            <w:vAlign w:val="bottom"/>
            <w:tcBorders>
              <w:right w:val="single" w:sz="8" w:color="95B3D7"/>
            </w:tcBorders>
          </w:tcPr>
          <w:p>
            <w:pPr>
              <w:spacing w:after="0"/>
              <w:rPr>
                <w:sz w:val="23"/>
                <w:szCs w:val="23"/>
                <w:color w:val="auto"/>
              </w:rPr>
            </w:pPr>
          </w:p>
        </w:tc>
        <w:tc>
          <w:tcPr>
            <w:tcW w:w="226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b w:val="1"/>
                <w:bCs w:val="1"/>
                <w:color w:val="auto"/>
              </w:rPr>
              <w:t>of January 1, 2026</w:t>
            </w:r>
          </w:p>
        </w:tc>
        <w:tc>
          <w:tcPr>
            <w:tcW w:w="1740" w:type="dxa"/>
            <w:vAlign w:val="bottom"/>
            <w:tcBorders>
              <w:bottom w:val="single" w:sz="8" w:color="95B3D7"/>
              <w:right w:val="single" w:sz="8" w:color="95B3D7"/>
            </w:tcBorders>
            <w:shd w:val="clear" w:color="auto" w:fill="DBE5F1"/>
          </w:tcPr>
          <w:p>
            <w:pPr>
              <w:jc w:val="center"/>
              <w:spacing w:after="0"/>
              <w:rPr>
                <w:sz w:val="20"/>
                <w:szCs w:val="20"/>
                <w:color w:val="auto"/>
              </w:rPr>
            </w:pPr>
            <w:r>
              <w:rPr>
                <w:rFonts w:ascii="Arial" w:cs="Arial" w:eastAsia="Arial" w:hAnsi="Arial"/>
                <w:sz w:val="16"/>
                <w:szCs w:val="16"/>
                <w:b w:val="1"/>
                <w:bCs w:val="1"/>
                <w:color w:val="auto"/>
                <w:w w:val="95"/>
              </w:rPr>
              <w:t>Profit</w:t>
            </w:r>
            <w:r>
              <w:rPr>
                <w:rFonts w:ascii="Arial" w:cs="Arial" w:eastAsia="Arial" w:hAnsi="Arial"/>
                <w:sz w:val="21"/>
                <w:szCs w:val="21"/>
                <w:b w:val="1"/>
                <w:bCs w:val="1"/>
                <w:color w:val="auto"/>
                <w:w w:val="95"/>
                <w:vertAlign w:val="superscript"/>
              </w:rPr>
              <w:t>(1)</w:t>
            </w:r>
          </w:p>
        </w:tc>
        <w:tc>
          <w:tcPr>
            <w:tcW w:w="1960" w:type="dxa"/>
            <w:vAlign w:val="bottom"/>
            <w:tcBorders>
              <w:bottom w:val="single" w:sz="8" w:color="95B3D7"/>
            </w:tcBorders>
            <w:shd w:val="clear" w:color="auto" w:fill="DBE5F1"/>
          </w:tcPr>
          <w:p>
            <w:pPr>
              <w:jc w:val="center"/>
              <w:spacing w:after="0"/>
              <w:rPr>
                <w:sz w:val="20"/>
                <w:szCs w:val="20"/>
                <w:color w:val="auto"/>
              </w:rPr>
            </w:pPr>
            <w:r>
              <w:rPr>
                <w:rFonts w:ascii="Arial" w:cs="Arial" w:eastAsia="Arial" w:hAnsi="Arial"/>
                <w:sz w:val="16"/>
                <w:szCs w:val="16"/>
                <w:b w:val="1"/>
                <w:bCs w:val="1"/>
                <w:color w:val="auto"/>
                <w:w w:val="97"/>
              </w:rPr>
              <w:t>minus CapEx</w:t>
            </w:r>
            <w:r>
              <w:rPr>
                <w:rFonts w:ascii="Arial" w:cs="Arial" w:eastAsia="Arial" w:hAnsi="Arial"/>
                <w:sz w:val="21"/>
                <w:szCs w:val="21"/>
                <w:b w:val="1"/>
                <w:bCs w:val="1"/>
                <w:color w:val="auto"/>
                <w:w w:val="97"/>
                <w:vertAlign w:val="superscript"/>
              </w:rPr>
              <w:t>(1)</w:t>
            </w:r>
          </w:p>
        </w:tc>
      </w:tr>
      <w:tr>
        <w:trPr>
          <w:trHeight w:val="236"/>
        </w:trPr>
        <w:tc>
          <w:tcPr>
            <w:tcW w:w="1840" w:type="dxa"/>
            <w:vAlign w:val="bottom"/>
            <w:tcBorders>
              <w:bottom w:val="single" w:sz="8" w:color="DBE5F1"/>
            </w:tcBorders>
          </w:tcPr>
          <w:p>
            <w:pPr>
              <w:spacing w:after="0"/>
              <w:rPr>
                <w:sz w:val="20"/>
                <w:szCs w:val="20"/>
                <w:color w:val="auto"/>
              </w:rPr>
            </w:pPr>
          </w:p>
        </w:tc>
        <w:tc>
          <w:tcPr>
            <w:tcW w:w="340" w:type="dxa"/>
            <w:vAlign w:val="bottom"/>
            <w:tcBorders>
              <w:bottom w:val="single" w:sz="8" w:color="95B3D7"/>
              <w:right w:val="single" w:sz="8" w:color="95B3D7"/>
            </w:tcBorders>
          </w:tcPr>
          <w:p>
            <w:pPr>
              <w:spacing w:after="0"/>
              <w:rPr>
                <w:sz w:val="20"/>
                <w:szCs w:val="20"/>
                <w:color w:val="auto"/>
              </w:rPr>
            </w:pPr>
          </w:p>
        </w:tc>
        <w:tc>
          <w:tcPr>
            <w:tcW w:w="226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i w:val="1"/>
                <w:iCs w:val="1"/>
                <w:color w:val="auto"/>
              </w:rPr>
              <w:t>(30% Weighting)</w:t>
            </w:r>
          </w:p>
        </w:tc>
        <w:tc>
          <w:tcPr>
            <w:tcW w:w="17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i w:val="1"/>
                <w:iCs w:val="1"/>
                <w:color w:val="auto"/>
              </w:rPr>
              <w:t>(35% Weighting)</w:t>
            </w:r>
          </w:p>
        </w:tc>
        <w:tc>
          <w:tcPr>
            <w:tcW w:w="19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i w:val="1"/>
                <w:iCs w:val="1"/>
                <w:color w:val="auto"/>
              </w:rPr>
              <w:t>(35% Weighting)</w:t>
            </w:r>
          </w:p>
        </w:tc>
      </w:tr>
      <w:tr>
        <w:trPr>
          <w:trHeight w:val="242"/>
        </w:trPr>
        <w:tc>
          <w:tcPr>
            <w:tcW w:w="1840" w:type="dxa"/>
            <w:vAlign w:val="bottom"/>
            <w:tcBorders>
              <w:bottom w:val="single" w:sz="8" w:color="DBE5F1"/>
            </w:tcBorders>
            <w:shd w:val="clear" w:color="auto" w:fill="DBE5F1"/>
          </w:tcPr>
          <w:p>
            <w:pPr>
              <w:ind w:left="60"/>
              <w:spacing w:after="0"/>
              <w:rPr>
                <w:sz w:val="20"/>
                <w:szCs w:val="20"/>
                <w:color w:val="auto"/>
              </w:rPr>
            </w:pPr>
            <w:r>
              <w:rPr>
                <w:rFonts w:ascii="Arial" w:cs="Arial" w:eastAsia="Arial" w:hAnsi="Arial"/>
                <w:sz w:val="16"/>
                <w:szCs w:val="16"/>
                <w:b w:val="1"/>
                <w:bCs w:val="1"/>
                <w:color w:val="auto"/>
              </w:rPr>
              <w:t>Threshold</w:t>
            </w:r>
          </w:p>
        </w:tc>
        <w:tc>
          <w:tcPr>
            <w:tcW w:w="340" w:type="dxa"/>
            <w:vAlign w:val="bottom"/>
            <w:tcBorders>
              <w:bottom w:val="single" w:sz="8" w:color="DBE5F1"/>
              <w:right w:val="single" w:sz="8" w:color="95B3D7"/>
            </w:tcBorders>
            <w:shd w:val="clear" w:color="auto" w:fill="DBE5F1"/>
          </w:tcPr>
          <w:p>
            <w:pPr>
              <w:spacing w:after="0"/>
              <w:rPr>
                <w:sz w:val="20"/>
                <w:szCs w:val="20"/>
                <w:color w:val="auto"/>
              </w:rPr>
            </w:pPr>
          </w:p>
        </w:tc>
        <w:tc>
          <w:tcPr>
            <w:tcW w:w="22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241,385</w:t>
            </w:r>
          </w:p>
        </w:tc>
        <w:tc>
          <w:tcPr>
            <w:tcW w:w="17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$408.1M</w:t>
            </w:r>
          </w:p>
        </w:tc>
        <w:tc>
          <w:tcPr>
            <w:tcW w:w="19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rPr>
              <w:t>($5.0M)</w:t>
            </w:r>
          </w:p>
        </w:tc>
      </w:tr>
      <w:tr>
        <w:trPr>
          <w:trHeight w:val="216"/>
        </w:trPr>
        <w:tc>
          <w:tcPr>
            <w:tcW w:w="2180" w:type="dxa"/>
            <w:vAlign w:val="bottom"/>
            <w:tcBorders>
              <w:top w:val="single" w:sz="8" w:color="95B3D7"/>
              <w:right w:val="single" w:sz="8" w:color="95B3D7"/>
            </w:tcBorders>
            <w:gridSpan w:val="2"/>
          </w:tcPr>
          <w:p>
            <w:pPr>
              <w:ind w:left="60"/>
              <w:spacing w:after="0"/>
              <w:rPr>
                <w:sz w:val="20"/>
                <w:szCs w:val="20"/>
                <w:color w:val="auto"/>
              </w:rPr>
            </w:pPr>
            <w:r>
              <w:rPr>
                <w:rFonts w:ascii="Arial" w:cs="Arial" w:eastAsia="Arial" w:hAnsi="Arial"/>
                <w:sz w:val="16"/>
                <w:szCs w:val="16"/>
                <w:b w:val="1"/>
                <w:bCs w:val="1"/>
                <w:color w:val="auto"/>
              </w:rPr>
              <w:t>Target / Target Range</w:t>
            </w:r>
          </w:p>
        </w:tc>
        <w:tc>
          <w:tcPr>
            <w:tcW w:w="226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251,880</w:t>
            </w:r>
          </w:p>
        </w:tc>
        <w:tc>
          <w:tcPr>
            <w:tcW w:w="1740" w:type="dxa"/>
            <w:vAlign w:val="bottom"/>
            <w:tcBorders>
              <w:top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$423.1M - $433.1M</w:t>
            </w:r>
          </w:p>
        </w:tc>
        <w:tc>
          <w:tcPr>
            <w:tcW w:w="1960" w:type="dxa"/>
            <w:vAlign w:val="bottom"/>
            <w:tcBorders>
              <w:top w:val="single" w:sz="8" w:color="95B3D7"/>
            </w:tcBorders>
          </w:tcPr>
          <w:p>
            <w:pPr>
              <w:jc w:val="center"/>
              <w:spacing w:after="0"/>
              <w:rPr>
                <w:sz w:val="20"/>
                <w:szCs w:val="20"/>
                <w:color w:val="auto"/>
              </w:rPr>
            </w:pPr>
            <w:r>
              <w:rPr>
                <w:rFonts w:ascii="Arial" w:cs="Arial" w:eastAsia="Arial" w:hAnsi="Arial"/>
                <w:sz w:val="16"/>
                <w:szCs w:val="16"/>
                <w:color w:val="auto"/>
              </w:rPr>
              <w:t>$5.0M - $10.0M</w:t>
            </w:r>
          </w:p>
        </w:tc>
      </w:tr>
      <w:tr>
        <w:trPr>
          <w:trHeight w:val="20"/>
        </w:trPr>
        <w:tc>
          <w:tcPr>
            <w:tcW w:w="1840" w:type="dxa"/>
            <w:vAlign w:val="bottom"/>
            <w:tcBorders>
              <w:bottom w:val="single" w:sz="8" w:color="95B3D7"/>
            </w:tcBorders>
          </w:tcPr>
          <w:p>
            <w:pPr>
              <w:spacing w:after="0" w:line="20" w:lineRule="exact"/>
              <w:rPr>
                <w:sz w:val="1"/>
                <w:szCs w:val="1"/>
                <w:color w:val="auto"/>
              </w:rPr>
            </w:pPr>
          </w:p>
        </w:tc>
        <w:tc>
          <w:tcPr>
            <w:tcW w:w="340" w:type="dxa"/>
            <w:vAlign w:val="bottom"/>
            <w:tcBorders>
              <w:bottom w:val="single" w:sz="8" w:color="95B3D7"/>
              <w:right w:val="single" w:sz="8" w:color="95B3D7"/>
            </w:tcBorders>
          </w:tcPr>
          <w:p>
            <w:pPr>
              <w:spacing w:after="0" w:line="20" w:lineRule="exact"/>
              <w:rPr>
                <w:sz w:val="1"/>
                <w:szCs w:val="1"/>
                <w:color w:val="auto"/>
              </w:rPr>
            </w:pPr>
          </w:p>
        </w:tc>
        <w:tc>
          <w:tcPr>
            <w:tcW w:w="2260" w:type="dxa"/>
            <w:vAlign w:val="bottom"/>
            <w:tcBorders>
              <w:bottom w:val="single" w:sz="8" w:color="95B3D7"/>
              <w:right w:val="single" w:sz="8" w:color="95B3D7"/>
            </w:tcBorders>
          </w:tcPr>
          <w:p>
            <w:pPr>
              <w:spacing w:after="0" w:line="20" w:lineRule="exact"/>
              <w:rPr>
                <w:sz w:val="1"/>
                <w:szCs w:val="1"/>
                <w:color w:val="auto"/>
              </w:rPr>
            </w:pPr>
          </w:p>
        </w:tc>
        <w:tc>
          <w:tcPr>
            <w:tcW w:w="1740" w:type="dxa"/>
            <w:vAlign w:val="bottom"/>
            <w:tcBorders>
              <w:bottom w:val="single" w:sz="8" w:color="95B3D7"/>
              <w:right w:val="single" w:sz="8" w:color="95B3D7"/>
            </w:tcBorders>
          </w:tcPr>
          <w:p>
            <w:pPr>
              <w:spacing w:after="0" w:line="20" w:lineRule="exact"/>
              <w:rPr>
                <w:sz w:val="1"/>
                <w:szCs w:val="1"/>
                <w:color w:val="auto"/>
              </w:rPr>
            </w:pPr>
          </w:p>
        </w:tc>
        <w:tc>
          <w:tcPr>
            <w:tcW w:w="1960" w:type="dxa"/>
            <w:vAlign w:val="bottom"/>
            <w:tcBorders>
              <w:bottom w:val="single" w:sz="8" w:color="95B3D7"/>
            </w:tcBorders>
          </w:tcPr>
          <w:p>
            <w:pPr>
              <w:spacing w:after="0" w:line="20" w:lineRule="exact"/>
              <w:rPr>
                <w:sz w:val="1"/>
                <w:szCs w:val="1"/>
                <w:color w:val="auto"/>
              </w:rPr>
            </w:pPr>
          </w:p>
        </w:tc>
      </w:tr>
      <w:tr>
        <w:trPr>
          <w:trHeight w:val="242"/>
        </w:trPr>
        <w:tc>
          <w:tcPr>
            <w:tcW w:w="2180" w:type="dxa"/>
            <w:vAlign w:val="bottom"/>
            <w:tcBorders>
              <w:bottom w:val="single" w:sz="8" w:color="DBE5F1"/>
              <w:right w:val="single" w:sz="8" w:color="95B3D7"/>
            </w:tcBorders>
            <w:gridSpan w:val="2"/>
            <w:shd w:val="clear" w:color="auto" w:fill="DBE5F1"/>
          </w:tcPr>
          <w:p>
            <w:pPr>
              <w:ind w:left="60"/>
              <w:spacing w:after="0"/>
              <w:rPr>
                <w:sz w:val="20"/>
                <w:szCs w:val="20"/>
                <w:color w:val="auto"/>
              </w:rPr>
            </w:pPr>
            <w:r>
              <w:rPr>
                <w:rFonts w:ascii="Arial" w:cs="Arial" w:eastAsia="Arial" w:hAnsi="Arial"/>
                <w:sz w:val="16"/>
                <w:szCs w:val="16"/>
                <w:b w:val="1"/>
                <w:bCs w:val="1"/>
                <w:color w:val="auto"/>
              </w:rPr>
              <w:t>Maximum</w:t>
            </w:r>
          </w:p>
        </w:tc>
        <w:tc>
          <w:tcPr>
            <w:tcW w:w="22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262,375</w:t>
            </w:r>
          </w:p>
        </w:tc>
        <w:tc>
          <w:tcPr>
            <w:tcW w:w="17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$453.1M</w:t>
            </w:r>
          </w:p>
        </w:tc>
        <w:tc>
          <w:tcPr>
            <w:tcW w:w="19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6"/>
                <w:szCs w:val="16"/>
                <w:color w:val="auto"/>
                <w:w w:val="99"/>
              </w:rPr>
              <w:t>$25M</w:t>
            </w:r>
          </w:p>
        </w:tc>
      </w:tr>
      <w:tr>
        <w:trPr>
          <w:trHeight w:val="237"/>
        </w:trPr>
        <w:tc>
          <w:tcPr>
            <w:tcW w:w="2180" w:type="dxa"/>
            <w:vAlign w:val="bottom"/>
            <w:tcBorders>
              <w:top w:val="single" w:sz="8" w:color="95B3D7"/>
              <w:bottom w:val="single" w:sz="8" w:color="95B3D7"/>
              <w:right w:val="single" w:sz="8" w:color="95B3D7"/>
            </w:tcBorders>
            <w:gridSpan w:val="2"/>
          </w:tcPr>
          <w:p>
            <w:pPr>
              <w:jc w:val="center"/>
              <w:ind w:right="40"/>
              <w:spacing w:after="0" w:line="237" w:lineRule="exact"/>
              <w:rPr>
                <w:sz w:val="20"/>
                <w:szCs w:val="20"/>
                <w:color w:val="auto"/>
              </w:rPr>
            </w:pPr>
            <w:r>
              <w:rPr>
                <w:rFonts w:ascii="Arial" w:cs="Arial" w:eastAsia="Arial" w:hAnsi="Arial"/>
                <w:sz w:val="16"/>
                <w:szCs w:val="16"/>
                <w:b w:val="1"/>
                <w:bCs w:val="1"/>
                <w:color w:val="auto"/>
                <w:w w:val="98"/>
              </w:rPr>
              <w:t>Actual Results</w:t>
            </w:r>
            <w:r>
              <w:rPr>
                <w:rFonts w:ascii="Arial" w:cs="Arial" w:eastAsia="Arial" w:hAnsi="Arial"/>
                <w:sz w:val="21"/>
                <w:szCs w:val="21"/>
                <w:b w:val="1"/>
                <w:bCs w:val="1"/>
                <w:color w:val="auto"/>
                <w:w w:val="98"/>
                <w:vertAlign w:val="superscript"/>
              </w:rPr>
              <w:t>(2)</w:t>
            </w:r>
          </w:p>
        </w:tc>
        <w:tc>
          <w:tcPr>
            <w:tcW w:w="2260" w:type="dxa"/>
            <w:vAlign w:val="bottom"/>
            <w:tcBorders>
              <w:top w:val="single" w:sz="8" w:color="95B3D7"/>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w w:val="99"/>
              </w:rPr>
              <w:t>200.0% of Target</w:t>
            </w:r>
          </w:p>
        </w:tc>
        <w:tc>
          <w:tcPr>
            <w:tcW w:w="1740" w:type="dxa"/>
            <w:vAlign w:val="bottom"/>
            <w:tcBorders>
              <w:top w:val="single" w:sz="8" w:color="95B3D7"/>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200.0% of Target</w:t>
            </w:r>
          </w:p>
        </w:tc>
        <w:tc>
          <w:tcPr>
            <w:tcW w:w="1960" w:type="dxa"/>
            <w:vAlign w:val="bottom"/>
            <w:tcBorders>
              <w:top w:val="single" w:sz="8" w:color="95B3D7"/>
              <w:bottom w:val="single" w:sz="8" w:color="95B3D7"/>
            </w:tcBorders>
          </w:tcPr>
          <w:p>
            <w:pPr>
              <w:jc w:val="center"/>
              <w:spacing w:after="0"/>
              <w:rPr>
                <w:sz w:val="20"/>
                <w:szCs w:val="20"/>
                <w:color w:val="auto"/>
              </w:rPr>
            </w:pPr>
            <w:r>
              <w:rPr>
                <w:rFonts w:ascii="Arial" w:cs="Arial" w:eastAsia="Arial" w:hAnsi="Arial"/>
                <w:sz w:val="16"/>
                <w:szCs w:val="16"/>
                <w:color w:val="auto"/>
                <w:w w:val="99"/>
              </w:rPr>
              <w:t>200.0% of Target</w:t>
            </w:r>
          </w:p>
        </w:tc>
      </w:tr>
      <w:tr>
        <w:trPr>
          <w:trHeight w:val="236"/>
        </w:trPr>
        <w:tc>
          <w:tcPr>
            <w:tcW w:w="2180" w:type="dxa"/>
            <w:vAlign w:val="bottom"/>
            <w:tcBorders>
              <w:bottom w:val="single" w:sz="8" w:color="95B3D7"/>
              <w:right w:val="single" w:sz="8" w:color="DBE5F1"/>
            </w:tcBorders>
            <w:gridSpan w:val="2"/>
            <w:shd w:val="clear" w:color="auto" w:fill="DBE5F1"/>
          </w:tcPr>
          <w:p>
            <w:pPr>
              <w:jc w:val="center"/>
              <w:ind w:right="40"/>
              <w:spacing w:after="0" w:line="237" w:lineRule="exact"/>
              <w:rPr>
                <w:sz w:val="20"/>
                <w:szCs w:val="20"/>
                <w:color w:val="auto"/>
              </w:rPr>
            </w:pPr>
            <w:r>
              <w:rPr>
                <w:rFonts w:ascii="Arial" w:cs="Arial" w:eastAsia="Arial" w:hAnsi="Arial"/>
                <w:sz w:val="16"/>
                <w:szCs w:val="16"/>
                <w:b w:val="1"/>
                <w:bCs w:val="1"/>
                <w:color w:val="auto"/>
                <w:w w:val="98"/>
              </w:rPr>
              <w:t>Funded Amount</w:t>
            </w:r>
            <w:r>
              <w:rPr>
                <w:rFonts w:ascii="Arial" w:cs="Arial" w:eastAsia="Arial" w:hAnsi="Arial"/>
                <w:sz w:val="21"/>
                <w:szCs w:val="21"/>
                <w:b w:val="1"/>
                <w:bCs w:val="1"/>
                <w:color w:val="auto"/>
                <w:w w:val="98"/>
                <w:vertAlign w:val="superscript"/>
              </w:rPr>
              <w:t>(3)</w:t>
            </w:r>
          </w:p>
        </w:tc>
        <w:tc>
          <w:tcPr>
            <w:tcW w:w="2260" w:type="dxa"/>
            <w:vAlign w:val="bottom"/>
            <w:tcBorders>
              <w:bottom w:val="single" w:sz="8" w:color="95B3D7"/>
              <w:right w:val="single" w:sz="8" w:color="DBE5F1"/>
            </w:tcBorders>
            <w:shd w:val="clear" w:color="auto" w:fill="DBE5F1"/>
          </w:tcPr>
          <w:p>
            <w:pPr>
              <w:spacing w:after="0"/>
              <w:rPr>
                <w:sz w:val="20"/>
                <w:szCs w:val="20"/>
                <w:color w:val="auto"/>
              </w:rPr>
            </w:pPr>
          </w:p>
        </w:tc>
        <w:tc>
          <w:tcPr>
            <w:tcW w:w="1740" w:type="dxa"/>
            <w:vAlign w:val="bottom"/>
            <w:tcBorders>
              <w:bottom w:val="single" w:sz="8" w:color="95B3D7"/>
              <w:right w:val="single" w:sz="8" w:color="DBE5F1"/>
            </w:tcBorders>
            <w:shd w:val="clear" w:color="auto" w:fill="DBE5F1"/>
          </w:tcPr>
          <w:p>
            <w:pPr>
              <w:jc w:val="center"/>
              <w:ind w:right="259"/>
              <w:spacing w:after="0"/>
              <w:rPr>
                <w:sz w:val="20"/>
                <w:szCs w:val="20"/>
                <w:color w:val="auto"/>
              </w:rPr>
            </w:pPr>
            <w:r>
              <w:rPr>
                <w:rFonts w:ascii="Arial" w:cs="Arial" w:eastAsia="Arial" w:hAnsi="Arial"/>
                <w:sz w:val="16"/>
                <w:szCs w:val="16"/>
                <w:b w:val="1"/>
                <w:bCs w:val="1"/>
                <w:i w:val="1"/>
                <w:iCs w:val="1"/>
                <w:color w:val="auto"/>
              </w:rPr>
              <w:t>200.0% of Target</w:t>
            </w:r>
          </w:p>
        </w:tc>
        <w:tc>
          <w:tcPr>
            <w:tcW w:w="1960" w:type="dxa"/>
            <w:vAlign w:val="bottom"/>
            <w:tcBorders>
              <w:bottom w:val="single" w:sz="8" w:color="95B3D7"/>
            </w:tcBorders>
            <w:shd w:val="clear" w:color="auto" w:fill="DBE5F1"/>
          </w:tcPr>
          <w:p>
            <w:pPr>
              <w:spacing w:after="0"/>
              <w:rPr>
                <w:sz w:val="20"/>
                <w:szCs w:val="20"/>
                <w:color w:val="auto"/>
              </w:rPr>
            </w:pPr>
          </w:p>
        </w:tc>
      </w:tr>
    </w:tbl>
    <w:p>
      <w:pPr>
        <w:spacing w:after="0" w:line="328" w:lineRule="exact"/>
        <w:rPr>
          <w:sz w:val="20"/>
          <w:szCs w:val="20"/>
          <w:color w:val="auto"/>
        </w:rPr>
      </w:pPr>
    </w:p>
    <w:p>
      <w:pPr>
        <w:ind w:left="820" w:right="300" w:hanging="320"/>
        <w:spacing w:after="0" w:line="273" w:lineRule="auto"/>
        <w:tabs>
          <w:tab w:leader="none" w:pos="834" w:val="left"/>
        </w:tabs>
        <w:numPr>
          <w:ilvl w:val="0"/>
          <w:numId w:val="47"/>
        </w:numPr>
        <w:rPr>
          <w:rFonts w:ascii="Arial" w:cs="Arial" w:eastAsia="Arial" w:hAnsi="Arial"/>
          <w:sz w:val="14"/>
          <w:szCs w:val="14"/>
          <w:color w:val="auto"/>
        </w:rPr>
      </w:pPr>
      <w:r>
        <w:rPr>
          <w:rFonts w:ascii="Arial" w:cs="Arial" w:eastAsia="Arial" w:hAnsi="Arial"/>
          <w:sz w:val="14"/>
          <w:szCs w:val="14"/>
          <w:color w:val="auto"/>
        </w:rPr>
        <w:t>Adjusted gross profit and adjusted EBITDA are non-GAAP measures. For a reconciliation to the most directly comparable GAAP measures, please see the Appendix to this proxy statement. For these measures, performance is measured from “Target” to “Maximum” on a linear basis excluding incremental additional accruals for Annual Incentive Plan payouts for performance above “Target.”</w:t>
      </w:r>
    </w:p>
    <w:p>
      <w:pPr>
        <w:spacing w:after="0" w:line="71" w:lineRule="exact"/>
        <w:rPr>
          <w:rFonts w:ascii="Arial" w:cs="Arial" w:eastAsia="Arial" w:hAnsi="Arial"/>
          <w:sz w:val="14"/>
          <w:szCs w:val="14"/>
          <w:color w:val="auto"/>
        </w:rPr>
      </w:pPr>
    </w:p>
    <w:p>
      <w:pPr>
        <w:ind w:left="820" w:right="260" w:hanging="320"/>
        <w:spacing w:after="0" w:line="305" w:lineRule="auto"/>
        <w:tabs>
          <w:tab w:leader="none" w:pos="8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actual percent of target achieved, if below maximum, is calculated based on straight-line interpolation between incremental goal levels established between threshold and target and target and maximum.</w:t>
      </w:r>
    </w:p>
    <w:p>
      <w:pPr>
        <w:spacing w:after="0" w:line="49" w:lineRule="exact"/>
        <w:rPr>
          <w:rFonts w:ascii="Arial" w:cs="Arial" w:eastAsia="Arial" w:hAnsi="Arial"/>
          <w:sz w:val="14"/>
          <w:szCs w:val="14"/>
          <w:color w:val="auto"/>
        </w:rPr>
      </w:pPr>
    </w:p>
    <w:p>
      <w:pPr>
        <w:ind w:left="820" w:right="400" w:hanging="320"/>
        <w:spacing w:after="0" w:line="285" w:lineRule="auto"/>
        <w:tabs>
          <w:tab w:leader="none" w:pos="8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percentage of corporate objectives achieved. Actual payouts to NEOs were adjusted to reflect level of achievement of individual objectives, which ranged from 50% to 200% (except for our CEO, whose payout is entirely based on achievement of corporate objectives).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2025 Annual Incentive Plan Payouts</w:t>
      </w:r>
    </w:p>
    <w:p>
      <w:pPr>
        <w:spacing w:after="0" w:line="142"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8"/>
          <w:szCs w:val="18"/>
          <w:color w:val="auto"/>
        </w:rPr>
        <w:t>Based on the above performance results, the funding of the Annual Incentive Plan was set at 200.0% of each NEO’s applicable target based on the achievement of corporate objectives and subsequently adjusted based on each NEO’s individual performance (excluding the CEO whose bonus is entirely based on the achievement of corporate objectives). Target bonus opportunities for the 2025 year and payout amounts reflect the weighted average of the target bonus opportunity percentages</w:t>
      </w:r>
    </w:p>
    <w:p>
      <w:pPr>
        <w:sectPr>
          <w:pgSz w:w="11900" w:h="16838" w:orient="portrait"/>
          <w:cols w:equalWidth="0" w:num="1">
            <w:col w:w="11240"/>
          </w:cols>
          <w:pgMar w:left="320" w:top="14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51" w:name="page52"/>
    <w:bookmarkEnd w:id="51"/>
    <w:p>
      <w:pPr>
        <w:spacing w:after="0" w:line="99" w:lineRule="exact"/>
        <w:rPr>
          <w:sz w:val="20"/>
          <w:szCs w:val="20"/>
          <w:color w:val="auto"/>
        </w:rPr>
      </w:pPr>
    </w:p>
    <w:p>
      <w:pPr>
        <w:spacing w:after="0" w:line="318" w:lineRule="auto"/>
        <w:rPr>
          <w:sz w:val="20"/>
          <w:szCs w:val="20"/>
          <w:color w:val="auto"/>
        </w:rPr>
      </w:pPr>
      <w:r>
        <w:rPr>
          <w:rFonts w:ascii="Arial" w:cs="Arial" w:eastAsia="Arial" w:hAnsi="Arial"/>
          <w:sz w:val="18"/>
          <w:szCs w:val="18"/>
          <w:color w:val="auto"/>
        </w:rPr>
        <w:t>applicable to each NEO for each applicable period throughout the year. The table below sets forth the actual awards earned by the NEOs in 2025 (and paid in 2026):</w:t>
      </w:r>
    </w:p>
    <w:p>
      <w:pPr>
        <w:spacing w:after="0" w:line="164"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6"/>
                <w:szCs w:val="16"/>
                <w:b w:val="1"/>
                <w:bCs w:val="1"/>
                <w:color w:val="auto"/>
              </w:rPr>
              <w:t>2025</w:t>
            </w:r>
          </w:p>
        </w:tc>
        <w:tc>
          <w:tcPr>
            <w:tcW w:w="13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2025 Target</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Corporate</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rPr>
              <w:t>Individual</w:t>
            </w:r>
          </w:p>
        </w:tc>
        <w:tc>
          <w:tcPr>
            <w:tcW w:w="112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Payout</w:t>
            </w: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auto"/>
              </w:rPr>
              <w:t>Payout as</w:t>
            </w:r>
          </w:p>
        </w:tc>
        <w:tc>
          <w:tcPr>
            <w:tcW w:w="0" w:type="dxa"/>
            <w:vAlign w:val="bottom"/>
          </w:tcPr>
          <w:p>
            <w:pPr>
              <w:spacing w:after="0"/>
              <w:rPr>
                <w:sz w:val="1"/>
                <w:szCs w:val="1"/>
                <w:color w:val="auto"/>
              </w:rPr>
            </w:pPr>
          </w:p>
        </w:tc>
      </w:tr>
      <w:tr>
        <w:trPr>
          <w:trHeight w:val="107"/>
        </w:trPr>
        <w:tc>
          <w:tcPr>
            <w:tcW w:w="1120" w:type="dxa"/>
            <w:vAlign w:val="bottom"/>
          </w:tcPr>
          <w:p>
            <w:pPr>
              <w:spacing w:after="0"/>
              <w:rPr>
                <w:sz w:val="9"/>
                <w:szCs w:val="9"/>
                <w:color w:val="auto"/>
              </w:rPr>
            </w:pPr>
          </w:p>
        </w:tc>
        <w:tc>
          <w:tcPr>
            <w:tcW w:w="800" w:type="dxa"/>
            <w:vAlign w:val="bottom"/>
            <w:vMerge w:val="restart"/>
          </w:tcPr>
          <w:p>
            <w:pPr>
              <w:ind w:left="120"/>
              <w:spacing w:after="0" w:line="162" w:lineRule="exact"/>
              <w:rPr>
                <w:sz w:val="20"/>
                <w:szCs w:val="20"/>
                <w:color w:val="auto"/>
              </w:rPr>
            </w:pPr>
            <w:r>
              <w:rPr>
                <w:rFonts w:ascii="Arial" w:cs="Arial" w:eastAsia="Arial" w:hAnsi="Arial"/>
                <w:sz w:val="16"/>
                <w:szCs w:val="16"/>
                <w:b w:val="1"/>
                <w:bCs w:val="1"/>
                <w:color w:val="auto"/>
              </w:rPr>
              <w:t>Bonus</w:t>
            </w:r>
          </w:p>
        </w:tc>
        <w:tc>
          <w:tcPr>
            <w:tcW w:w="280" w:type="dxa"/>
            <w:vAlign w:val="bottom"/>
          </w:tcPr>
          <w:p>
            <w:pPr>
              <w:spacing w:after="0"/>
              <w:rPr>
                <w:sz w:val="9"/>
                <w:szCs w:val="9"/>
                <w:color w:val="auto"/>
              </w:rPr>
            </w:pPr>
          </w:p>
        </w:tc>
        <w:tc>
          <w:tcPr>
            <w:tcW w:w="1020" w:type="dxa"/>
            <w:vAlign w:val="bottom"/>
            <w:gridSpan w:val="2"/>
            <w:vMerge w:val="restart"/>
          </w:tcPr>
          <w:p>
            <w:pPr>
              <w:jc w:val="center"/>
              <w:ind w:right="320"/>
              <w:spacing w:after="0" w:line="162" w:lineRule="exact"/>
              <w:rPr>
                <w:sz w:val="20"/>
                <w:szCs w:val="20"/>
                <w:color w:val="auto"/>
              </w:rPr>
            </w:pPr>
            <w:r>
              <w:rPr>
                <w:rFonts w:ascii="Arial" w:cs="Arial" w:eastAsia="Arial" w:hAnsi="Arial"/>
                <w:sz w:val="16"/>
                <w:szCs w:val="16"/>
                <w:b w:val="1"/>
                <w:bCs w:val="1"/>
                <w:color w:val="auto"/>
              </w:rPr>
              <w:t>Bonus</w:t>
            </w:r>
          </w:p>
        </w:tc>
        <w:tc>
          <w:tcPr>
            <w:tcW w:w="13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Performance</w:t>
            </w:r>
          </w:p>
        </w:tc>
        <w:tc>
          <w:tcPr>
            <w:tcW w:w="136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rPr>
              <w:t>Performance</w:t>
            </w:r>
          </w:p>
        </w:tc>
        <w:tc>
          <w:tcPr>
            <w:tcW w:w="1120" w:type="dxa"/>
            <w:vAlign w:val="bottom"/>
            <w:vMerge w:val="continue"/>
          </w:tcPr>
          <w:p>
            <w:pPr>
              <w:spacing w:after="0"/>
              <w:rPr>
                <w:sz w:val="9"/>
                <w:szCs w:val="9"/>
                <w:color w:val="auto"/>
              </w:rPr>
            </w:pPr>
          </w:p>
        </w:tc>
        <w:tc>
          <w:tcPr>
            <w:tcW w:w="90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w w:val="99"/>
              </w:rPr>
              <w:t>Percent of</w:t>
            </w:r>
          </w:p>
        </w:tc>
        <w:tc>
          <w:tcPr>
            <w:tcW w:w="0" w:type="dxa"/>
            <w:vAlign w:val="bottom"/>
          </w:tcPr>
          <w:p>
            <w:pPr>
              <w:spacing w:after="0"/>
              <w:rPr>
                <w:sz w:val="1"/>
                <w:szCs w:val="1"/>
                <w:color w:val="auto"/>
              </w:rPr>
            </w:pPr>
          </w:p>
        </w:tc>
      </w:tr>
      <w:tr>
        <w:trPr>
          <w:trHeight w:val="55"/>
        </w:trPr>
        <w:tc>
          <w:tcPr>
            <w:tcW w:w="11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restart"/>
          </w:tcPr>
          <w:p>
            <w:pPr>
              <w:ind w:left="160"/>
              <w:spacing w:after="0" w:line="217" w:lineRule="exact"/>
              <w:rPr>
                <w:sz w:val="20"/>
                <w:szCs w:val="20"/>
                <w:color w:val="auto"/>
              </w:rPr>
            </w:pPr>
            <w:r>
              <w:rPr>
                <w:rFonts w:ascii="Arial" w:cs="Arial" w:eastAsia="Arial" w:hAnsi="Arial"/>
                <w:sz w:val="16"/>
                <w:szCs w:val="16"/>
                <w:b w:val="1"/>
                <w:bCs w:val="1"/>
                <w:color w:val="auto"/>
              </w:rPr>
              <w:t>Amount</w:t>
            </w:r>
            <w:r>
              <w:rPr>
                <w:rFonts w:ascii="Arial" w:cs="Arial" w:eastAsia="Arial" w:hAnsi="Arial"/>
                <w:sz w:val="21"/>
                <w:szCs w:val="21"/>
                <w:b w:val="1"/>
                <w:bCs w:val="1"/>
                <w:color w:val="auto"/>
                <w:vertAlign w:val="superscript"/>
              </w:rPr>
              <w:t>(1)</w:t>
            </w: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12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Name</w:t>
            </w:r>
          </w:p>
        </w:tc>
        <w:tc>
          <w:tcPr>
            <w:tcW w:w="800" w:type="dxa"/>
            <w:vAlign w:val="bottom"/>
          </w:tcPr>
          <w:p>
            <w:pPr>
              <w:ind w:left="140"/>
              <w:spacing w:after="0" w:line="162" w:lineRule="exact"/>
              <w:rPr>
                <w:sz w:val="20"/>
                <w:szCs w:val="20"/>
                <w:color w:val="auto"/>
              </w:rPr>
            </w:pPr>
            <w:r>
              <w:rPr>
                <w:rFonts w:ascii="Arial" w:cs="Arial" w:eastAsia="Arial" w:hAnsi="Arial"/>
                <w:sz w:val="16"/>
                <w:szCs w:val="16"/>
                <w:b w:val="1"/>
                <w:bCs w:val="1"/>
                <w:color w:val="auto"/>
              </w:rPr>
              <w:t>Target</w:t>
            </w:r>
          </w:p>
        </w:tc>
        <w:tc>
          <w:tcPr>
            <w:tcW w:w="1300" w:type="dxa"/>
            <w:vAlign w:val="bottom"/>
            <w:gridSpan w:val="3"/>
          </w:tcPr>
          <w:p>
            <w:pPr>
              <w:jc w:val="center"/>
              <w:ind w:right="40"/>
              <w:spacing w:after="0" w:line="162" w:lineRule="exact"/>
              <w:rPr>
                <w:sz w:val="20"/>
                <w:szCs w:val="20"/>
                <w:color w:val="auto"/>
              </w:rPr>
            </w:pPr>
            <w:r>
              <w:rPr>
                <w:rFonts w:ascii="Arial" w:cs="Arial" w:eastAsia="Arial" w:hAnsi="Arial"/>
                <w:sz w:val="16"/>
                <w:szCs w:val="16"/>
                <w:b w:val="1"/>
                <w:bCs w:val="1"/>
                <w:color w:val="auto"/>
              </w:rPr>
              <w:t>Opportunity</w:t>
            </w: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Results</w:t>
            </w:r>
          </w:p>
        </w:tc>
        <w:tc>
          <w:tcPr>
            <w:tcW w:w="13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Results</w:t>
            </w:r>
          </w:p>
        </w:tc>
        <w:tc>
          <w:tcPr>
            <w:tcW w:w="1120" w:type="dxa"/>
            <w:vAlign w:val="bottom"/>
            <w:vMerge w:val="continue"/>
          </w:tcPr>
          <w:p>
            <w:pPr>
              <w:spacing w:after="0"/>
              <w:rPr>
                <w:sz w:val="14"/>
                <w:szCs w:val="14"/>
                <w:color w:val="auto"/>
              </w:rPr>
            </w:pPr>
          </w:p>
        </w:tc>
        <w:tc>
          <w:tcPr>
            <w:tcW w:w="90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8"/>
              </w:rPr>
              <w:t>Target</w:t>
            </w:r>
          </w:p>
        </w:tc>
        <w:tc>
          <w:tcPr>
            <w:tcW w:w="0" w:type="dxa"/>
            <w:vAlign w:val="bottom"/>
          </w:tcPr>
          <w:p>
            <w:pPr>
              <w:spacing w:after="0"/>
              <w:rPr>
                <w:sz w:val="1"/>
                <w:szCs w:val="1"/>
                <w:color w:val="auto"/>
              </w:rPr>
            </w:pPr>
          </w:p>
        </w:tc>
      </w:tr>
      <w:tr>
        <w:trPr>
          <w:trHeight w:val="216"/>
        </w:trPr>
        <w:tc>
          <w:tcPr>
            <w:tcW w:w="1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w:t>
            </w:r>
          </w:p>
        </w:tc>
        <w:tc>
          <w:tcPr>
            <w:tcW w:w="100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2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John Kao</w:t>
            </w:r>
          </w:p>
        </w:tc>
        <w:tc>
          <w:tcPr>
            <w:tcW w:w="8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123.6</w:t>
            </w:r>
          </w:p>
        </w:tc>
        <w:tc>
          <w:tcPr>
            <w:tcW w:w="280" w:type="dxa"/>
            <w:vAlign w:val="bottom"/>
            <w:shd w:val="clear" w:color="auto" w:fill="DBE5F1"/>
          </w:tcPr>
          <w:p>
            <w:pPr>
              <w:spacing w:after="0"/>
              <w:rPr>
                <w:sz w:val="20"/>
                <w:szCs w:val="20"/>
                <w:color w:val="auto"/>
              </w:rPr>
            </w:pPr>
          </w:p>
        </w:tc>
        <w:tc>
          <w:tcPr>
            <w:tcW w:w="720" w:type="dxa"/>
            <w:vAlign w:val="bottom"/>
            <w:shd w:val="clear" w:color="auto" w:fill="DBE5F1"/>
          </w:tcPr>
          <w:p>
            <w:pPr>
              <w:jc w:val="center"/>
              <w:spacing w:after="0"/>
              <w:rPr>
                <w:sz w:val="20"/>
                <w:szCs w:val="20"/>
                <w:color w:val="auto"/>
              </w:rPr>
            </w:pPr>
            <w:r>
              <w:rPr>
                <w:rFonts w:ascii="Arial" w:cs="Arial" w:eastAsia="Arial" w:hAnsi="Arial"/>
                <w:sz w:val="16"/>
                <w:szCs w:val="16"/>
                <w:color w:val="auto"/>
                <w:shd w:val="clear" w:color="auto" w:fill="DBE5F1"/>
              </w:rPr>
              <w:t>1,050,192</w:t>
            </w:r>
          </w:p>
        </w:tc>
        <w:tc>
          <w:tcPr>
            <w:tcW w:w="300" w:type="dxa"/>
            <w:vAlign w:val="bottom"/>
            <w:tcBorders>
              <w:right w:val="single" w:sz="8" w:color="95B3D7"/>
            </w:tcBorders>
            <w:shd w:val="clear" w:color="auto" w:fill="DBE5F1"/>
          </w:tcPr>
          <w:p>
            <w:pPr>
              <w:spacing w:after="0"/>
              <w:rPr>
                <w:sz w:val="20"/>
                <w:szCs w:val="20"/>
                <w:color w:val="auto"/>
              </w:rPr>
            </w:pPr>
          </w:p>
        </w:tc>
        <w:tc>
          <w:tcPr>
            <w:tcW w:w="13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200.0</w:t>
            </w:r>
          </w:p>
        </w:tc>
        <w:tc>
          <w:tcPr>
            <w:tcW w:w="13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8"/>
              </w:rPr>
              <w:t>n/a</w:t>
            </w:r>
          </w:p>
        </w:tc>
        <w:tc>
          <w:tcPr>
            <w:tcW w:w="112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2,100,383</w:t>
            </w:r>
          </w:p>
        </w:tc>
        <w:tc>
          <w:tcPr>
            <w:tcW w:w="660" w:type="dxa"/>
            <w:vAlign w:val="bottom"/>
            <w:shd w:val="clear" w:color="auto" w:fill="DBE5F1"/>
          </w:tcPr>
          <w:p>
            <w:pPr>
              <w:jc w:val="center"/>
              <w:ind w:left="179"/>
              <w:spacing w:after="0"/>
              <w:rPr>
                <w:sz w:val="20"/>
                <w:szCs w:val="20"/>
                <w:color w:val="auto"/>
              </w:rPr>
            </w:pPr>
            <w:r>
              <w:rPr>
                <w:rFonts w:ascii="Arial" w:cs="Arial" w:eastAsia="Arial" w:hAnsi="Arial"/>
                <w:sz w:val="16"/>
                <w:szCs w:val="16"/>
                <w:color w:val="auto"/>
                <w:w w:val="99"/>
                <w:shd w:val="clear" w:color="auto" w:fill="DBE5F1"/>
              </w:rPr>
              <w:t>200.0</w:t>
            </w:r>
          </w:p>
        </w:tc>
        <w:tc>
          <w:tcPr>
            <w:tcW w:w="240" w:type="dxa"/>
            <w:vAlign w:val="bottom"/>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120" w:type="dxa"/>
            <w:vAlign w:val="bottom"/>
            <w:tcBorders>
              <w:right w:val="single" w:sz="8" w:color="95B3D7"/>
            </w:tcBorders>
            <w:shd w:val="clear" w:color="auto" w:fill="DBE5F1"/>
          </w:tcPr>
          <w:p>
            <w:pPr>
              <w:spacing w:after="0"/>
              <w:rPr>
                <w:sz w:val="5"/>
                <w:szCs w:val="5"/>
                <w:color w:val="auto"/>
              </w:rPr>
            </w:pPr>
          </w:p>
        </w:tc>
        <w:tc>
          <w:tcPr>
            <w:tcW w:w="800" w:type="dxa"/>
            <w:vAlign w:val="bottom"/>
            <w:tcBorders>
              <w:right w:val="single" w:sz="8" w:color="95B3D7"/>
            </w:tcBorders>
            <w:shd w:val="clear" w:color="auto" w:fill="DBE5F1"/>
          </w:tcPr>
          <w:p>
            <w:pPr>
              <w:spacing w:after="0"/>
              <w:rPr>
                <w:sz w:val="5"/>
                <w:szCs w:val="5"/>
                <w:color w:val="auto"/>
              </w:rPr>
            </w:pPr>
          </w:p>
        </w:tc>
        <w:tc>
          <w:tcPr>
            <w:tcW w:w="280" w:type="dxa"/>
            <w:vAlign w:val="bottom"/>
            <w:shd w:val="clear" w:color="auto" w:fill="DBE5F1"/>
          </w:tcPr>
          <w:p>
            <w:pPr>
              <w:spacing w:after="0"/>
              <w:rPr>
                <w:sz w:val="5"/>
                <w:szCs w:val="5"/>
                <w:color w:val="auto"/>
              </w:rPr>
            </w:pPr>
          </w:p>
        </w:tc>
        <w:tc>
          <w:tcPr>
            <w:tcW w:w="720" w:type="dxa"/>
            <w:vAlign w:val="bottom"/>
            <w:shd w:val="clear" w:color="auto" w:fill="DBE5F1"/>
          </w:tcPr>
          <w:p>
            <w:pPr>
              <w:spacing w:after="0"/>
              <w:rPr>
                <w:sz w:val="5"/>
                <w:szCs w:val="5"/>
                <w:color w:val="auto"/>
              </w:rPr>
            </w:pPr>
          </w:p>
        </w:tc>
        <w:tc>
          <w:tcPr>
            <w:tcW w:w="300" w:type="dxa"/>
            <w:vAlign w:val="bottom"/>
            <w:tcBorders>
              <w:right w:val="single" w:sz="8" w:color="95B3D7"/>
            </w:tcBorders>
            <w:shd w:val="clear" w:color="auto" w:fill="DBE5F1"/>
          </w:tcPr>
          <w:p>
            <w:pPr>
              <w:spacing w:after="0"/>
              <w:rPr>
                <w:sz w:val="5"/>
                <w:szCs w:val="5"/>
                <w:color w:val="auto"/>
              </w:rPr>
            </w:pPr>
          </w:p>
        </w:tc>
        <w:tc>
          <w:tcPr>
            <w:tcW w:w="1360" w:type="dxa"/>
            <w:vAlign w:val="bottom"/>
            <w:tcBorders>
              <w:right w:val="single" w:sz="8" w:color="95B3D7"/>
            </w:tcBorders>
            <w:shd w:val="clear" w:color="auto" w:fill="DBE5F1"/>
          </w:tcPr>
          <w:p>
            <w:pPr>
              <w:spacing w:after="0"/>
              <w:rPr>
                <w:sz w:val="5"/>
                <w:szCs w:val="5"/>
                <w:color w:val="auto"/>
              </w:rPr>
            </w:pPr>
          </w:p>
        </w:tc>
        <w:tc>
          <w:tcPr>
            <w:tcW w:w="1360" w:type="dxa"/>
            <w:vAlign w:val="bottom"/>
            <w:tcBorders>
              <w:right w:val="single" w:sz="8" w:color="95B3D7"/>
            </w:tcBorders>
            <w:shd w:val="clear" w:color="auto" w:fill="DBE5F1"/>
          </w:tcPr>
          <w:p>
            <w:pPr>
              <w:spacing w:after="0"/>
              <w:rPr>
                <w:sz w:val="5"/>
                <w:szCs w:val="5"/>
                <w:color w:val="auto"/>
              </w:rPr>
            </w:pPr>
          </w:p>
        </w:tc>
        <w:tc>
          <w:tcPr>
            <w:tcW w:w="1120" w:type="dxa"/>
            <w:vAlign w:val="bottom"/>
            <w:tcBorders>
              <w:right w:val="single" w:sz="8" w:color="95B3D7"/>
            </w:tcBorders>
            <w:shd w:val="clear" w:color="auto" w:fill="DBE5F1"/>
          </w:tcPr>
          <w:p>
            <w:pPr>
              <w:spacing w:after="0"/>
              <w:rPr>
                <w:sz w:val="5"/>
                <w:szCs w:val="5"/>
                <w:color w:val="auto"/>
              </w:rPr>
            </w:pPr>
          </w:p>
        </w:tc>
        <w:tc>
          <w:tcPr>
            <w:tcW w:w="660" w:type="dxa"/>
            <w:vAlign w:val="bottom"/>
            <w:shd w:val="clear" w:color="auto" w:fill="DBE5F1"/>
          </w:tcPr>
          <w:p>
            <w:pPr>
              <w:spacing w:after="0"/>
              <w:rPr>
                <w:sz w:val="5"/>
                <w:szCs w:val="5"/>
                <w:color w:val="auto"/>
              </w:rPr>
            </w:pPr>
          </w:p>
        </w:tc>
        <w:tc>
          <w:tcPr>
            <w:tcW w:w="240" w:type="dxa"/>
            <w:vAlign w:val="bottom"/>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112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Dawn</w:t>
            </w:r>
          </w:p>
        </w:tc>
        <w:tc>
          <w:tcPr>
            <w:tcW w:w="80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85</w:t>
            </w:r>
          </w:p>
        </w:tc>
        <w:tc>
          <w:tcPr>
            <w:tcW w:w="1000" w:type="dxa"/>
            <w:vAlign w:val="bottom"/>
            <w:gridSpan w:val="2"/>
            <w:vMerge w:val="restart"/>
          </w:tcPr>
          <w:p>
            <w:pPr>
              <w:jc w:val="center"/>
              <w:ind w:left="199"/>
              <w:spacing w:after="0"/>
              <w:rPr>
                <w:sz w:val="20"/>
                <w:szCs w:val="20"/>
                <w:color w:val="auto"/>
              </w:rPr>
            </w:pPr>
            <w:r>
              <w:rPr>
                <w:rFonts w:ascii="Arial" w:cs="Arial" w:eastAsia="Arial" w:hAnsi="Arial"/>
                <w:sz w:val="16"/>
                <w:szCs w:val="16"/>
                <w:color w:val="auto"/>
                <w:w w:val="96"/>
              </w:rPr>
              <w:t>572,116</w:t>
            </w:r>
          </w:p>
        </w:tc>
        <w:tc>
          <w:tcPr>
            <w:tcW w:w="300" w:type="dxa"/>
            <w:vAlign w:val="bottom"/>
            <w:tcBorders>
              <w:right w:val="single" w:sz="8" w:color="95B3D7"/>
            </w:tcBorders>
          </w:tcPr>
          <w:p>
            <w:pPr>
              <w:spacing w:after="0"/>
              <w:rPr>
                <w:sz w:val="17"/>
                <w:szCs w:val="17"/>
                <w:color w:val="auto"/>
              </w:rPr>
            </w:pPr>
          </w:p>
        </w:tc>
        <w:tc>
          <w:tcPr>
            <w:tcW w:w="136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200.0</w:t>
            </w:r>
          </w:p>
        </w:tc>
        <w:tc>
          <w:tcPr>
            <w:tcW w:w="136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w w:val="99"/>
              </w:rPr>
              <w:t>200.0</w:t>
            </w:r>
          </w:p>
        </w:tc>
        <w:tc>
          <w:tcPr>
            <w:tcW w:w="112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1,144,231</w:t>
            </w:r>
          </w:p>
        </w:tc>
        <w:tc>
          <w:tcPr>
            <w:tcW w:w="660" w:type="dxa"/>
            <w:vAlign w:val="bottom"/>
            <w:vMerge w:val="restart"/>
          </w:tcPr>
          <w:p>
            <w:pPr>
              <w:jc w:val="center"/>
              <w:ind w:left="179"/>
              <w:spacing w:after="0"/>
              <w:rPr>
                <w:sz w:val="20"/>
                <w:szCs w:val="20"/>
                <w:color w:val="auto"/>
              </w:rPr>
            </w:pPr>
            <w:r>
              <w:rPr>
                <w:rFonts w:ascii="Arial" w:cs="Arial" w:eastAsia="Arial" w:hAnsi="Arial"/>
                <w:sz w:val="16"/>
                <w:szCs w:val="16"/>
                <w:color w:val="auto"/>
                <w:w w:val="99"/>
              </w:rPr>
              <w:t>200.0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12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6"/>
                <w:szCs w:val="16"/>
                <w:color w:val="auto"/>
              </w:rPr>
              <w:t>Maroney</w:t>
            </w:r>
          </w:p>
        </w:tc>
        <w:tc>
          <w:tcPr>
            <w:tcW w:w="800" w:type="dxa"/>
            <w:vAlign w:val="bottom"/>
            <w:tcBorders>
              <w:right w:val="single" w:sz="8" w:color="95B3D7"/>
            </w:tcBorders>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00" w:type="dxa"/>
            <w:vAlign w:val="bottom"/>
            <w:tcBorders>
              <w:right w:val="single" w:sz="8" w:color="95B3D7"/>
            </w:tcBorders>
          </w:tcPr>
          <w:p>
            <w:pPr>
              <w:spacing w:after="0"/>
              <w:rPr>
                <w:sz w:val="10"/>
                <w:szCs w:val="10"/>
                <w:color w:val="auto"/>
              </w:rPr>
            </w:pPr>
          </w:p>
        </w:tc>
        <w:tc>
          <w:tcPr>
            <w:tcW w:w="1360" w:type="dxa"/>
            <w:vAlign w:val="bottom"/>
            <w:tcBorders>
              <w:right w:val="single" w:sz="8" w:color="95B3D7"/>
            </w:tcBorders>
            <w:vMerge w:val="continue"/>
          </w:tcPr>
          <w:p>
            <w:pPr>
              <w:spacing w:after="0"/>
              <w:rPr>
                <w:sz w:val="10"/>
                <w:szCs w:val="10"/>
                <w:color w:val="auto"/>
              </w:rPr>
            </w:pPr>
          </w:p>
        </w:tc>
        <w:tc>
          <w:tcPr>
            <w:tcW w:w="1360" w:type="dxa"/>
            <w:vAlign w:val="bottom"/>
            <w:tcBorders>
              <w:right w:val="single" w:sz="8" w:color="95B3D7"/>
            </w:tcBorders>
            <w:vMerge w:val="continue"/>
          </w:tcPr>
          <w:p>
            <w:pPr>
              <w:spacing w:after="0"/>
              <w:rPr>
                <w:sz w:val="10"/>
                <w:szCs w:val="10"/>
                <w:color w:val="auto"/>
              </w:rPr>
            </w:pPr>
          </w:p>
        </w:tc>
        <w:tc>
          <w:tcPr>
            <w:tcW w:w="1120" w:type="dxa"/>
            <w:vAlign w:val="bottom"/>
            <w:tcBorders>
              <w:right w:val="single" w:sz="8" w:color="95B3D7"/>
            </w:tcBorders>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tcBorders>
              <w:right w:val="single" w:sz="8" w:color="95B3D7"/>
            </w:tcBorders>
            <w:vMerge w:val="continue"/>
          </w:tcPr>
          <w:p>
            <w:pPr>
              <w:spacing w:after="0"/>
              <w:rPr>
                <w:sz w:val="8"/>
                <w:szCs w:val="8"/>
                <w:color w:val="auto"/>
              </w:rPr>
            </w:pPr>
          </w:p>
        </w:tc>
        <w:tc>
          <w:tcPr>
            <w:tcW w:w="800" w:type="dxa"/>
            <w:vAlign w:val="bottom"/>
            <w:tcBorders>
              <w:right w:val="single" w:sz="8" w:color="95B3D7"/>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95B3D7"/>
            </w:tcBorders>
          </w:tcPr>
          <w:p>
            <w:pPr>
              <w:spacing w:after="0"/>
              <w:rPr>
                <w:sz w:val="8"/>
                <w:szCs w:val="8"/>
                <w:color w:val="auto"/>
              </w:rPr>
            </w:pPr>
          </w:p>
        </w:tc>
        <w:tc>
          <w:tcPr>
            <w:tcW w:w="1360" w:type="dxa"/>
            <w:vAlign w:val="bottom"/>
            <w:tcBorders>
              <w:right w:val="single" w:sz="8" w:color="95B3D7"/>
            </w:tcBorders>
          </w:tcPr>
          <w:p>
            <w:pPr>
              <w:spacing w:after="0"/>
              <w:rPr>
                <w:sz w:val="8"/>
                <w:szCs w:val="8"/>
                <w:color w:val="auto"/>
              </w:rPr>
            </w:pPr>
          </w:p>
        </w:tc>
        <w:tc>
          <w:tcPr>
            <w:tcW w:w="1360" w:type="dxa"/>
            <w:vAlign w:val="bottom"/>
            <w:tcBorders>
              <w:right w:val="single" w:sz="8" w:color="95B3D7"/>
            </w:tcBorders>
          </w:tcPr>
          <w:p>
            <w:pPr>
              <w:spacing w:after="0"/>
              <w:rPr>
                <w:sz w:val="8"/>
                <w:szCs w:val="8"/>
                <w:color w:val="auto"/>
              </w:rPr>
            </w:pPr>
          </w:p>
        </w:tc>
        <w:tc>
          <w:tcPr>
            <w:tcW w:w="1120" w:type="dxa"/>
            <w:vAlign w:val="bottom"/>
            <w:tcBorders>
              <w:right w:val="single" w:sz="8" w:color="95B3D7"/>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120" w:type="dxa"/>
            <w:vAlign w:val="bottom"/>
            <w:tcBorders>
              <w:right w:val="single" w:sz="8" w:color="95B3D7"/>
            </w:tcBorders>
          </w:tcPr>
          <w:p>
            <w:pPr>
              <w:spacing w:after="0"/>
              <w:rPr>
                <w:sz w:val="2"/>
                <w:szCs w:val="2"/>
                <w:color w:val="auto"/>
              </w:rPr>
            </w:pPr>
          </w:p>
        </w:tc>
        <w:tc>
          <w:tcPr>
            <w:tcW w:w="800" w:type="dxa"/>
            <w:vAlign w:val="bottom"/>
            <w:tcBorders>
              <w:right w:val="single" w:sz="8" w:color="95B3D7"/>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Borders>
              <w:right w:val="single" w:sz="8" w:color="95B3D7"/>
            </w:tcBorders>
          </w:tcPr>
          <w:p>
            <w:pPr>
              <w:spacing w:after="0"/>
              <w:rPr>
                <w:sz w:val="2"/>
                <w:szCs w:val="2"/>
                <w:color w:val="auto"/>
              </w:rPr>
            </w:pPr>
          </w:p>
        </w:tc>
        <w:tc>
          <w:tcPr>
            <w:tcW w:w="1360" w:type="dxa"/>
            <w:vAlign w:val="bottom"/>
            <w:tcBorders>
              <w:right w:val="single" w:sz="8" w:color="95B3D7"/>
            </w:tcBorders>
          </w:tcPr>
          <w:p>
            <w:pPr>
              <w:spacing w:after="0"/>
              <w:rPr>
                <w:sz w:val="2"/>
                <w:szCs w:val="2"/>
                <w:color w:val="auto"/>
              </w:rPr>
            </w:pPr>
          </w:p>
        </w:tc>
        <w:tc>
          <w:tcPr>
            <w:tcW w:w="1360" w:type="dxa"/>
            <w:vAlign w:val="bottom"/>
            <w:tcBorders>
              <w:right w:val="single" w:sz="8" w:color="95B3D7"/>
            </w:tcBorders>
          </w:tcPr>
          <w:p>
            <w:pPr>
              <w:spacing w:after="0"/>
              <w:rPr>
                <w:sz w:val="2"/>
                <w:szCs w:val="2"/>
                <w:color w:val="auto"/>
              </w:rPr>
            </w:pPr>
          </w:p>
        </w:tc>
        <w:tc>
          <w:tcPr>
            <w:tcW w:w="1120" w:type="dxa"/>
            <w:vAlign w:val="bottom"/>
            <w:tcBorders>
              <w:right w:val="single" w:sz="8" w:color="95B3D7"/>
            </w:tcBorders>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2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James M.</w:t>
            </w:r>
          </w:p>
        </w:tc>
        <w:tc>
          <w:tcPr>
            <w:tcW w:w="80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85</w:t>
            </w:r>
          </w:p>
        </w:tc>
        <w:tc>
          <w:tcPr>
            <w:tcW w:w="1000" w:type="dxa"/>
            <w:vAlign w:val="bottom"/>
            <w:gridSpan w:val="2"/>
            <w:vMerge w:val="restart"/>
            <w:shd w:val="clear" w:color="auto" w:fill="DBE5F1"/>
          </w:tcPr>
          <w:p>
            <w:pPr>
              <w:jc w:val="center"/>
              <w:ind w:left="199"/>
              <w:spacing w:after="0"/>
              <w:rPr>
                <w:sz w:val="20"/>
                <w:szCs w:val="20"/>
                <w:color w:val="auto"/>
              </w:rPr>
            </w:pPr>
            <w:r>
              <w:rPr>
                <w:rFonts w:ascii="Arial" w:cs="Arial" w:eastAsia="Arial" w:hAnsi="Arial"/>
                <w:sz w:val="16"/>
                <w:szCs w:val="16"/>
                <w:color w:val="auto"/>
              </w:rPr>
              <w:t>315,808</w:t>
            </w:r>
          </w:p>
        </w:tc>
        <w:tc>
          <w:tcPr>
            <w:tcW w:w="300" w:type="dxa"/>
            <w:vAlign w:val="bottom"/>
            <w:tcBorders>
              <w:right w:val="single" w:sz="8" w:color="95B3D7"/>
            </w:tcBorders>
            <w:shd w:val="clear" w:color="auto" w:fill="DBE5F1"/>
          </w:tcPr>
          <w:p>
            <w:pPr>
              <w:spacing w:after="0"/>
              <w:rPr>
                <w:sz w:val="17"/>
                <w:szCs w:val="17"/>
                <w:color w:val="auto"/>
              </w:rPr>
            </w:pPr>
          </w:p>
        </w:tc>
        <w:tc>
          <w:tcPr>
            <w:tcW w:w="136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200.0</w:t>
            </w:r>
          </w:p>
        </w:tc>
        <w:tc>
          <w:tcPr>
            <w:tcW w:w="136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w w:val="99"/>
              </w:rPr>
              <w:t>125.0</w:t>
            </w:r>
          </w:p>
        </w:tc>
        <w:tc>
          <w:tcPr>
            <w:tcW w:w="112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572,402</w:t>
            </w:r>
          </w:p>
        </w:tc>
        <w:tc>
          <w:tcPr>
            <w:tcW w:w="900" w:type="dxa"/>
            <w:vAlign w:val="bottom"/>
            <w:gridSpan w:val="2"/>
            <w:vMerge w:val="restart"/>
            <w:shd w:val="clear" w:color="auto" w:fill="DBE5F1"/>
          </w:tcPr>
          <w:p>
            <w:pPr>
              <w:jc w:val="center"/>
              <w:spacing w:after="0"/>
              <w:rPr>
                <w:sz w:val="20"/>
                <w:szCs w:val="20"/>
                <w:color w:val="auto"/>
              </w:rPr>
            </w:pPr>
            <w:r>
              <w:rPr>
                <w:rFonts w:ascii="Arial" w:cs="Arial" w:eastAsia="Arial" w:hAnsi="Arial"/>
                <w:sz w:val="16"/>
                <w:szCs w:val="16"/>
                <w:color w:val="auto"/>
              </w:rPr>
              <w:t>181.25</w:t>
            </w:r>
          </w:p>
        </w:tc>
        <w:tc>
          <w:tcPr>
            <w:tcW w:w="0" w:type="dxa"/>
            <w:vAlign w:val="bottom"/>
          </w:tcPr>
          <w:p>
            <w:pPr>
              <w:spacing w:after="0"/>
              <w:rPr>
                <w:sz w:val="1"/>
                <w:szCs w:val="1"/>
                <w:color w:val="auto"/>
              </w:rPr>
            </w:pPr>
          </w:p>
        </w:tc>
      </w:tr>
      <w:tr>
        <w:trPr>
          <w:trHeight w:val="120"/>
        </w:trPr>
        <w:tc>
          <w:tcPr>
            <w:tcW w:w="1120" w:type="dxa"/>
            <w:vAlign w:val="bottom"/>
            <w:tcBorders>
              <w:right w:val="single" w:sz="8" w:color="95B3D7"/>
            </w:tcBorders>
            <w:vMerge w:val="restart"/>
            <w:shd w:val="clear" w:color="auto" w:fill="DBE5F1"/>
          </w:tcPr>
          <w:p>
            <w:pPr>
              <w:ind w:left="60"/>
              <w:spacing w:after="0"/>
              <w:rPr>
                <w:sz w:val="20"/>
                <w:szCs w:val="20"/>
                <w:color w:val="auto"/>
              </w:rPr>
            </w:pPr>
            <w:r>
              <w:rPr>
                <w:rFonts w:ascii="Arial" w:cs="Arial" w:eastAsia="Arial" w:hAnsi="Arial"/>
                <w:sz w:val="16"/>
                <w:szCs w:val="16"/>
                <w:color w:val="auto"/>
              </w:rPr>
              <w:t>Head</w:t>
            </w:r>
          </w:p>
        </w:tc>
        <w:tc>
          <w:tcPr>
            <w:tcW w:w="800" w:type="dxa"/>
            <w:vAlign w:val="bottom"/>
            <w:tcBorders>
              <w:right w:val="single" w:sz="8" w:color="95B3D7"/>
            </w:tcBorders>
            <w:vMerge w:val="continue"/>
            <w:shd w:val="clear" w:color="auto" w:fill="DBE5F1"/>
          </w:tcPr>
          <w:p>
            <w:pPr>
              <w:spacing w:after="0"/>
              <w:rPr>
                <w:sz w:val="10"/>
                <w:szCs w:val="10"/>
                <w:color w:val="auto"/>
              </w:rPr>
            </w:pPr>
          </w:p>
        </w:tc>
        <w:tc>
          <w:tcPr>
            <w:tcW w:w="1000" w:type="dxa"/>
            <w:vAlign w:val="bottom"/>
            <w:gridSpan w:val="2"/>
            <w:vMerge w:val="continue"/>
            <w:shd w:val="clear" w:color="auto" w:fill="DBE5F1"/>
          </w:tcPr>
          <w:p>
            <w:pPr>
              <w:spacing w:after="0"/>
              <w:rPr>
                <w:sz w:val="10"/>
                <w:szCs w:val="10"/>
                <w:color w:val="auto"/>
              </w:rPr>
            </w:pPr>
          </w:p>
        </w:tc>
        <w:tc>
          <w:tcPr>
            <w:tcW w:w="300" w:type="dxa"/>
            <w:vAlign w:val="bottom"/>
            <w:tcBorders>
              <w:right w:val="single" w:sz="8" w:color="95B3D7"/>
            </w:tcBorders>
            <w:shd w:val="clear" w:color="auto" w:fill="DBE5F1"/>
          </w:tcPr>
          <w:p>
            <w:pPr>
              <w:spacing w:after="0"/>
              <w:rPr>
                <w:sz w:val="10"/>
                <w:szCs w:val="10"/>
                <w:color w:val="auto"/>
              </w:rPr>
            </w:pPr>
          </w:p>
        </w:tc>
        <w:tc>
          <w:tcPr>
            <w:tcW w:w="1360" w:type="dxa"/>
            <w:vAlign w:val="bottom"/>
            <w:tcBorders>
              <w:right w:val="single" w:sz="8" w:color="95B3D7"/>
            </w:tcBorders>
            <w:vMerge w:val="continue"/>
            <w:shd w:val="clear" w:color="auto" w:fill="DBE5F1"/>
          </w:tcPr>
          <w:p>
            <w:pPr>
              <w:spacing w:after="0"/>
              <w:rPr>
                <w:sz w:val="10"/>
                <w:szCs w:val="10"/>
                <w:color w:val="auto"/>
              </w:rPr>
            </w:pPr>
          </w:p>
        </w:tc>
        <w:tc>
          <w:tcPr>
            <w:tcW w:w="1360" w:type="dxa"/>
            <w:vAlign w:val="bottom"/>
            <w:tcBorders>
              <w:right w:val="single" w:sz="8" w:color="95B3D7"/>
            </w:tcBorders>
            <w:vMerge w:val="continue"/>
            <w:shd w:val="clear" w:color="auto" w:fill="DBE5F1"/>
          </w:tcPr>
          <w:p>
            <w:pPr>
              <w:spacing w:after="0"/>
              <w:rPr>
                <w:sz w:val="10"/>
                <w:szCs w:val="10"/>
                <w:color w:val="auto"/>
              </w:rPr>
            </w:pPr>
          </w:p>
        </w:tc>
        <w:tc>
          <w:tcPr>
            <w:tcW w:w="1120" w:type="dxa"/>
            <w:vAlign w:val="bottom"/>
            <w:tcBorders>
              <w:right w:val="single" w:sz="8" w:color="95B3D7"/>
            </w:tcBorders>
            <w:vMerge w:val="continue"/>
            <w:shd w:val="clear" w:color="auto" w:fill="DBE5F1"/>
          </w:tcPr>
          <w:p>
            <w:pPr>
              <w:spacing w:after="0"/>
              <w:rPr>
                <w:sz w:val="10"/>
                <w:szCs w:val="10"/>
                <w:color w:val="auto"/>
              </w:rPr>
            </w:pPr>
          </w:p>
        </w:tc>
        <w:tc>
          <w:tcPr>
            <w:tcW w:w="900" w:type="dxa"/>
            <w:vAlign w:val="bottom"/>
            <w:gridSpan w:val="2"/>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120" w:type="dxa"/>
            <w:vAlign w:val="bottom"/>
            <w:tcBorders>
              <w:bottom w:val="single" w:sz="8" w:color="DBE5F1"/>
              <w:right w:val="single" w:sz="8" w:color="95B3D7"/>
            </w:tcBorders>
            <w:vMerge w:val="continue"/>
            <w:shd w:val="clear" w:color="auto" w:fill="DBE5F1"/>
          </w:tcPr>
          <w:p>
            <w:pPr>
              <w:spacing w:after="0"/>
              <w:rPr>
                <w:sz w:val="9"/>
                <w:szCs w:val="9"/>
                <w:color w:val="auto"/>
              </w:rPr>
            </w:pPr>
          </w:p>
        </w:tc>
        <w:tc>
          <w:tcPr>
            <w:tcW w:w="800" w:type="dxa"/>
            <w:vAlign w:val="bottom"/>
            <w:tcBorders>
              <w:bottom w:val="single" w:sz="8" w:color="DBE5F1"/>
              <w:right w:val="single" w:sz="8" w:color="95B3D7"/>
            </w:tcBorders>
            <w:shd w:val="clear" w:color="auto" w:fill="DBE5F1"/>
          </w:tcPr>
          <w:p>
            <w:pPr>
              <w:spacing w:after="0"/>
              <w:rPr>
                <w:sz w:val="9"/>
                <w:szCs w:val="9"/>
                <w:color w:val="auto"/>
              </w:rPr>
            </w:pPr>
          </w:p>
        </w:tc>
        <w:tc>
          <w:tcPr>
            <w:tcW w:w="280" w:type="dxa"/>
            <w:vAlign w:val="bottom"/>
            <w:tcBorders>
              <w:bottom w:val="single" w:sz="8" w:color="DBE5F1"/>
            </w:tcBorders>
            <w:shd w:val="clear" w:color="auto" w:fill="DBE5F1"/>
          </w:tcPr>
          <w:p>
            <w:pPr>
              <w:spacing w:after="0"/>
              <w:rPr>
                <w:sz w:val="9"/>
                <w:szCs w:val="9"/>
                <w:color w:val="auto"/>
              </w:rPr>
            </w:pPr>
          </w:p>
        </w:tc>
        <w:tc>
          <w:tcPr>
            <w:tcW w:w="720" w:type="dxa"/>
            <w:vAlign w:val="bottom"/>
            <w:tcBorders>
              <w:bottom w:val="single" w:sz="8" w:color="DBE5F1"/>
            </w:tcBorders>
            <w:shd w:val="clear" w:color="auto" w:fill="DBE5F1"/>
          </w:tcPr>
          <w:p>
            <w:pPr>
              <w:spacing w:after="0"/>
              <w:rPr>
                <w:sz w:val="9"/>
                <w:szCs w:val="9"/>
                <w:color w:val="auto"/>
              </w:rPr>
            </w:pPr>
          </w:p>
        </w:tc>
        <w:tc>
          <w:tcPr>
            <w:tcW w:w="300" w:type="dxa"/>
            <w:vAlign w:val="bottom"/>
            <w:tcBorders>
              <w:bottom w:val="single" w:sz="8" w:color="DBE5F1"/>
              <w:right w:val="single" w:sz="8" w:color="95B3D7"/>
            </w:tcBorders>
            <w:shd w:val="clear" w:color="auto" w:fill="DBE5F1"/>
          </w:tcPr>
          <w:p>
            <w:pPr>
              <w:spacing w:after="0"/>
              <w:rPr>
                <w:sz w:val="9"/>
                <w:szCs w:val="9"/>
                <w:color w:val="auto"/>
              </w:rPr>
            </w:pPr>
          </w:p>
        </w:tc>
        <w:tc>
          <w:tcPr>
            <w:tcW w:w="1360" w:type="dxa"/>
            <w:vAlign w:val="bottom"/>
            <w:tcBorders>
              <w:bottom w:val="single" w:sz="8" w:color="DBE5F1"/>
              <w:right w:val="single" w:sz="8" w:color="95B3D7"/>
            </w:tcBorders>
            <w:shd w:val="clear" w:color="auto" w:fill="DBE5F1"/>
          </w:tcPr>
          <w:p>
            <w:pPr>
              <w:spacing w:after="0"/>
              <w:rPr>
                <w:sz w:val="9"/>
                <w:szCs w:val="9"/>
                <w:color w:val="auto"/>
              </w:rPr>
            </w:pPr>
          </w:p>
        </w:tc>
        <w:tc>
          <w:tcPr>
            <w:tcW w:w="1360" w:type="dxa"/>
            <w:vAlign w:val="bottom"/>
            <w:tcBorders>
              <w:bottom w:val="single" w:sz="8" w:color="DBE5F1"/>
              <w:right w:val="single" w:sz="8" w:color="95B3D7"/>
            </w:tcBorders>
            <w:shd w:val="clear" w:color="auto" w:fill="DBE5F1"/>
          </w:tcPr>
          <w:p>
            <w:pPr>
              <w:spacing w:after="0"/>
              <w:rPr>
                <w:sz w:val="9"/>
                <w:szCs w:val="9"/>
                <w:color w:val="auto"/>
              </w:rPr>
            </w:pPr>
          </w:p>
        </w:tc>
        <w:tc>
          <w:tcPr>
            <w:tcW w:w="1120" w:type="dxa"/>
            <w:vAlign w:val="bottom"/>
            <w:tcBorders>
              <w:bottom w:val="single" w:sz="8" w:color="DBE5F1"/>
              <w:right w:val="single" w:sz="8" w:color="95B3D7"/>
            </w:tcBorders>
            <w:shd w:val="clear" w:color="auto" w:fill="DBE5F1"/>
          </w:tcPr>
          <w:p>
            <w:pPr>
              <w:spacing w:after="0"/>
              <w:rPr>
                <w:sz w:val="9"/>
                <w:szCs w:val="9"/>
                <w:color w:val="auto"/>
              </w:rPr>
            </w:pPr>
          </w:p>
        </w:tc>
        <w:tc>
          <w:tcPr>
            <w:tcW w:w="660" w:type="dxa"/>
            <w:vAlign w:val="bottom"/>
            <w:tcBorders>
              <w:bottom w:val="single" w:sz="8" w:color="DBE5F1"/>
            </w:tcBorders>
            <w:shd w:val="clear" w:color="auto" w:fill="DBE5F1"/>
          </w:tcPr>
          <w:p>
            <w:pPr>
              <w:spacing w:after="0"/>
              <w:rPr>
                <w:sz w:val="9"/>
                <w:szCs w:val="9"/>
                <w:color w:val="auto"/>
              </w:rPr>
            </w:pPr>
          </w:p>
        </w:tc>
        <w:tc>
          <w:tcPr>
            <w:tcW w:w="240" w:type="dxa"/>
            <w:vAlign w:val="bottom"/>
            <w:tcBorders>
              <w:bottom w:val="single" w:sz="8" w:color="DBE5F1"/>
            </w:tcBorders>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12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Thomas</w:t>
            </w:r>
          </w:p>
        </w:tc>
        <w:tc>
          <w:tcPr>
            <w:tcW w:w="80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85</w:t>
            </w:r>
          </w:p>
        </w:tc>
        <w:tc>
          <w:tcPr>
            <w:tcW w:w="1000" w:type="dxa"/>
            <w:vAlign w:val="bottom"/>
            <w:gridSpan w:val="2"/>
            <w:vMerge w:val="restart"/>
          </w:tcPr>
          <w:p>
            <w:pPr>
              <w:jc w:val="center"/>
              <w:ind w:left="199"/>
              <w:spacing w:after="0"/>
              <w:rPr>
                <w:sz w:val="20"/>
                <w:szCs w:val="20"/>
                <w:color w:val="auto"/>
              </w:rPr>
            </w:pPr>
            <w:r>
              <w:rPr>
                <w:rFonts w:ascii="Arial" w:cs="Arial" w:eastAsia="Arial" w:hAnsi="Arial"/>
                <w:sz w:val="16"/>
                <w:szCs w:val="16"/>
                <w:color w:val="auto"/>
              </w:rPr>
              <w:t>205,304</w:t>
            </w:r>
          </w:p>
        </w:tc>
        <w:tc>
          <w:tcPr>
            <w:tcW w:w="300" w:type="dxa"/>
            <w:vAlign w:val="bottom"/>
            <w:tcBorders>
              <w:right w:val="single" w:sz="8" w:color="95B3D7"/>
            </w:tcBorders>
          </w:tcPr>
          <w:p>
            <w:pPr>
              <w:spacing w:after="0"/>
              <w:rPr>
                <w:sz w:val="17"/>
                <w:szCs w:val="17"/>
                <w:color w:val="auto"/>
              </w:rPr>
            </w:pPr>
          </w:p>
        </w:tc>
        <w:tc>
          <w:tcPr>
            <w:tcW w:w="136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200.0</w:t>
            </w:r>
          </w:p>
        </w:tc>
        <w:tc>
          <w:tcPr>
            <w:tcW w:w="136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w w:val="99"/>
              </w:rPr>
              <w:t>150.0</w:t>
            </w:r>
          </w:p>
        </w:tc>
        <w:tc>
          <w:tcPr>
            <w:tcW w:w="112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384,945</w:t>
            </w:r>
          </w:p>
        </w:tc>
        <w:tc>
          <w:tcPr>
            <w:tcW w:w="660" w:type="dxa"/>
            <w:vAlign w:val="bottom"/>
            <w:vMerge w:val="restart"/>
          </w:tcPr>
          <w:p>
            <w:pPr>
              <w:jc w:val="center"/>
              <w:ind w:left="179"/>
              <w:spacing w:after="0"/>
              <w:rPr>
                <w:sz w:val="20"/>
                <w:szCs w:val="20"/>
                <w:color w:val="auto"/>
              </w:rPr>
            </w:pPr>
            <w:r>
              <w:rPr>
                <w:rFonts w:ascii="Arial" w:cs="Arial" w:eastAsia="Arial" w:hAnsi="Arial"/>
                <w:sz w:val="16"/>
                <w:szCs w:val="16"/>
                <w:color w:val="auto"/>
                <w:w w:val="99"/>
              </w:rPr>
              <w:t>187.5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12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6"/>
                <w:szCs w:val="16"/>
                <w:color w:val="auto"/>
              </w:rPr>
              <w:t>Freeman</w:t>
            </w:r>
          </w:p>
        </w:tc>
        <w:tc>
          <w:tcPr>
            <w:tcW w:w="800" w:type="dxa"/>
            <w:vAlign w:val="bottom"/>
            <w:tcBorders>
              <w:right w:val="single" w:sz="8" w:color="95B3D7"/>
            </w:tcBorders>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00" w:type="dxa"/>
            <w:vAlign w:val="bottom"/>
            <w:tcBorders>
              <w:right w:val="single" w:sz="8" w:color="95B3D7"/>
            </w:tcBorders>
          </w:tcPr>
          <w:p>
            <w:pPr>
              <w:spacing w:after="0"/>
              <w:rPr>
                <w:sz w:val="10"/>
                <w:szCs w:val="10"/>
                <w:color w:val="auto"/>
              </w:rPr>
            </w:pPr>
          </w:p>
        </w:tc>
        <w:tc>
          <w:tcPr>
            <w:tcW w:w="1360" w:type="dxa"/>
            <w:vAlign w:val="bottom"/>
            <w:tcBorders>
              <w:right w:val="single" w:sz="8" w:color="95B3D7"/>
            </w:tcBorders>
            <w:vMerge w:val="continue"/>
          </w:tcPr>
          <w:p>
            <w:pPr>
              <w:spacing w:after="0"/>
              <w:rPr>
                <w:sz w:val="10"/>
                <w:szCs w:val="10"/>
                <w:color w:val="auto"/>
              </w:rPr>
            </w:pPr>
          </w:p>
        </w:tc>
        <w:tc>
          <w:tcPr>
            <w:tcW w:w="1360" w:type="dxa"/>
            <w:vAlign w:val="bottom"/>
            <w:tcBorders>
              <w:right w:val="single" w:sz="8" w:color="95B3D7"/>
            </w:tcBorders>
            <w:vMerge w:val="continue"/>
          </w:tcPr>
          <w:p>
            <w:pPr>
              <w:spacing w:after="0"/>
              <w:rPr>
                <w:sz w:val="10"/>
                <w:szCs w:val="10"/>
                <w:color w:val="auto"/>
              </w:rPr>
            </w:pPr>
          </w:p>
        </w:tc>
        <w:tc>
          <w:tcPr>
            <w:tcW w:w="1120" w:type="dxa"/>
            <w:vAlign w:val="bottom"/>
            <w:tcBorders>
              <w:right w:val="single" w:sz="8" w:color="95B3D7"/>
            </w:tcBorders>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120" w:type="dxa"/>
            <w:vAlign w:val="bottom"/>
            <w:tcBorders>
              <w:right w:val="single" w:sz="8" w:color="95B3D7"/>
            </w:tcBorders>
            <w:vMerge w:val="continue"/>
          </w:tcPr>
          <w:p>
            <w:pPr>
              <w:spacing w:after="0"/>
              <w:rPr>
                <w:sz w:val="8"/>
                <w:szCs w:val="8"/>
                <w:color w:val="auto"/>
              </w:rPr>
            </w:pPr>
          </w:p>
        </w:tc>
        <w:tc>
          <w:tcPr>
            <w:tcW w:w="800" w:type="dxa"/>
            <w:vAlign w:val="bottom"/>
            <w:tcBorders>
              <w:right w:val="single" w:sz="8" w:color="95B3D7"/>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95B3D7"/>
            </w:tcBorders>
          </w:tcPr>
          <w:p>
            <w:pPr>
              <w:spacing w:after="0"/>
              <w:rPr>
                <w:sz w:val="8"/>
                <w:szCs w:val="8"/>
                <w:color w:val="auto"/>
              </w:rPr>
            </w:pPr>
          </w:p>
        </w:tc>
        <w:tc>
          <w:tcPr>
            <w:tcW w:w="1360" w:type="dxa"/>
            <w:vAlign w:val="bottom"/>
            <w:tcBorders>
              <w:right w:val="single" w:sz="8" w:color="95B3D7"/>
            </w:tcBorders>
          </w:tcPr>
          <w:p>
            <w:pPr>
              <w:spacing w:after="0"/>
              <w:rPr>
                <w:sz w:val="8"/>
                <w:szCs w:val="8"/>
                <w:color w:val="auto"/>
              </w:rPr>
            </w:pPr>
          </w:p>
        </w:tc>
        <w:tc>
          <w:tcPr>
            <w:tcW w:w="1360" w:type="dxa"/>
            <w:vAlign w:val="bottom"/>
            <w:tcBorders>
              <w:right w:val="single" w:sz="8" w:color="95B3D7"/>
            </w:tcBorders>
          </w:tcPr>
          <w:p>
            <w:pPr>
              <w:spacing w:after="0"/>
              <w:rPr>
                <w:sz w:val="8"/>
                <w:szCs w:val="8"/>
                <w:color w:val="auto"/>
              </w:rPr>
            </w:pPr>
          </w:p>
        </w:tc>
        <w:tc>
          <w:tcPr>
            <w:tcW w:w="1120" w:type="dxa"/>
            <w:vAlign w:val="bottom"/>
            <w:tcBorders>
              <w:right w:val="single" w:sz="8" w:color="95B3D7"/>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120" w:type="dxa"/>
            <w:vAlign w:val="bottom"/>
            <w:tcBorders>
              <w:right w:val="single" w:sz="8" w:color="95B3D7"/>
            </w:tcBorders>
          </w:tcPr>
          <w:p>
            <w:pPr>
              <w:spacing w:after="0"/>
              <w:rPr>
                <w:sz w:val="2"/>
                <w:szCs w:val="2"/>
                <w:color w:val="auto"/>
              </w:rPr>
            </w:pPr>
          </w:p>
        </w:tc>
        <w:tc>
          <w:tcPr>
            <w:tcW w:w="800" w:type="dxa"/>
            <w:vAlign w:val="bottom"/>
            <w:tcBorders>
              <w:right w:val="single" w:sz="8" w:color="95B3D7"/>
            </w:tcBorders>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Borders>
              <w:right w:val="single" w:sz="8" w:color="95B3D7"/>
            </w:tcBorders>
          </w:tcPr>
          <w:p>
            <w:pPr>
              <w:spacing w:after="0"/>
              <w:rPr>
                <w:sz w:val="2"/>
                <w:szCs w:val="2"/>
                <w:color w:val="auto"/>
              </w:rPr>
            </w:pPr>
          </w:p>
        </w:tc>
        <w:tc>
          <w:tcPr>
            <w:tcW w:w="1360" w:type="dxa"/>
            <w:vAlign w:val="bottom"/>
            <w:tcBorders>
              <w:right w:val="single" w:sz="8" w:color="95B3D7"/>
            </w:tcBorders>
          </w:tcPr>
          <w:p>
            <w:pPr>
              <w:spacing w:after="0"/>
              <w:rPr>
                <w:sz w:val="2"/>
                <w:szCs w:val="2"/>
                <w:color w:val="auto"/>
              </w:rPr>
            </w:pPr>
          </w:p>
        </w:tc>
        <w:tc>
          <w:tcPr>
            <w:tcW w:w="1360" w:type="dxa"/>
            <w:vAlign w:val="bottom"/>
            <w:tcBorders>
              <w:right w:val="single" w:sz="8" w:color="95B3D7"/>
            </w:tcBorders>
          </w:tcPr>
          <w:p>
            <w:pPr>
              <w:spacing w:after="0"/>
              <w:rPr>
                <w:sz w:val="2"/>
                <w:szCs w:val="2"/>
                <w:color w:val="auto"/>
              </w:rPr>
            </w:pPr>
          </w:p>
        </w:tc>
        <w:tc>
          <w:tcPr>
            <w:tcW w:w="1120" w:type="dxa"/>
            <w:vAlign w:val="bottom"/>
            <w:tcBorders>
              <w:right w:val="single" w:sz="8" w:color="95B3D7"/>
            </w:tcBorders>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6"/>
        </w:trPr>
        <w:tc>
          <w:tcPr>
            <w:tcW w:w="112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Hyong (Ken)</w:t>
            </w:r>
          </w:p>
        </w:tc>
        <w:tc>
          <w:tcPr>
            <w:tcW w:w="80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85</w:t>
            </w:r>
          </w:p>
        </w:tc>
        <w:tc>
          <w:tcPr>
            <w:tcW w:w="1000" w:type="dxa"/>
            <w:vAlign w:val="bottom"/>
            <w:gridSpan w:val="2"/>
            <w:vMerge w:val="restart"/>
            <w:shd w:val="clear" w:color="auto" w:fill="DBE5F1"/>
          </w:tcPr>
          <w:p>
            <w:pPr>
              <w:jc w:val="center"/>
              <w:ind w:left="199"/>
              <w:spacing w:after="0"/>
              <w:rPr>
                <w:sz w:val="20"/>
                <w:szCs w:val="20"/>
                <w:color w:val="auto"/>
              </w:rPr>
            </w:pPr>
            <w:r>
              <w:rPr>
                <w:rFonts w:ascii="Arial" w:cs="Arial" w:eastAsia="Arial" w:hAnsi="Arial"/>
                <w:sz w:val="16"/>
                <w:szCs w:val="16"/>
                <w:color w:val="auto"/>
              </w:rPr>
              <w:t>476,000</w:t>
            </w:r>
          </w:p>
        </w:tc>
        <w:tc>
          <w:tcPr>
            <w:tcW w:w="300" w:type="dxa"/>
            <w:vAlign w:val="bottom"/>
            <w:tcBorders>
              <w:right w:val="single" w:sz="8" w:color="95B3D7"/>
            </w:tcBorders>
            <w:shd w:val="clear" w:color="auto" w:fill="DBE5F1"/>
          </w:tcPr>
          <w:p>
            <w:pPr>
              <w:spacing w:after="0"/>
              <w:rPr>
                <w:sz w:val="24"/>
                <w:szCs w:val="24"/>
                <w:color w:val="auto"/>
              </w:rPr>
            </w:pPr>
          </w:p>
        </w:tc>
        <w:tc>
          <w:tcPr>
            <w:tcW w:w="136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200.0</w:t>
            </w:r>
          </w:p>
        </w:tc>
        <w:tc>
          <w:tcPr>
            <w:tcW w:w="136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50.0</w:t>
            </w:r>
          </w:p>
        </w:tc>
        <w:tc>
          <w:tcPr>
            <w:tcW w:w="112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773,500</w:t>
            </w:r>
          </w:p>
        </w:tc>
        <w:tc>
          <w:tcPr>
            <w:tcW w:w="660" w:type="dxa"/>
            <w:vAlign w:val="bottom"/>
            <w:vMerge w:val="restart"/>
            <w:shd w:val="clear" w:color="auto" w:fill="DBE5F1"/>
          </w:tcPr>
          <w:p>
            <w:pPr>
              <w:jc w:val="center"/>
              <w:ind w:left="179"/>
              <w:spacing w:after="0"/>
              <w:rPr>
                <w:sz w:val="20"/>
                <w:szCs w:val="20"/>
                <w:color w:val="auto"/>
              </w:rPr>
            </w:pPr>
            <w:r>
              <w:rPr>
                <w:rFonts w:ascii="Arial" w:cs="Arial" w:eastAsia="Arial" w:hAnsi="Arial"/>
                <w:sz w:val="16"/>
                <w:szCs w:val="16"/>
                <w:color w:val="auto"/>
                <w:w w:val="99"/>
              </w:rPr>
              <w:t>162.5</w:t>
            </w:r>
          </w:p>
        </w:tc>
        <w:tc>
          <w:tcPr>
            <w:tcW w:w="24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120" w:type="dxa"/>
            <w:vAlign w:val="bottom"/>
            <w:tcBorders>
              <w:right w:val="single" w:sz="8" w:color="95B3D7"/>
            </w:tcBorders>
            <w:vMerge w:val="restart"/>
            <w:shd w:val="clear" w:color="auto" w:fill="DBE5F1"/>
          </w:tcPr>
          <w:p>
            <w:pPr>
              <w:ind w:left="60"/>
              <w:spacing w:after="0"/>
              <w:rPr>
                <w:sz w:val="20"/>
                <w:szCs w:val="20"/>
                <w:color w:val="auto"/>
              </w:rPr>
            </w:pPr>
            <w:r>
              <w:rPr>
                <w:rFonts w:ascii="Arial" w:cs="Arial" w:eastAsia="Arial" w:hAnsi="Arial"/>
                <w:sz w:val="16"/>
                <w:szCs w:val="16"/>
                <w:color w:val="auto"/>
              </w:rPr>
              <w:t>Kim, M.D.</w:t>
            </w:r>
          </w:p>
        </w:tc>
        <w:tc>
          <w:tcPr>
            <w:tcW w:w="800" w:type="dxa"/>
            <w:vAlign w:val="bottom"/>
            <w:tcBorders>
              <w:right w:val="single" w:sz="8" w:color="95B3D7"/>
            </w:tcBorders>
            <w:vMerge w:val="continue"/>
            <w:shd w:val="clear" w:color="auto" w:fill="DBE5F1"/>
          </w:tcPr>
          <w:p>
            <w:pPr>
              <w:spacing w:after="0"/>
              <w:rPr>
                <w:sz w:val="10"/>
                <w:szCs w:val="10"/>
                <w:color w:val="auto"/>
              </w:rPr>
            </w:pPr>
          </w:p>
        </w:tc>
        <w:tc>
          <w:tcPr>
            <w:tcW w:w="1000" w:type="dxa"/>
            <w:vAlign w:val="bottom"/>
            <w:gridSpan w:val="2"/>
            <w:vMerge w:val="continue"/>
            <w:shd w:val="clear" w:color="auto" w:fill="DBE5F1"/>
          </w:tcPr>
          <w:p>
            <w:pPr>
              <w:spacing w:after="0"/>
              <w:rPr>
                <w:sz w:val="10"/>
                <w:szCs w:val="10"/>
                <w:color w:val="auto"/>
              </w:rPr>
            </w:pPr>
          </w:p>
        </w:tc>
        <w:tc>
          <w:tcPr>
            <w:tcW w:w="300" w:type="dxa"/>
            <w:vAlign w:val="bottom"/>
            <w:tcBorders>
              <w:right w:val="single" w:sz="8" w:color="95B3D7"/>
            </w:tcBorders>
            <w:shd w:val="clear" w:color="auto" w:fill="DBE5F1"/>
          </w:tcPr>
          <w:p>
            <w:pPr>
              <w:spacing w:after="0"/>
              <w:rPr>
                <w:sz w:val="10"/>
                <w:szCs w:val="10"/>
                <w:color w:val="auto"/>
              </w:rPr>
            </w:pPr>
          </w:p>
        </w:tc>
        <w:tc>
          <w:tcPr>
            <w:tcW w:w="1360" w:type="dxa"/>
            <w:vAlign w:val="bottom"/>
            <w:tcBorders>
              <w:right w:val="single" w:sz="8" w:color="95B3D7"/>
            </w:tcBorders>
            <w:vMerge w:val="continue"/>
            <w:shd w:val="clear" w:color="auto" w:fill="DBE5F1"/>
          </w:tcPr>
          <w:p>
            <w:pPr>
              <w:spacing w:after="0"/>
              <w:rPr>
                <w:sz w:val="10"/>
                <w:szCs w:val="10"/>
                <w:color w:val="auto"/>
              </w:rPr>
            </w:pPr>
          </w:p>
        </w:tc>
        <w:tc>
          <w:tcPr>
            <w:tcW w:w="1360" w:type="dxa"/>
            <w:vAlign w:val="bottom"/>
            <w:tcBorders>
              <w:right w:val="single" w:sz="8" w:color="95B3D7"/>
            </w:tcBorders>
            <w:vMerge w:val="continue"/>
            <w:shd w:val="clear" w:color="auto" w:fill="DBE5F1"/>
          </w:tcPr>
          <w:p>
            <w:pPr>
              <w:spacing w:after="0"/>
              <w:rPr>
                <w:sz w:val="10"/>
                <w:szCs w:val="10"/>
                <w:color w:val="auto"/>
              </w:rPr>
            </w:pPr>
          </w:p>
        </w:tc>
        <w:tc>
          <w:tcPr>
            <w:tcW w:w="1120" w:type="dxa"/>
            <w:vAlign w:val="bottom"/>
            <w:tcBorders>
              <w:right w:val="single" w:sz="8" w:color="95B3D7"/>
            </w:tcBorders>
            <w:vMerge w:val="continue"/>
            <w:shd w:val="clear" w:color="auto" w:fill="DBE5F1"/>
          </w:tcPr>
          <w:p>
            <w:pPr>
              <w:spacing w:after="0"/>
              <w:rPr>
                <w:sz w:val="10"/>
                <w:szCs w:val="10"/>
                <w:color w:val="auto"/>
              </w:rPr>
            </w:pPr>
          </w:p>
        </w:tc>
        <w:tc>
          <w:tcPr>
            <w:tcW w:w="660" w:type="dxa"/>
            <w:vAlign w:val="bottom"/>
            <w:vMerge w:val="continue"/>
            <w:shd w:val="clear" w:color="auto" w:fill="DBE5F1"/>
          </w:tcPr>
          <w:p>
            <w:pPr>
              <w:spacing w:after="0"/>
              <w:rPr>
                <w:sz w:val="10"/>
                <w:szCs w:val="10"/>
                <w:color w:val="auto"/>
              </w:rPr>
            </w:pPr>
          </w:p>
        </w:tc>
        <w:tc>
          <w:tcPr>
            <w:tcW w:w="24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tcBorders>
              <w:right w:val="single" w:sz="8" w:color="95B3D7"/>
            </w:tcBorders>
            <w:vMerge w:val="continue"/>
            <w:shd w:val="clear" w:color="auto" w:fill="DBE5F1"/>
          </w:tcPr>
          <w:p>
            <w:pPr>
              <w:spacing w:after="0"/>
              <w:rPr>
                <w:sz w:val="8"/>
                <w:szCs w:val="8"/>
                <w:color w:val="auto"/>
              </w:rPr>
            </w:pPr>
          </w:p>
        </w:tc>
        <w:tc>
          <w:tcPr>
            <w:tcW w:w="800" w:type="dxa"/>
            <w:vAlign w:val="bottom"/>
            <w:tcBorders>
              <w:right w:val="single" w:sz="8" w:color="95B3D7"/>
            </w:tcBorders>
            <w:shd w:val="clear" w:color="auto" w:fill="DBE5F1"/>
          </w:tcPr>
          <w:p>
            <w:pPr>
              <w:spacing w:after="0"/>
              <w:rPr>
                <w:sz w:val="8"/>
                <w:szCs w:val="8"/>
                <w:color w:val="auto"/>
              </w:rPr>
            </w:pPr>
          </w:p>
        </w:tc>
        <w:tc>
          <w:tcPr>
            <w:tcW w:w="280" w:type="dxa"/>
            <w:vAlign w:val="bottom"/>
            <w:shd w:val="clear" w:color="auto" w:fill="DBE5F1"/>
          </w:tcPr>
          <w:p>
            <w:pPr>
              <w:spacing w:after="0"/>
              <w:rPr>
                <w:sz w:val="8"/>
                <w:szCs w:val="8"/>
                <w:color w:val="auto"/>
              </w:rPr>
            </w:pPr>
          </w:p>
        </w:tc>
        <w:tc>
          <w:tcPr>
            <w:tcW w:w="720" w:type="dxa"/>
            <w:vAlign w:val="bottom"/>
            <w:shd w:val="clear" w:color="auto" w:fill="DBE5F1"/>
          </w:tcPr>
          <w:p>
            <w:pPr>
              <w:spacing w:after="0"/>
              <w:rPr>
                <w:sz w:val="8"/>
                <w:szCs w:val="8"/>
                <w:color w:val="auto"/>
              </w:rPr>
            </w:pPr>
          </w:p>
        </w:tc>
        <w:tc>
          <w:tcPr>
            <w:tcW w:w="300" w:type="dxa"/>
            <w:vAlign w:val="bottom"/>
            <w:tcBorders>
              <w:right w:val="single" w:sz="8" w:color="95B3D7"/>
            </w:tcBorders>
            <w:shd w:val="clear" w:color="auto" w:fill="DBE5F1"/>
          </w:tcPr>
          <w:p>
            <w:pPr>
              <w:spacing w:after="0"/>
              <w:rPr>
                <w:sz w:val="8"/>
                <w:szCs w:val="8"/>
                <w:color w:val="auto"/>
              </w:rPr>
            </w:pPr>
          </w:p>
        </w:tc>
        <w:tc>
          <w:tcPr>
            <w:tcW w:w="1360" w:type="dxa"/>
            <w:vAlign w:val="bottom"/>
            <w:tcBorders>
              <w:right w:val="single" w:sz="8" w:color="95B3D7"/>
            </w:tcBorders>
            <w:shd w:val="clear" w:color="auto" w:fill="DBE5F1"/>
          </w:tcPr>
          <w:p>
            <w:pPr>
              <w:spacing w:after="0"/>
              <w:rPr>
                <w:sz w:val="8"/>
                <w:szCs w:val="8"/>
                <w:color w:val="auto"/>
              </w:rPr>
            </w:pPr>
          </w:p>
        </w:tc>
        <w:tc>
          <w:tcPr>
            <w:tcW w:w="1360" w:type="dxa"/>
            <w:vAlign w:val="bottom"/>
            <w:tcBorders>
              <w:right w:val="single" w:sz="8" w:color="95B3D7"/>
            </w:tcBorders>
            <w:shd w:val="clear" w:color="auto" w:fill="DBE5F1"/>
          </w:tcPr>
          <w:p>
            <w:pPr>
              <w:spacing w:after="0"/>
              <w:rPr>
                <w:sz w:val="8"/>
                <w:szCs w:val="8"/>
                <w:color w:val="auto"/>
              </w:rPr>
            </w:pPr>
          </w:p>
        </w:tc>
        <w:tc>
          <w:tcPr>
            <w:tcW w:w="1120" w:type="dxa"/>
            <w:vAlign w:val="bottom"/>
            <w:tcBorders>
              <w:right w:val="single" w:sz="8" w:color="95B3D7"/>
            </w:tcBorders>
            <w:shd w:val="clear" w:color="auto" w:fill="DBE5F1"/>
          </w:tcPr>
          <w:p>
            <w:pPr>
              <w:spacing w:after="0"/>
              <w:rPr>
                <w:sz w:val="8"/>
                <w:szCs w:val="8"/>
                <w:color w:val="auto"/>
              </w:rPr>
            </w:pPr>
          </w:p>
        </w:tc>
        <w:tc>
          <w:tcPr>
            <w:tcW w:w="660" w:type="dxa"/>
            <w:vAlign w:val="bottom"/>
            <w:shd w:val="clear" w:color="auto" w:fill="DBE5F1"/>
          </w:tcPr>
          <w:p>
            <w:pPr>
              <w:spacing w:after="0"/>
              <w:rPr>
                <w:sz w:val="8"/>
                <w:szCs w:val="8"/>
                <w:color w:val="auto"/>
              </w:rPr>
            </w:pPr>
          </w:p>
        </w:tc>
        <w:tc>
          <w:tcPr>
            <w:tcW w:w="24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120" w:type="dxa"/>
            <w:vAlign w:val="bottom"/>
            <w:tcBorders>
              <w:right w:val="single" w:sz="8" w:color="95B3D7"/>
            </w:tcBorders>
            <w:shd w:val="clear" w:color="auto" w:fill="DBE5F1"/>
          </w:tcPr>
          <w:p>
            <w:pPr>
              <w:spacing w:after="0"/>
              <w:rPr>
                <w:sz w:val="10"/>
                <w:szCs w:val="10"/>
                <w:color w:val="auto"/>
              </w:rPr>
            </w:pPr>
          </w:p>
        </w:tc>
        <w:tc>
          <w:tcPr>
            <w:tcW w:w="800" w:type="dxa"/>
            <w:vAlign w:val="bottom"/>
            <w:tcBorders>
              <w:right w:val="single" w:sz="8" w:color="95B3D7"/>
            </w:tcBorders>
            <w:shd w:val="clear" w:color="auto" w:fill="DBE5F1"/>
          </w:tcPr>
          <w:p>
            <w:pPr>
              <w:spacing w:after="0"/>
              <w:rPr>
                <w:sz w:val="10"/>
                <w:szCs w:val="10"/>
                <w:color w:val="auto"/>
              </w:rPr>
            </w:pPr>
          </w:p>
        </w:tc>
        <w:tc>
          <w:tcPr>
            <w:tcW w:w="280" w:type="dxa"/>
            <w:vAlign w:val="bottom"/>
            <w:shd w:val="clear" w:color="auto" w:fill="DBE5F1"/>
          </w:tcPr>
          <w:p>
            <w:pPr>
              <w:spacing w:after="0"/>
              <w:rPr>
                <w:sz w:val="10"/>
                <w:szCs w:val="10"/>
                <w:color w:val="auto"/>
              </w:rPr>
            </w:pPr>
          </w:p>
        </w:tc>
        <w:tc>
          <w:tcPr>
            <w:tcW w:w="720" w:type="dxa"/>
            <w:vAlign w:val="bottom"/>
            <w:shd w:val="clear" w:color="auto" w:fill="DBE5F1"/>
          </w:tcPr>
          <w:p>
            <w:pPr>
              <w:spacing w:after="0"/>
              <w:rPr>
                <w:sz w:val="10"/>
                <w:szCs w:val="10"/>
                <w:color w:val="auto"/>
              </w:rPr>
            </w:pPr>
          </w:p>
        </w:tc>
        <w:tc>
          <w:tcPr>
            <w:tcW w:w="300" w:type="dxa"/>
            <w:vAlign w:val="bottom"/>
            <w:tcBorders>
              <w:right w:val="single" w:sz="8" w:color="95B3D7"/>
            </w:tcBorders>
            <w:shd w:val="clear" w:color="auto" w:fill="DBE5F1"/>
          </w:tcPr>
          <w:p>
            <w:pPr>
              <w:spacing w:after="0"/>
              <w:rPr>
                <w:sz w:val="10"/>
                <w:szCs w:val="10"/>
                <w:color w:val="auto"/>
              </w:rPr>
            </w:pPr>
          </w:p>
        </w:tc>
        <w:tc>
          <w:tcPr>
            <w:tcW w:w="1360" w:type="dxa"/>
            <w:vAlign w:val="bottom"/>
            <w:tcBorders>
              <w:right w:val="single" w:sz="8" w:color="95B3D7"/>
            </w:tcBorders>
            <w:shd w:val="clear" w:color="auto" w:fill="DBE5F1"/>
          </w:tcPr>
          <w:p>
            <w:pPr>
              <w:spacing w:after="0"/>
              <w:rPr>
                <w:sz w:val="10"/>
                <w:szCs w:val="10"/>
                <w:color w:val="auto"/>
              </w:rPr>
            </w:pPr>
          </w:p>
        </w:tc>
        <w:tc>
          <w:tcPr>
            <w:tcW w:w="1360" w:type="dxa"/>
            <w:vAlign w:val="bottom"/>
            <w:tcBorders>
              <w:right w:val="single" w:sz="8" w:color="95B3D7"/>
            </w:tcBorders>
            <w:shd w:val="clear" w:color="auto" w:fill="DBE5F1"/>
          </w:tcPr>
          <w:p>
            <w:pPr>
              <w:spacing w:after="0"/>
              <w:rPr>
                <w:sz w:val="10"/>
                <w:szCs w:val="10"/>
                <w:color w:val="auto"/>
              </w:rPr>
            </w:pPr>
          </w:p>
        </w:tc>
        <w:tc>
          <w:tcPr>
            <w:tcW w:w="1120" w:type="dxa"/>
            <w:vAlign w:val="bottom"/>
            <w:tcBorders>
              <w:right w:val="single" w:sz="8" w:color="95B3D7"/>
            </w:tcBorders>
            <w:shd w:val="clear" w:color="auto" w:fill="DBE5F1"/>
          </w:tcPr>
          <w:p>
            <w:pPr>
              <w:spacing w:after="0"/>
              <w:rPr>
                <w:sz w:val="10"/>
                <w:szCs w:val="10"/>
                <w:color w:val="auto"/>
              </w:rPr>
            </w:pPr>
          </w:p>
        </w:tc>
        <w:tc>
          <w:tcPr>
            <w:tcW w:w="660" w:type="dxa"/>
            <w:vAlign w:val="bottom"/>
            <w:shd w:val="clear" w:color="auto" w:fill="DBE5F1"/>
          </w:tcPr>
          <w:p>
            <w:pPr>
              <w:spacing w:after="0"/>
              <w:rPr>
                <w:sz w:val="10"/>
                <w:szCs w:val="10"/>
                <w:color w:val="auto"/>
              </w:rPr>
            </w:pPr>
          </w:p>
        </w:tc>
        <w:tc>
          <w:tcPr>
            <w:tcW w:w="240" w:type="dxa"/>
            <w:vAlign w:val="bottom"/>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112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Christopher</w:t>
            </w:r>
          </w:p>
        </w:tc>
        <w:tc>
          <w:tcPr>
            <w:tcW w:w="80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85</w:t>
            </w:r>
          </w:p>
        </w:tc>
        <w:tc>
          <w:tcPr>
            <w:tcW w:w="1000" w:type="dxa"/>
            <w:vAlign w:val="bottom"/>
            <w:gridSpan w:val="2"/>
            <w:vMerge w:val="restart"/>
          </w:tcPr>
          <w:p>
            <w:pPr>
              <w:jc w:val="center"/>
              <w:ind w:left="199"/>
              <w:spacing w:after="0"/>
              <w:rPr>
                <w:sz w:val="20"/>
                <w:szCs w:val="20"/>
                <w:color w:val="auto"/>
              </w:rPr>
            </w:pPr>
            <w:r>
              <w:rPr>
                <w:rFonts w:ascii="Arial" w:cs="Arial" w:eastAsia="Arial" w:hAnsi="Arial"/>
                <w:sz w:val="16"/>
                <w:szCs w:val="16"/>
                <w:color w:val="auto"/>
              </w:rPr>
              <w:t>446,250</w:t>
            </w:r>
          </w:p>
        </w:tc>
        <w:tc>
          <w:tcPr>
            <w:tcW w:w="300" w:type="dxa"/>
            <w:vAlign w:val="bottom"/>
            <w:tcBorders>
              <w:right w:val="single" w:sz="8" w:color="95B3D7"/>
            </w:tcBorders>
          </w:tcPr>
          <w:p>
            <w:pPr>
              <w:spacing w:after="0"/>
              <w:rPr>
                <w:sz w:val="17"/>
                <w:szCs w:val="17"/>
                <w:color w:val="auto"/>
              </w:rPr>
            </w:pPr>
          </w:p>
        </w:tc>
        <w:tc>
          <w:tcPr>
            <w:tcW w:w="136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200.0</w:t>
            </w:r>
          </w:p>
        </w:tc>
        <w:tc>
          <w:tcPr>
            <w:tcW w:w="136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w w:val="94"/>
              </w:rPr>
              <w:t>110.0</w:t>
            </w:r>
          </w:p>
        </w:tc>
        <w:tc>
          <w:tcPr>
            <w:tcW w:w="112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6"/>
                <w:szCs w:val="16"/>
                <w:color w:val="auto"/>
              </w:rPr>
              <w:t>792,094</w:t>
            </w:r>
          </w:p>
        </w:tc>
        <w:tc>
          <w:tcPr>
            <w:tcW w:w="660" w:type="dxa"/>
            <w:vAlign w:val="bottom"/>
            <w:vMerge w:val="restart"/>
          </w:tcPr>
          <w:p>
            <w:pPr>
              <w:jc w:val="center"/>
              <w:ind w:left="179"/>
              <w:spacing w:after="0"/>
              <w:rPr>
                <w:sz w:val="20"/>
                <w:szCs w:val="20"/>
                <w:color w:val="auto"/>
              </w:rPr>
            </w:pPr>
            <w:r>
              <w:rPr>
                <w:rFonts w:ascii="Arial" w:cs="Arial" w:eastAsia="Arial" w:hAnsi="Arial"/>
                <w:sz w:val="16"/>
                <w:szCs w:val="16"/>
                <w:color w:val="auto"/>
                <w:w w:val="99"/>
              </w:rPr>
              <w:t>177.5</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112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6"/>
                <w:szCs w:val="16"/>
                <w:color w:val="auto"/>
              </w:rPr>
              <w:t>Joyce</w:t>
            </w:r>
          </w:p>
        </w:tc>
        <w:tc>
          <w:tcPr>
            <w:tcW w:w="800" w:type="dxa"/>
            <w:vAlign w:val="bottom"/>
            <w:tcBorders>
              <w:right w:val="single" w:sz="8" w:color="95B3D7"/>
            </w:tcBorders>
            <w:vMerge w:val="continue"/>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300" w:type="dxa"/>
            <w:vAlign w:val="bottom"/>
            <w:tcBorders>
              <w:right w:val="single" w:sz="8" w:color="95B3D7"/>
            </w:tcBorders>
          </w:tcPr>
          <w:p>
            <w:pPr>
              <w:spacing w:after="0"/>
              <w:rPr>
                <w:sz w:val="10"/>
                <w:szCs w:val="10"/>
                <w:color w:val="auto"/>
              </w:rPr>
            </w:pPr>
          </w:p>
        </w:tc>
        <w:tc>
          <w:tcPr>
            <w:tcW w:w="1360" w:type="dxa"/>
            <w:vAlign w:val="bottom"/>
            <w:tcBorders>
              <w:right w:val="single" w:sz="8" w:color="95B3D7"/>
            </w:tcBorders>
            <w:vMerge w:val="continue"/>
          </w:tcPr>
          <w:p>
            <w:pPr>
              <w:spacing w:after="0"/>
              <w:rPr>
                <w:sz w:val="10"/>
                <w:szCs w:val="10"/>
                <w:color w:val="auto"/>
              </w:rPr>
            </w:pPr>
          </w:p>
        </w:tc>
        <w:tc>
          <w:tcPr>
            <w:tcW w:w="1360" w:type="dxa"/>
            <w:vAlign w:val="bottom"/>
            <w:tcBorders>
              <w:right w:val="single" w:sz="8" w:color="95B3D7"/>
            </w:tcBorders>
            <w:vMerge w:val="continue"/>
          </w:tcPr>
          <w:p>
            <w:pPr>
              <w:spacing w:after="0"/>
              <w:rPr>
                <w:sz w:val="10"/>
                <w:szCs w:val="10"/>
                <w:color w:val="auto"/>
              </w:rPr>
            </w:pPr>
          </w:p>
        </w:tc>
        <w:tc>
          <w:tcPr>
            <w:tcW w:w="1120" w:type="dxa"/>
            <w:vAlign w:val="bottom"/>
            <w:tcBorders>
              <w:right w:val="single" w:sz="8" w:color="95B3D7"/>
            </w:tcBorders>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120" w:type="dxa"/>
            <w:vAlign w:val="bottom"/>
            <w:tcBorders>
              <w:right w:val="single" w:sz="8" w:color="95B3D7"/>
            </w:tcBorders>
            <w:vMerge w:val="continue"/>
          </w:tcPr>
          <w:p>
            <w:pPr>
              <w:spacing w:after="0"/>
              <w:rPr>
                <w:sz w:val="8"/>
                <w:szCs w:val="8"/>
                <w:color w:val="auto"/>
              </w:rPr>
            </w:pPr>
          </w:p>
        </w:tc>
        <w:tc>
          <w:tcPr>
            <w:tcW w:w="800" w:type="dxa"/>
            <w:vAlign w:val="bottom"/>
            <w:tcBorders>
              <w:right w:val="single" w:sz="8" w:color="95B3D7"/>
            </w:tcBorders>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Borders>
              <w:right w:val="single" w:sz="8" w:color="95B3D7"/>
            </w:tcBorders>
          </w:tcPr>
          <w:p>
            <w:pPr>
              <w:spacing w:after="0"/>
              <w:rPr>
                <w:sz w:val="8"/>
                <w:szCs w:val="8"/>
                <w:color w:val="auto"/>
              </w:rPr>
            </w:pPr>
          </w:p>
        </w:tc>
        <w:tc>
          <w:tcPr>
            <w:tcW w:w="1360" w:type="dxa"/>
            <w:vAlign w:val="bottom"/>
            <w:tcBorders>
              <w:right w:val="single" w:sz="8" w:color="95B3D7"/>
            </w:tcBorders>
          </w:tcPr>
          <w:p>
            <w:pPr>
              <w:spacing w:after="0"/>
              <w:rPr>
                <w:sz w:val="8"/>
                <w:szCs w:val="8"/>
                <w:color w:val="auto"/>
              </w:rPr>
            </w:pPr>
          </w:p>
        </w:tc>
        <w:tc>
          <w:tcPr>
            <w:tcW w:w="1360" w:type="dxa"/>
            <w:vAlign w:val="bottom"/>
            <w:tcBorders>
              <w:right w:val="single" w:sz="8" w:color="95B3D7"/>
            </w:tcBorders>
          </w:tcPr>
          <w:p>
            <w:pPr>
              <w:spacing w:after="0"/>
              <w:rPr>
                <w:sz w:val="8"/>
                <w:szCs w:val="8"/>
                <w:color w:val="auto"/>
              </w:rPr>
            </w:pPr>
          </w:p>
        </w:tc>
        <w:tc>
          <w:tcPr>
            <w:tcW w:w="1120" w:type="dxa"/>
            <w:vAlign w:val="bottom"/>
            <w:tcBorders>
              <w:right w:val="single" w:sz="8" w:color="95B3D7"/>
            </w:tcBorders>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120" w:type="dxa"/>
            <w:vAlign w:val="bottom"/>
            <w:tcBorders>
              <w:bottom w:val="single" w:sz="8" w:color="95B3D7"/>
              <w:right w:val="single" w:sz="8" w:color="95B3D7"/>
            </w:tcBorders>
          </w:tcPr>
          <w:p>
            <w:pPr>
              <w:spacing w:after="0"/>
              <w:rPr>
                <w:sz w:val="2"/>
                <w:szCs w:val="2"/>
                <w:color w:val="auto"/>
              </w:rPr>
            </w:pPr>
          </w:p>
        </w:tc>
        <w:tc>
          <w:tcPr>
            <w:tcW w:w="800" w:type="dxa"/>
            <w:vAlign w:val="bottom"/>
            <w:tcBorders>
              <w:bottom w:val="single" w:sz="8" w:color="95B3D7"/>
              <w:right w:val="single" w:sz="8" w:color="95B3D7"/>
            </w:tcBorders>
          </w:tcPr>
          <w:p>
            <w:pPr>
              <w:spacing w:after="0"/>
              <w:rPr>
                <w:sz w:val="2"/>
                <w:szCs w:val="2"/>
                <w:color w:val="auto"/>
              </w:rPr>
            </w:pPr>
          </w:p>
        </w:tc>
        <w:tc>
          <w:tcPr>
            <w:tcW w:w="280" w:type="dxa"/>
            <w:vAlign w:val="bottom"/>
            <w:tcBorders>
              <w:bottom w:val="single" w:sz="8" w:color="95B3D7"/>
            </w:tcBorders>
          </w:tcPr>
          <w:p>
            <w:pPr>
              <w:spacing w:after="0"/>
              <w:rPr>
                <w:sz w:val="2"/>
                <w:szCs w:val="2"/>
                <w:color w:val="auto"/>
              </w:rPr>
            </w:pPr>
          </w:p>
        </w:tc>
        <w:tc>
          <w:tcPr>
            <w:tcW w:w="720" w:type="dxa"/>
            <w:vAlign w:val="bottom"/>
            <w:tcBorders>
              <w:bottom w:val="single" w:sz="8" w:color="95B3D7"/>
            </w:tcBorders>
          </w:tcPr>
          <w:p>
            <w:pPr>
              <w:spacing w:after="0"/>
              <w:rPr>
                <w:sz w:val="2"/>
                <w:szCs w:val="2"/>
                <w:color w:val="auto"/>
              </w:rPr>
            </w:pPr>
          </w:p>
        </w:tc>
        <w:tc>
          <w:tcPr>
            <w:tcW w:w="300" w:type="dxa"/>
            <w:vAlign w:val="bottom"/>
            <w:tcBorders>
              <w:bottom w:val="single" w:sz="8" w:color="95B3D7"/>
              <w:right w:val="single" w:sz="8" w:color="95B3D7"/>
            </w:tcBorders>
          </w:tcPr>
          <w:p>
            <w:pPr>
              <w:spacing w:after="0"/>
              <w:rPr>
                <w:sz w:val="2"/>
                <w:szCs w:val="2"/>
                <w:color w:val="auto"/>
              </w:rPr>
            </w:pPr>
          </w:p>
        </w:tc>
        <w:tc>
          <w:tcPr>
            <w:tcW w:w="1360" w:type="dxa"/>
            <w:vAlign w:val="bottom"/>
            <w:tcBorders>
              <w:bottom w:val="single" w:sz="8" w:color="95B3D7"/>
              <w:right w:val="single" w:sz="8" w:color="95B3D7"/>
            </w:tcBorders>
          </w:tcPr>
          <w:p>
            <w:pPr>
              <w:spacing w:after="0"/>
              <w:rPr>
                <w:sz w:val="2"/>
                <w:szCs w:val="2"/>
                <w:color w:val="auto"/>
              </w:rPr>
            </w:pPr>
          </w:p>
        </w:tc>
        <w:tc>
          <w:tcPr>
            <w:tcW w:w="1360" w:type="dxa"/>
            <w:vAlign w:val="bottom"/>
            <w:tcBorders>
              <w:bottom w:val="single" w:sz="8" w:color="95B3D7"/>
              <w:right w:val="single" w:sz="8" w:color="95B3D7"/>
            </w:tcBorders>
          </w:tcPr>
          <w:p>
            <w:pPr>
              <w:spacing w:after="0"/>
              <w:rPr>
                <w:sz w:val="2"/>
                <w:szCs w:val="2"/>
                <w:color w:val="auto"/>
              </w:rPr>
            </w:pPr>
          </w:p>
        </w:tc>
        <w:tc>
          <w:tcPr>
            <w:tcW w:w="1120" w:type="dxa"/>
            <w:vAlign w:val="bottom"/>
            <w:tcBorders>
              <w:bottom w:val="single" w:sz="8" w:color="95B3D7"/>
              <w:right w:val="single" w:sz="8" w:color="95B3D7"/>
            </w:tcBorders>
          </w:tcPr>
          <w:p>
            <w:pPr>
              <w:spacing w:after="0"/>
              <w:rPr>
                <w:sz w:val="2"/>
                <w:szCs w:val="2"/>
                <w:color w:val="auto"/>
              </w:rPr>
            </w:pPr>
          </w:p>
        </w:tc>
        <w:tc>
          <w:tcPr>
            <w:tcW w:w="660" w:type="dxa"/>
            <w:vAlign w:val="bottom"/>
            <w:tcBorders>
              <w:bottom w:val="single" w:sz="8" w:color="95B3D7"/>
            </w:tcBorders>
          </w:tcPr>
          <w:p>
            <w:pPr>
              <w:spacing w:after="0"/>
              <w:rPr>
                <w:sz w:val="2"/>
                <w:szCs w:val="2"/>
                <w:color w:val="auto"/>
              </w:rPr>
            </w:pPr>
          </w:p>
        </w:tc>
        <w:tc>
          <w:tcPr>
            <w:tcW w:w="240" w:type="dxa"/>
            <w:vAlign w:val="bottom"/>
            <w:tcBorders>
              <w:bottom w:val="single" w:sz="8" w:color="95B3D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900" w:right="40" w:hanging="325"/>
        <w:spacing w:after="0" w:line="283" w:lineRule="auto"/>
        <w:tabs>
          <w:tab w:leader="none" w:pos="887"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potential payout based on achievement of corporate objectives established at 200.0% and individual objectives as shown in the table. Actual payout in March 2026 was 75% of these amounts, with the remaining 25% held back and potentially payable in the fourth quarter of 2026, subject to the modifier based on the Company’s CMS Star Ratings. See “—</w:t>
      </w:r>
      <w:r>
        <w:rPr>
          <w:rFonts w:ascii="Arial" w:cs="Arial" w:eastAsia="Arial" w:hAnsi="Arial"/>
          <w:sz w:val="14"/>
          <w:szCs w:val="14"/>
          <w:i w:val="1"/>
          <w:iCs w:val="1"/>
          <w:color w:val="auto"/>
        </w:rPr>
        <w:t>2025 Annual Incentive Plan Payouts—Adjustment for CMS Star Ratings</w:t>
      </w:r>
      <w:r>
        <w:rPr>
          <w:rFonts w:ascii="Arial" w:cs="Arial" w:eastAsia="Arial" w:hAnsi="Arial"/>
          <w:sz w:val="14"/>
          <w:szCs w:val="14"/>
          <w:color w:val="auto"/>
        </w:rPr>
        <w:t>” below.</w:t>
      </w:r>
    </w:p>
    <w:p>
      <w:pPr>
        <w:spacing w:after="0" w:line="123"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As indicated by the percentages of target above, total bonus payout for 2025 performance did not exceed the plan cap of 200% of target for any individual.</w:t>
      </w:r>
    </w:p>
    <w:p>
      <w:pPr>
        <w:spacing w:after="0" w:line="139" w:lineRule="exact"/>
        <w:rPr>
          <w:sz w:val="20"/>
          <w:szCs w:val="20"/>
          <w:color w:val="auto"/>
        </w:rPr>
      </w:pPr>
    </w:p>
    <w:p>
      <w:pPr>
        <w:ind w:right="20" w:firstLine="405"/>
        <w:spacing w:after="0" w:line="234" w:lineRule="auto"/>
        <w:rPr>
          <w:sz w:val="20"/>
          <w:szCs w:val="20"/>
          <w:color w:val="auto"/>
        </w:rPr>
      </w:pPr>
      <w:r>
        <w:rPr>
          <w:rFonts w:ascii="Arial" w:cs="Arial" w:eastAsia="Arial" w:hAnsi="Arial"/>
          <w:sz w:val="17"/>
          <w:szCs w:val="17"/>
          <w:i w:val="1"/>
          <w:iCs w:val="1"/>
          <w:color w:val="auto"/>
        </w:rPr>
        <w:t xml:space="preserve">Adjustment for CMS Star Ratings. </w:t>
      </w:r>
      <w:r>
        <w:rPr>
          <w:rFonts w:ascii="Arial" w:cs="Arial" w:eastAsia="Arial" w:hAnsi="Arial"/>
          <w:sz w:val="17"/>
          <w:szCs w:val="17"/>
          <w:color w:val="auto"/>
        </w:rPr>
        <w:t>As described above, 25% of each NEO's total 2025 Annual Incentive Plan payout based on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and individual performance will be held back and not be paid, if at all, until the fourth quarter of 2026. The amount of the holdback that is paid</w:t>
      </w:r>
    </w:p>
    <w:p>
      <w:pPr>
        <w:spacing w:after="0" w:line="1" w:lineRule="exact"/>
        <w:rPr>
          <w:sz w:val="20"/>
          <w:szCs w:val="20"/>
          <w:color w:val="auto"/>
        </w:rPr>
      </w:pPr>
    </w:p>
    <w:p>
      <w:pPr>
        <w:ind w:right="20"/>
        <w:spacing w:after="0" w:line="208" w:lineRule="auto"/>
        <w:rPr>
          <w:sz w:val="20"/>
          <w:szCs w:val="20"/>
          <w:color w:val="auto"/>
        </w:rPr>
      </w:pPr>
      <w:r>
        <w:rPr>
          <w:rFonts w:ascii="Arial" w:cs="Arial" w:eastAsia="Arial" w:hAnsi="Arial"/>
          <w:sz w:val="18"/>
          <w:szCs w:val="18"/>
          <w:color w:val="auto"/>
        </w:rPr>
        <w:t>to each NEO is subject to an adjustment based on the CMS Star Rating achieved by the Company’s Medicare Advantage plans. Each rated health plan has an “Overall” quality rating of 1 to 5 stars (5 is highest), which is based on the quality of medical care, member experience and plan administration (Part C), and on the quality, safety, and accessibility of the prescription drug benefit (Part D). All health plan ratings are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calculated the same way, using the same information sources.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When the prior fiscal year’s results are available in the fourth quarter of 2026, the NEO’s final payouts will be adjusted as follows:</w:t>
      </w:r>
    </w:p>
    <w:p>
      <w:pPr>
        <w:spacing w:after="0" w:line="185" w:lineRule="exact"/>
        <w:rPr>
          <w:sz w:val="20"/>
          <w:szCs w:val="20"/>
          <w:color w:val="auto"/>
        </w:rPr>
      </w:pPr>
    </w:p>
    <w:p>
      <w:pPr>
        <w:ind w:left="720" w:hanging="311"/>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3.5 stars or lower will result in a 25% decrease in each NEO’s aggregate bonus (i.e., no payment of the 25% holdback will occur);</w:t>
      </w:r>
    </w:p>
    <w:p>
      <w:pPr>
        <w:spacing w:after="0" w:line="198" w:lineRule="exact"/>
        <w:rPr>
          <w:rFonts w:ascii="Arial" w:cs="Arial" w:eastAsia="Arial" w:hAnsi="Arial"/>
          <w:sz w:val="18"/>
          <w:szCs w:val="18"/>
          <w:color w:val="auto"/>
        </w:rPr>
      </w:pPr>
    </w:p>
    <w:p>
      <w:pPr>
        <w:ind w:left="720" w:hanging="311"/>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4.0 stars will result in no increase or decrease in each NEO’s aggregate bonus (i.e., payment of the 25% holdback will occur); and</w:t>
      </w:r>
    </w:p>
    <w:p>
      <w:pPr>
        <w:spacing w:after="0" w:line="184" w:lineRule="exact"/>
        <w:rPr>
          <w:rFonts w:ascii="Arial" w:cs="Arial" w:eastAsia="Arial" w:hAnsi="Arial"/>
          <w:sz w:val="18"/>
          <w:szCs w:val="18"/>
          <w:color w:val="auto"/>
        </w:rPr>
      </w:pPr>
    </w:p>
    <w:p>
      <w:pPr>
        <w:ind w:left="720" w:hanging="311"/>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4.5 or 5.0 stars will result in a 35% increase in each NEO’s aggregate bonus.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Adjustments to 2023 AIP Payment</w:t>
      </w:r>
    </w:p>
    <w:p>
      <w:pPr>
        <w:spacing w:after="0" w:line="183" w:lineRule="exact"/>
        <w:rPr>
          <w:sz w:val="20"/>
          <w:szCs w:val="20"/>
          <w:color w:val="auto"/>
        </w:rPr>
      </w:pPr>
    </w:p>
    <w:p>
      <w:pPr>
        <w:ind w:right="340" w:firstLine="405"/>
        <w:spacing w:after="0" w:line="262" w:lineRule="auto"/>
        <w:rPr>
          <w:sz w:val="20"/>
          <w:szCs w:val="20"/>
          <w:color w:val="auto"/>
        </w:rPr>
      </w:pPr>
      <w:r>
        <w:rPr>
          <w:rFonts w:ascii="Arial" w:cs="Arial" w:eastAsia="Arial" w:hAnsi="Arial"/>
          <w:sz w:val="18"/>
          <w:szCs w:val="18"/>
          <w:color w:val="auto"/>
        </w:rPr>
        <w:t>The Company provided for an AIP for fiscal year 2023, with an initial payout occurring in March 2024 and the Stars-related holdback being paid in October 2024. In June 2025, a federal court ruled partially in our favor in a legal challenge against CMS, resulting in an increase in our Arizona HMO 2025 star rating from 3.5 to 4 stars. As a result, payouts under the 2023 AIP were adjusted and our NEOs received the following additional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 w:lineRule="exact"/>
        <w:rPr>
          <w:sz w:val="20"/>
          <w:szCs w:val="20"/>
          <w:color w:val="auto"/>
        </w:rPr>
      </w:pPr>
    </w:p>
    <w:tbl>
      <w:tblPr>
        <w:tblLayout w:type="fixed"/>
        <w:tblInd w:w="3180" w:type="dxa"/>
        <w:tblCellMar>
          <w:top w:w="0" w:type="dxa"/>
          <w:left w:w="0" w:type="dxa"/>
          <w:bottom w:w="0" w:type="dxa"/>
          <w:right w:w="0" w:type="dxa"/>
        </w:tblCellMar>
      </w:tblPr>
      <w:tr>
        <w:trPr>
          <w:trHeight w:val="184"/>
        </w:trPr>
        <w:tc>
          <w:tcPr>
            <w:tcW w:w="2540" w:type="dxa"/>
            <w:vAlign w:val="bottom"/>
            <w:vMerge w:val="restart"/>
          </w:tcPr>
          <w:p>
            <w:pPr>
              <w:ind w:left="1040"/>
              <w:spacing w:after="0"/>
              <w:rPr>
                <w:sz w:val="20"/>
                <w:szCs w:val="20"/>
                <w:color w:val="auto"/>
              </w:rPr>
            </w:pPr>
            <w:r>
              <w:rPr>
                <w:rFonts w:ascii="Arial" w:cs="Arial" w:eastAsia="Arial" w:hAnsi="Arial"/>
                <w:sz w:val="16"/>
                <w:szCs w:val="16"/>
                <w:b w:val="1"/>
                <w:bCs w:val="1"/>
                <w:color w:val="auto"/>
              </w:rPr>
              <w:t>Name</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rPr>
              <w:t>Additional 2023</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vMerge w:val="continue"/>
          </w:tcPr>
          <w:p>
            <w:pPr>
              <w:spacing w:after="0"/>
              <w:rPr>
                <w:sz w:val="18"/>
                <w:szCs w:val="18"/>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AIP Payout</w:t>
            </w:r>
          </w:p>
        </w:tc>
        <w:tc>
          <w:tcPr>
            <w:tcW w:w="0" w:type="dxa"/>
            <w:vAlign w:val="bottom"/>
          </w:tcPr>
          <w:p>
            <w:pPr>
              <w:spacing w:after="0"/>
              <w:rPr>
                <w:sz w:val="1"/>
                <w:szCs w:val="1"/>
                <w:color w:val="auto"/>
              </w:rPr>
            </w:pPr>
          </w:p>
        </w:tc>
      </w:tr>
      <w:tr>
        <w:trPr>
          <w:trHeight w:val="209"/>
        </w:trPr>
        <w:tc>
          <w:tcPr>
            <w:tcW w:w="254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John Kao</w:t>
            </w:r>
          </w:p>
        </w:tc>
        <w:tc>
          <w:tcPr>
            <w:tcW w:w="234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$4,228</w:t>
            </w:r>
          </w:p>
        </w:tc>
        <w:tc>
          <w:tcPr>
            <w:tcW w:w="0" w:type="dxa"/>
            <w:vAlign w:val="bottom"/>
          </w:tcPr>
          <w:p>
            <w:pPr>
              <w:spacing w:after="0"/>
              <w:rPr>
                <w:sz w:val="1"/>
                <w:szCs w:val="1"/>
                <w:color w:val="auto"/>
              </w:rPr>
            </w:pPr>
          </w:p>
        </w:tc>
      </w:tr>
      <w:tr>
        <w:trPr>
          <w:trHeight w:val="215"/>
        </w:trPr>
        <w:tc>
          <w:tcPr>
            <w:tcW w:w="254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Dawn Maroney</w:t>
            </w:r>
          </w:p>
        </w:tc>
        <w:tc>
          <w:tcPr>
            <w:tcW w:w="2340" w:type="dxa"/>
            <w:vAlign w:val="bottom"/>
          </w:tcPr>
          <w:p>
            <w:pPr>
              <w:jc w:val="center"/>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17"/>
        </w:trPr>
        <w:tc>
          <w:tcPr>
            <w:tcW w:w="254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James M. Head</w:t>
            </w:r>
          </w:p>
        </w:tc>
        <w:tc>
          <w:tcPr>
            <w:tcW w:w="23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5"/>
        </w:trPr>
        <w:tc>
          <w:tcPr>
            <w:tcW w:w="254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Thomas Freeman</w:t>
            </w:r>
          </w:p>
        </w:tc>
        <w:tc>
          <w:tcPr>
            <w:tcW w:w="2340" w:type="dxa"/>
            <w:vAlign w:val="bottom"/>
          </w:tcPr>
          <w:p>
            <w:pPr>
              <w:jc w:val="center"/>
              <w:spacing w:after="0"/>
              <w:rPr>
                <w:sz w:val="20"/>
                <w:szCs w:val="20"/>
                <w:color w:val="auto"/>
              </w:rPr>
            </w:pPr>
            <w:r>
              <w:rPr>
                <w:rFonts w:ascii="Arial" w:cs="Arial" w:eastAsia="Arial" w:hAnsi="Arial"/>
                <w:sz w:val="16"/>
                <w:szCs w:val="16"/>
                <w:color w:val="auto"/>
              </w:rPr>
              <w:t>$2,788</w:t>
            </w:r>
          </w:p>
        </w:tc>
        <w:tc>
          <w:tcPr>
            <w:tcW w:w="0" w:type="dxa"/>
            <w:vAlign w:val="bottom"/>
          </w:tcPr>
          <w:p>
            <w:pPr>
              <w:spacing w:after="0"/>
              <w:rPr>
                <w:sz w:val="1"/>
                <w:szCs w:val="1"/>
                <w:color w:val="auto"/>
              </w:rPr>
            </w:pPr>
          </w:p>
        </w:tc>
      </w:tr>
      <w:tr>
        <w:trPr>
          <w:trHeight w:val="244"/>
        </w:trPr>
        <w:tc>
          <w:tcPr>
            <w:tcW w:w="254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Hyong (Ken) Kim, M.D.</w:t>
            </w:r>
          </w:p>
        </w:tc>
        <w:tc>
          <w:tcPr>
            <w:tcW w:w="234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37"/>
        </w:trPr>
        <w:tc>
          <w:tcPr>
            <w:tcW w:w="254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Christopher Joyce</w:t>
            </w:r>
          </w:p>
        </w:tc>
        <w:tc>
          <w:tcPr>
            <w:tcW w:w="234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$2,246</w:t>
            </w: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Long-Term Equity Incentives</w:t>
      </w:r>
    </w:p>
    <w:p>
      <w:pPr>
        <w:spacing w:after="0" w:line="223" w:lineRule="exact"/>
        <w:rPr>
          <w:sz w:val="20"/>
          <w:szCs w:val="20"/>
          <w:color w:val="auto"/>
        </w:rPr>
      </w:pPr>
    </w:p>
    <w:p>
      <w:pPr>
        <w:ind w:right="160" w:firstLine="401"/>
        <w:spacing w:after="0" w:line="268" w:lineRule="auto"/>
        <w:rPr>
          <w:sz w:val="20"/>
          <w:szCs w:val="20"/>
          <w:color w:val="auto"/>
        </w:rPr>
      </w:pPr>
      <w:r>
        <w:rPr>
          <w:rFonts w:ascii="Arial" w:cs="Arial" w:eastAsia="Arial" w:hAnsi="Arial"/>
          <w:sz w:val="18"/>
          <w:szCs w:val="18"/>
          <w:color w:val="auto"/>
        </w:rPr>
        <w:t>The Company’s long-term equity incentive program is designed to provide a portion of our executives’ compensation opportunity in equity-based instruments. We believe that long-term equity compensation is key to assuring our executives’ interests are aligned with those of our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2025 Equity Awards</w:t>
      </w:r>
    </w:p>
    <w:p>
      <w:pPr>
        <w:spacing w:after="0" w:line="223" w:lineRule="exact"/>
        <w:rPr>
          <w:sz w:val="20"/>
          <w:szCs w:val="20"/>
          <w:color w:val="auto"/>
        </w:rPr>
      </w:pPr>
    </w:p>
    <w:p>
      <w:pPr>
        <w:ind w:right="140" w:firstLine="401"/>
        <w:spacing w:after="0" w:line="262" w:lineRule="auto"/>
        <w:rPr>
          <w:sz w:val="20"/>
          <w:szCs w:val="20"/>
          <w:color w:val="auto"/>
        </w:rPr>
      </w:pPr>
      <w:r>
        <w:rPr>
          <w:rFonts w:ascii="Arial" w:cs="Arial" w:eastAsia="Arial" w:hAnsi="Arial"/>
          <w:sz w:val="18"/>
          <w:szCs w:val="18"/>
          <w:color w:val="auto"/>
        </w:rPr>
        <w:t>In March 2025, the Compensation Committee and Board approved the award of the March 2025 Equity Awards to the NEOs under the Company’s 2021 Equity Incentive Plan (the “Plan”). In light of the Company’s retention objectives given competition for talent in the health care space, together with the preference of our stockholders to continue to see a strong focus on performance-based equity compensation, the Compensation Committee approved long-term incentive grants for 2025 using 50% RSUs and 50% PSUs.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table below shows the RSU awards granted for fiscal year 2025 for each of the NEOs:</w:t>
      </w:r>
    </w:p>
    <w:p>
      <w:pPr>
        <w:spacing w:after="0" w:line="230" w:lineRule="exact"/>
        <w:rPr>
          <w:sz w:val="20"/>
          <w:szCs w:val="20"/>
          <w:color w:val="auto"/>
        </w:rPr>
      </w:pPr>
    </w:p>
    <w:tbl>
      <w:tblPr>
        <w:tblLayout w:type="fixed"/>
        <w:tblInd w:w="2240" w:type="dxa"/>
        <w:tblCellMar>
          <w:top w:w="0" w:type="dxa"/>
          <w:left w:w="0" w:type="dxa"/>
          <w:bottom w:w="0" w:type="dxa"/>
          <w:right w:w="0" w:type="dxa"/>
        </w:tblCellMar>
      </w:tblPr>
      <w:tr>
        <w:trPr>
          <w:trHeight w:val="223"/>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Name</w:t>
            </w:r>
          </w:p>
        </w:tc>
        <w:tc>
          <w:tcPr>
            <w:tcW w:w="2260" w:type="dxa"/>
            <w:vAlign w:val="bottom"/>
          </w:tcPr>
          <w:p>
            <w:pPr>
              <w:jc w:val="right"/>
              <w:ind w:right="738"/>
              <w:spacing w:after="0"/>
              <w:rPr>
                <w:sz w:val="20"/>
                <w:szCs w:val="20"/>
                <w:color w:val="auto"/>
              </w:rPr>
            </w:pPr>
            <w:r>
              <w:rPr>
                <w:rFonts w:ascii="Arial" w:cs="Arial" w:eastAsia="Arial" w:hAnsi="Arial"/>
                <w:sz w:val="16"/>
                <w:szCs w:val="16"/>
                <w:b w:val="1"/>
                <w:bCs w:val="1"/>
                <w:color w:val="auto"/>
              </w:rPr>
              <w:t>RSUs (#)</w:t>
            </w:r>
          </w:p>
        </w:tc>
        <w:tc>
          <w:tcPr>
            <w:tcW w:w="2260" w:type="dxa"/>
            <w:vAlign w:val="bottom"/>
          </w:tcPr>
          <w:p>
            <w:pPr>
              <w:ind w:left="540"/>
              <w:spacing w:after="0"/>
              <w:rPr>
                <w:sz w:val="20"/>
                <w:szCs w:val="20"/>
                <w:color w:val="auto"/>
              </w:rPr>
            </w:pPr>
            <w:r>
              <w:rPr>
                <w:rFonts w:ascii="Arial" w:cs="Arial" w:eastAsia="Arial" w:hAnsi="Arial"/>
                <w:sz w:val="16"/>
                <w:szCs w:val="16"/>
                <w:b w:val="1"/>
                <w:bCs w:val="1"/>
                <w:color w:val="auto"/>
              </w:rPr>
              <w:t>RSUs ($ Value)</w:t>
            </w:r>
          </w:p>
        </w:tc>
      </w:tr>
      <w:tr>
        <w:trPr>
          <w:trHeight w:val="34"/>
        </w:trPr>
        <w:tc>
          <w:tcPr>
            <w:tcW w:w="22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r>
      <w:tr>
        <w:trPr>
          <w:trHeight w:val="237"/>
        </w:trPr>
        <w:tc>
          <w:tcPr>
            <w:tcW w:w="22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color w:val="auto"/>
              </w:rPr>
              <w:t>John Kao</w:t>
            </w:r>
          </w:p>
        </w:tc>
        <w:tc>
          <w:tcPr>
            <w:tcW w:w="2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274,194</w:t>
            </w:r>
          </w:p>
        </w:tc>
        <w:tc>
          <w:tcPr>
            <w:tcW w:w="22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4,250,007</w:t>
            </w:r>
          </w:p>
        </w:tc>
      </w:tr>
      <w:tr>
        <w:trPr>
          <w:trHeight w:val="249"/>
        </w:trPr>
        <w:tc>
          <w:tcPr>
            <w:tcW w:w="2260" w:type="dxa"/>
            <w:vAlign w:val="bottom"/>
            <w:tcBorders>
              <w:right w:val="single" w:sz="8" w:color="95B3D7"/>
            </w:tcBorders>
          </w:tcPr>
          <w:p>
            <w:pPr>
              <w:ind w:left="20"/>
              <w:spacing w:after="0"/>
              <w:rPr>
                <w:sz w:val="20"/>
                <w:szCs w:val="20"/>
                <w:color w:val="auto"/>
              </w:rPr>
            </w:pPr>
            <w:r>
              <w:rPr>
                <w:rFonts w:ascii="Arial" w:cs="Arial" w:eastAsia="Arial" w:hAnsi="Arial"/>
                <w:sz w:val="16"/>
                <w:szCs w:val="16"/>
                <w:color w:val="auto"/>
              </w:rPr>
              <w:t>Dawn Maroney</w:t>
            </w:r>
          </w:p>
        </w:tc>
        <w:tc>
          <w:tcPr>
            <w:tcW w:w="22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w w:val="96"/>
              </w:rPr>
              <w:t>119,355</w:t>
            </w:r>
          </w:p>
        </w:tc>
        <w:tc>
          <w:tcPr>
            <w:tcW w:w="2260" w:type="dxa"/>
            <w:vAlign w:val="bottom"/>
          </w:tcPr>
          <w:p>
            <w:pPr>
              <w:jc w:val="center"/>
              <w:spacing w:after="0"/>
              <w:rPr>
                <w:sz w:val="20"/>
                <w:szCs w:val="20"/>
                <w:color w:val="auto"/>
              </w:rPr>
            </w:pPr>
            <w:r>
              <w:rPr>
                <w:rFonts w:ascii="Arial" w:cs="Arial" w:eastAsia="Arial" w:hAnsi="Arial"/>
                <w:sz w:val="16"/>
                <w:szCs w:val="16"/>
                <w:color w:val="auto"/>
              </w:rPr>
              <w:t>1,850,003</w:t>
            </w:r>
          </w:p>
        </w:tc>
      </w:tr>
      <w:tr>
        <w:trPr>
          <w:trHeight w:val="264"/>
        </w:trPr>
        <w:tc>
          <w:tcPr>
            <w:tcW w:w="22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color w:val="auto"/>
              </w:rPr>
              <w:t>James M. Head</w:t>
            </w:r>
            <w:r>
              <w:rPr>
                <w:rFonts w:ascii="Arial" w:cs="Arial" w:eastAsia="Arial" w:hAnsi="Arial"/>
                <w:sz w:val="21"/>
                <w:szCs w:val="21"/>
                <w:color w:val="auto"/>
                <w:vertAlign w:val="superscript"/>
              </w:rPr>
              <w:t>(1)</w:t>
            </w:r>
          </w:p>
        </w:tc>
        <w:tc>
          <w:tcPr>
            <w:tcW w:w="2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2260" w:type="dxa"/>
            <w:vAlign w:val="bottom"/>
            <w:tcBorders>
              <w:right w:val="single" w:sz="8" w:color="95B3D7"/>
            </w:tcBorders>
          </w:tcPr>
          <w:p>
            <w:pPr>
              <w:ind w:left="20"/>
              <w:spacing w:after="0"/>
              <w:rPr>
                <w:sz w:val="20"/>
                <w:szCs w:val="20"/>
                <w:color w:val="auto"/>
              </w:rPr>
            </w:pPr>
            <w:r>
              <w:rPr>
                <w:rFonts w:ascii="Arial" w:cs="Arial" w:eastAsia="Arial" w:hAnsi="Arial"/>
                <w:sz w:val="16"/>
                <w:szCs w:val="16"/>
                <w:color w:val="auto"/>
              </w:rPr>
              <w:t>Thomas Freeman</w:t>
            </w:r>
            <w:r>
              <w:rPr>
                <w:rFonts w:ascii="Arial" w:cs="Arial" w:eastAsia="Arial" w:hAnsi="Arial"/>
                <w:sz w:val="21"/>
                <w:szCs w:val="21"/>
                <w:color w:val="auto"/>
                <w:vertAlign w:val="superscript"/>
              </w:rPr>
              <w:t>(2)</w:t>
            </w:r>
          </w:p>
        </w:tc>
        <w:tc>
          <w:tcPr>
            <w:tcW w:w="226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61,290</w:t>
            </w:r>
          </w:p>
        </w:tc>
        <w:tc>
          <w:tcPr>
            <w:tcW w:w="2260" w:type="dxa"/>
            <w:vAlign w:val="bottom"/>
          </w:tcPr>
          <w:p>
            <w:pPr>
              <w:jc w:val="center"/>
              <w:spacing w:after="0"/>
              <w:rPr>
                <w:sz w:val="20"/>
                <w:szCs w:val="20"/>
                <w:color w:val="auto"/>
              </w:rPr>
            </w:pPr>
            <w:r>
              <w:rPr>
                <w:rFonts w:ascii="Arial" w:cs="Arial" w:eastAsia="Arial" w:hAnsi="Arial"/>
                <w:sz w:val="16"/>
                <w:szCs w:val="16"/>
                <w:color w:val="auto"/>
              </w:rPr>
              <w:t>949,995</w:t>
            </w:r>
          </w:p>
        </w:tc>
      </w:tr>
      <w:tr>
        <w:trPr>
          <w:trHeight w:val="257"/>
        </w:trPr>
        <w:tc>
          <w:tcPr>
            <w:tcW w:w="226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color w:val="auto"/>
              </w:rPr>
              <w:t>Hyong (Ken) Kim, M.D.</w:t>
            </w:r>
          </w:p>
        </w:tc>
        <w:tc>
          <w:tcPr>
            <w:tcW w:w="2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58,065</w:t>
            </w:r>
          </w:p>
        </w:tc>
        <w:tc>
          <w:tcPr>
            <w:tcW w:w="22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900,008</w:t>
            </w:r>
          </w:p>
        </w:tc>
      </w:tr>
      <w:tr>
        <w:trPr>
          <w:trHeight w:val="256"/>
        </w:trPr>
        <w:tc>
          <w:tcPr>
            <w:tcW w:w="2260" w:type="dxa"/>
            <w:vAlign w:val="bottom"/>
            <w:tcBorders>
              <w:bottom w:val="single" w:sz="8" w:color="95B3D7"/>
              <w:right w:val="single" w:sz="8" w:color="95B3D7"/>
            </w:tcBorders>
          </w:tcPr>
          <w:p>
            <w:pPr>
              <w:ind w:left="20"/>
              <w:spacing w:after="0"/>
              <w:rPr>
                <w:sz w:val="20"/>
                <w:szCs w:val="20"/>
                <w:color w:val="auto"/>
              </w:rPr>
            </w:pPr>
            <w:r>
              <w:rPr>
                <w:rFonts w:ascii="Arial" w:cs="Arial" w:eastAsia="Arial" w:hAnsi="Arial"/>
                <w:sz w:val="16"/>
                <w:szCs w:val="16"/>
                <w:color w:val="auto"/>
              </w:rPr>
              <w:t>Christopher Joyce</w:t>
            </w:r>
          </w:p>
        </w:tc>
        <w:tc>
          <w:tcPr>
            <w:tcW w:w="2260" w:type="dxa"/>
            <w:vAlign w:val="bottom"/>
            <w:tcBorders>
              <w:bottom w:val="single" w:sz="8" w:color="95B3D7"/>
              <w:right w:val="single" w:sz="8" w:color="95B3D7"/>
            </w:tcBorders>
          </w:tcPr>
          <w:p>
            <w:pPr>
              <w:jc w:val="right"/>
              <w:ind w:right="778"/>
              <w:spacing w:after="0"/>
              <w:rPr>
                <w:sz w:val="20"/>
                <w:szCs w:val="20"/>
                <w:color w:val="auto"/>
              </w:rPr>
            </w:pPr>
            <w:r>
              <w:rPr>
                <w:rFonts w:ascii="Arial" w:cs="Arial" w:eastAsia="Arial" w:hAnsi="Arial"/>
                <w:sz w:val="16"/>
                <w:szCs w:val="16"/>
                <w:color w:val="auto"/>
              </w:rPr>
              <w:t>56,452</w:t>
            </w:r>
          </w:p>
        </w:tc>
        <w:tc>
          <w:tcPr>
            <w:tcW w:w="22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875,006</w:t>
            </w:r>
          </w:p>
        </w:tc>
      </w:tr>
    </w:tbl>
    <w:p>
      <w:pPr>
        <w:spacing w:after="0" w:line="301" w:lineRule="exact"/>
        <w:rPr>
          <w:sz w:val="20"/>
          <w:szCs w:val="20"/>
          <w:color w:val="auto"/>
        </w:rPr>
      </w:pPr>
    </w:p>
    <w:p>
      <w:pPr>
        <w:jc w:val="both"/>
        <w:ind w:left="900" w:hanging="325"/>
        <w:spacing w:after="0" w:line="283" w:lineRule="auto"/>
        <w:tabs>
          <w:tab w:leader="none" w:pos="904" w:val="left"/>
        </w:tabs>
        <w:numPr>
          <w:ilvl w:val="0"/>
          <w:numId w:val="50"/>
        </w:numPr>
        <w:rPr>
          <w:rFonts w:ascii="Arial" w:cs="Arial" w:eastAsia="Arial" w:hAnsi="Arial"/>
          <w:sz w:val="14"/>
          <w:szCs w:val="14"/>
          <w:color w:val="auto"/>
        </w:rPr>
      </w:pPr>
      <w:r>
        <w:rPr>
          <w:rFonts w:ascii="Arial" w:cs="Arial" w:eastAsia="Arial" w:hAnsi="Arial"/>
          <w:sz w:val="14"/>
          <w:szCs w:val="14"/>
          <w:color w:val="auto"/>
        </w:rPr>
        <w:t>Amount shown reflect the regular annual equity awards granted in March 2025. Mr. Head joined the Company in May 2025. In June 2025, he received, as part of a one-time sign-on grant, 81,593 RSUs having a grant date fair value of $1.25 million, which vest in three equal installments on each of the first three anniversaries of the grant date.</w:t>
      </w:r>
    </w:p>
    <w:p>
      <w:pPr>
        <w:spacing w:after="0" w:line="51" w:lineRule="exact"/>
        <w:rPr>
          <w:rFonts w:ascii="Arial" w:cs="Arial" w:eastAsia="Arial" w:hAnsi="Arial"/>
          <w:sz w:val="14"/>
          <w:szCs w:val="14"/>
          <w:color w:val="auto"/>
        </w:rPr>
      </w:pPr>
    </w:p>
    <w:p>
      <w:pPr>
        <w:ind w:left="900" w:right="20" w:hanging="325"/>
        <w:spacing w:after="0" w:line="305" w:lineRule="auto"/>
        <w:tabs>
          <w:tab w:leader="none" w:pos="964"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connection with Mr. Freeman's transition to an advisory role as of May 2025, we agreed to accelerate the vesting of 20,430 of these RSUs. The remaining portion of this grant was cancelled upon his departure from the Company in February 2026.</w:t>
      </w:r>
    </w:p>
    <w:p>
      <w:pPr>
        <w:spacing w:after="0" w:line="108"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With respect to the March 2025 PSUs, the NEOs are eligible to vest in a number of PSUs ranging from 0% to 200% of the target number of PSUs granted, based on the aggregate achievement by the Company of certain performance metrics (described below) during the fiscal year ended December 31, 2027 (the “Measurement Period”), with threshold, target and maximum goals for each performance metric set by the Compensation Committee and corresponding payout opportunities of 50%, 100% and 200% of target, respectively. The Compensation Committee chose to grant these PSUs with a three-year time-based vesting period and fiscal year 2027 Measurement Period to incentivize long-term value creation and reward pay-for-performance. To the extent earned, shares will fully vest upon certification of results by the Committee (expected on or about February 28, 2028), subject to each grantee's continued employment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ind w:left="500"/>
        <w:spacing w:after="0"/>
        <w:rPr>
          <w:sz w:val="20"/>
          <w:szCs w:val="20"/>
          <w:color w:val="auto"/>
        </w:rPr>
      </w:pPr>
      <w:r>
        <w:rPr>
          <w:rFonts w:ascii="Arial" w:cs="Arial" w:eastAsia="Arial" w:hAnsi="Arial"/>
          <w:sz w:val="18"/>
          <w:szCs w:val="18"/>
          <w:color w:val="auto"/>
        </w:rPr>
        <w:t>The table below shows the target PSU awards granted for fiscal year 2025 for each of the NEOs:</w:t>
      </w:r>
    </w:p>
    <w:p>
      <w:pPr>
        <w:spacing w:after="0" w:line="81" w:lineRule="exact"/>
        <w:rPr>
          <w:sz w:val="20"/>
          <w:szCs w:val="20"/>
          <w:color w:val="auto"/>
        </w:rPr>
      </w:pPr>
    </w:p>
    <w:tbl>
      <w:tblPr>
        <w:tblLayout w:type="fixed"/>
        <w:tblInd w:w="1920" w:type="dxa"/>
        <w:tblCellMar>
          <w:top w:w="0" w:type="dxa"/>
          <w:left w:w="0" w:type="dxa"/>
          <w:bottom w:w="0" w:type="dxa"/>
          <w:right w:w="0" w:type="dxa"/>
        </w:tblCellMar>
      </w:tblPr>
      <w:tr>
        <w:trPr>
          <w:trHeight w:val="223"/>
        </w:trPr>
        <w:tc>
          <w:tcPr>
            <w:tcW w:w="2480" w:type="dxa"/>
            <w:vAlign w:val="bottom"/>
          </w:tcPr>
          <w:p>
            <w:pPr>
              <w:ind w:left="60"/>
              <w:spacing w:after="0"/>
              <w:rPr>
                <w:sz w:val="20"/>
                <w:szCs w:val="20"/>
                <w:color w:val="auto"/>
              </w:rPr>
            </w:pPr>
            <w:r>
              <w:rPr>
                <w:rFonts w:ascii="Arial" w:cs="Arial" w:eastAsia="Arial" w:hAnsi="Arial"/>
                <w:sz w:val="16"/>
                <w:szCs w:val="16"/>
                <w:b w:val="1"/>
                <w:bCs w:val="1"/>
                <w:color w:val="auto"/>
              </w:rPr>
              <w:t>Name</w:t>
            </w:r>
          </w:p>
        </w:tc>
        <w:tc>
          <w:tcPr>
            <w:tcW w:w="2480" w:type="dxa"/>
            <w:vAlign w:val="bottom"/>
          </w:tcPr>
          <w:p>
            <w:pPr>
              <w:jc w:val="right"/>
              <w:ind w:right="858"/>
              <w:spacing w:after="0"/>
              <w:rPr>
                <w:sz w:val="20"/>
                <w:szCs w:val="20"/>
                <w:color w:val="auto"/>
              </w:rPr>
            </w:pPr>
            <w:r>
              <w:rPr>
                <w:rFonts w:ascii="Arial" w:cs="Arial" w:eastAsia="Arial" w:hAnsi="Arial"/>
                <w:sz w:val="16"/>
                <w:szCs w:val="16"/>
                <w:b w:val="1"/>
                <w:bCs w:val="1"/>
                <w:color w:val="auto"/>
              </w:rPr>
              <w:t>PSUs (#)</w:t>
            </w:r>
          </w:p>
        </w:tc>
        <w:tc>
          <w:tcPr>
            <w:tcW w:w="2460" w:type="dxa"/>
            <w:vAlign w:val="bottom"/>
          </w:tcPr>
          <w:p>
            <w:pPr>
              <w:ind w:left="640"/>
              <w:spacing w:after="0"/>
              <w:rPr>
                <w:sz w:val="20"/>
                <w:szCs w:val="20"/>
                <w:color w:val="auto"/>
              </w:rPr>
            </w:pPr>
            <w:r>
              <w:rPr>
                <w:rFonts w:ascii="Arial" w:cs="Arial" w:eastAsia="Arial" w:hAnsi="Arial"/>
                <w:sz w:val="16"/>
                <w:szCs w:val="16"/>
                <w:b w:val="1"/>
                <w:bCs w:val="1"/>
                <w:color w:val="auto"/>
              </w:rPr>
              <w:t>PSUs ($ Value)</w:t>
            </w:r>
          </w:p>
        </w:tc>
      </w:tr>
      <w:tr>
        <w:trPr>
          <w:trHeight w:val="34"/>
        </w:trPr>
        <w:tc>
          <w:tcPr>
            <w:tcW w:w="248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r>
      <w:tr>
        <w:trPr>
          <w:trHeight w:val="237"/>
        </w:trPr>
        <w:tc>
          <w:tcPr>
            <w:tcW w:w="24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color w:val="auto"/>
              </w:rPr>
              <w:t>John Kao</w:t>
            </w:r>
          </w:p>
        </w:tc>
        <w:tc>
          <w:tcPr>
            <w:tcW w:w="24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274,194</w:t>
            </w:r>
          </w:p>
        </w:tc>
        <w:tc>
          <w:tcPr>
            <w:tcW w:w="24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4,250,007</w:t>
            </w:r>
          </w:p>
        </w:tc>
      </w:tr>
      <w:tr>
        <w:trPr>
          <w:trHeight w:val="249"/>
        </w:trPr>
        <w:tc>
          <w:tcPr>
            <w:tcW w:w="2480" w:type="dxa"/>
            <w:vAlign w:val="bottom"/>
            <w:tcBorders>
              <w:right w:val="single" w:sz="8" w:color="95B3D7"/>
            </w:tcBorders>
          </w:tcPr>
          <w:p>
            <w:pPr>
              <w:ind w:left="20"/>
              <w:spacing w:after="0"/>
              <w:rPr>
                <w:sz w:val="20"/>
                <w:szCs w:val="20"/>
                <w:color w:val="auto"/>
              </w:rPr>
            </w:pPr>
            <w:r>
              <w:rPr>
                <w:rFonts w:ascii="Arial" w:cs="Arial" w:eastAsia="Arial" w:hAnsi="Arial"/>
                <w:sz w:val="16"/>
                <w:szCs w:val="16"/>
                <w:color w:val="auto"/>
              </w:rPr>
              <w:t>Dawn Maroney</w:t>
            </w:r>
          </w:p>
        </w:tc>
        <w:tc>
          <w:tcPr>
            <w:tcW w:w="24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w w:val="96"/>
              </w:rPr>
              <w:t>119,355</w:t>
            </w:r>
          </w:p>
        </w:tc>
        <w:tc>
          <w:tcPr>
            <w:tcW w:w="2460" w:type="dxa"/>
            <w:vAlign w:val="bottom"/>
          </w:tcPr>
          <w:p>
            <w:pPr>
              <w:jc w:val="center"/>
              <w:spacing w:after="0"/>
              <w:rPr>
                <w:sz w:val="20"/>
                <w:szCs w:val="20"/>
                <w:color w:val="auto"/>
              </w:rPr>
            </w:pPr>
            <w:r>
              <w:rPr>
                <w:rFonts w:ascii="Arial" w:cs="Arial" w:eastAsia="Arial" w:hAnsi="Arial"/>
                <w:sz w:val="16"/>
                <w:szCs w:val="16"/>
                <w:color w:val="auto"/>
              </w:rPr>
              <w:t>1,850,003</w:t>
            </w:r>
          </w:p>
        </w:tc>
      </w:tr>
      <w:tr>
        <w:trPr>
          <w:trHeight w:val="264"/>
        </w:trPr>
        <w:tc>
          <w:tcPr>
            <w:tcW w:w="24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color w:val="auto"/>
              </w:rPr>
              <w:t>James M. Head</w:t>
            </w:r>
            <w:r>
              <w:rPr>
                <w:rFonts w:ascii="Arial" w:cs="Arial" w:eastAsia="Arial" w:hAnsi="Arial"/>
                <w:sz w:val="21"/>
                <w:szCs w:val="21"/>
                <w:color w:val="auto"/>
                <w:vertAlign w:val="superscript"/>
              </w:rPr>
              <w:t>(1)</w:t>
            </w:r>
          </w:p>
        </w:tc>
        <w:tc>
          <w:tcPr>
            <w:tcW w:w="24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9"/>
              </w:rPr>
              <w:t>—</w:t>
            </w:r>
          </w:p>
        </w:tc>
        <w:tc>
          <w:tcPr>
            <w:tcW w:w="246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9"/>
              </w:rPr>
              <w:t>—</w:t>
            </w:r>
          </w:p>
        </w:tc>
      </w:tr>
      <w:tr>
        <w:trPr>
          <w:trHeight w:val="256"/>
        </w:trPr>
        <w:tc>
          <w:tcPr>
            <w:tcW w:w="2480" w:type="dxa"/>
            <w:vAlign w:val="bottom"/>
            <w:tcBorders>
              <w:right w:val="single" w:sz="8" w:color="95B3D7"/>
            </w:tcBorders>
          </w:tcPr>
          <w:p>
            <w:pPr>
              <w:ind w:left="20"/>
              <w:spacing w:after="0"/>
              <w:rPr>
                <w:sz w:val="20"/>
                <w:szCs w:val="20"/>
                <w:color w:val="auto"/>
              </w:rPr>
            </w:pPr>
            <w:r>
              <w:rPr>
                <w:rFonts w:ascii="Arial" w:cs="Arial" w:eastAsia="Arial" w:hAnsi="Arial"/>
                <w:sz w:val="16"/>
                <w:szCs w:val="16"/>
                <w:color w:val="auto"/>
              </w:rPr>
              <w:t>Thomas Freeman</w:t>
            </w:r>
            <w:r>
              <w:rPr>
                <w:rFonts w:ascii="Arial" w:cs="Arial" w:eastAsia="Arial" w:hAnsi="Arial"/>
                <w:sz w:val="21"/>
                <w:szCs w:val="21"/>
                <w:color w:val="auto"/>
                <w:vertAlign w:val="superscript"/>
              </w:rPr>
              <w:t>(2)</w:t>
            </w:r>
          </w:p>
        </w:tc>
        <w:tc>
          <w:tcPr>
            <w:tcW w:w="24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61,290</w:t>
            </w:r>
          </w:p>
        </w:tc>
        <w:tc>
          <w:tcPr>
            <w:tcW w:w="2460" w:type="dxa"/>
            <w:vAlign w:val="bottom"/>
          </w:tcPr>
          <w:p>
            <w:pPr>
              <w:jc w:val="center"/>
              <w:spacing w:after="0"/>
              <w:rPr>
                <w:sz w:val="20"/>
                <w:szCs w:val="20"/>
                <w:color w:val="auto"/>
              </w:rPr>
            </w:pPr>
            <w:r>
              <w:rPr>
                <w:rFonts w:ascii="Arial" w:cs="Arial" w:eastAsia="Arial" w:hAnsi="Arial"/>
                <w:sz w:val="16"/>
                <w:szCs w:val="16"/>
                <w:color w:val="auto"/>
              </w:rPr>
              <w:t>949,995</w:t>
            </w:r>
          </w:p>
        </w:tc>
      </w:tr>
      <w:tr>
        <w:trPr>
          <w:trHeight w:val="257"/>
        </w:trPr>
        <w:tc>
          <w:tcPr>
            <w:tcW w:w="24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color w:val="auto"/>
              </w:rPr>
              <w:t>Hyong (Ken) Kim, M.D.</w:t>
            </w:r>
          </w:p>
        </w:tc>
        <w:tc>
          <w:tcPr>
            <w:tcW w:w="24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58,065</w:t>
            </w:r>
          </w:p>
        </w:tc>
        <w:tc>
          <w:tcPr>
            <w:tcW w:w="246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900,008</w:t>
            </w:r>
          </w:p>
        </w:tc>
      </w:tr>
      <w:tr>
        <w:trPr>
          <w:trHeight w:val="250"/>
        </w:trPr>
        <w:tc>
          <w:tcPr>
            <w:tcW w:w="2480" w:type="dxa"/>
            <w:vAlign w:val="bottom"/>
            <w:tcBorders>
              <w:bottom w:val="single" w:sz="8" w:color="95B3D7"/>
              <w:right w:val="single" w:sz="8" w:color="95B3D7"/>
            </w:tcBorders>
          </w:tcPr>
          <w:p>
            <w:pPr>
              <w:ind w:left="20"/>
              <w:spacing w:after="0"/>
              <w:rPr>
                <w:sz w:val="20"/>
                <w:szCs w:val="20"/>
                <w:color w:val="auto"/>
              </w:rPr>
            </w:pPr>
            <w:r>
              <w:rPr>
                <w:rFonts w:ascii="Arial" w:cs="Arial" w:eastAsia="Arial" w:hAnsi="Arial"/>
                <w:sz w:val="16"/>
                <w:szCs w:val="16"/>
                <w:color w:val="auto"/>
              </w:rPr>
              <w:t>Christopher Joyce</w:t>
            </w:r>
          </w:p>
        </w:tc>
        <w:tc>
          <w:tcPr>
            <w:tcW w:w="2480" w:type="dxa"/>
            <w:vAlign w:val="bottom"/>
            <w:tcBorders>
              <w:bottom w:val="single" w:sz="8" w:color="95B3D7"/>
              <w:right w:val="single" w:sz="8" w:color="95B3D7"/>
            </w:tcBorders>
          </w:tcPr>
          <w:p>
            <w:pPr>
              <w:jc w:val="right"/>
              <w:ind w:right="898"/>
              <w:spacing w:after="0"/>
              <w:rPr>
                <w:sz w:val="20"/>
                <w:szCs w:val="20"/>
                <w:color w:val="auto"/>
              </w:rPr>
            </w:pPr>
            <w:r>
              <w:rPr>
                <w:rFonts w:ascii="Arial" w:cs="Arial" w:eastAsia="Arial" w:hAnsi="Arial"/>
                <w:sz w:val="16"/>
                <w:szCs w:val="16"/>
                <w:color w:val="auto"/>
              </w:rPr>
              <w:t>56,452</w:t>
            </w:r>
          </w:p>
        </w:tc>
        <w:tc>
          <w:tcPr>
            <w:tcW w:w="24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color w:val="auto"/>
              </w:rPr>
              <w:t>875,006</w:t>
            </w:r>
          </w:p>
        </w:tc>
      </w:tr>
    </w:tbl>
    <w:p>
      <w:pPr>
        <w:spacing w:after="0" w:line="301" w:lineRule="exact"/>
        <w:rPr>
          <w:sz w:val="20"/>
          <w:szCs w:val="20"/>
          <w:color w:val="auto"/>
        </w:rPr>
      </w:pPr>
    </w:p>
    <w:p>
      <w:pPr>
        <w:jc w:val="both"/>
        <w:ind w:left="900" w:hanging="325"/>
        <w:spacing w:after="0" w:line="283" w:lineRule="auto"/>
        <w:tabs>
          <w:tab w:leader="none" w:pos="911"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reflects the regular annual equity award granted in March 2025. Mr. Head joined the Company in May 2025. In June 2025, he received, as part of a one-time sign-on grant, 81,593 PSUs having a grant date fair value of $1.25 million, which have the same vesting and performance conditions as the March 2025 PSUs granted to the other NEOs.</w:t>
      </w:r>
    </w:p>
    <w:p>
      <w:pPr>
        <w:spacing w:after="0" w:line="51" w:lineRule="exact"/>
        <w:rPr>
          <w:rFonts w:ascii="Arial" w:cs="Arial" w:eastAsia="Arial" w:hAnsi="Arial"/>
          <w:sz w:val="14"/>
          <w:szCs w:val="14"/>
          <w:color w:val="auto"/>
        </w:rPr>
      </w:pPr>
    </w:p>
    <w:p>
      <w:pPr>
        <w:ind w:left="900" w:hanging="325"/>
        <w:spacing w:after="0"/>
        <w:tabs>
          <w:tab w:leader="none" w:pos="90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This grant of PSUs was cancelled in connection with Mr. Freeman's departure from the Company in February 2026.</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achievement of PSUs relative to the approved target awards is based on the following performance metrics and relative weighting:</w:t>
      </w:r>
    </w:p>
    <w:p>
      <w:pPr>
        <w:spacing w:after="0" w:line="152" w:lineRule="exact"/>
        <w:rPr>
          <w:sz w:val="20"/>
          <w:szCs w:val="20"/>
          <w:color w:val="auto"/>
        </w:rPr>
      </w:pPr>
    </w:p>
    <w:tbl>
      <w:tblPr>
        <w:tblLayout w:type="fixed"/>
        <w:tblInd w:w="2660" w:type="dxa"/>
        <w:tblCellMar>
          <w:top w:w="0" w:type="dxa"/>
          <w:left w:w="0" w:type="dxa"/>
          <w:bottom w:w="0" w:type="dxa"/>
          <w:right w:w="0" w:type="dxa"/>
        </w:tblCellMar>
      </w:tblPr>
      <w:tr>
        <w:trPr>
          <w:trHeight w:val="267"/>
        </w:trPr>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Performance Metric</w:t>
            </w:r>
            <w:r>
              <w:rPr>
                <w:rFonts w:ascii="Arial" w:cs="Arial" w:eastAsia="Arial" w:hAnsi="Arial"/>
                <w:sz w:val="21"/>
                <w:szCs w:val="21"/>
                <w:b w:val="1"/>
                <w:bCs w:val="1"/>
                <w:color w:val="auto"/>
                <w:vertAlign w:val="superscript"/>
              </w:rPr>
              <w:t>(1)</w:t>
            </w:r>
          </w:p>
        </w:tc>
        <w:tc>
          <w:tcPr>
            <w:tcW w:w="2940" w:type="dxa"/>
            <w:vAlign w:val="bottom"/>
            <w:tcBorders>
              <w:bottom w:val="single" w:sz="8" w:color="auto"/>
            </w:tcBorders>
          </w:tcPr>
          <w:p>
            <w:pPr>
              <w:jc w:val="right"/>
              <w:ind w:right="1013"/>
              <w:spacing w:after="0"/>
              <w:rPr>
                <w:sz w:val="20"/>
                <w:szCs w:val="20"/>
                <w:color w:val="auto"/>
              </w:rPr>
            </w:pPr>
            <w:r>
              <w:rPr>
                <w:rFonts w:ascii="Arial" w:cs="Arial" w:eastAsia="Arial" w:hAnsi="Arial"/>
                <w:sz w:val="16"/>
                <w:szCs w:val="16"/>
                <w:b w:val="1"/>
                <w:bCs w:val="1"/>
                <w:color w:val="auto"/>
              </w:rPr>
              <w:t>Weighting</w:t>
            </w:r>
          </w:p>
        </w:tc>
      </w:tr>
      <w:tr>
        <w:trPr>
          <w:trHeight w:val="237"/>
        </w:trPr>
        <w:tc>
          <w:tcPr>
            <w:tcW w:w="298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Revenue</w:t>
            </w:r>
          </w:p>
        </w:tc>
        <w:tc>
          <w:tcPr>
            <w:tcW w:w="2940" w:type="dxa"/>
            <w:vAlign w:val="bottom"/>
            <w:tcBorders>
              <w:bottom w:val="single" w:sz="8" w:color="95B3D7"/>
            </w:tcBorders>
            <w:shd w:val="clear" w:color="auto" w:fill="DBE5F1"/>
          </w:tcPr>
          <w:p>
            <w:pPr>
              <w:jc w:val="right"/>
              <w:ind w:right="1293"/>
              <w:spacing w:after="0"/>
              <w:rPr>
                <w:sz w:val="20"/>
                <w:szCs w:val="20"/>
                <w:color w:val="auto"/>
              </w:rPr>
            </w:pPr>
            <w:r>
              <w:rPr>
                <w:rFonts w:ascii="Arial" w:cs="Arial" w:eastAsia="Arial" w:hAnsi="Arial"/>
                <w:sz w:val="18"/>
                <w:szCs w:val="18"/>
                <w:color w:val="auto"/>
              </w:rPr>
              <w:t>50%</w:t>
            </w:r>
          </w:p>
        </w:tc>
      </w:tr>
      <w:tr>
        <w:trPr>
          <w:trHeight w:val="237"/>
        </w:trPr>
        <w:tc>
          <w:tcPr>
            <w:tcW w:w="2980" w:type="dxa"/>
            <w:vAlign w:val="bottom"/>
            <w:tcBorders>
              <w:bottom w:val="single" w:sz="8" w:color="95B3D7"/>
              <w:right w:val="single" w:sz="8" w:color="95B3D7"/>
            </w:tcBorders>
          </w:tcPr>
          <w:p>
            <w:pPr>
              <w:ind w:left="80"/>
              <w:spacing w:after="0" w:line="237"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(2)</w:t>
            </w:r>
          </w:p>
        </w:tc>
        <w:tc>
          <w:tcPr>
            <w:tcW w:w="2940" w:type="dxa"/>
            <w:vAlign w:val="bottom"/>
            <w:tcBorders>
              <w:bottom w:val="single" w:sz="8" w:color="95B3D7"/>
            </w:tcBorders>
          </w:tcPr>
          <w:p>
            <w:pPr>
              <w:jc w:val="right"/>
              <w:ind w:right="1293"/>
              <w:spacing w:after="0"/>
              <w:rPr>
                <w:sz w:val="20"/>
                <w:szCs w:val="20"/>
                <w:color w:val="auto"/>
              </w:rPr>
            </w:pPr>
            <w:r>
              <w:rPr>
                <w:rFonts w:ascii="Arial" w:cs="Arial" w:eastAsia="Arial" w:hAnsi="Arial"/>
                <w:sz w:val="18"/>
                <w:szCs w:val="18"/>
                <w:color w:val="auto"/>
              </w:rPr>
              <w:t>50%</w:t>
            </w:r>
          </w:p>
        </w:tc>
      </w:tr>
    </w:tbl>
    <w:p>
      <w:pPr>
        <w:spacing w:after="0" w:line="220" w:lineRule="exact"/>
        <w:rPr>
          <w:sz w:val="20"/>
          <w:szCs w:val="20"/>
          <w:color w:val="auto"/>
        </w:rPr>
      </w:pPr>
    </w:p>
    <w:p>
      <w:pPr>
        <w:ind w:left="660" w:right="600" w:hanging="328"/>
        <w:spacing w:after="0" w:line="305" w:lineRule="auto"/>
        <w:tabs>
          <w:tab w:leader="none" w:pos="674" w:val="left"/>
        </w:tabs>
        <w:numPr>
          <w:ilvl w:val="0"/>
          <w:numId w:val="52"/>
        </w:numPr>
        <w:rPr>
          <w:rFonts w:ascii="Arial" w:cs="Arial" w:eastAsia="Arial" w:hAnsi="Arial"/>
          <w:sz w:val="14"/>
          <w:szCs w:val="14"/>
          <w:color w:val="auto"/>
        </w:rPr>
      </w:pPr>
      <w:r>
        <w:rPr>
          <w:rFonts w:ascii="Arial" w:cs="Arial" w:eastAsia="Arial" w:hAnsi="Arial"/>
          <w:sz w:val="14"/>
          <w:szCs w:val="14"/>
          <w:color w:val="auto"/>
        </w:rPr>
        <w:t>If any financial metric is attained at a level above the threshold goal but below the target low goal, or above the target high goal but below the maximum goal, percentage achievement for such metric will be determined on a straight-line basis between the applicable goals.</w:t>
      </w:r>
    </w:p>
    <w:p>
      <w:pPr>
        <w:spacing w:after="0" w:line="22" w:lineRule="exact"/>
        <w:rPr>
          <w:rFonts w:ascii="Arial" w:cs="Arial" w:eastAsia="Arial" w:hAnsi="Arial"/>
          <w:sz w:val="14"/>
          <w:szCs w:val="14"/>
          <w:color w:val="auto"/>
        </w:rPr>
      </w:pPr>
    </w:p>
    <w:p>
      <w:pPr>
        <w:ind w:left="660" w:right="140" w:hanging="328"/>
        <w:spacing w:after="0" w:line="243" w:lineRule="auto"/>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“Adjusted EBITDA” means net loss before interest expense, income taxes, depreciation and amortization expense, reorganization and transaction-related expenses, gains or losses from subleases and equity-based compensation expense for the Measurement Period, subject to any adjustments deemed appropriate by the Committee.</w:t>
      </w:r>
    </w:p>
    <w:p>
      <w:pPr>
        <w:spacing w:after="0" w:line="16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Following the completion of the Measurement Period, the Compensation Committee will certify the Company’s achievement of each of the performance metrics, as a percentage of the target established for each metric (the date of such certification, the “Certification Date”). The Committee will then determine, based on the relative weighting of the performance metrics and the percentage achievement of each metric, the aggregated percentage achievement of the performance metrics. The number of PSUs that each NEO earns is determined by multiplying his or her target award by the aggregated percentage achievement of the performance metrics. Awards will become fully vested as of the certification date. Any PSUs that do not become earned and vested on such date will be cancelled and forfeited for no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September 2023 Performance Share Awards</w:t>
      </w:r>
    </w:p>
    <w:p>
      <w:pPr>
        <w:spacing w:after="0" w:line="223" w:lineRule="exact"/>
        <w:rPr>
          <w:sz w:val="20"/>
          <w:szCs w:val="20"/>
          <w:color w:val="auto"/>
        </w:rPr>
      </w:pPr>
    </w:p>
    <w:p>
      <w:pPr>
        <w:ind w:right="280" w:firstLine="401"/>
        <w:spacing w:after="0" w:line="257" w:lineRule="auto"/>
        <w:rPr>
          <w:sz w:val="20"/>
          <w:szCs w:val="20"/>
          <w:color w:val="auto"/>
        </w:rPr>
      </w:pPr>
      <w:r>
        <w:rPr>
          <w:rFonts w:ascii="Arial" w:cs="Arial" w:eastAsia="Arial" w:hAnsi="Arial"/>
          <w:sz w:val="18"/>
          <w:szCs w:val="18"/>
          <w:color w:val="auto"/>
        </w:rPr>
        <w:t>In March 2025, the Compensation Committee certified the results of the corporate metrics applicable to PSUs granted in September 2023, which had a performance measurement period from January 1, 2024 to December 31, 2024. In the aggregate, the September 2023 PSUs were earned at 116.8% of target. Corporate metrics applicable to the September 2023 PSUs were health plan revenue growth (weighted 60%), at-risk loyal medical benefit ratio (weighted 20%) and adjusted EBITDA (less capital expenditures) (weighted 20%). The PSUs vested 50% on the certification date and the remaining 50% vested on December 22, 2025. Based on the aggregate performance achieved at 116.8%, our NEOs earned the following numbers of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54" w:name="page55"/>
    <w:bookmarkEnd w:id="54"/>
    <w:p>
      <w:pPr>
        <w:spacing w:after="0" w:line="42" w:lineRule="exact"/>
        <w:rPr>
          <w:sz w:val="20"/>
          <w:szCs w:val="20"/>
          <w:color w:val="auto"/>
        </w:rPr>
      </w:pPr>
    </w:p>
    <w:tbl>
      <w:tblPr>
        <w:tblLayout w:type="fixed"/>
        <w:tblInd w:w="2680" w:type="dxa"/>
        <w:tblCellMar>
          <w:top w:w="0" w:type="dxa"/>
          <w:left w:w="0" w:type="dxa"/>
          <w:bottom w:w="0" w:type="dxa"/>
          <w:right w:w="0" w:type="dxa"/>
        </w:tblCellMar>
      </w:tblPr>
      <w:tr>
        <w:trPr>
          <w:trHeight w:val="184"/>
        </w:trPr>
        <w:tc>
          <w:tcPr>
            <w:tcW w:w="22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Name</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rPr>
              <w:t>Vested on Certification</w:t>
            </w:r>
          </w:p>
        </w:tc>
        <w:tc>
          <w:tcPr>
            <w:tcW w:w="1840" w:type="dxa"/>
            <w:vAlign w:val="bottom"/>
            <w:vMerge w:val="restart"/>
          </w:tcPr>
          <w:p>
            <w:pPr>
              <w:ind w:left="100"/>
              <w:spacing w:after="0"/>
              <w:rPr>
                <w:sz w:val="20"/>
                <w:szCs w:val="20"/>
                <w:color w:val="auto"/>
              </w:rPr>
            </w:pPr>
            <w:r>
              <w:rPr>
                <w:rFonts w:ascii="Arial" w:cs="Arial" w:eastAsia="Arial" w:hAnsi="Arial"/>
                <w:sz w:val="16"/>
                <w:szCs w:val="16"/>
                <w:b w:val="1"/>
                <w:bCs w:val="1"/>
                <w:color w:val="auto"/>
              </w:rPr>
              <w:t>Vested on 12/22/2025</w:t>
            </w:r>
          </w:p>
        </w:tc>
        <w:tc>
          <w:tcPr>
            <w:tcW w:w="0" w:type="dxa"/>
            <w:vAlign w:val="bottom"/>
          </w:tcPr>
          <w:p>
            <w:pPr>
              <w:spacing w:after="0"/>
              <w:rPr>
                <w:sz w:val="1"/>
                <w:szCs w:val="1"/>
                <w:color w:val="auto"/>
              </w:rPr>
            </w:pPr>
          </w:p>
        </w:tc>
      </w:tr>
      <w:tr>
        <w:trPr>
          <w:trHeight w:val="216"/>
        </w:trPr>
        <w:tc>
          <w:tcPr>
            <w:tcW w:w="2200" w:type="dxa"/>
            <w:vAlign w:val="bottom"/>
            <w:tcBorders>
              <w:bottom w:val="single" w:sz="8" w:color="auto"/>
            </w:tcBorders>
            <w:vMerge w:val="continue"/>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c>
          <w:tcPr>
            <w:tcW w:w="1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John Kao</w:t>
            </w:r>
          </w:p>
        </w:tc>
        <w:tc>
          <w:tcPr>
            <w:tcW w:w="18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9"/>
              </w:rPr>
              <w:t>1,271,561</w:t>
            </w:r>
          </w:p>
        </w:tc>
        <w:tc>
          <w:tcPr>
            <w:tcW w:w="1840" w:type="dxa"/>
            <w:vAlign w:val="bottom"/>
            <w:shd w:val="clear" w:color="auto" w:fill="DBE5F1"/>
          </w:tcPr>
          <w:p>
            <w:pPr>
              <w:jc w:val="center"/>
              <w:spacing w:after="0"/>
              <w:rPr>
                <w:sz w:val="20"/>
                <w:szCs w:val="20"/>
                <w:color w:val="auto"/>
              </w:rPr>
            </w:pPr>
            <w:r>
              <w:rPr>
                <w:rFonts w:ascii="Arial" w:cs="Arial" w:eastAsia="Arial" w:hAnsi="Arial"/>
                <w:sz w:val="16"/>
                <w:szCs w:val="16"/>
                <w:color w:val="auto"/>
              </w:rPr>
              <w:t>1,271,563</w:t>
            </w:r>
          </w:p>
        </w:tc>
        <w:tc>
          <w:tcPr>
            <w:tcW w:w="0" w:type="dxa"/>
            <w:vAlign w:val="bottom"/>
          </w:tcPr>
          <w:p>
            <w:pPr>
              <w:spacing w:after="0"/>
              <w:rPr>
                <w:sz w:val="1"/>
                <w:szCs w:val="1"/>
                <w:color w:val="auto"/>
              </w:rPr>
            </w:pPr>
          </w:p>
        </w:tc>
      </w:tr>
      <w:tr>
        <w:trPr>
          <w:trHeight w:val="257"/>
        </w:trPr>
        <w:tc>
          <w:tcPr>
            <w:tcW w:w="220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Dawn Maroney</w:t>
            </w:r>
          </w:p>
        </w:tc>
        <w:tc>
          <w:tcPr>
            <w:tcW w:w="1840" w:type="dxa"/>
            <w:vAlign w:val="bottom"/>
            <w:tcBorders>
              <w:right w:val="single" w:sz="8" w:color="95B3D7"/>
            </w:tcBorders>
          </w:tcPr>
          <w:p>
            <w:pPr>
              <w:jc w:val="center"/>
              <w:spacing w:after="0"/>
              <w:rPr>
                <w:sz w:val="20"/>
                <w:szCs w:val="20"/>
                <w:color w:val="auto"/>
              </w:rPr>
            </w:pPr>
            <w:r>
              <w:rPr>
                <w:rFonts w:ascii="Arial" w:cs="Arial" w:eastAsia="Arial" w:hAnsi="Arial"/>
                <w:sz w:val="18"/>
                <w:szCs w:val="18"/>
                <w:color w:val="auto"/>
              </w:rPr>
              <w:t>510,220</w:t>
            </w:r>
          </w:p>
        </w:tc>
        <w:tc>
          <w:tcPr>
            <w:tcW w:w="1840" w:type="dxa"/>
            <w:vAlign w:val="bottom"/>
          </w:tcPr>
          <w:p>
            <w:pPr>
              <w:jc w:val="center"/>
              <w:spacing w:after="0"/>
              <w:rPr>
                <w:sz w:val="20"/>
                <w:szCs w:val="20"/>
                <w:color w:val="auto"/>
              </w:rPr>
            </w:pPr>
            <w:r>
              <w:rPr>
                <w:rFonts w:ascii="Arial" w:cs="Arial" w:eastAsia="Arial" w:hAnsi="Arial"/>
                <w:sz w:val="16"/>
                <w:szCs w:val="16"/>
                <w:color w:val="auto"/>
              </w:rPr>
              <w:t>510,222</w:t>
            </w:r>
          </w:p>
        </w:tc>
        <w:tc>
          <w:tcPr>
            <w:tcW w:w="0" w:type="dxa"/>
            <w:vAlign w:val="bottom"/>
          </w:tcPr>
          <w:p>
            <w:pPr>
              <w:spacing w:after="0"/>
              <w:rPr>
                <w:sz w:val="1"/>
                <w:szCs w:val="1"/>
                <w:color w:val="auto"/>
              </w:rPr>
            </w:pPr>
          </w:p>
        </w:tc>
      </w:tr>
      <w:tr>
        <w:trPr>
          <w:trHeight w:val="257"/>
        </w:trPr>
        <w:tc>
          <w:tcPr>
            <w:tcW w:w="220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James M. Head</w:t>
            </w:r>
          </w:p>
        </w:tc>
        <w:tc>
          <w:tcPr>
            <w:tcW w:w="18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1840" w:type="dxa"/>
            <w:vAlign w:val="bottom"/>
            <w:shd w:val="clear" w:color="auto" w:fill="DBE5F1"/>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9"/>
        </w:trPr>
        <w:tc>
          <w:tcPr>
            <w:tcW w:w="2200" w:type="dxa"/>
            <w:vAlign w:val="bottom"/>
            <w:tcBorders>
              <w:right w:val="single" w:sz="8" w:color="95B3D7"/>
            </w:tcBorders>
          </w:tcPr>
          <w:p>
            <w:pPr>
              <w:ind w:left="60"/>
              <w:spacing w:after="0"/>
              <w:rPr>
                <w:sz w:val="20"/>
                <w:szCs w:val="20"/>
                <w:color w:val="auto"/>
              </w:rPr>
            </w:pPr>
            <w:r>
              <w:rPr>
                <w:rFonts w:ascii="Arial" w:cs="Arial" w:eastAsia="Arial" w:hAnsi="Arial"/>
                <w:sz w:val="16"/>
                <w:szCs w:val="16"/>
                <w:color w:val="auto"/>
              </w:rPr>
              <w:t>Thomas Freeman</w:t>
            </w:r>
          </w:p>
        </w:tc>
        <w:tc>
          <w:tcPr>
            <w:tcW w:w="184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510,220</w:t>
            </w:r>
          </w:p>
        </w:tc>
        <w:tc>
          <w:tcPr>
            <w:tcW w:w="1840" w:type="dxa"/>
            <w:vAlign w:val="bottom"/>
          </w:tcPr>
          <w:p>
            <w:pPr>
              <w:jc w:val="center"/>
              <w:spacing w:after="0"/>
              <w:rPr>
                <w:sz w:val="20"/>
                <w:szCs w:val="20"/>
                <w:color w:val="auto"/>
              </w:rPr>
            </w:pPr>
            <w:r>
              <w:rPr>
                <w:rFonts w:ascii="Arial" w:cs="Arial" w:eastAsia="Arial" w:hAnsi="Arial"/>
                <w:sz w:val="16"/>
                <w:szCs w:val="16"/>
                <w:color w:val="auto"/>
              </w:rPr>
              <w:t>510,222</w:t>
            </w:r>
          </w:p>
        </w:tc>
        <w:tc>
          <w:tcPr>
            <w:tcW w:w="0" w:type="dxa"/>
            <w:vAlign w:val="bottom"/>
          </w:tcPr>
          <w:p>
            <w:pPr>
              <w:spacing w:after="0"/>
              <w:rPr>
                <w:sz w:val="1"/>
                <w:szCs w:val="1"/>
                <w:color w:val="auto"/>
              </w:rPr>
            </w:pPr>
          </w:p>
        </w:tc>
      </w:tr>
      <w:tr>
        <w:trPr>
          <w:trHeight w:val="264"/>
        </w:trPr>
        <w:tc>
          <w:tcPr>
            <w:tcW w:w="220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Hyong (Ken) Kim, M.D.</w:t>
            </w:r>
          </w:p>
        </w:tc>
        <w:tc>
          <w:tcPr>
            <w:tcW w:w="18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29,200</w:t>
            </w:r>
          </w:p>
        </w:tc>
        <w:tc>
          <w:tcPr>
            <w:tcW w:w="1840" w:type="dxa"/>
            <w:vAlign w:val="bottom"/>
            <w:shd w:val="clear" w:color="auto" w:fill="DBE5F1"/>
          </w:tcPr>
          <w:p>
            <w:pPr>
              <w:jc w:val="center"/>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r>
        <w:trPr>
          <w:trHeight w:val="257"/>
        </w:trPr>
        <w:tc>
          <w:tcPr>
            <w:tcW w:w="2200" w:type="dxa"/>
            <w:vAlign w:val="bottom"/>
            <w:tcBorders>
              <w:bottom w:val="single" w:sz="8" w:color="95B3D7"/>
              <w:right w:val="single" w:sz="8" w:color="95B3D7"/>
            </w:tcBorders>
          </w:tcPr>
          <w:p>
            <w:pPr>
              <w:ind w:left="20"/>
              <w:spacing w:after="0"/>
              <w:rPr>
                <w:sz w:val="20"/>
                <w:szCs w:val="20"/>
                <w:color w:val="auto"/>
              </w:rPr>
            </w:pPr>
            <w:r>
              <w:rPr>
                <w:rFonts w:ascii="Arial" w:cs="Arial" w:eastAsia="Arial" w:hAnsi="Arial"/>
                <w:sz w:val="16"/>
                <w:szCs w:val="16"/>
                <w:color w:val="auto"/>
              </w:rPr>
              <w:t>Christopher Joyce</w:t>
            </w:r>
          </w:p>
        </w:tc>
        <w:tc>
          <w:tcPr>
            <w:tcW w:w="18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color w:val="auto"/>
              </w:rPr>
              <w:t>29,200</w:t>
            </w:r>
          </w:p>
        </w:tc>
        <w:tc>
          <w:tcPr>
            <w:tcW w:w="1840" w:type="dxa"/>
            <w:vAlign w:val="bottom"/>
            <w:tcBorders>
              <w:bottom w:val="single" w:sz="8" w:color="95B3D7"/>
            </w:tcBorders>
          </w:tcPr>
          <w:p>
            <w:pPr>
              <w:jc w:val="center"/>
              <w:spacing w:after="0"/>
              <w:rPr>
                <w:sz w:val="20"/>
                <w:szCs w:val="20"/>
                <w:color w:val="auto"/>
              </w:rPr>
            </w:pPr>
            <w:r>
              <w:rPr>
                <w:rFonts w:ascii="Arial" w:cs="Arial" w:eastAsia="Arial" w:hAnsi="Arial"/>
                <w:sz w:val="18"/>
                <w:szCs w:val="18"/>
                <w:color w:val="auto"/>
              </w:rPr>
              <w:t>29,200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Other Compensation Matters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Alignment Healthcare, Inc. Clawback Policy</w:t>
      </w:r>
    </w:p>
    <w:p>
      <w:pPr>
        <w:spacing w:after="0" w:line="183" w:lineRule="exact"/>
        <w:rPr>
          <w:sz w:val="20"/>
          <w:szCs w:val="20"/>
          <w:color w:val="auto"/>
        </w:rPr>
      </w:pPr>
    </w:p>
    <w:p>
      <w:pPr>
        <w:ind w:right="120" w:firstLine="401"/>
        <w:spacing w:after="0" w:line="259" w:lineRule="auto"/>
        <w:rPr>
          <w:sz w:val="20"/>
          <w:szCs w:val="20"/>
          <w:color w:val="auto"/>
        </w:rPr>
      </w:pPr>
      <w:r>
        <w:rPr>
          <w:rFonts w:ascii="Arial" w:cs="Arial" w:eastAsia="Arial" w:hAnsi="Arial"/>
          <w:sz w:val="18"/>
          <w:szCs w:val="18"/>
          <w:color w:val="auto"/>
        </w:rPr>
        <w:t>We maintain the Alignment Healthcare, Inc. Clawback Policy, which is designed to comply with Section 10D-1 of the Exchange Act and the applicable listing standards of the Nasdaq Stock Market and requires the Company to recoup any erroneously awarded cash and equity incentive-based compensation received by certain executives, including each NEO, in the event the Company is required to prepare an accounting restatement due to material noncompliance with any financial reporting requirement under the federal securities laws. The Clawback Policy generally applies to all incentive-based compensation received by a covered executive during the three completed fiscal years immediately preceding the date that the Company is required to prepare a restatement after the policy’s effective date. The Clawback Policy is filed as an exhibit to the Company’s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Equity Granting Policy for Senior Executives</w:t>
      </w:r>
    </w:p>
    <w:p>
      <w:pPr>
        <w:spacing w:after="0" w:line="16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Compensation Committee has a well-established, disciplined process for granting equity awards to employees. Awards generally are granted on regularly scheduled predetermined dates in March of each calendar year. As part of the Company's annual performance and compensation review process, the Compensation Committee approves RSU, PSU and any other equity awards to our executive officers and other senior employees after fiscal year-end financial results are reported to the Compensation Committee, enabling the members to appropriately assess corporate performance. The Compensation Committee generally grants annual awards during the periods of time that trading would be permitted under our insider trading policy, which is referred to above as an “open window period.” Typically, as was the case in 2025, our annual awards have been granted several days after the public release of our fiscal year financial results and the filing of our Annual Report on Form 10-K. The Compensation Committee does not time the release of material nonpublic information based on equity award grant dates.</w:t>
      </w:r>
    </w:p>
    <w:p>
      <w:pPr>
        <w:spacing w:after="0" w:line="14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Board has also established procedures for equity awards granted by our CEO and Chief Human Resources Officer ("CHRO") under authority delegated from the Compensation Committee. The CEO an CHRO may grant equity awards to newly hired employees, newly promoted employees or in recognition of the performance or achievement of an employee, provided that the employee is not an executive officer of Alignment, the equity award does not exceed the applicable per grant limitation (which vary as between the CEO and CHRO), and all awards granted under delegated authority do not exceed, in the aggregate, the total amount established on an annual basis by the Compensation Committee, if any. The delegation of granting authority also requires concurrent documentation and quarterly reporting to the Compensation Committee of all equity awards granted under such delegated authority. The grant date for a new hire grant or recognition grant to non-officer employees under delegated authority is typically the first Wednesday of the calendar month following the employee’s start date or the recognition date, or if the Nasdaq Stock Market was closed on such date, the next succeeding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grant stock options to any employees during the last completed fiscal year.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Stock Ownership Guidelines</w:t>
      </w:r>
    </w:p>
    <w:p>
      <w:pPr>
        <w:spacing w:after="0" w:line="115" w:lineRule="exact"/>
        <w:rPr>
          <w:sz w:val="20"/>
          <w:szCs w:val="20"/>
          <w:color w:val="auto"/>
        </w:rPr>
      </w:pPr>
    </w:p>
    <w:p>
      <w:pPr>
        <w:ind w:right="200" w:firstLine="405"/>
        <w:spacing w:after="0" w:line="287" w:lineRule="auto"/>
        <w:rPr>
          <w:sz w:val="20"/>
          <w:szCs w:val="20"/>
          <w:color w:val="auto"/>
        </w:rPr>
      </w:pPr>
      <w:r>
        <w:rPr>
          <w:rFonts w:ascii="Arial" w:cs="Arial" w:eastAsia="Arial" w:hAnsi="Arial"/>
          <w:sz w:val="18"/>
          <w:szCs w:val="18"/>
          <w:color w:val="auto"/>
        </w:rPr>
        <w:t>We maintain stock ownership guidelines applicable to our executive officers and directors. To ensure continued alignment of interests among the Company's management, directors, and stockholders, the ownership requirements are as follows:</w:t>
      </w:r>
    </w:p>
    <w:p>
      <w:pPr>
        <w:spacing w:after="0" w:line="90" w:lineRule="exact"/>
        <w:rPr>
          <w:sz w:val="20"/>
          <w:szCs w:val="20"/>
          <w:color w:val="auto"/>
        </w:rPr>
      </w:pPr>
    </w:p>
    <w:tbl>
      <w:tblPr>
        <w:tblLayout w:type="fixed"/>
        <w:tblInd w:w="2720" w:type="dxa"/>
        <w:tblCellMar>
          <w:top w:w="0" w:type="dxa"/>
          <w:left w:w="0" w:type="dxa"/>
          <w:bottom w:w="0" w:type="dxa"/>
          <w:right w:w="0" w:type="dxa"/>
        </w:tblCellMar>
      </w:tblPr>
      <w:tr>
        <w:trPr>
          <w:trHeight w:val="223"/>
        </w:trPr>
        <w:tc>
          <w:tcPr>
            <w:tcW w:w="2920" w:type="dxa"/>
            <w:vAlign w:val="bottom"/>
          </w:tcPr>
          <w:p>
            <w:pPr>
              <w:ind w:left="60"/>
              <w:spacing w:after="0"/>
              <w:rPr>
                <w:sz w:val="20"/>
                <w:szCs w:val="20"/>
                <w:color w:val="auto"/>
              </w:rPr>
            </w:pPr>
            <w:r>
              <w:rPr>
                <w:rFonts w:ascii="Arial" w:cs="Arial" w:eastAsia="Arial" w:hAnsi="Arial"/>
                <w:sz w:val="16"/>
                <w:szCs w:val="16"/>
                <w:b w:val="1"/>
                <w:bCs w:val="1"/>
                <w:color w:val="auto"/>
              </w:rPr>
              <w:t>Role</w:t>
            </w:r>
          </w:p>
        </w:tc>
        <w:tc>
          <w:tcPr>
            <w:tcW w:w="2880" w:type="dxa"/>
            <w:vAlign w:val="bottom"/>
          </w:tcPr>
          <w:p>
            <w:pPr>
              <w:ind w:left="60"/>
              <w:spacing w:after="0"/>
              <w:rPr>
                <w:sz w:val="20"/>
                <w:szCs w:val="20"/>
                <w:color w:val="auto"/>
              </w:rPr>
            </w:pPr>
            <w:r>
              <w:rPr>
                <w:rFonts w:ascii="Arial" w:cs="Arial" w:eastAsia="Arial" w:hAnsi="Arial"/>
                <w:sz w:val="16"/>
                <w:szCs w:val="16"/>
                <w:b w:val="1"/>
                <w:bCs w:val="1"/>
                <w:color w:val="auto"/>
              </w:rPr>
              <w:t>Minimum Value of Stock Ownership</w:t>
            </w:r>
          </w:p>
        </w:tc>
      </w:tr>
      <w:tr>
        <w:trPr>
          <w:trHeight w:val="35"/>
        </w:trPr>
        <w:tc>
          <w:tcPr>
            <w:tcW w:w="2920" w:type="dxa"/>
            <w:vAlign w:val="bottom"/>
            <w:tcBorders>
              <w:bottom w:val="single" w:sz="8" w:color="auto"/>
            </w:tcBorders>
          </w:tcPr>
          <w:p>
            <w:pPr>
              <w:spacing w:after="0"/>
              <w:rPr>
                <w:sz w:val="3"/>
                <w:szCs w:val="3"/>
                <w:color w:val="auto"/>
              </w:rPr>
            </w:pPr>
          </w:p>
        </w:tc>
        <w:tc>
          <w:tcPr>
            <w:tcW w:w="2880" w:type="dxa"/>
            <w:vAlign w:val="bottom"/>
            <w:tcBorders>
              <w:bottom w:val="single" w:sz="8" w:color="auto"/>
            </w:tcBorders>
          </w:tcPr>
          <w:p>
            <w:pPr>
              <w:spacing w:after="0"/>
              <w:rPr>
                <w:sz w:val="3"/>
                <w:szCs w:val="3"/>
                <w:color w:val="auto"/>
              </w:rPr>
            </w:pPr>
          </w:p>
        </w:tc>
      </w:tr>
      <w:tr>
        <w:trPr>
          <w:trHeight w:val="235"/>
        </w:trPr>
        <w:tc>
          <w:tcPr>
            <w:tcW w:w="2920" w:type="dxa"/>
            <w:vAlign w:val="bottom"/>
            <w:tcBorders>
              <w:bottom w:val="single" w:sz="8" w:color="95B3D7"/>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Chief Executive Officer</w:t>
            </w:r>
          </w:p>
        </w:tc>
        <w:tc>
          <w:tcPr>
            <w:tcW w:w="2880" w:type="dxa"/>
            <w:vAlign w:val="bottom"/>
            <w:tcBorders>
              <w:bottom w:val="single" w:sz="8" w:color="95B3D7"/>
            </w:tcBorders>
            <w:shd w:val="clear" w:color="auto" w:fill="DBE5F1"/>
          </w:tcPr>
          <w:p>
            <w:pPr>
              <w:spacing w:after="0"/>
              <w:rPr>
                <w:sz w:val="20"/>
                <w:szCs w:val="20"/>
                <w:color w:val="auto"/>
              </w:rPr>
            </w:pPr>
            <w:r>
              <w:rPr>
                <w:rFonts w:ascii="Arial" w:cs="Arial" w:eastAsia="Arial" w:hAnsi="Arial"/>
                <w:sz w:val="16"/>
                <w:szCs w:val="16"/>
                <w:color w:val="auto"/>
              </w:rPr>
              <w:t>6x base salary</w:t>
            </w:r>
          </w:p>
        </w:tc>
      </w:tr>
      <w:tr>
        <w:trPr>
          <w:trHeight w:val="236"/>
        </w:trPr>
        <w:tc>
          <w:tcPr>
            <w:tcW w:w="2920" w:type="dxa"/>
            <w:vAlign w:val="bottom"/>
            <w:tcBorders>
              <w:bottom w:val="single" w:sz="8" w:color="95B3D7"/>
              <w:right w:val="single" w:sz="8" w:color="95B3D7"/>
            </w:tcBorders>
          </w:tcPr>
          <w:p>
            <w:pPr>
              <w:ind w:left="60"/>
              <w:spacing w:after="0"/>
              <w:rPr>
                <w:sz w:val="20"/>
                <w:szCs w:val="20"/>
                <w:color w:val="auto"/>
              </w:rPr>
            </w:pPr>
            <w:r>
              <w:rPr>
                <w:rFonts w:ascii="Arial" w:cs="Arial" w:eastAsia="Arial" w:hAnsi="Arial"/>
                <w:sz w:val="16"/>
                <w:szCs w:val="16"/>
                <w:color w:val="auto"/>
              </w:rPr>
              <w:t>All Other Executive Officers</w:t>
            </w:r>
          </w:p>
        </w:tc>
        <w:tc>
          <w:tcPr>
            <w:tcW w:w="2880" w:type="dxa"/>
            <w:vAlign w:val="bottom"/>
            <w:tcBorders>
              <w:bottom w:val="single" w:sz="8" w:color="95B3D7"/>
            </w:tcBorders>
          </w:tcPr>
          <w:p>
            <w:pPr>
              <w:spacing w:after="0"/>
              <w:rPr>
                <w:sz w:val="20"/>
                <w:szCs w:val="20"/>
                <w:color w:val="auto"/>
              </w:rPr>
            </w:pPr>
            <w:r>
              <w:rPr>
                <w:rFonts w:ascii="Arial" w:cs="Arial" w:eastAsia="Arial" w:hAnsi="Arial"/>
                <w:sz w:val="16"/>
                <w:szCs w:val="16"/>
                <w:color w:val="auto"/>
              </w:rPr>
              <w:t>2x base salary</w:t>
            </w:r>
          </w:p>
        </w:tc>
      </w:tr>
      <w:tr>
        <w:trPr>
          <w:trHeight w:val="184"/>
        </w:trPr>
        <w:tc>
          <w:tcPr>
            <w:tcW w:w="292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6"/>
                <w:szCs w:val="16"/>
                <w:color w:val="auto"/>
              </w:rPr>
              <w:t>Non-Employee Directors</w:t>
            </w:r>
          </w:p>
        </w:tc>
        <w:tc>
          <w:tcPr>
            <w:tcW w:w="2880" w:type="dxa"/>
            <w:vAlign w:val="bottom"/>
            <w:shd w:val="clear" w:color="auto" w:fill="DBE5F1"/>
          </w:tcPr>
          <w:p>
            <w:pPr>
              <w:spacing w:after="0"/>
              <w:rPr>
                <w:sz w:val="20"/>
                <w:szCs w:val="20"/>
                <w:color w:val="auto"/>
              </w:rPr>
            </w:pPr>
            <w:r>
              <w:rPr>
                <w:rFonts w:ascii="Arial" w:cs="Arial" w:eastAsia="Arial" w:hAnsi="Arial"/>
                <w:sz w:val="16"/>
                <w:szCs w:val="16"/>
                <w:color w:val="auto"/>
              </w:rPr>
              <w:t>5x annual cash Board retainer</w:t>
            </w:r>
          </w:p>
        </w:tc>
      </w:tr>
      <w:tr>
        <w:trPr>
          <w:trHeight w:val="215"/>
        </w:trPr>
        <w:tc>
          <w:tcPr>
            <w:tcW w:w="2920" w:type="dxa"/>
            <w:vAlign w:val="bottom"/>
            <w:tcBorders>
              <w:bottom w:val="single" w:sz="8" w:color="95B3D7"/>
              <w:right w:val="single" w:sz="8" w:color="95B3D7"/>
            </w:tcBorders>
            <w:shd w:val="clear" w:color="auto" w:fill="DBE5F1"/>
          </w:tcPr>
          <w:p>
            <w:pPr>
              <w:spacing w:after="0"/>
              <w:rPr>
                <w:sz w:val="18"/>
                <w:szCs w:val="18"/>
                <w:color w:val="auto"/>
              </w:rPr>
            </w:pPr>
          </w:p>
        </w:tc>
        <w:tc>
          <w:tcPr>
            <w:tcW w:w="2880" w:type="dxa"/>
            <w:vAlign w:val="bottom"/>
            <w:tcBorders>
              <w:bottom w:val="single" w:sz="8" w:color="95B3D7"/>
            </w:tcBorders>
            <w:shd w:val="clear" w:color="auto" w:fill="DBE5F1"/>
          </w:tcPr>
          <w:p>
            <w:pPr>
              <w:spacing w:after="0"/>
              <w:rPr>
                <w:sz w:val="20"/>
                <w:szCs w:val="20"/>
                <w:color w:val="auto"/>
              </w:rPr>
            </w:pPr>
            <w:r>
              <w:rPr>
                <w:rFonts w:ascii="Arial" w:cs="Arial" w:eastAsia="Arial" w:hAnsi="Arial"/>
                <w:sz w:val="16"/>
                <w:szCs w:val="16"/>
                <w:color w:val="auto"/>
              </w:rPr>
              <w:t>($500,000)</w:t>
            </w:r>
          </w:p>
        </w:tc>
      </w:tr>
    </w:tbl>
    <w:p>
      <w:pPr>
        <w:spacing w:after="0" w:line="2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Individuals must comply within five years after becoming subject to the requirements. Shares that count toward this requirement include shares owned by the individual, unvested shares or stock units where vesting is solely contingent on future service, shares held in retirement accounts, shares held in trust, and shares or stock units that have vested but receipt of which has been deferred. As of December 31, 2025, all NEOs and non-employee directors were in compliance with the ownership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Compensation Risk Assessment</w:t>
      </w:r>
    </w:p>
    <w:p>
      <w:pPr>
        <w:spacing w:after="0" w:line="115"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 has conducted a review of its key compensation programs, policies, and practices in conjunction with FW Cook, the Compensation Committee’s independent compensation consultant, which prepared a report on our company-wide compensation programs. This annual analysis was reviewed with the Compensation Committee at its October 14, 2025 meeting. The review and analysis did not identify any compensation programs, policies, or practices that create incentives to take risks that are reasonably likely to have a material adverse effect on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Employment Agreements</w:t>
      </w:r>
    </w:p>
    <w:p>
      <w:pPr>
        <w:spacing w:after="0" w:line="196" w:lineRule="exact"/>
        <w:rPr>
          <w:sz w:val="20"/>
          <w:szCs w:val="20"/>
          <w:color w:val="auto"/>
        </w:rPr>
      </w:pPr>
    </w:p>
    <w:p>
      <w:pPr>
        <w:ind w:right="80" w:firstLine="401"/>
        <w:spacing w:after="0" w:line="259" w:lineRule="auto"/>
        <w:rPr>
          <w:sz w:val="20"/>
          <w:szCs w:val="20"/>
          <w:color w:val="auto"/>
        </w:rPr>
      </w:pPr>
      <w:r>
        <w:rPr>
          <w:rFonts w:ascii="Arial" w:cs="Arial" w:eastAsia="Arial" w:hAnsi="Arial"/>
          <w:sz w:val="18"/>
          <w:szCs w:val="18"/>
          <w:color w:val="auto"/>
        </w:rPr>
        <w:t>The terms of the employment agreements applicable to each NEO are described under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Employment Agreements</w:t>
      </w:r>
      <w:r>
        <w:rPr>
          <w:rFonts w:ascii="Arial" w:cs="Arial" w:eastAsia="Arial" w:hAnsi="Arial"/>
          <w:sz w:val="18"/>
          <w:szCs w:val="18"/>
          <w:color w:val="auto"/>
        </w:rPr>
        <w:t>” below. In addition to the terms described therein, the employment agreements provide for certain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and benefits following a qualifying termination of employment under certain circumstances. For details on the potential severance payment and benefits under each NEO’s respective employment agreement and the 2021 Plan, see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Retirement Benefits</w:t>
      </w:r>
    </w:p>
    <w:p>
      <w:pPr>
        <w:spacing w:after="0" w:line="223" w:lineRule="exact"/>
        <w:rPr>
          <w:sz w:val="20"/>
          <w:szCs w:val="20"/>
          <w:color w:val="auto"/>
        </w:rPr>
      </w:pPr>
    </w:p>
    <w:p>
      <w:pPr>
        <w:ind w:right="20" w:firstLine="401"/>
        <w:spacing w:after="0" w:line="255" w:lineRule="auto"/>
        <w:rPr>
          <w:sz w:val="20"/>
          <w:szCs w:val="20"/>
          <w:color w:val="auto"/>
        </w:rPr>
      </w:pPr>
      <w:r>
        <w:rPr>
          <w:rFonts w:ascii="Arial" w:cs="Arial" w:eastAsia="Arial" w:hAnsi="Arial"/>
          <w:sz w:val="18"/>
          <w:szCs w:val="18"/>
          <w:color w:val="auto"/>
        </w:rPr>
        <w:t>We maintain a tax-qualified retirement plan that provides all regular employees with an opportunity to save for retirement on a tax-efficient basis. Under our 401(k) plan, participants may elect to defer a portion of their compensation on a pre-tax or after-tax basis and have it contributed to the plan subject to applicable annual limits under the Code. The Company makes a matching contribution on 100% of employee deferrals up to 4% of the eligible employee’s compensation eligible for deferral. Contributions are allocated to each participant’s individual account and are then invested in selected investment alternatives according to the participants’ directions. Employee elective deferrals and matching contributions are 100% vested at all times. As a U.S. tax-qualified retirement plan, contributions to the 401(k) plan and earnings on those contributions are not taxable to the employees until distributed from the 401(k) plan and employer matching contributions are deductible by us when made. We do not maintain any defined benefit pension plans or any nonqualified deferred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6" w:name="page57"/>
    <w:bookmarkEnd w:id="56"/>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Executive Benefits</w:t>
      </w:r>
    </w:p>
    <w:p>
      <w:pPr>
        <w:spacing w:after="0" w:line="196" w:lineRule="exact"/>
        <w:rPr>
          <w:sz w:val="20"/>
          <w:szCs w:val="20"/>
          <w:color w:val="auto"/>
        </w:rPr>
      </w:pPr>
    </w:p>
    <w:p>
      <w:pPr>
        <w:ind w:right="80" w:firstLine="401"/>
        <w:spacing w:after="0" w:line="262" w:lineRule="auto"/>
        <w:rPr>
          <w:sz w:val="20"/>
          <w:szCs w:val="20"/>
          <w:color w:val="auto"/>
        </w:rPr>
      </w:pPr>
      <w:r>
        <w:rPr>
          <w:rFonts w:ascii="Arial" w:cs="Arial" w:eastAsia="Arial" w:hAnsi="Arial"/>
          <w:sz w:val="18"/>
          <w:szCs w:val="18"/>
          <w:color w:val="auto"/>
        </w:rPr>
        <w:t>The Company’s executive officers, including the NEOs, are eligible to participate in the benefit plans that are available to substantially all of the Company’s employees, including our 401(k) plan described above, medical, dental and life insurance plans and long-term disability plans. None of the NEOs participate in a defined benefit pension plan. We provide limited perquisites to our NEOs, including an internet stipend.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Impact of Tax and Accounting</w:t>
      </w:r>
    </w:p>
    <w:p>
      <w:pPr>
        <w:spacing w:after="0" w:line="183"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44"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Committee Report</w:t>
      </w:r>
    </w:p>
    <w:p>
      <w:pPr>
        <w:spacing w:after="0" w:line="185" w:lineRule="exact"/>
        <w:rPr>
          <w:sz w:val="20"/>
          <w:szCs w:val="20"/>
          <w:color w:val="auto"/>
        </w:rPr>
      </w:pPr>
    </w:p>
    <w:p>
      <w:pPr>
        <w:ind w:right="480" w:firstLine="405"/>
        <w:spacing w:after="0" w:line="262" w:lineRule="auto"/>
        <w:rPr>
          <w:sz w:val="20"/>
          <w:szCs w:val="20"/>
          <w:color w:val="auto"/>
        </w:rPr>
      </w:pPr>
      <w:r>
        <w:rPr>
          <w:rFonts w:ascii="Arial" w:cs="Arial" w:eastAsia="Arial" w:hAnsi="Arial"/>
          <w:sz w:val="18"/>
          <w:szCs w:val="18"/>
          <w:color w:val="auto"/>
        </w:rPr>
        <w:t>The Compensation Committee has reviewed and discussed the “Compensation Discussion and Analysis” contained in this proxy statement with management. Based on its review and discussions, the Compensation Committee recommended to the Board that the “Compensation Discussion and Analysis” be included in this proxy statement and incorporated by reference into the Company’s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46990</wp:posOffset>
            </wp:positionV>
            <wp:extent cx="899795" cy="8997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99795" cy="899795"/>
                    </a:xfrm>
                    <a:prstGeom prst="rect">
                      <a:avLst/>
                    </a:prstGeom>
                    <a:noFill/>
                  </pic:spPr>
                </pic:pic>
              </a:graphicData>
            </a:graphic>
          </wp:anchor>
        </w:drawing>
      </w:r>
    </w:p>
    <w:p>
      <w:pPr>
        <w:spacing w:after="0" w:line="29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Compensation Committee:</w:t>
      </w:r>
    </w:p>
    <w:p>
      <w:pPr>
        <w:spacing w:after="0" w:line="19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Jacqueline Kosecoff, Chair</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Margaret McCarthy</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Robbert Vorhoff</w:t>
      </w:r>
    </w:p>
    <w:p>
      <w:pPr>
        <w:spacing w:after="0" w:line="277"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i w:val="1"/>
          <w:iCs w:val="1"/>
          <w:color w:val="auto"/>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incorporated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jc w:val="center"/>
        <w:ind w:right="-7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This section discusses the material components of the executive compensation program for our Chief Executive Officer, Chief Financial Officer and our three other most highly compensated officers as of December 31, 2025, who we refer to as our “Named Executive Officers” or “NEOs.” 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Summary Compensation Table</w:t>
      </w:r>
    </w:p>
    <w:p>
      <w:pPr>
        <w:spacing w:after="0" w:line="117" w:lineRule="exact"/>
        <w:rPr>
          <w:sz w:val="20"/>
          <w:szCs w:val="20"/>
          <w:color w:val="auto"/>
        </w:rPr>
      </w:pPr>
    </w:p>
    <w:p>
      <w:pPr>
        <w:ind w:right="340" w:firstLine="405"/>
        <w:spacing w:after="0" w:line="285"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and paid to our Named Executive Officers for the fiscal years ending December 31, 2025, December 31, 2024, and December 31, 2023, as applicable.</w:t>
      </w:r>
    </w:p>
    <w:tbl>
      <w:tblPr>
        <w:tblLayout w:type="fixed"/>
        <w:tblInd w:w="620" w:type="dxa"/>
        <w:tblCellMar>
          <w:top w:w="0" w:type="dxa"/>
          <w:left w:w="0" w:type="dxa"/>
          <w:bottom w:w="0" w:type="dxa"/>
          <w:right w:w="0" w:type="dxa"/>
        </w:tblCellMar>
      </w:tblPr>
      <w:tr>
        <w:trPr>
          <w:trHeight w:val="135"/>
        </w:trPr>
        <w:tc>
          <w:tcPr>
            <w:tcW w:w="15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Arial" w:cs="Arial" w:eastAsia="Arial" w:hAnsi="Arial"/>
                <w:sz w:val="11"/>
                <w:szCs w:val="11"/>
                <w:b w:val="1"/>
                <w:bCs w:val="1"/>
                <w:color w:val="auto"/>
                <w:w w:val="98"/>
              </w:rPr>
              <w:t>Non-Equity</w:t>
            </w: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jc w:val="right"/>
              <w:ind w:right="420"/>
              <w:spacing w:after="0" w:line="122" w:lineRule="exact"/>
              <w:rPr>
                <w:sz w:val="20"/>
                <w:szCs w:val="20"/>
                <w:color w:val="auto"/>
              </w:rPr>
            </w:pPr>
            <w:r>
              <w:rPr>
                <w:rFonts w:ascii="Arial" w:cs="Arial" w:eastAsia="Arial" w:hAnsi="Arial"/>
                <w:sz w:val="11"/>
                <w:szCs w:val="11"/>
                <w:b w:val="1"/>
                <w:bCs w:val="1"/>
                <w:color w:val="auto"/>
              </w:rPr>
              <w:t>Stock</w:t>
            </w:r>
          </w:p>
        </w:tc>
        <w:tc>
          <w:tcPr>
            <w:tcW w:w="1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Incentive Plan</w:t>
            </w:r>
          </w:p>
        </w:tc>
        <w:tc>
          <w:tcPr>
            <w:tcW w:w="1380" w:type="dxa"/>
            <w:vAlign w:val="bottom"/>
          </w:tcPr>
          <w:p>
            <w:pPr>
              <w:jc w:val="right"/>
              <w:ind w:right="420"/>
              <w:spacing w:after="0" w:line="122" w:lineRule="exact"/>
              <w:rPr>
                <w:sz w:val="20"/>
                <w:szCs w:val="20"/>
                <w:color w:val="auto"/>
              </w:rPr>
            </w:pPr>
            <w:r>
              <w:rPr>
                <w:rFonts w:ascii="Arial" w:cs="Arial" w:eastAsia="Arial" w:hAnsi="Arial"/>
                <w:sz w:val="11"/>
                <w:szCs w:val="11"/>
                <w:b w:val="1"/>
                <w:bCs w:val="1"/>
                <w:color w:val="auto"/>
              </w:rPr>
              <w:t>All Other</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vMerge w:val="restart"/>
          </w:tcPr>
          <w:p>
            <w:pPr>
              <w:jc w:val="right"/>
              <w:ind w:right="398"/>
              <w:spacing w:after="0"/>
              <w:rPr>
                <w:sz w:val="20"/>
                <w:szCs w:val="20"/>
                <w:color w:val="auto"/>
              </w:rPr>
            </w:pPr>
            <w:r>
              <w:rPr>
                <w:rFonts w:ascii="Arial" w:cs="Arial" w:eastAsia="Arial" w:hAnsi="Arial"/>
                <w:sz w:val="11"/>
                <w:szCs w:val="11"/>
                <w:b w:val="1"/>
                <w:bCs w:val="1"/>
                <w:color w:val="auto"/>
              </w:rPr>
              <w:t>Salary</w:t>
            </w:r>
          </w:p>
        </w:tc>
        <w:tc>
          <w:tcPr>
            <w:tcW w:w="1200" w:type="dxa"/>
            <w:vAlign w:val="bottom"/>
          </w:tcPr>
          <w:p>
            <w:pPr>
              <w:jc w:val="right"/>
              <w:ind w:right="380"/>
              <w:spacing w:after="0" w:line="122" w:lineRule="exact"/>
              <w:rPr>
                <w:sz w:val="20"/>
                <w:szCs w:val="20"/>
                <w:color w:val="auto"/>
              </w:rPr>
            </w:pPr>
            <w:r>
              <w:rPr>
                <w:rFonts w:ascii="Arial" w:cs="Arial" w:eastAsia="Arial" w:hAnsi="Arial"/>
                <w:sz w:val="11"/>
                <w:szCs w:val="11"/>
                <w:b w:val="1"/>
                <w:bCs w:val="1"/>
                <w:color w:val="auto"/>
              </w:rPr>
              <w:t>Bonus</w:t>
            </w:r>
          </w:p>
        </w:tc>
        <w:tc>
          <w:tcPr>
            <w:tcW w:w="1220" w:type="dxa"/>
            <w:vAlign w:val="bottom"/>
          </w:tcPr>
          <w:p>
            <w:pPr>
              <w:jc w:val="right"/>
              <w:ind w:right="360"/>
              <w:spacing w:after="0" w:line="122" w:lineRule="exact"/>
              <w:rPr>
                <w:sz w:val="20"/>
                <w:szCs w:val="20"/>
                <w:color w:val="auto"/>
              </w:rPr>
            </w:pPr>
            <w:r>
              <w:rPr>
                <w:rFonts w:ascii="Arial" w:cs="Arial" w:eastAsia="Arial" w:hAnsi="Arial"/>
                <w:sz w:val="11"/>
                <w:szCs w:val="11"/>
                <w:b w:val="1"/>
                <w:bCs w:val="1"/>
                <w:color w:val="auto"/>
              </w:rPr>
              <w:t>Awards</w:t>
            </w:r>
          </w:p>
        </w:tc>
        <w:tc>
          <w:tcPr>
            <w:tcW w:w="1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1380" w:type="dxa"/>
            <w:vAlign w:val="bottom"/>
          </w:tcPr>
          <w:p>
            <w:pPr>
              <w:jc w:val="right"/>
              <w:ind w:right="280"/>
              <w:spacing w:after="0" w:line="122" w:lineRule="exact"/>
              <w:rPr>
                <w:sz w:val="20"/>
                <w:szCs w:val="20"/>
                <w:color w:val="auto"/>
              </w:rPr>
            </w:pPr>
            <w:r>
              <w:rPr>
                <w:rFonts w:ascii="Arial" w:cs="Arial" w:eastAsia="Arial" w:hAnsi="Arial"/>
                <w:sz w:val="11"/>
                <w:szCs w:val="11"/>
                <w:b w:val="1"/>
                <w:bCs w:val="1"/>
                <w:color w:val="auto"/>
              </w:rPr>
              <w:t>Compensation</w:t>
            </w:r>
          </w:p>
        </w:tc>
        <w:tc>
          <w:tcPr>
            <w:tcW w:w="1200" w:type="dxa"/>
            <w:vAlign w:val="bottom"/>
            <w:vMerge w:val="restart"/>
          </w:tcPr>
          <w:p>
            <w:pPr>
              <w:jc w:val="right"/>
              <w:ind w:right="43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0" w:type="dxa"/>
            <w:vAlign w:val="bottom"/>
          </w:tcPr>
          <w:p>
            <w:pPr>
              <w:jc w:val="right"/>
              <w:ind w:right="500"/>
              <w:spacing w:after="0"/>
              <w:rPr>
                <w:sz w:val="20"/>
                <w:szCs w:val="20"/>
                <w:color w:val="auto"/>
              </w:rPr>
            </w:pPr>
            <w:r>
              <w:rPr>
                <w:rFonts w:ascii="Arial" w:cs="Arial" w:eastAsia="Arial" w:hAnsi="Arial"/>
                <w:sz w:val="7"/>
                <w:szCs w:val="7"/>
                <w:b w:val="1"/>
                <w:bCs w:val="1"/>
                <w:color w:val="auto"/>
              </w:rPr>
              <w:t>(1)</w:t>
            </w:r>
          </w:p>
        </w:tc>
        <w:tc>
          <w:tcPr>
            <w:tcW w:w="1220" w:type="dxa"/>
            <w:vAlign w:val="bottom"/>
          </w:tcPr>
          <w:p>
            <w:pPr>
              <w:jc w:val="right"/>
              <w:ind w:right="520"/>
              <w:spacing w:after="0"/>
              <w:rPr>
                <w:sz w:val="20"/>
                <w:szCs w:val="20"/>
                <w:color w:val="auto"/>
              </w:rPr>
            </w:pPr>
            <w:r>
              <w:rPr>
                <w:rFonts w:ascii="Arial" w:cs="Arial" w:eastAsia="Arial" w:hAnsi="Arial"/>
                <w:sz w:val="7"/>
                <w:szCs w:val="7"/>
                <w:b w:val="1"/>
                <w:bCs w:val="1"/>
                <w:color w:val="auto"/>
              </w:rPr>
              <w:t>(2)</w:t>
            </w:r>
          </w:p>
        </w:tc>
        <w:tc>
          <w:tcPr>
            <w:tcW w:w="1380" w:type="dxa"/>
            <w:vAlign w:val="bottom"/>
          </w:tcPr>
          <w:p>
            <w:pPr>
              <w:jc w:val="right"/>
              <w:ind w:right="600"/>
              <w:spacing w:after="0"/>
              <w:rPr>
                <w:sz w:val="20"/>
                <w:szCs w:val="20"/>
                <w:color w:val="auto"/>
              </w:rPr>
            </w:pPr>
            <w:r>
              <w:rPr>
                <w:rFonts w:ascii="Arial" w:cs="Arial" w:eastAsia="Arial" w:hAnsi="Arial"/>
                <w:sz w:val="7"/>
                <w:szCs w:val="7"/>
                <w:b w:val="1"/>
                <w:bCs w:val="1"/>
                <w:color w:val="auto"/>
              </w:rPr>
              <w:t>(3)</w:t>
            </w:r>
          </w:p>
        </w:tc>
        <w:tc>
          <w:tcPr>
            <w:tcW w:w="1380" w:type="dxa"/>
            <w:vAlign w:val="bottom"/>
          </w:tcPr>
          <w:p>
            <w:pPr>
              <w:jc w:val="right"/>
              <w:ind w:right="600"/>
              <w:spacing w:after="0"/>
              <w:rPr>
                <w:sz w:val="20"/>
                <w:szCs w:val="20"/>
                <w:color w:val="auto"/>
              </w:rPr>
            </w:pPr>
            <w:r>
              <w:rPr>
                <w:rFonts w:ascii="Arial" w:cs="Arial" w:eastAsia="Arial" w:hAnsi="Arial"/>
                <w:sz w:val="7"/>
                <w:szCs w:val="7"/>
                <w:b w:val="1"/>
                <w:bCs w:val="1"/>
                <w:color w:val="auto"/>
              </w:rPr>
              <w:t>(4)</w:t>
            </w: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1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Year</w:t>
            </w: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rPr>
              <w:t>($)</w:t>
            </w:r>
          </w:p>
        </w:tc>
        <w:tc>
          <w:tcPr>
            <w:tcW w:w="1220" w:type="dxa"/>
            <w:vAlign w:val="bottom"/>
            <w:tcBorders>
              <w:bottom w:val="single" w:sz="8" w:color="auto"/>
            </w:tcBorders>
          </w:tcPr>
          <w:p>
            <w:pPr>
              <w:jc w:val="right"/>
              <w:ind w:right="500"/>
              <w:spacing w:after="0"/>
              <w:rPr>
                <w:sz w:val="20"/>
                <w:szCs w:val="20"/>
                <w:color w:val="auto"/>
              </w:rPr>
            </w:pPr>
            <w:r>
              <w:rPr>
                <w:rFonts w:ascii="Arial" w:cs="Arial" w:eastAsia="Arial" w:hAnsi="Arial"/>
                <w:sz w:val="11"/>
                <w:szCs w:val="11"/>
                <w:b w:val="1"/>
                <w:bCs w:val="1"/>
                <w:color w:val="auto"/>
              </w:rPr>
              <w:t>($)</w:t>
            </w: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w:t>
            </w:r>
          </w:p>
        </w:tc>
        <w:tc>
          <w:tcPr>
            <w:tcW w:w="1380" w:type="dxa"/>
            <w:vAlign w:val="bottom"/>
            <w:tcBorders>
              <w:bottom w:val="single" w:sz="8" w:color="auto"/>
            </w:tcBorders>
          </w:tcPr>
          <w:p>
            <w:pPr>
              <w:jc w:val="right"/>
              <w:ind w:right="580"/>
              <w:spacing w:after="0"/>
              <w:rPr>
                <w:sz w:val="20"/>
                <w:szCs w:val="20"/>
                <w:color w:val="auto"/>
              </w:rPr>
            </w:pPr>
            <w:r>
              <w:rPr>
                <w:rFonts w:ascii="Arial" w:cs="Arial" w:eastAsia="Arial" w:hAnsi="Arial"/>
                <w:sz w:val="11"/>
                <w:szCs w:val="11"/>
                <w:b w:val="1"/>
                <w:bCs w:val="1"/>
                <w:color w:val="auto"/>
              </w:rPr>
              <w:t>($)</w:t>
            </w: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6"/>
        </w:trPr>
        <w:tc>
          <w:tcPr>
            <w:tcW w:w="1560" w:type="dxa"/>
            <w:vAlign w:val="bottom"/>
            <w:tcBorders>
              <w:right w:val="single" w:sz="8" w:color="95B3D7"/>
            </w:tcBorders>
            <w:vMerge w:val="restart"/>
            <w:shd w:val="clear" w:color="auto" w:fill="DBE5F1"/>
          </w:tcPr>
          <w:p>
            <w:pPr>
              <w:ind w:left="60"/>
              <w:spacing w:after="0"/>
              <w:rPr>
                <w:sz w:val="20"/>
                <w:szCs w:val="20"/>
                <w:color w:val="auto"/>
              </w:rPr>
            </w:pPr>
            <w:r>
              <w:rPr>
                <w:rFonts w:ascii="Arial" w:cs="Arial" w:eastAsia="Arial" w:hAnsi="Arial"/>
                <w:sz w:val="13"/>
                <w:szCs w:val="13"/>
                <w:b w:val="1"/>
                <w:bCs w:val="1"/>
                <w:color w:val="auto"/>
              </w:rPr>
              <w:t>John Kao</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2025</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833,654</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8,500,014</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1,944,495</w:t>
            </w:r>
          </w:p>
        </w:tc>
        <w:tc>
          <w:tcPr>
            <w:tcW w:w="138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420</w:t>
            </w:r>
          </w:p>
        </w:tc>
        <w:tc>
          <w:tcPr>
            <w:tcW w:w="1200" w:type="dxa"/>
            <w:vAlign w:val="bottom"/>
            <w:shd w:val="clear" w:color="auto" w:fill="DBE5F1"/>
          </w:tcPr>
          <w:p>
            <w:pPr>
              <w:jc w:val="right"/>
              <w:ind w:right="18"/>
              <w:spacing w:after="0"/>
              <w:rPr>
                <w:sz w:val="20"/>
                <w:szCs w:val="20"/>
                <w:color w:val="auto"/>
              </w:rPr>
            </w:pPr>
            <w:r>
              <w:rPr>
                <w:rFonts w:ascii="Arial" w:cs="Arial" w:eastAsia="Arial" w:hAnsi="Arial"/>
                <w:sz w:val="13"/>
                <w:szCs w:val="13"/>
                <w:color w:val="auto"/>
              </w:rPr>
              <w:t>11,278,583</w:t>
            </w:r>
          </w:p>
        </w:tc>
        <w:tc>
          <w:tcPr>
            <w:tcW w:w="0" w:type="dxa"/>
            <w:vAlign w:val="bottom"/>
          </w:tcPr>
          <w:p>
            <w:pPr>
              <w:spacing w:after="0"/>
              <w:rPr>
                <w:sz w:val="1"/>
                <w:szCs w:val="1"/>
                <w:color w:val="auto"/>
              </w:rPr>
            </w:pPr>
          </w:p>
        </w:tc>
      </w:tr>
      <w:tr>
        <w:trPr>
          <w:trHeight w:val="100"/>
        </w:trPr>
        <w:tc>
          <w:tcPr>
            <w:tcW w:w="1560" w:type="dxa"/>
            <w:vAlign w:val="bottom"/>
            <w:tcBorders>
              <w:right w:val="single" w:sz="8" w:color="95B3D7"/>
            </w:tcBorders>
            <w:vMerge w:val="continue"/>
            <w:shd w:val="clear" w:color="auto" w:fill="DBE5F1"/>
          </w:tcPr>
          <w:p>
            <w:pPr>
              <w:spacing w:after="0"/>
              <w:rPr>
                <w:sz w:val="8"/>
                <w:szCs w:val="8"/>
                <w:color w:val="auto"/>
              </w:rPr>
            </w:pPr>
          </w:p>
        </w:tc>
        <w:tc>
          <w:tcPr>
            <w:tcW w:w="88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vMerge w:val="restart"/>
            <w:shd w:val="clear" w:color="auto" w:fill="DBE5F1"/>
          </w:tcPr>
          <w:p>
            <w:pPr>
              <w:jc w:val="right"/>
              <w:spacing w:after="0"/>
              <w:rPr>
                <w:sz w:val="20"/>
                <w:szCs w:val="20"/>
                <w:color w:val="auto"/>
              </w:rPr>
            </w:pPr>
            <w:r>
              <w:rPr>
                <w:rFonts w:ascii="Arial" w:cs="Arial" w:eastAsia="Arial" w:hAnsi="Arial"/>
                <w:sz w:val="13"/>
                <w:szCs w:val="13"/>
                <w:color w:val="auto"/>
              </w:rPr>
              <w:t>817,308</w:t>
            </w:r>
          </w:p>
        </w:tc>
        <w:tc>
          <w:tcPr>
            <w:tcW w:w="120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1,000,000</w:t>
            </w:r>
          </w:p>
        </w:tc>
        <w:tc>
          <w:tcPr>
            <w:tcW w:w="122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3,300,000</w:t>
            </w:r>
          </w:p>
        </w:tc>
        <w:tc>
          <w:tcPr>
            <w:tcW w:w="138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1,246,053</w:t>
            </w:r>
          </w:p>
        </w:tc>
        <w:tc>
          <w:tcPr>
            <w:tcW w:w="138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5,804</w:t>
            </w:r>
          </w:p>
        </w:tc>
        <w:tc>
          <w:tcPr>
            <w:tcW w:w="1200" w:type="dxa"/>
            <w:vAlign w:val="bottom"/>
            <w:vMerge w:val="restart"/>
            <w:shd w:val="clear" w:color="auto" w:fill="DBE5F1"/>
          </w:tcPr>
          <w:p>
            <w:pPr>
              <w:jc w:val="right"/>
              <w:ind w:right="18"/>
              <w:spacing w:after="0"/>
              <w:rPr>
                <w:sz w:val="20"/>
                <w:szCs w:val="20"/>
                <w:color w:val="auto"/>
              </w:rPr>
            </w:pPr>
            <w:r>
              <w:rPr>
                <w:rFonts w:ascii="Arial" w:cs="Arial" w:eastAsia="Arial" w:hAnsi="Arial"/>
                <w:sz w:val="13"/>
                <w:szCs w:val="13"/>
                <w:color w:val="auto"/>
              </w:rPr>
              <w:t>6,369,165</w:t>
            </w:r>
          </w:p>
        </w:tc>
        <w:tc>
          <w:tcPr>
            <w:tcW w:w="0" w:type="dxa"/>
            <w:vAlign w:val="bottom"/>
          </w:tcPr>
          <w:p>
            <w:pPr>
              <w:spacing w:after="0"/>
              <w:rPr>
                <w:sz w:val="1"/>
                <w:szCs w:val="1"/>
                <w:color w:val="auto"/>
              </w:rPr>
            </w:pPr>
          </w:p>
        </w:tc>
      </w:tr>
      <w:tr>
        <w:trPr>
          <w:trHeight w:val="149"/>
        </w:trPr>
        <w:tc>
          <w:tcPr>
            <w:tcW w:w="156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3"/>
                <w:szCs w:val="13"/>
                <w:color w:val="auto"/>
              </w:rPr>
              <w:t>Chief Executive</w:t>
            </w:r>
          </w:p>
        </w:tc>
        <w:tc>
          <w:tcPr>
            <w:tcW w:w="880" w:type="dxa"/>
            <w:vAlign w:val="bottom"/>
            <w:tcBorders>
              <w:right w:val="single" w:sz="8" w:color="95B3D7"/>
            </w:tcBorders>
            <w:vMerge w:val="continue"/>
            <w:shd w:val="clear" w:color="auto" w:fill="DBE5F1"/>
          </w:tcPr>
          <w:p>
            <w:pPr>
              <w:spacing w:after="0"/>
              <w:rPr>
                <w:sz w:val="12"/>
                <w:szCs w:val="12"/>
                <w:color w:val="auto"/>
              </w:rPr>
            </w:pPr>
          </w:p>
        </w:tc>
        <w:tc>
          <w:tcPr>
            <w:tcW w:w="1200" w:type="dxa"/>
            <w:vAlign w:val="bottom"/>
            <w:tcBorders>
              <w:right w:val="single" w:sz="8" w:color="95B3D7"/>
            </w:tcBorders>
            <w:vMerge w:val="continue"/>
            <w:shd w:val="clear" w:color="auto" w:fill="DBE5F1"/>
          </w:tcPr>
          <w:p>
            <w:pPr>
              <w:spacing w:after="0"/>
              <w:rPr>
                <w:sz w:val="12"/>
                <w:szCs w:val="12"/>
                <w:color w:val="auto"/>
              </w:rPr>
            </w:pPr>
          </w:p>
        </w:tc>
        <w:tc>
          <w:tcPr>
            <w:tcW w:w="1200" w:type="dxa"/>
            <w:vAlign w:val="bottom"/>
            <w:tcBorders>
              <w:right w:val="single" w:sz="8" w:color="95B3D7"/>
            </w:tcBorders>
            <w:vMerge w:val="continue"/>
            <w:shd w:val="clear" w:color="auto" w:fill="DBE5F1"/>
          </w:tcPr>
          <w:p>
            <w:pPr>
              <w:spacing w:after="0"/>
              <w:rPr>
                <w:sz w:val="12"/>
                <w:szCs w:val="12"/>
                <w:color w:val="auto"/>
              </w:rPr>
            </w:pPr>
          </w:p>
        </w:tc>
        <w:tc>
          <w:tcPr>
            <w:tcW w:w="1220" w:type="dxa"/>
            <w:vAlign w:val="bottom"/>
            <w:tcBorders>
              <w:right w:val="single" w:sz="8" w:color="95B3D7"/>
            </w:tcBorders>
            <w:vMerge w:val="continue"/>
            <w:shd w:val="clear" w:color="auto" w:fill="DBE5F1"/>
          </w:tcPr>
          <w:p>
            <w:pPr>
              <w:spacing w:after="0"/>
              <w:rPr>
                <w:sz w:val="12"/>
                <w:szCs w:val="12"/>
                <w:color w:val="auto"/>
              </w:rPr>
            </w:pPr>
          </w:p>
        </w:tc>
        <w:tc>
          <w:tcPr>
            <w:tcW w:w="1380" w:type="dxa"/>
            <w:vAlign w:val="bottom"/>
            <w:tcBorders>
              <w:right w:val="single" w:sz="8" w:color="95B3D7"/>
            </w:tcBorders>
            <w:vMerge w:val="continue"/>
            <w:shd w:val="clear" w:color="auto" w:fill="DBE5F1"/>
          </w:tcPr>
          <w:p>
            <w:pPr>
              <w:spacing w:after="0"/>
              <w:rPr>
                <w:sz w:val="12"/>
                <w:szCs w:val="12"/>
                <w:color w:val="auto"/>
              </w:rPr>
            </w:pPr>
          </w:p>
        </w:tc>
        <w:tc>
          <w:tcPr>
            <w:tcW w:w="1380" w:type="dxa"/>
            <w:vAlign w:val="bottom"/>
            <w:tcBorders>
              <w:right w:val="single" w:sz="8" w:color="95B3D7"/>
            </w:tcBorders>
            <w:vMerge w:val="continue"/>
            <w:shd w:val="clear" w:color="auto" w:fill="DBE5F1"/>
          </w:tcPr>
          <w:p>
            <w:pPr>
              <w:spacing w:after="0"/>
              <w:rPr>
                <w:sz w:val="12"/>
                <w:szCs w:val="12"/>
                <w:color w:val="auto"/>
              </w:rPr>
            </w:pPr>
          </w:p>
        </w:tc>
        <w:tc>
          <w:tcPr>
            <w:tcW w:w="1200" w:type="dxa"/>
            <w:vAlign w:val="bottom"/>
            <w:vMerge w:val="continue"/>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56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3"/>
                <w:szCs w:val="13"/>
                <w:color w:val="auto"/>
              </w:rPr>
              <w:t>Officer</w:t>
            </w:r>
          </w:p>
        </w:tc>
        <w:tc>
          <w:tcPr>
            <w:tcW w:w="88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3"/>
                <w:szCs w:val="13"/>
                <w:color w:val="auto"/>
                <w:w w:val="96"/>
              </w:rPr>
              <w:t>2023</w:t>
            </w:r>
          </w:p>
        </w:tc>
        <w:tc>
          <w:tcPr>
            <w:tcW w:w="1200" w:type="dxa"/>
            <w:vAlign w:val="bottom"/>
            <w:tcBorders>
              <w:right w:val="single" w:sz="8" w:color="95B3D7"/>
            </w:tcBorders>
            <w:vMerge w:val="restart"/>
            <w:shd w:val="clear" w:color="auto" w:fill="DBE5F1"/>
          </w:tcPr>
          <w:p>
            <w:pPr>
              <w:jc w:val="right"/>
              <w:spacing w:after="0"/>
              <w:rPr>
                <w:sz w:val="20"/>
                <w:szCs w:val="20"/>
                <w:color w:val="auto"/>
              </w:rPr>
            </w:pPr>
            <w:r>
              <w:rPr>
                <w:rFonts w:ascii="Arial" w:cs="Arial" w:eastAsia="Arial" w:hAnsi="Arial"/>
                <w:sz w:val="13"/>
                <w:szCs w:val="13"/>
                <w:color w:val="auto"/>
              </w:rPr>
              <w:t>786,539</w:t>
            </w:r>
          </w:p>
        </w:tc>
        <w:tc>
          <w:tcPr>
            <w:tcW w:w="120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12,497,891</w:t>
            </w:r>
          </w:p>
        </w:tc>
        <w:tc>
          <w:tcPr>
            <w:tcW w:w="138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1,006,837</w:t>
            </w:r>
          </w:p>
        </w:tc>
        <w:tc>
          <w:tcPr>
            <w:tcW w:w="1380" w:type="dxa"/>
            <w:vAlign w:val="bottom"/>
            <w:tcBorders>
              <w:right w:val="single" w:sz="8" w:color="95B3D7"/>
            </w:tcBorders>
            <w:vMerge w:val="restart"/>
            <w:shd w:val="clear" w:color="auto" w:fill="DBE5F1"/>
          </w:tcPr>
          <w:p>
            <w:pPr>
              <w:jc w:val="right"/>
              <w:ind w:right="20"/>
              <w:spacing w:after="0"/>
              <w:rPr>
                <w:sz w:val="20"/>
                <w:szCs w:val="20"/>
                <w:color w:val="auto"/>
              </w:rPr>
            </w:pPr>
            <w:r>
              <w:rPr>
                <w:rFonts w:ascii="Arial" w:cs="Arial" w:eastAsia="Arial" w:hAnsi="Arial"/>
                <w:sz w:val="13"/>
                <w:szCs w:val="13"/>
                <w:color w:val="auto"/>
              </w:rPr>
              <w:t>5,209</w:t>
            </w:r>
          </w:p>
        </w:tc>
        <w:tc>
          <w:tcPr>
            <w:tcW w:w="1200" w:type="dxa"/>
            <w:vAlign w:val="bottom"/>
            <w:vMerge w:val="restart"/>
            <w:shd w:val="clear" w:color="auto" w:fill="DBE5F1"/>
          </w:tcPr>
          <w:p>
            <w:pPr>
              <w:jc w:val="right"/>
              <w:ind w:right="18"/>
              <w:spacing w:after="0"/>
              <w:rPr>
                <w:sz w:val="20"/>
                <w:szCs w:val="20"/>
                <w:color w:val="auto"/>
              </w:rPr>
            </w:pPr>
            <w:r>
              <w:rPr>
                <w:rFonts w:ascii="Arial" w:cs="Arial" w:eastAsia="Arial" w:hAnsi="Arial"/>
                <w:sz w:val="13"/>
                <w:szCs w:val="13"/>
                <w:color w:val="auto"/>
              </w:rPr>
              <w:t>14,296,476</w:t>
            </w:r>
          </w:p>
        </w:tc>
        <w:tc>
          <w:tcPr>
            <w:tcW w:w="0" w:type="dxa"/>
            <w:vAlign w:val="bottom"/>
          </w:tcPr>
          <w:p>
            <w:pPr>
              <w:spacing w:after="0"/>
              <w:rPr>
                <w:sz w:val="1"/>
                <w:szCs w:val="1"/>
                <w:color w:val="auto"/>
              </w:rPr>
            </w:pPr>
          </w:p>
        </w:tc>
      </w:tr>
      <w:tr>
        <w:trPr>
          <w:trHeight w:val="108"/>
        </w:trPr>
        <w:tc>
          <w:tcPr>
            <w:tcW w:w="1560" w:type="dxa"/>
            <w:vAlign w:val="bottom"/>
            <w:tcBorders>
              <w:right w:val="single" w:sz="8" w:color="95B3D7"/>
            </w:tcBorders>
            <w:shd w:val="clear" w:color="auto" w:fill="DBE5F1"/>
          </w:tcPr>
          <w:p>
            <w:pPr>
              <w:spacing w:after="0"/>
              <w:rPr>
                <w:sz w:val="9"/>
                <w:szCs w:val="9"/>
                <w:color w:val="auto"/>
              </w:rPr>
            </w:pPr>
          </w:p>
        </w:tc>
        <w:tc>
          <w:tcPr>
            <w:tcW w:w="880" w:type="dxa"/>
            <w:vAlign w:val="bottom"/>
            <w:tcBorders>
              <w:right w:val="single" w:sz="8" w:color="95B3D7"/>
            </w:tcBorders>
            <w:vMerge w:val="continue"/>
            <w:shd w:val="clear" w:color="auto" w:fill="DBE5F1"/>
          </w:tcPr>
          <w:p>
            <w:pPr>
              <w:spacing w:after="0"/>
              <w:rPr>
                <w:sz w:val="9"/>
                <w:szCs w:val="9"/>
                <w:color w:val="auto"/>
              </w:rPr>
            </w:pPr>
          </w:p>
        </w:tc>
        <w:tc>
          <w:tcPr>
            <w:tcW w:w="1200" w:type="dxa"/>
            <w:vAlign w:val="bottom"/>
            <w:tcBorders>
              <w:right w:val="single" w:sz="8" w:color="95B3D7"/>
            </w:tcBorders>
            <w:vMerge w:val="continue"/>
            <w:shd w:val="clear" w:color="auto" w:fill="DBE5F1"/>
          </w:tcPr>
          <w:p>
            <w:pPr>
              <w:spacing w:after="0"/>
              <w:rPr>
                <w:sz w:val="9"/>
                <w:szCs w:val="9"/>
                <w:color w:val="auto"/>
              </w:rPr>
            </w:pPr>
          </w:p>
        </w:tc>
        <w:tc>
          <w:tcPr>
            <w:tcW w:w="1200" w:type="dxa"/>
            <w:vAlign w:val="bottom"/>
            <w:tcBorders>
              <w:right w:val="single" w:sz="8" w:color="95B3D7"/>
            </w:tcBorders>
            <w:vMerge w:val="continue"/>
            <w:shd w:val="clear" w:color="auto" w:fill="DBE5F1"/>
          </w:tcPr>
          <w:p>
            <w:pPr>
              <w:spacing w:after="0"/>
              <w:rPr>
                <w:sz w:val="9"/>
                <w:szCs w:val="9"/>
                <w:color w:val="auto"/>
              </w:rPr>
            </w:pPr>
          </w:p>
        </w:tc>
        <w:tc>
          <w:tcPr>
            <w:tcW w:w="1220" w:type="dxa"/>
            <w:vAlign w:val="bottom"/>
            <w:tcBorders>
              <w:right w:val="single" w:sz="8" w:color="95B3D7"/>
            </w:tcBorders>
            <w:vMerge w:val="continue"/>
            <w:shd w:val="clear" w:color="auto" w:fill="DBE5F1"/>
          </w:tcPr>
          <w:p>
            <w:pPr>
              <w:spacing w:after="0"/>
              <w:rPr>
                <w:sz w:val="9"/>
                <w:szCs w:val="9"/>
                <w:color w:val="auto"/>
              </w:rPr>
            </w:pPr>
          </w:p>
        </w:tc>
        <w:tc>
          <w:tcPr>
            <w:tcW w:w="1380" w:type="dxa"/>
            <w:vAlign w:val="bottom"/>
            <w:tcBorders>
              <w:right w:val="single" w:sz="8" w:color="95B3D7"/>
            </w:tcBorders>
            <w:vMerge w:val="continue"/>
            <w:shd w:val="clear" w:color="auto" w:fill="DBE5F1"/>
          </w:tcPr>
          <w:p>
            <w:pPr>
              <w:spacing w:after="0"/>
              <w:rPr>
                <w:sz w:val="9"/>
                <w:szCs w:val="9"/>
                <w:color w:val="auto"/>
              </w:rPr>
            </w:pPr>
          </w:p>
        </w:tc>
        <w:tc>
          <w:tcPr>
            <w:tcW w:w="1380" w:type="dxa"/>
            <w:vAlign w:val="bottom"/>
            <w:tcBorders>
              <w:right w:val="single" w:sz="8" w:color="95B3D7"/>
            </w:tcBorders>
            <w:vMerge w:val="continue"/>
            <w:shd w:val="clear" w:color="auto" w:fill="DBE5F1"/>
          </w:tcPr>
          <w:p>
            <w:pPr>
              <w:spacing w:after="0"/>
              <w:rPr>
                <w:sz w:val="9"/>
                <w:szCs w:val="9"/>
                <w:color w:val="auto"/>
              </w:rPr>
            </w:pPr>
          </w:p>
        </w:tc>
        <w:tc>
          <w:tcPr>
            <w:tcW w:w="120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1560" w:type="dxa"/>
            <w:vAlign w:val="bottom"/>
            <w:tcBorders>
              <w:right w:val="single" w:sz="8" w:color="95B3D7"/>
            </w:tcBorders>
            <w:shd w:val="clear" w:color="auto" w:fill="DBE5F1"/>
          </w:tcPr>
          <w:p>
            <w:pPr>
              <w:spacing w:after="0"/>
              <w:rPr>
                <w:sz w:val="8"/>
                <w:szCs w:val="8"/>
                <w:color w:val="auto"/>
              </w:rPr>
            </w:pPr>
          </w:p>
        </w:tc>
        <w:tc>
          <w:tcPr>
            <w:tcW w:w="88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2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56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3"/>
                <w:szCs w:val="13"/>
                <w:b w:val="1"/>
                <w:bCs w:val="1"/>
                <w:color w:val="auto"/>
              </w:rPr>
              <w:t>Dawn Maroney</w:t>
            </w: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2025</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676,923</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3,700,006</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1,053,483</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14,420</w:t>
            </w:r>
          </w:p>
        </w:tc>
        <w:tc>
          <w:tcPr>
            <w:tcW w:w="1200" w:type="dxa"/>
            <w:vAlign w:val="bottom"/>
          </w:tcPr>
          <w:p>
            <w:pPr>
              <w:jc w:val="right"/>
              <w:ind w:right="18"/>
              <w:spacing w:after="0"/>
              <w:rPr>
                <w:sz w:val="20"/>
                <w:szCs w:val="20"/>
                <w:color w:val="auto"/>
              </w:rPr>
            </w:pPr>
            <w:r>
              <w:rPr>
                <w:rFonts w:ascii="Arial" w:cs="Arial" w:eastAsia="Arial" w:hAnsi="Arial"/>
                <w:sz w:val="13"/>
                <w:szCs w:val="13"/>
                <w:color w:val="auto"/>
              </w:rPr>
              <w:t>5,444,832</w:t>
            </w:r>
          </w:p>
        </w:tc>
        <w:tc>
          <w:tcPr>
            <w:tcW w:w="0" w:type="dxa"/>
            <w:vAlign w:val="bottom"/>
          </w:tcPr>
          <w:p>
            <w:pPr>
              <w:spacing w:after="0"/>
              <w:rPr>
                <w:sz w:val="1"/>
                <w:szCs w:val="1"/>
                <w:color w:val="auto"/>
              </w:rPr>
            </w:pPr>
          </w:p>
        </w:tc>
      </w:tr>
      <w:tr>
        <w:trPr>
          <w:trHeight w:val="100"/>
        </w:trPr>
        <w:tc>
          <w:tcPr>
            <w:tcW w:w="1560" w:type="dxa"/>
            <w:vAlign w:val="bottom"/>
            <w:tcBorders>
              <w:right w:val="single" w:sz="8" w:color="95B3D7"/>
            </w:tcBorders>
            <w:vMerge w:val="continue"/>
          </w:tcPr>
          <w:p>
            <w:pPr>
              <w:spacing w:after="0"/>
              <w:rPr>
                <w:sz w:val="8"/>
                <w:szCs w:val="8"/>
                <w:color w:val="auto"/>
              </w:rPr>
            </w:pPr>
          </w:p>
        </w:tc>
        <w:tc>
          <w:tcPr>
            <w:tcW w:w="880" w:type="dxa"/>
            <w:vAlign w:val="bottom"/>
            <w:tcBorders>
              <w:right w:val="single" w:sz="8" w:color="95B3D7"/>
            </w:tcBorders>
          </w:tcPr>
          <w:p>
            <w:pPr>
              <w:spacing w:after="0"/>
              <w:rPr>
                <w:sz w:val="8"/>
                <w:szCs w:val="8"/>
                <w:color w:val="auto"/>
              </w:rPr>
            </w:pPr>
          </w:p>
        </w:tc>
        <w:tc>
          <w:tcPr>
            <w:tcW w:w="1200" w:type="dxa"/>
            <w:vAlign w:val="bottom"/>
            <w:tcBorders>
              <w:right w:val="single" w:sz="8" w:color="95B3D7"/>
            </w:tcBorders>
          </w:tcPr>
          <w:p>
            <w:pPr>
              <w:spacing w:after="0"/>
              <w:rPr>
                <w:sz w:val="8"/>
                <w:szCs w:val="8"/>
                <w:color w:val="auto"/>
              </w:rPr>
            </w:pPr>
          </w:p>
        </w:tc>
        <w:tc>
          <w:tcPr>
            <w:tcW w:w="1200" w:type="dxa"/>
            <w:vAlign w:val="bottom"/>
            <w:tcBorders>
              <w:right w:val="single" w:sz="8" w:color="95B3D7"/>
            </w:tcBorders>
          </w:tcPr>
          <w:p>
            <w:pPr>
              <w:spacing w:after="0"/>
              <w:rPr>
                <w:sz w:val="8"/>
                <w:szCs w:val="8"/>
                <w:color w:val="auto"/>
              </w:rPr>
            </w:pPr>
          </w:p>
        </w:tc>
        <w:tc>
          <w:tcPr>
            <w:tcW w:w="122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560" w:type="dxa"/>
            <w:vAlign w:val="bottom"/>
            <w:tcBorders>
              <w:right w:val="single" w:sz="8" w:color="95B3D7"/>
            </w:tcBorders>
          </w:tcPr>
          <w:p>
            <w:pPr>
              <w:ind w:left="140"/>
              <w:spacing w:after="0"/>
              <w:rPr>
                <w:sz w:val="20"/>
                <w:szCs w:val="20"/>
                <w:color w:val="auto"/>
              </w:rPr>
            </w:pPr>
            <w:r>
              <w:rPr>
                <w:rFonts w:ascii="Arial" w:cs="Arial" w:eastAsia="Arial" w:hAnsi="Arial"/>
                <w:sz w:val="13"/>
                <w:szCs w:val="13"/>
                <w:color w:val="auto"/>
              </w:rPr>
              <w:t>President</w:t>
            </w: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573,847</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500,000</w:t>
            </w:r>
          </w:p>
        </w:tc>
        <w:tc>
          <w:tcPr>
            <w:tcW w:w="122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1,300,000</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695,637</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13,800</w:t>
            </w:r>
          </w:p>
        </w:tc>
        <w:tc>
          <w:tcPr>
            <w:tcW w:w="1200" w:type="dxa"/>
            <w:vAlign w:val="bottom"/>
          </w:tcPr>
          <w:p>
            <w:pPr>
              <w:jc w:val="right"/>
              <w:ind w:right="18"/>
              <w:spacing w:after="0"/>
              <w:rPr>
                <w:sz w:val="20"/>
                <w:szCs w:val="20"/>
                <w:color w:val="auto"/>
              </w:rPr>
            </w:pPr>
            <w:r>
              <w:rPr>
                <w:rFonts w:ascii="Arial" w:cs="Arial" w:eastAsia="Arial" w:hAnsi="Arial"/>
                <w:sz w:val="13"/>
                <w:szCs w:val="13"/>
                <w:color w:val="auto"/>
              </w:rPr>
              <w:t>3,083,284</w:t>
            </w:r>
          </w:p>
        </w:tc>
        <w:tc>
          <w:tcPr>
            <w:tcW w:w="0" w:type="dxa"/>
            <w:vAlign w:val="bottom"/>
          </w:tcPr>
          <w:p>
            <w:pPr>
              <w:spacing w:after="0"/>
              <w:rPr>
                <w:sz w:val="1"/>
                <w:szCs w:val="1"/>
                <w:color w:val="auto"/>
              </w:rPr>
            </w:pPr>
          </w:p>
        </w:tc>
      </w:tr>
      <w:tr>
        <w:trPr>
          <w:trHeight w:val="310"/>
        </w:trPr>
        <w:tc>
          <w:tcPr>
            <w:tcW w:w="1560" w:type="dxa"/>
            <w:vAlign w:val="bottom"/>
            <w:tcBorders>
              <w:right w:val="single" w:sz="8" w:color="95B3D7"/>
            </w:tcBorders>
          </w:tcPr>
          <w:p>
            <w:pPr>
              <w:spacing w:after="0"/>
              <w:rPr>
                <w:sz w:val="24"/>
                <w:szCs w:val="24"/>
                <w:color w:val="auto"/>
              </w:rPr>
            </w:pP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2023</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560,000</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205,000</w:t>
            </w:r>
          </w:p>
        </w:tc>
        <w:tc>
          <w:tcPr>
            <w:tcW w:w="122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5,014,849</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665,635</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13,515</w:t>
            </w:r>
          </w:p>
        </w:tc>
        <w:tc>
          <w:tcPr>
            <w:tcW w:w="1200" w:type="dxa"/>
            <w:vAlign w:val="bottom"/>
          </w:tcPr>
          <w:p>
            <w:pPr>
              <w:jc w:val="right"/>
              <w:ind w:right="18"/>
              <w:spacing w:after="0"/>
              <w:rPr>
                <w:sz w:val="20"/>
                <w:szCs w:val="20"/>
                <w:color w:val="auto"/>
              </w:rPr>
            </w:pPr>
            <w:r>
              <w:rPr>
                <w:rFonts w:ascii="Arial" w:cs="Arial" w:eastAsia="Arial" w:hAnsi="Arial"/>
                <w:sz w:val="13"/>
                <w:szCs w:val="13"/>
                <w:color w:val="auto"/>
              </w:rPr>
              <w:t>6,458,999</w:t>
            </w:r>
          </w:p>
        </w:tc>
        <w:tc>
          <w:tcPr>
            <w:tcW w:w="0" w:type="dxa"/>
            <w:vAlign w:val="bottom"/>
          </w:tcPr>
          <w:p>
            <w:pPr>
              <w:spacing w:after="0"/>
              <w:rPr>
                <w:sz w:val="1"/>
                <w:szCs w:val="1"/>
                <w:color w:val="auto"/>
              </w:rPr>
            </w:pPr>
          </w:p>
        </w:tc>
      </w:tr>
      <w:tr>
        <w:trPr>
          <w:trHeight w:val="108"/>
        </w:trPr>
        <w:tc>
          <w:tcPr>
            <w:tcW w:w="1560" w:type="dxa"/>
            <w:vAlign w:val="bottom"/>
            <w:tcBorders>
              <w:right w:val="single" w:sz="8" w:color="95B3D7"/>
            </w:tcBorders>
          </w:tcPr>
          <w:p>
            <w:pPr>
              <w:spacing w:after="0"/>
              <w:rPr>
                <w:sz w:val="9"/>
                <w:szCs w:val="9"/>
                <w:color w:val="auto"/>
              </w:rPr>
            </w:pPr>
          </w:p>
        </w:tc>
        <w:tc>
          <w:tcPr>
            <w:tcW w:w="880" w:type="dxa"/>
            <w:vAlign w:val="bottom"/>
            <w:tcBorders>
              <w:right w:val="single" w:sz="8" w:color="95B3D7"/>
            </w:tcBorders>
          </w:tcPr>
          <w:p>
            <w:pPr>
              <w:spacing w:after="0"/>
              <w:rPr>
                <w:sz w:val="9"/>
                <w:szCs w:val="9"/>
                <w:color w:val="auto"/>
              </w:rPr>
            </w:pPr>
          </w:p>
        </w:tc>
        <w:tc>
          <w:tcPr>
            <w:tcW w:w="1200" w:type="dxa"/>
            <w:vAlign w:val="bottom"/>
            <w:tcBorders>
              <w:right w:val="single" w:sz="8" w:color="95B3D7"/>
            </w:tcBorders>
          </w:tcPr>
          <w:p>
            <w:pPr>
              <w:spacing w:after="0"/>
              <w:rPr>
                <w:sz w:val="9"/>
                <w:szCs w:val="9"/>
                <w:color w:val="auto"/>
              </w:rPr>
            </w:pPr>
          </w:p>
        </w:tc>
        <w:tc>
          <w:tcPr>
            <w:tcW w:w="1200" w:type="dxa"/>
            <w:vAlign w:val="bottom"/>
            <w:tcBorders>
              <w:right w:val="single" w:sz="8" w:color="95B3D7"/>
            </w:tcBorders>
          </w:tcPr>
          <w:p>
            <w:pPr>
              <w:spacing w:after="0"/>
              <w:rPr>
                <w:sz w:val="9"/>
                <w:szCs w:val="9"/>
                <w:color w:val="auto"/>
              </w:rPr>
            </w:pPr>
          </w:p>
        </w:tc>
        <w:tc>
          <w:tcPr>
            <w:tcW w:w="1220" w:type="dxa"/>
            <w:vAlign w:val="bottom"/>
            <w:tcBorders>
              <w:right w:val="single" w:sz="8" w:color="95B3D7"/>
            </w:tcBorders>
          </w:tcPr>
          <w:p>
            <w:pPr>
              <w:spacing w:after="0"/>
              <w:rPr>
                <w:sz w:val="9"/>
                <w:szCs w:val="9"/>
                <w:color w:val="auto"/>
              </w:rPr>
            </w:pPr>
          </w:p>
        </w:tc>
        <w:tc>
          <w:tcPr>
            <w:tcW w:w="1380" w:type="dxa"/>
            <w:vAlign w:val="bottom"/>
            <w:tcBorders>
              <w:right w:val="single" w:sz="8" w:color="95B3D7"/>
            </w:tcBorders>
          </w:tcPr>
          <w:p>
            <w:pPr>
              <w:spacing w:after="0"/>
              <w:rPr>
                <w:sz w:val="9"/>
                <w:szCs w:val="9"/>
                <w:color w:val="auto"/>
              </w:rPr>
            </w:pPr>
          </w:p>
        </w:tc>
        <w:tc>
          <w:tcPr>
            <w:tcW w:w="1380" w:type="dxa"/>
            <w:vAlign w:val="bottom"/>
            <w:tcBorders>
              <w:right w:val="single" w:sz="8" w:color="95B3D7"/>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560" w:type="dxa"/>
            <w:vAlign w:val="bottom"/>
            <w:tcBorders>
              <w:right w:val="single" w:sz="8" w:color="95B3D7"/>
            </w:tcBorders>
            <w:vMerge w:val="restart"/>
            <w:shd w:val="clear" w:color="auto" w:fill="DBE5F1"/>
          </w:tcPr>
          <w:p>
            <w:pPr>
              <w:ind w:left="60"/>
              <w:spacing w:after="0"/>
              <w:rPr>
                <w:sz w:val="20"/>
                <w:szCs w:val="20"/>
                <w:color w:val="auto"/>
              </w:rPr>
            </w:pPr>
            <w:r>
              <w:rPr>
                <w:rFonts w:ascii="Arial" w:cs="Arial" w:eastAsia="Arial" w:hAnsi="Arial"/>
                <w:sz w:val="13"/>
                <w:szCs w:val="13"/>
                <w:b w:val="1"/>
                <w:bCs w:val="1"/>
                <w:color w:val="auto"/>
              </w:rPr>
              <w:t>James M. Head</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2025</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394,616</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2,500,010</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429,302</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1,908</w:t>
            </w:r>
          </w:p>
        </w:tc>
        <w:tc>
          <w:tcPr>
            <w:tcW w:w="1200" w:type="dxa"/>
            <w:vAlign w:val="bottom"/>
            <w:shd w:val="clear" w:color="auto" w:fill="DBE5F1"/>
          </w:tcPr>
          <w:p>
            <w:pPr>
              <w:jc w:val="right"/>
              <w:ind w:right="18"/>
              <w:spacing w:after="0"/>
              <w:rPr>
                <w:sz w:val="20"/>
                <w:szCs w:val="20"/>
                <w:color w:val="auto"/>
              </w:rPr>
            </w:pPr>
            <w:r>
              <w:rPr>
                <w:rFonts w:ascii="Arial" w:cs="Arial" w:eastAsia="Arial" w:hAnsi="Arial"/>
                <w:sz w:val="13"/>
                <w:szCs w:val="13"/>
                <w:color w:val="auto"/>
              </w:rPr>
              <w:t>3,325,835</w:t>
            </w:r>
          </w:p>
        </w:tc>
        <w:tc>
          <w:tcPr>
            <w:tcW w:w="0" w:type="dxa"/>
            <w:vAlign w:val="bottom"/>
          </w:tcPr>
          <w:p>
            <w:pPr>
              <w:spacing w:after="0"/>
              <w:rPr>
                <w:sz w:val="1"/>
                <w:szCs w:val="1"/>
                <w:color w:val="auto"/>
              </w:rPr>
            </w:pPr>
          </w:p>
        </w:tc>
      </w:tr>
      <w:tr>
        <w:trPr>
          <w:trHeight w:val="100"/>
        </w:trPr>
        <w:tc>
          <w:tcPr>
            <w:tcW w:w="1560" w:type="dxa"/>
            <w:vAlign w:val="bottom"/>
            <w:tcBorders>
              <w:right w:val="single" w:sz="8" w:color="95B3D7"/>
            </w:tcBorders>
            <w:vMerge w:val="continue"/>
            <w:shd w:val="clear" w:color="auto" w:fill="DBE5F1"/>
          </w:tcPr>
          <w:p>
            <w:pPr>
              <w:spacing w:after="0"/>
              <w:rPr>
                <w:sz w:val="8"/>
                <w:szCs w:val="8"/>
                <w:color w:val="auto"/>
              </w:rPr>
            </w:pPr>
          </w:p>
        </w:tc>
        <w:tc>
          <w:tcPr>
            <w:tcW w:w="88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2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6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3"/>
                <w:szCs w:val="13"/>
                <w:color w:val="auto"/>
              </w:rPr>
              <w:t>Chief Financial</w:t>
            </w:r>
          </w:p>
        </w:tc>
        <w:tc>
          <w:tcPr>
            <w:tcW w:w="880" w:type="dxa"/>
            <w:vAlign w:val="bottom"/>
            <w:tcBorders>
              <w:right w:val="single" w:sz="8" w:color="95B3D7"/>
            </w:tcBorders>
            <w:shd w:val="clear" w:color="auto" w:fill="DBE5F1"/>
          </w:tcPr>
          <w:p>
            <w:pPr>
              <w:spacing w:after="0"/>
              <w:rPr>
                <w:sz w:val="12"/>
                <w:szCs w:val="12"/>
                <w:color w:val="auto"/>
              </w:rPr>
            </w:pPr>
          </w:p>
        </w:tc>
        <w:tc>
          <w:tcPr>
            <w:tcW w:w="1200" w:type="dxa"/>
            <w:vAlign w:val="bottom"/>
            <w:tcBorders>
              <w:right w:val="single" w:sz="8" w:color="95B3D7"/>
            </w:tcBorders>
            <w:shd w:val="clear" w:color="auto" w:fill="DBE5F1"/>
          </w:tcPr>
          <w:p>
            <w:pPr>
              <w:spacing w:after="0"/>
              <w:rPr>
                <w:sz w:val="12"/>
                <w:szCs w:val="12"/>
                <w:color w:val="auto"/>
              </w:rPr>
            </w:pPr>
          </w:p>
        </w:tc>
        <w:tc>
          <w:tcPr>
            <w:tcW w:w="1200" w:type="dxa"/>
            <w:vAlign w:val="bottom"/>
            <w:tcBorders>
              <w:right w:val="single" w:sz="8" w:color="95B3D7"/>
            </w:tcBorders>
            <w:shd w:val="clear" w:color="auto" w:fill="DBE5F1"/>
          </w:tcPr>
          <w:p>
            <w:pPr>
              <w:spacing w:after="0"/>
              <w:rPr>
                <w:sz w:val="12"/>
                <w:szCs w:val="12"/>
                <w:color w:val="auto"/>
              </w:rPr>
            </w:pPr>
          </w:p>
        </w:tc>
        <w:tc>
          <w:tcPr>
            <w:tcW w:w="1220" w:type="dxa"/>
            <w:vAlign w:val="bottom"/>
            <w:tcBorders>
              <w:right w:val="single" w:sz="8" w:color="95B3D7"/>
            </w:tcBorders>
            <w:shd w:val="clear" w:color="auto" w:fill="DBE5F1"/>
          </w:tcPr>
          <w:p>
            <w:pPr>
              <w:spacing w:after="0"/>
              <w:rPr>
                <w:sz w:val="12"/>
                <w:szCs w:val="12"/>
                <w:color w:val="auto"/>
              </w:rPr>
            </w:pPr>
          </w:p>
        </w:tc>
        <w:tc>
          <w:tcPr>
            <w:tcW w:w="1380" w:type="dxa"/>
            <w:vAlign w:val="bottom"/>
            <w:tcBorders>
              <w:right w:val="single" w:sz="8" w:color="95B3D7"/>
            </w:tcBorders>
            <w:shd w:val="clear" w:color="auto" w:fill="DBE5F1"/>
          </w:tcPr>
          <w:p>
            <w:pPr>
              <w:spacing w:after="0"/>
              <w:rPr>
                <w:sz w:val="12"/>
                <w:szCs w:val="12"/>
                <w:color w:val="auto"/>
              </w:rPr>
            </w:pPr>
          </w:p>
        </w:tc>
        <w:tc>
          <w:tcPr>
            <w:tcW w:w="1380" w:type="dxa"/>
            <w:vAlign w:val="bottom"/>
            <w:tcBorders>
              <w:right w:val="single" w:sz="8" w:color="95B3D7"/>
            </w:tcBorders>
            <w:shd w:val="clear" w:color="auto" w:fill="DBE5F1"/>
          </w:tcPr>
          <w:p>
            <w:pPr>
              <w:spacing w:after="0"/>
              <w:rPr>
                <w:sz w:val="12"/>
                <w:szCs w:val="12"/>
                <w:color w:val="auto"/>
              </w:rPr>
            </w:pPr>
          </w:p>
        </w:tc>
        <w:tc>
          <w:tcPr>
            <w:tcW w:w="120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56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3"/>
                <w:szCs w:val="13"/>
                <w:color w:val="auto"/>
              </w:rPr>
              <w:t>Officer</w:t>
            </w:r>
            <w:r>
              <w:rPr>
                <w:rFonts w:ascii="Arial" w:cs="Arial" w:eastAsia="Arial" w:hAnsi="Arial"/>
                <w:sz w:val="16"/>
                <w:szCs w:val="16"/>
                <w:color w:val="auto"/>
                <w:vertAlign w:val="superscript"/>
              </w:rPr>
              <w:t>(5)</w:t>
            </w:r>
          </w:p>
        </w:tc>
        <w:tc>
          <w:tcPr>
            <w:tcW w:w="880" w:type="dxa"/>
            <w:vAlign w:val="bottom"/>
            <w:tcBorders>
              <w:right w:val="single" w:sz="8" w:color="95B3D7"/>
            </w:tcBorders>
            <w:shd w:val="clear" w:color="auto" w:fill="DBE5F1"/>
          </w:tcPr>
          <w:p>
            <w:pPr>
              <w:spacing w:after="0"/>
              <w:rPr>
                <w:sz w:val="18"/>
                <w:szCs w:val="18"/>
                <w:color w:val="auto"/>
              </w:rPr>
            </w:pPr>
          </w:p>
        </w:tc>
        <w:tc>
          <w:tcPr>
            <w:tcW w:w="1200" w:type="dxa"/>
            <w:vAlign w:val="bottom"/>
            <w:tcBorders>
              <w:right w:val="single" w:sz="8" w:color="95B3D7"/>
            </w:tcBorders>
            <w:shd w:val="clear" w:color="auto" w:fill="DBE5F1"/>
          </w:tcPr>
          <w:p>
            <w:pPr>
              <w:spacing w:after="0"/>
              <w:rPr>
                <w:sz w:val="18"/>
                <w:szCs w:val="18"/>
                <w:color w:val="auto"/>
              </w:rPr>
            </w:pPr>
          </w:p>
        </w:tc>
        <w:tc>
          <w:tcPr>
            <w:tcW w:w="1200" w:type="dxa"/>
            <w:vAlign w:val="bottom"/>
            <w:tcBorders>
              <w:right w:val="single" w:sz="8" w:color="95B3D7"/>
            </w:tcBorders>
            <w:shd w:val="clear" w:color="auto" w:fill="DBE5F1"/>
          </w:tcPr>
          <w:p>
            <w:pPr>
              <w:spacing w:after="0"/>
              <w:rPr>
                <w:sz w:val="18"/>
                <w:szCs w:val="18"/>
                <w:color w:val="auto"/>
              </w:rPr>
            </w:pPr>
          </w:p>
        </w:tc>
        <w:tc>
          <w:tcPr>
            <w:tcW w:w="1220" w:type="dxa"/>
            <w:vAlign w:val="bottom"/>
            <w:tcBorders>
              <w:right w:val="single" w:sz="8" w:color="95B3D7"/>
            </w:tcBorders>
            <w:shd w:val="clear" w:color="auto" w:fill="DBE5F1"/>
          </w:tcPr>
          <w:p>
            <w:pPr>
              <w:spacing w:after="0"/>
              <w:rPr>
                <w:sz w:val="18"/>
                <w:szCs w:val="18"/>
                <w:color w:val="auto"/>
              </w:rPr>
            </w:pPr>
          </w:p>
        </w:tc>
        <w:tc>
          <w:tcPr>
            <w:tcW w:w="1380" w:type="dxa"/>
            <w:vAlign w:val="bottom"/>
            <w:tcBorders>
              <w:right w:val="single" w:sz="8" w:color="95B3D7"/>
            </w:tcBorders>
            <w:shd w:val="clear" w:color="auto" w:fill="DBE5F1"/>
          </w:tcPr>
          <w:p>
            <w:pPr>
              <w:spacing w:after="0"/>
              <w:rPr>
                <w:sz w:val="18"/>
                <w:szCs w:val="18"/>
                <w:color w:val="auto"/>
              </w:rPr>
            </w:pPr>
          </w:p>
        </w:tc>
        <w:tc>
          <w:tcPr>
            <w:tcW w:w="1380" w:type="dxa"/>
            <w:vAlign w:val="bottom"/>
            <w:tcBorders>
              <w:right w:val="single" w:sz="8" w:color="95B3D7"/>
            </w:tcBorders>
            <w:shd w:val="clear" w:color="auto" w:fill="DBE5F1"/>
          </w:tcPr>
          <w:p>
            <w:pPr>
              <w:spacing w:after="0"/>
              <w:rPr>
                <w:sz w:val="18"/>
                <w:szCs w:val="18"/>
                <w:color w:val="auto"/>
              </w:rPr>
            </w:pPr>
          </w:p>
        </w:tc>
        <w:tc>
          <w:tcPr>
            <w:tcW w:w="120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60" w:type="dxa"/>
            <w:vAlign w:val="bottom"/>
            <w:tcBorders>
              <w:right w:val="single" w:sz="8" w:color="95B3D7"/>
            </w:tcBorders>
            <w:vMerge w:val="restart"/>
          </w:tcPr>
          <w:p>
            <w:pPr>
              <w:ind w:left="60"/>
              <w:spacing w:after="0"/>
              <w:rPr>
                <w:sz w:val="20"/>
                <w:szCs w:val="20"/>
                <w:color w:val="auto"/>
              </w:rPr>
            </w:pPr>
            <w:r>
              <w:rPr>
                <w:rFonts w:ascii="Arial" w:cs="Arial" w:eastAsia="Arial" w:hAnsi="Arial"/>
                <w:sz w:val="13"/>
                <w:szCs w:val="13"/>
                <w:b w:val="1"/>
                <w:bCs w:val="1"/>
                <w:color w:val="auto"/>
              </w:rPr>
              <w:t>Thomas Freeman</w:t>
            </w: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2025</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501,923</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1,899,990</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476,673</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8,215</w:t>
            </w:r>
          </w:p>
        </w:tc>
        <w:tc>
          <w:tcPr>
            <w:tcW w:w="1200" w:type="dxa"/>
            <w:vAlign w:val="bottom"/>
          </w:tcPr>
          <w:p>
            <w:pPr>
              <w:jc w:val="right"/>
              <w:ind w:right="18"/>
              <w:spacing w:after="0"/>
              <w:rPr>
                <w:sz w:val="20"/>
                <w:szCs w:val="20"/>
                <w:color w:val="auto"/>
              </w:rPr>
            </w:pPr>
            <w:r>
              <w:rPr>
                <w:rFonts w:ascii="Arial" w:cs="Arial" w:eastAsia="Arial" w:hAnsi="Arial"/>
                <w:sz w:val="13"/>
                <w:szCs w:val="13"/>
                <w:color w:val="auto"/>
              </w:rPr>
              <w:t>2,886,811</w:t>
            </w:r>
          </w:p>
        </w:tc>
        <w:tc>
          <w:tcPr>
            <w:tcW w:w="0" w:type="dxa"/>
            <w:vAlign w:val="bottom"/>
          </w:tcPr>
          <w:p>
            <w:pPr>
              <w:spacing w:after="0"/>
              <w:rPr>
                <w:sz w:val="1"/>
                <w:szCs w:val="1"/>
                <w:color w:val="auto"/>
              </w:rPr>
            </w:pPr>
          </w:p>
        </w:tc>
      </w:tr>
      <w:tr>
        <w:trPr>
          <w:trHeight w:val="100"/>
        </w:trPr>
        <w:tc>
          <w:tcPr>
            <w:tcW w:w="1560" w:type="dxa"/>
            <w:vAlign w:val="bottom"/>
            <w:tcBorders>
              <w:right w:val="single" w:sz="8" w:color="95B3D7"/>
            </w:tcBorders>
            <w:vMerge w:val="continue"/>
          </w:tcPr>
          <w:p>
            <w:pPr>
              <w:spacing w:after="0"/>
              <w:rPr>
                <w:sz w:val="8"/>
                <w:szCs w:val="8"/>
                <w:color w:val="auto"/>
              </w:rPr>
            </w:pPr>
          </w:p>
        </w:tc>
        <w:tc>
          <w:tcPr>
            <w:tcW w:w="88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vMerge w:val="restart"/>
          </w:tcPr>
          <w:p>
            <w:pPr>
              <w:jc w:val="right"/>
              <w:spacing w:after="0"/>
              <w:rPr>
                <w:sz w:val="20"/>
                <w:szCs w:val="20"/>
                <w:color w:val="auto"/>
              </w:rPr>
            </w:pPr>
            <w:r>
              <w:rPr>
                <w:rFonts w:ascii="Arial" w:cs="Arial" w:eastAsia="Arial" w:hAnsi="Arial"/>
                <w:sz w:val="13"/>
                <w:szCs w:val="13"/>
                <w:color w:val="auto"/>
              </w:rPr>
              <w:t>566,923</w:t>
            </w:r>
          </w:p>
        </w:tc>
        <w:tc>
          <w:tcPr>
            <w:tcW w:w="120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500,000</w:t>
            </w:r>
          </w:p>
        </w:tc>
        <w:tc>
          <w:tcPr>
            <w:tcW w:w="122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1,100,000</w:t>
            </w:r>
          </w:p>
        </w:tc>
        <w:tc>
          <w:tcPr>
            <w:tcW w:w="138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670,920</w:t>
            </w:r>
          </w:p>
        </w:tc>
        <w:tc>
          <w:tcPr>
            <w:tcW w:w="138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10,647</w:t>
            </w:r>
          </w:p>
        </w:tc>
        <w:tc>
          <w:tcPr>
            <w:tcW w:w="1200" w:type="dxa"/>
            <w:vAlign w:val="bottom"/>
            <w:vMerge w:val="restart"/>
          </w:tcPr>
          <w:p>
            <w:pPr>
              <w:jc w:val="right"/>
              <w:ind w:right="18"/>
              <w:spacing w:after="0"/>
              <w:rPr>
                <w:sz w:val="20"/>
                <w:szCs w:val="20"/>
                <w:color w:val="auto"/>
              </w:rPr>
            </w:pPr>
            <w:r>
              <w:rPr>
                <w:rFonts w:ascii="Arial" w:cs="Arial" w:eastAsia="Arial" w:hAnsi="Arial"/>
                <w:sz w:val="13"/>
                <w:szCs w:val="13"/>
                <w:color w:val="auto"/>
              </w:rPr>
              <w:t>2,848,490</w:t>
            </w:r>
          </w:p>
        </w:tc>
        <w:tc>
          <w:tcPr>
            <w:tcW w:w="0" w:type="dxa"/>
            <w:vAlign w:val="bottom"/>
          </w:tcPr>
          <w:p>
            <w:pPr>
              <w:spacing w:after="0"/>
              <w:rPr>
                <w:sz w:val="1"/>
                <w:szCs w:val="1"/>
                <w:color w:val="auto"/>
              </w:rPr>
            </w:pPr>
          </w:p>
        </w:tc>
      </w:tr>
      <w:tr>
        <w:trPr>
          <w:trHeight w:val="112"/>
        </w:trPr>
        <w:tc>
          <w:tcPr>
            <w:tcW w:w="1560" w:type="dxa"/>
            <w:vAlign w:val="bottom"/>
            <w:tcBorders>
              <w:right w:val="single" w:sz="8" w:color="95B3D7"/>
            </w:tcBorders>
            <w:vMerge w:val="restart"/>
          </w:tcPr>
          <w:p>
            <w:pPr>
              <w:ind w:left="200"/>
              <w:spacing w:after="0"/>
              <w:rPr>
                <w:sz w:val="20"/>
                <w:szCs w:val="20"/>
                <w:color w:val="auto"/>
              </w:rPr>
            </w:pPr>
            <w:r>
              <w:rPr>
                <w:rFonts w:ascii="Arial" w:cs="Arial" w:eastAsia="Arial" w:hAnsi="Arial"/>
                <w:sz w:val="13"/>
                <w:szCs w:val="13"/>
                <w:color w:val="auto"/>
              </w:rPr>
              <w:t>Former Chief Financial</w:t>
            </w:r>
          </w:p>
        </w:tc>
        <w:tc>
          <w:tcPr>
            <w:tcW w:w="880" w:type="dxa"/>
            <w:vAlign w:val="bottom"/>
            <w:tcBorders>
              <w:right w:val="single" w:sz="8" w:color="95B3D7"/>
            </w:tcBorders>
            <w:vMerge w:val="continue"/>
          </w:tcPr>
          <w:p>
            <w:pPr>
              <w:spacing w:after="0"/>
              <w:rPr>
                <w:sz w:val="9"/>
                <w:szCs w:val="9"/>
                <w:color w:val="auto"/>
              </w:rPr>
            </w:pPr>
          </w:p>
        </w:tc>
        <w:tc>
          <w:tcPr>
            <w:tcW w:w="1200" w:type="dxa"/>
            <w:vAlign w:val="bottom"/>
            <w:tcBorders>
              <w:right w:val="single" w:sz="8" w:color="95B3D7"/>
            </w:tcBorders>
            <w:vMerge w:val="continue"/>
          </w:tcPr>
          <w:p>
            <w:pPr>
              <w:spacing w:after="0"/>
              <w:rPr>
                <w:sz w:val="9"/>
                <w:szCs w:val="9"/>
                <w:color w:val="auto"/>
              </w:rPr>
            </w:pPr>
          </w:p>
        </w:tc>
        <w:tc>
          <w:tcPr>
            <w:tcW w:w="1200" w:type="dxa"/>
            <w:vAlign w:val="bottom"/>
            <w:tcBorders>
              <w:right w:val="single" w:sz="8" w:color="95B3D7"/>
            </w:tcBorders>
            <w:vMerge w:val="continue"/>
          </w:tcPr>
          <w:p>
            <w:pPr>
              <w:spacing w:after="0"/>
              <w:rPr>
                <w:sz w:val="9"/>
                <w:szCs w:val="9"/>
                <w:color w:val="auto"/>
              </w:rPr>
            </w:pPr>
          </w:p>
        </w:tc>
        <w:tc>
          <w:tcPr>
            <w:tcW w:w="1220" w:type="dxa"/>
            <w:vAlign w:val="bottom"/>
            <w:tcBorders>
              <w:right w:val="single" w:sz="8" w:color="95B3D7"/>
            </w:tcBorders>
            <w:vMerge w:val="continue"/>
          </w:tcPr>
          <w:p>
            <w:pPr>
              <w:spacing w:after="0"/>
              <w:rPr>
                <w:sz w:val="9"/>
                <w:szCs w:val="9"/>
                <w:color w:val="auto"/>
              </w:rPr>
            </w:pPr>
          </w:p>
        </w:tc>
        <w:tc>
          <w:tcPr>
            <w:tcW w:w="1380" w:type="dxa"/>
            <w:vAlign w:val="bottom"/>
            <w:tcBorders>
              <w:right w:val="single" w:sz="8" w:color="95B3D7"/>
            </w:tcBorders>
            <w:vMerge w:val="continue"/>
          </w:tcPr>
          <w:p>
            <w:pPr>
              <w:spacing w:after="0"/>
              <w:rPr>
                <w:sz w:val="9"/>
                <w:szCs w:val="9"/>
                <w:color w:val="auto"/>
              </w:rPr>
            </w:pPr>
          </w:p>
        </w:tc>
        <w:tc>
          <w:tcPr>
            <w:tcW w:w="1380" w:type="dxa"/>
            <w:vAlign w:val="bottom"/>
            <w:tcBorders>
              <w:right w:val="single" w:sz="8" w:color="95B3D7"/>
            </w:tcBorders>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1560" w:type="dxa"/>
            <w:vAlign w:val="bottom"/>
            <w:tcBorders>
              <w:right w:val="single" w:sz="8" w:color="95B3D7"/>
            </w:tcBorders>
            <w:vMerge w:val="continue"/>
          </w:tcPr>
          <w:p>
            <w:pPr>
              <w:spacing w:after="0"/>
              <w:rPr>
                <w:sz w:val="3"/>
                <w:szCs w:val="3"/>
                <w:color w:val="auto"/>
              </w:rPr>
            </w:pPr>
          </w:p>
        </w:tc>
        <w:tc>
          <w:tcPr>
            <w:tcW w:w="880" w:type="dxa"/>
            <w:vAlign w:val="bottom"/>
            <w:tcBorders>
              <w:right w:val="single" w:sz="8" w:color="95B3D7"/>
            </w:tcBorders>
          </w:tcPr>
          <w:p>
            <w:pPr>
              <w:spacing w:after="0"/>
              <w:rPr>
                <w:sz w:val="3"/>
                <w:szCs w:val="3"/>
                <w:color w:val="auto"/>
              </w:rPr>
            </w:pPr>
          </w:p>
        </w:tc>
        <w:tc>
          <w:tcPr>
            <w:tcW w:w="1200" w:type="dxa"/>
            <w:vAlign w:val="bottom"/>
            <w:tcBorders>
              <w:right w:val="single" w:sz="8" w:color="95B3D7"/>
            </w:tcBorders>
          </w:tcPr>
          <w:p>
            <w:pPr>
              <w:spacing w:after="0"/>
              <w:rPr>
                <w:sz w:val="3"/>
                <w:szCs w:val="3"/>
                <w:color w:val="auto"/>
              </w:rPr>
            </w:pPr>
          </w:p>
        </w:tc>
        <w:tc>
          <w:tcPr>
            <w:tcW w:w="1200" w:type="dxa"/>
            <w:vAlign w:val="bottom"/>
            <w:tcBorders>
              <w:right w:val="single" w:sz="8" w:color="95B3D7"/>
            </w:tcBorders>
          </w:tcPr>
          <w:p>
            <w:pPr>
              <w:spacing w:after="0"/>
              <w:rPr>
                <w:sz w:val="3"/>
                <w:szCs w:val="3"/>
                <w:color w:val="auto"/>
              </w:rPr>
            </w:pPr>
          </w:p>
        </w:tc>
        <w:tc>
          <w:tcPr>
            <w:tcW w:w="1220" w:type="dxa"/>
            <w:vAlign w:val="bottom"/>
            <w:tcBorders>
              <w:right w:val="single" w:sz="8" w:color="95B3D7"/>
            </w:tcBorders>
          </w:tcPr>
          <w:p>
            <w:pPr>
              <w:spacing w:after="0"/>
              <w:rPr>
                <w:sz w:val="3"/>
                <w:szCs w:val="3"/>
                <w:color w:val="auto"/>
              </w:rPr>
            </w:pPr>
          </w:p>
        </w:tc>
        <w:tc>
          <w:tcPr>
            <w:tcW w:w="1380" w:type="dxa"/>
            <w:vAlign w:val="bottom"/>
            <w:tcBorders>
              <w:right w:val="single" w:sz="8" w:color="95B3D7"/>
            </w:tcBorders>
          </w:tcPr>
          <w:p>
            <w:pPr>
              <w:spacing w:after="0"/>
              <w:rPr>
                <w:sz w:val="3"/>
                <w:szCs w:val="3"/>
                <w:color w:val="auto"/>
              </w:rPr>
            </w:pPr>
          </w:p>
        </w:tc>
        <w:tc>
          <w:tcPr>
            <w:tcW w:w="1380" w:type="dxa"/>
            <w:vAlign w:val="bottom"/>
            <w:tcBorders>
              <w:right w:val="single" w:sz="8" w:color="95B3D7"/>
            </w:tcBorders>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1560" w:type="dxa"/>
            <w:vAlign w:val="bottom"/>
            <w:tcBorders>
              <w:right w:val="single" w:sz="8" w:color="95B3D7"/>
            </w:tcBorders>
          </w:tcPr>
          <w:p>
            <w:pPr>
              <w:ind w:left="200"/>
              <w:spacing w:after="0"/>
              <w:rPr>
                <w:sz w:val="20"/>
                <w:szCs w:val="20"/>
                <w:color w:val="auto"/>
              </w:rPr>
            </w:pPr>
            <w:r>
              <w:rPr>
                <w:rFonts w:ascii="Arial" w:cs="Arial" w:eastAsia="Arial" w:hAnsi="Arial"/>
                <w:sz w:val="13"/>
                <w:szCs w:val="13"/>
                <w:color w:val="auto"/>
              </w:rPr>
              <w:t>Officer</w:t>
            </w:r>
            <w:r>
              <w:rPr>
                <w:rFonts w:ascii="Arial" w:cs="Arial" w:eastAsia="Arial" w:hAnsi="Arial"/>
                <w:sz w:val="16"/>
                <w:szCs w:val="16"/>
                <w:color w:val="auto"/>
                <w:vertAlign w:val="superscript"/>
              </w:rPr>
              <w:t>(5)</w:t>
            </w:r>
          </w:p>
        </w:tc>
        <w:tc>
          <w:tcPr>
            <w:tcW w:w="880" w:type="dxa"/>
            <w:vAlign w:val="bottom"/>
            <w:tcBorders>
              <w:right w:val="single" w:sz="8" w:color="95B3D7"/>
            </w:tcBorders>
            <w:vMerge w:val="restart"/>
          </w:tcPr>
          <w:p>
            <w:pPr>
              <w:jc w:val="center"/>
              <w:spacing w:after="0"/>
              <w:rPr>
                <w:sz w:val="20"/>
                <w:szCs w:val="20"/>
                <w:color w:val="auto"/>
              </w:rPr>
            </w:pPr>
            <w:r>
              <w:rPr>
                <w:rFonts w:ascii="Arial" w:cs="Arial" w:eastAsia="Arial" w:hAnsi="Arial"/>
                <w:sz w:val="13"/>
                <w:szCs w:val="13"/>
                <w:color w:val="auto"/>
                <w:w w:val="96"/>
              </w:rPr>
              <w:t>2023</w:t>
            </w:r>
          </w:p>
        </w:tc>
        <w:tc>
          <w:tcPr>
            <w:tcW w:w="1200" w:type="dxa"/>
            <w:vAlign w:val="bottom"/>
            <w:tcBorders>
              <w:right w:val="single" w:sz="8" w:color="95B3D7"/>
            </w:tcBorders>
            <w:vMerge w:val="restart"/>
          </w:tcPr>
          <w:p>
            <w:pPr>
              <w:jc w:val="right"/>
              <w:spacing w:after="0"/>
              <w:rPr>
                <w:sz w:val="20"/>
                <w:szCs w:val="20"/>
                <w:color w:val="auto"/>
              </w:rPr>
            </w:pPr>
            <w:r>
              <w:rPr>
                <w:rFonts w:ascii="Arial" w:cs="Arial" w:eastAsia="Arial" w:hAnsi="Arial"/>
                <w:sz w:val="13"/>
                <w:szCs w:val="13"/>
                <w:color w:val="auto"/>
              </w:rPr>
              <w:t>543,846</w:t>
            </w:r>
          </w:p>
        </w:tc>
        <w:tc>
          <w:tcPr>
            <w:tcW w:w="120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105,000</w:t>
            </w:r>
          </w:p>
        </w:tc>
        <w:tc>
          <w:tcPr>
            <w:tcW w:w="122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5,014,849</w:t>
            </w:r>
          </w:p>
        </w:tc>
        <w:tc>
          <w:tcPr>
            <w:tcW w:w="138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624,730</w:t>
            </w:r>
          </w:p>
        </w:tc>
        <w:tc>
          <w:tcPr>
            <w:tcW w:w="1380" w:type="dxa"/>
            <w:vAlign w:val="bottom"/>
            <w:tcBorders>
              <w:right w:val="single" w:sz="8" w:color="95B3D7"/>
            </w:tcBorders>
            <w:vMerge w:val="restart"/>
          </w:tcPr>
          <w:p>
            <w:pPr>
              <w:jc w:val="right"/>
              <w:ind w:right="20"/>
              <w:spacing w:after="0"/>
              <w:rPr>
                <w:sz w:val="20"/>
                <w:szCs w:val="20"/>
                <w:color w:val="auto"/>
              </w:rPr>
            </w:pPr>
            <w:r>
              <w:rPr>
                <w:rFonts w:ascii="Arial" w:cs="Arial" w:eastAsia="Arial" w:hAnsi="Arial"/>
                <w:sz w:val="13"/>
                <w:szCs w:val="13"/>
                <w:color w:val="auto"/>
              </w:rPr>
              <w:t>13,620</w:t>
            </w:r>
          </w:p>
        </w:tc>
        <w:tc>
          <w:tcPr>
            <w:tcW w:w="1200" w:type="dxa"/>
            <w:vAlign w:val="bottom"/>
            <w:vMerge w:val="restart"/>
          </w:tcPr>
          <w:p>
            <w:pPr>
              <w:jc w:val="right"/>
              <w:ind w:right="18"/>
              <w:spacing w:after="0"/>
              <w:rPr>
                <w:sz w:val="20"/>
                <w:szCs w:val="20"/>
                <w:color w:val="auto"/>
              </w:rPr>
            </w:pPr>
            <w:r>
              <w:rPr>
                <w:rFonts w:ascii="Arial" w:cs="Arial" w:eastAsia="Arial" w:hAnsi="Arial"/>
                <w:sz w:val="13"/>
                <w:szCs w:val="13"/>
                <w:color w:val="auto"/>
              </w:rPr>
              <w:t>6,302,045</w:t>
            </w:r>
          </w:p>
        </w:tc>
        <w:tc>
          <w:tcPr>
            <w:tcW w:w="0" w:type="dxa"/>
            <w:vAlign w:val="bottom"/>
          </w:tcPr>
          <w:p>
            <w:pPr>
              <w:spacing w:after="0"/>
              <w:rPr>
                <w:sz w:val="1"/>
                <w:szCs w:val="1"/>
                <w:color w:val="auto"/>
              </w:rPr>
            </w:pPr>
          </w:p>
        </w:tc>
      </w:tr>
      <w:tr>
        <w:trPr>
          <w:trHeight w:val="40"/>
        </w:trPr>
        <w:tc>
          <w:tcPr>
            <w:tcW w:w="1560" w:type="dxa"/>
            <w:vAlign w:val="bottom"/>
            <w:tcBorders>
              <w:right w:val="single" w:sz="8" w:color="95B3D7"/>
            </w:tcBorders>
          </w:tcPr>
          <w:p>
            <w:pPr>
              <w:spacing w:after="0"/>
              <w:rPr>
                <w:sz w:val="3"/>
                <w:szCs w:val="3"/>
                <w:color w:val="auto"/>
              </w:rPr>
            </w:pPr>
          </w:p>
        </w:tc>
        <w:tc>
          <w:tcPr>
            <w:tcW w:w="880" w:type="dxa"/>
            <w:vAlign w:val="bottom"/>
            <w:tcBorders>
              <w:right w:val="single" w:sz="8" w:color="95B3D7"/>
            </w:tcBorders>
            <w:vMerge w:val="continue"/>
          </w:tcPr>
          <w:p>
            <w:pPr>
              <w:spacing w:after="0"/>
              <w:rPr>
                <w:sz w:val="3"/>
                <w:szCs w:val="3"/>
                <w:color w:val="auto"/>
              </w:rPr>
            </w:pPr>
          </w:p>
        </w:tc>
        <w:tc>
          <w:tcPr>
            <w:tcW w:w="1200" w:type="dxa"/>
            <w:vAlign w:val="bottom"/>
            <w:tcBorders>
              <w:right w:val="single" w:sz="8" w:color="95B3D7"/>
            </w:tcBorders>
            <w:vMerge w:val="continue"/>
          </w:tcPr>
          <w:p>
            <w:pPr>
              <w:spacing w:after="0"/>
              <w:rPr>
                <w:sz w:val="3"/>
                <w:szCs w:val="3"/>
                <w:color w:val="auto"/>
              </w:rPr>
            </w:pPr>
          </w:p>
        </w:tc>
        <w:tc>
          <w:tcPr>
            <w:tcW w:w="1200" w:type="dxa"/>
            <w:vAlign w:val="bottom"/>
            <w:tcBorders>
              <w:right w:val="single" w:sz="8" w:color="95B3D7"/>
            </w:tcBorders>
            <w:vMerge w:val="continue"/>
          </w:tcPr>
          <w:p>
            <w:pPr>
              <w:spacing w:after="0"/>
              <w:rPr>
                <w:sz w:val="3"/>
                <w:szCs w:val="3"/>
                <w:color w:val="auto"/>
              </w:rPr>
            </w:pPr>
          </w:p>
        </w:tc>
        <w:tc>
          <w:tcPr>
            <w:tcW w:w="1220" w:type="dxa"/>
            <w:vAlign w:val="bottom"/>
            <w:tcBorders>
              <w:right w:val="single" w:sz="8" w:color="95B3D7"/>
            </w:tcBorders>
            <w:vMerge w:val="continue"/>
          </w:tcPr>
          <w:p>
            <w:pPr>
              <w:spacing w:after="0"/>
              <w:rPr>
                <w:sz w:val="3"/>
                <w:szCs w:val="3"/>
                <w:color w:val="auto"/>
              </w:rPr>
            </w:pPr>
          </w:p>
        </w:tc>
        <w:tc>
          <w:tcPr>
            <w:tcW w:w="1380" w:type="dxa"/>
            <w:vAlign w:val="bottom"/>
            <w:tcBorders>
              <w:right w:val="single" w:sz="8" w:color="95B3D7"/>
            </w:tcBorders>
            <w:vMerge w:val="continue"/>
          </w:tcPr>
          <w:p>
            <w:pPr>
              <w:spacing w:after="0"/>
              <w:rPr>
                <w:sz w:val="3"/>
                <w:szCs w:val="3"/>
                <w:color w:val="auto"/>
              </w:rPr>
            </w:pPr>
          </w:p>
        </w:tc>
        <w:tc>
          <w:tcPr>
            <w:tcW w:w="1380" w:type="dxa"/>
            <w:vAlign w:val="bottom"/>
            <w:tcBorders>
              <w:right w:val="single" w:sz="8" w:color="95B3D7"/>
            </w:tcBorders>
            <w:vMerge w:val="continue"/>
          </w:tcPr>
          <w:p>
            <w:pPr>
              <w:spacing w:after="0"/>
              <w:rPr>
                <w:sz w:val="3"/>
                <w:szCs w:val="3"/>
                <w:color w:val="auto"/>
              </w:rPr>
            </w:pPr>
          </w:p>
        </w:tc>
        <w:tc>
          <w:tcPr>
            <w:tcW w:w="12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1560" w:type="dxa"/>
            <w:vAlign w:val="bottom"/>
            <w:tcBorders>
              <w:right w:val="single" w:sz="8" w:color="95B3D7"/>
            </w:tcBorders>
          </w:tcPr>
          <w:p>
            <w:pPr>
              <w:spacing w:after="0"/>
              <w:rPr>
                <w:sz w:val="9"/>
                <w:szCs w:val="9"/>
                <w:color w:val="auto"/>
              </w:rPr>
            </w:pPr>
          </w:p>
        </w:tc>
        <w:tc>
          <w:tcPr>
            <w:tcW w:w="880" w:type="dxa"/>
            <w:vAlign w:val="bottom"/>
            <w:tcBorders>
              <w:right w:val="single" w:sz="8" w:color="95B3D7"/>
            </w:tcBorders>
          </w:tcPr>
          <w:p>
            <w:pPr>
              <w:spacing w:after="0"/>
              <w:rPr>
                <w:sz w:val="9"/>
                <w:szCs w:val="9"/>
                <w:color w:val="auto"/>
              </w:rPr>
            </w:pPr>
          </w:p>
        </w:tc>
        <w:tc>
          <w:tcPr>
            <w:tcW w:w="1200" w:type="dxa"/>
            <w:vAlign w:val="bottom"/>
            <w:tcBorders>
              <w:right w:val="single" w:sz="8" w:color="95B3D7"/>
            </w:tcBorders>
          </w:tcPr>
          <w:p>
            <w:pPr>
              <w:spacing w:after="0"/>
              <w:rPr>
                <w:sz w:val="9"/>
                <w:szCs w:val="9"/>
                <w:color w:val="auto"/>
              </w:rPr>
            </w:pPr>
          </w:p>
        </w:tc>
        <w:tc>
          <w:tcPr>
            <w:tcW w:w="1200" w:type="dxa"/>
            <w:vAlign w:val="bottom"/>
            <w:tcBorders>
              <w:right w:val="single" w:sz="8" w:color="95B3D7"/>
            </w:tcBorders>
          </w:tcPr>
          <w:p>
            <w:pPr>
              <w:spacing w:after="0"/>
              <w:rPr>
                <w:sz w:val="9"/>
                <w:szCs w:val="9"/>
                <w:color w:val="auto"/>
              </w:rPr>
            </w:pPr>
          </w:p>
        </w:tc>
        <w:tc>
          <w:tcPr>
            <w:tcW w:w="1220" w:type="dxa"/>
            <w:vAlign w:val="bottom"/>
            <w:tcBorders>
              <w:right w:val="single" w:sz="8" w:color="95B3D7"/>
            </w:tcBorders>
          </w:tcPr>
          <w:p>
            <w:pPr>
              <w:spacing w:after="0"/>
              <w:rPr>
                <w:sz w:val="9"/>
                <w:szCs w:val="9"/>
                <w:color w:val="auto"/>
              </w:rPr>
            </w:pPr>
          </w:p>
        </w:tc>
        <w:tc>
          <w:tcPr>
            <w:tcW w:w="1380" w:type="dxa"/>
            <w:vAlign w:val="bottom"/>
            <w:tcBorders>
              <w:right w:val="single" w:sz="8" w:color="95B3D7"/>
            </w:tcBorders>
          </w:tcPr>
          <w:p>
            <w:pPr>
              <w:spacing w:after="0"/>
              <w:rPr>
                <w:sz w:val="9"/>
                <w:szCs w:val="9"/>
                <w:color w:val="auto"/>
              </w:rPr>
            </w:pPr>
          </w:p>
        </w:tc>
        <w:tc>
          <w:tcPr>
            <w:tcW w:w="1380" w:type="dxa"/>
            <w:vAlign w:val="bottom"/>
            <w:tcBorders>
              <w:right w:val="single" w:sz="8" w:color="95B3D7"/>
            </w:tcBorders>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560" w:type="dxa"/>
            <w:vAlign w:val="bottom"/>
            <w:tcBorders>
              <w:right w:val="single" w:sz="8" w:color="95B3D7"/>
            </w:tcBorders>
            <w:vMerge w:val="restart"/>
            <w:shd w:val="clear" w:color="auto" w:fill="DBE5F1"/>
          </w:tcPr>
          <w:p>
            <w:pPr>
              <w:ind w:left="100"/>
              <w:spacing w:after="0"/>
              <w:rPr>
                <w:sz w:val="20"/>
                <w:szCs w:val="20"/>
                <w:color w:val="auto"/>
              </w:rPr>
            </w:pPr>
            <w:r>
              <w:rPr>
                <w:rFonts w:ascii="Arial" w:cs="Arial" w:eastAsia="Arial" w:hAnsi="Arial"/>
                <w:sz w:val="13"/>
                <w:szCs w:val="13"/>
                <w:b w:val="1"/>
                <w:bCs w:val="1"/>
                <w:color w:val="auto"/>
              </w:rPr>
              <w:t>Hyong (Ken) Kim, M.D.</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2025</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560,000</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1,800,016</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754,585</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14,420</w:t>
            </w:r>
          </w:p>
        </w:tc>
        <w:tc>
          <w:tcPr>
            <w:tcW w:w="1200" w:type="dxa"/>
            <w:vAlign w:val="bottom"/>
            <w:shd w:val="clear" w:color="auto" w:fill="DBE5F1"/>
          </w:tcPr>
          <w:p>
            <w:pPr>
              <w:jc w:val="right"/>
              <w:ind w:right="18"/>
              <w:spacing w:after="0"/>
              <w:rPr>
                <w:sz w:val="20"/>
                <w:szCs w:val="20"/>
                <w:color w:val="auto"/>
              </w:rPr>
            </w:pPr>
            <w:r>
              <w:rPr>
                <w:rFonts w:ascii="Arial" w:cs="Arial" w:eastAsia="Arial" w:hAnsi="Arial"/>
                <w:sz w:val="13"/>
                <w:szCs w:val="13"/>
                <w:color w:val="auto"/>
              </w:rPr>
              <w:t>3,129,021</w:t>
            </w:r>
          </w:p>
        </w:tc>
        <w:tc>
          <w:tcPr>
            <w:tcW w:w="0" w:type="dxa"/>
            <w:vAlign w:val="bottom"/>
          </w:tcPr>
          <w:p>
            <w:pPr>
              <w:spacing w:after="0"/>
              <w:rPr>
                <w:sz w:val="1"/>
                <w:szCs w:val="1"/>
                <w:color w:val="auto"/>
              </w:rPr>
            </w:pPr>
          </w:p>
        </w:tc>
      </w:tr>
      <w:tr>
        <w:trPr>
          <w:trHeight w:val="100"/>
        </w:trPr>
        <w:tc>
          <w:tcPr>
            <w:tcW w:w="1560" w:type="dxa"/>
            <w:vAlign w:val="bottom"/>
            <w:tcBorders>
              <w:right w:val="single" w:sz="8" w:color="95B3D7"/>
            </w:tcBorders>
            <w:vMerge w:val="continue"/>
            <w:shd w:val="clear" w:color="auto" w:fill="DBE5F1"/>
          </w:tcPr>
          <w:p>
            <w:pPr>
              <w:spacing w:after="0"/>
              <w:rPr>
                <w:sz w:val="8"/>
                <w:szCs w:val="8"/>
                <w:color w:val="auto"/>
              </w:rPr>
            </w:pPr>
          </w:p>
        </w:tc>
        <w:tc>
          <w:tcPr>
            <w:tcW w:w="88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2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560" w:type="dxa"/>
            <w:vAlign w:val="bottom"/>
            <w:tcBorders>
              <w:right w:val="single" w:sz="8" w:color="95B3D7"/>
            </w:tcBorders>
            <w:shd w:val="clear" w:color="auto" w:fill="DBE5F1"/>
          </w:tcPr>
          <w:p>
            <w:pPr>
              <w:ind w:left="180"/>
              <w:spacing w:after="0"/>
              <w:rPr>
                <w:sz w:val="20"/>
                <w:szCs w:val="20"/>
                <w:color w:val="auto"/>
              </w:rPr>
            </w:pPr>
            <w:r>
              <w:rPr>
                <w:rFonts w:ascii="Arial" w:cs="Arial" w:eastAsia="Arial" w:hAnsi="Arial"/>
                <w:sz w:val="13"/>
                <w:szCs w:val="13"/>
                <w:color w:val="auto"/>
              </w:rPr>
              <w:t>Chief Medical Officer</w:t>
            </w: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2024</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555,693</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1,400,000</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508,334</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14,045</w:t>
            </w:r>
          </w:p>
        </w:tc>
        <w:tc>
          <w:tcPr>
            <w:tcW w:w="1200" w:type="dxa"/>
            <w:vAlign w:val="bottom"/>
            <w:shd w:val="clear" w:color="auto" w:fill="DBE5F1"/>
          </w:tcPr>
          <w:p>
            <w:pPr>
              <w:jc w:val="right"/>
              <w:ind w:right="18"/>
              <w:spacing w:after="0"/>
              <w:rPr>
                <w:sz w:val="20"/>
                <w:szCs w:val="20"/>
                <w:color w:val="auto"/>
              </w:rPr>
            </w:pPr>
            <w:r>
              <w:rPr>
                <w:rFonts w:ascii="Arial" w:cs="Arial" w:eastAsia="Arial" w:hAnsi="Arial"/>
                <w:sz w:val="13"/>
                <w:szCs w:val="13"/>
                <w:color w:val="auto"/>
              </w:rPr>
              <w:t>2,478,072</w:t>
            </w:r>
          </w:p>
        </w:tc>
        <w:tc>
          <w:tcPr>
            <w:tcW w:w="0" w:type="dxa"/>
            <w:vAlign w:val="bottom"/>
          </w:tcPr>
          <w:p>
            <w:pPr>
              <w:spacing w:after="0"/>
              <w:rPr>
                <w:sz w:val="1"/>
                <w:szCs w:val="1"/>
                <w:color w:val="auto"/>
              </w:rPr>
            </w:pPr>
          </w:p>
        </w:tc>
      </w:tr>
      <w:tr>
        <w:trPr>
          <w:trHeight w:val="367"/>
        </w:trPr>
        <w:tc>
          <w:tcPr>
            <w:tcW w:w="1560" w:type="dxa"/>
            <w:vAlign w:val="bottom"/>
            <w:tcBorders>
              <w:right w:val="single" w:sz="8" w:color="95B3D7"/>
            </w:tcBorders>
            <w:shd w:val="clear" w:color="auto" w:fill="DBE5F1"/>
          </w:tcPr>
          <w:p>
            <w:pPr>
              <w:spacing w:after="0"/>
              <w:rPr>
                <w:sz w:val="24"/>
                <w:szCs w:val="24"/>
                <w:color w:val="auto"/>
              </w:rPr>
            </w:pPr>
          </w:p>
        </w:tc>
        <w:tc>
          <w:tcPr>
            <w:tcW w:w="8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3"/>
                <w:szCs w:val="13"/>
                <w:color w:val="auto"/>
                <w:w w:val="96"/>
              </w:rPr>
              <w:t>2023</w:t>
            </w:r>
          </w:p>
        </w:tc>
        <w:tc>
          <w:tcPr>
            <w:tcW w:w="12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140,000</w:t>
            </w:r>
            <w:r>
              <w:rPr>
                <w:rFonts w:ascii="Arial" w:cs="Arial" w:eastAsia="Arial" w:hAnsi="Arial"/>
                <w:sz w:val="16"/>
                <w:szCs w:val="16"/>
                <w:color w:val="auto"/>
                <w:vertAlign w:val="superscript"/>
              </w:rPr>
              <w:t>(6)</w:t>
            </w:r>
          </w:p>
        </w:tc>
        <w:tc>
          <w:tcPr>
            <w:tcW w:w="120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20,000</w:t>
            </w:r>
          </w:p>
        </w:tc>
        <w:tc>
          <w:tcPr>
            <w:tcW w:w="122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2,787,000</w:t>
            </w:r>
          </w:p>
        </w:tc>
        <w:tc>
          <w:tcPr>
            <w:tcW w:w="1380" w:type="dxa"/>
            <w:vAlign w:val="bottom"/>
            <w:tcBorders>
              <w:right w:val="single" w:sz="8" w:color="95B3D7"/>
            </w:tcBorders>
            <w:shd w:val="clear" w:color="auto" w:fill="DBE5F1"/>
          </w:tcPr>
          <w:p>
            <w:pPr>
              <w:jc w:val="right"/>
              <w:ind w:right="20"/>
              <w:spacing w:after="0"/>
              <w:rPr>
                <w:sz w:val="20"/>
                <w:szCs w:val="20"/>
                <w:color w:val="auto"/>
              </w:rPr>
            </w:pPr>
            <w:r>
              <w:rPr>
                <w:rFonts w:ascii="Arial" w:cs="Arial" w:eastAsia="Arial" w:hAnsi="Arial"/>
                <w:sz w:val="13"/>
                <w:szCs w:val="13"/>
                <w:color w:val="auto"/>
              </w:rPr>
              <w:t>112,277</w:t>
            </w:r>
          </w:p>
        </w:tc>
        <w:tc>
          <w:tcPr>
            <w:tcW w:w="1380" w:type="dxa"/>
            <w:vAlign w:val="bottom"/>
            <w:tcBorders>
              <w:right w:val="single" w:sz="8" w:color="95B3D7"/>
            </w:tcBorders>
            <w:shd w:val="clear" w:color="auto" w:fill="DBE5F1"/>
          </w:tcPr>
          <w:p>
            <w:pPr>
              <w:jc w:val="right"/>
              <w:ind w:right="40"/>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E5F1"/>
          </w:tcPr>
          <w:p>
            <w:pPr>
              <w:jc w:val="right"/>
              <w:ind w:right="18"/>
              <w:spacing w:after="0"/>
              <w:rPr>
                <w:sz w:val="20"/>
                <w:szCs w:val="20"/>
                <w:color w:val="auto"/>
              </w:rPr>
            </w:pPr>
            <w:r>
              <w:rPr>
                <w:rFonts w:ascii="Arial" w:cs="Arial" w:eastAsia="Arial" w:hAnsi="Arial"/>
                <w:sz w:val="13"/>
                <w:szCs w:val="13"/>
                <w:color w:val="auto"/>
              </w:rPr>
              <w:t>3,059,277</w:t>
            </w:r>
          </w:p>
        </w:tc>
        <w:tc>
          <w:tcPr>
            <w:tcW w:w="0" w:type="dxa"/>
            <w:vAlign w:val="bottom"/>
          </w:tcPr>
          <w:p>
            <w:pPr>
              <w:spacing w:after="0"/>
              <w:rPr>
                <w:sz w:val="1"/>
                <w:szCs w:val="1"/>
                <w:color w:val="auto"/>
              </w:rPr>
            </w:pPr>
          </w:p>
        </w:tc>
      </w:tr>
      <w:tr>
        <w:trPr>
          <w:trHeight w:val="92"/>
        </w:trPr>
        <w:tc>
          <w:tcPr>
            <w:tcW w:w="1560" w:type="dxa"/>
            <w:vAlign w:val="bottom"/>
            <w:tcBorders>
              <w:right w:val="single" w:sz="8" w:color="95B3D7"/>
            </w:tcBorders>
            <w:shd w:val="clear" w:color="auto" w:fill="DBE5F1"/>
          </w:tcPr>
          <w:p>
            <w:pPr>
              <w:spacing w:after="0"/>
              <w:rPr>
                <w:sz w:val="8"/>
                <w:szCs w:val="8"/>
                <w:color w:val="auto"/>
              </w:rPr>
            </w:pPr>
          </w:p>
        </w:tc>
        <w:tc>
          <w:tcPr>
            <w:tcW w:w="88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00" w:type="dxa"/>
            <w:vAlign w:val="bottom"/>
            <w:tcBorders>
              <w:right w:val="single" w:sz="8" w:color="95B3D7"/>
            </w:tcBorders>
            <w:shd w:val="clear" w:color="auto" w:fill="DBE5F1"/>
          </w:tcPr>
          <w:p>
            <w:pPr>
              <w:spacing w:after="0"/>
              <w:rPr>
                <w:sz w:val="8"/>
                <w:szCs w:val="8"/>
                <w:color w:val="auto"/>
              </w:rPr>
            </w:pPr>
          </w:p>
        </w:tc>
        <w:tc>
          <w:tcPr>
            <w:tcW w:w="122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120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560" w:type="dxa"/>
            <w:vAlign w:val="bottom"/>
            <w:tcBorders>
              <w:right w:val="single" w:sz="8" w:color="95B3D7"/>
            </w:tcBorders>
            <w:vMerge w:val="restart"/>
          </w:tcPr>
          <w:p>
            <w:pPr>
              <w:ind w:left="100"/>
              <w:spacing w:after="0"/>
              <w:rPr>
                <w:sz w:val="20"/>
                <w:szCs w:val="20"/>
                <w:color w:val="auto"/>
              </w:rPr>
            </w:pPr>
            <w:r>
              <w:rPr>
                <w:rFonts w:ascii="Arial" w:cs="Arial" w:eastAsia="Arial" w:hAnsi="Arial"/>
                <w:sz w:val="13"/>
                <w:szCs w:val="13"/>
                <w:b w:val="1"/>
                <w:bCs w:val="1"/>
                <w:color w:val="auto"/>
              </w:rPr>
              <w:t>Christopher Joyce</w:t>
            </w:r>
          </w:p>
        </w:tc>
        <w:tc>
          <w:tcPr>
            <w:tcW w:w="880" w:type="dxa"/>
            <w:vAlign w:val="bottom"/>
            <w:tcBorders>
              <w:right w:val="single" w:sz="8" w:color="95B3D7"/>
            </w:tcBorders>
          </w:tcPr>
          <w:p>
            <w:pPr>
              <w:jc w:val="center"/>
              <w:spacing w:after="0"/>
              <w:rPr>
                <w:sz w:val="20"/>
                <w:szCs w:val="20"/>
                <w:color w:val="auto"/>
              </w:rPr>
            </w:pPr>
            <w:r>
              <w:rPr>
                <w:rFonts w:ascii="Arial" w:cs="Arial" w:eastAsia="Arial" w:hAnsi="Arial"/>
                <w:sz w:val="13"/>
                <w:szCs w:val="13"/>
                <w:color w:val="auto"/>
                <w:w w:val="96"/>
              </w:rPr>
              <w:t>2025</w:t>
            </w:r>
          </w:p>
        </w:tc>
        <w:tc>
          <w:tcPr>
            <w:tcW w:w="1200" w:type="dxa"/>
            <w:vAlign w:val="bottom"/>
            <w:tcBorders>
              <w:right w:val="single" w:sz="8" w:color="95B3D7"/>
            </w:tcBorders>
          </w:tcPr>
          <w:p>
            <w:pPr>
              <w:jc w:val="right"/>
              <w:spacing w:after="0"/>
              <w:rPr>
                <w:sz w:val="20"/>
                <w:szCs w:val="20"/>
                <w:color w:val="auto"/>
              </w:rPr>
            </w:pPr>
            <w:r>
              <w:rPr>
                <w:rFonts w:ascii="Arial" w:cs="Arial" w:eastAsia="Arial" w:hAnsi="Arial"/>
                <w:sz w:val="13"/>
                <w:szCs w:val="13"/>
                <w:color w:val="auto"/>
              </w:rPr>
              <w:t>525,000</w:t>
            </w:r>
          </w:p>
        </w:tc>
        <w:tc>
          <w:tcPr>
            <w:tcW w:w="120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w:t>
            </w:r>
          </w:p>
        </w:tc>
        <w:tc>
          <w:tcPr>
            <w:tcW w:w="122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1,750,012</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760,435</w:t>
            </w:r>
          </w:p>
        </w:tc>
        <w:tc>
          <w:tcPr>
            <w:tcW w:w="1380" w:type="dxa"/>
            <w:vAlign w:val="bottom"/>
            <w:tcBorders>
              <w:right w:val="single" w:sz="8" w:color="95B3D7"/>
            </w:tcBorders>
          </w:tcPr>
          <w:p>
            <w:pPr>
              <w:jc w:val="right"/>
              <w:ind w:right="20"/>
              <w:spacing w:after="0"/>
              <w:rPr>
                <w:sz w:val="20"/>
                <w:szCs w:val="20"/>
                <w:color w:val="auto"/>
              </w:rPr>
            </w:pPr>
            <w:r>
              <w:rPr>
                <w:rFonts w:ascii="Arial" w:cs="Arial" w:eastAsia="Arial" w:hAnsi="Arial"/>
                <w:sz w:val="13"/>
                <w:szCs w:val="13"/>
                <w:color w:val="auto"/>
              </w:rPr>
              <w:t>14,000</w:t>
            </w:r>
          </w:p>
        </w:tc>
        <w:tc>
          <w:tcPr>
            <w:tcW w:w="1200" w:type="dxa"/>
            <w:vAlign w:val="bottom"/>
          </w:tcPr>
          <w:p>
            <w:pPr>
              <w:jc w:val="right"/>
              <w:ind w:right="18"/>
              <w:spacing w:after="0"/>
              <w:rPr>
                <w:sz w:val="20"/>
                <w:szCs w:val="20"/>
                <w:color w:val="auto"/>
              </w:rPr>
            </w:pPr>
            <w:r>
              <w:rPr>
                <w:rFonts w:ascii="Arial" w:cs="Arial" w:eastAsia="Arial" w:hAnsi="Arial"/>
                <w:sz w:val="13"/>
                <w:szCs w:val="13"/>
                <w:color w:val="auto"/>
              </w:rPr>
              <w:t>3,049,447</w:t>
            </w:r>
          </w:p>
        </w:tc>
        <w:tc>
          <w:tcPr>
            <w:tcW w:w="0" w:type="dxa"/>
            <w:vAlign w:val="bottom"/>
          </w:tcPr>
          <w:p>
            <w:pPr>
              <w:spacing w:after="0"/>
              <w:rPr>
                <w:sz w:val="1"/>
                <w:szCs w:val="1"/>
                <w:color w:val="auto"/>
              </w:rPr>
            </w:pPr>
          </w:p>
        </w:tc>
      </w:tr>
      <w:tr>
        <w:trPr>
          <w:trHeight w:val="91"/>
        </w:trPr>
        <w:tc>
          <w:tcPr>
            <w:tcW w:w="1560" w:type="dxa"/>
            <w:vAlign w:val="bottom"/>
            <w:tcBorders>
              <w:right w:val="single" w:sz="8" w:color="95B3D7"/>
            </w:tcBorders>
            <w:vMerge w:val="continue"/>
          </w:tcPr>
          <w:p>
            <w:pPr>
              <w:spacing w:after="0"/>
              <w:rPr>
                <w:sz w:val="7"/>
                <w:szCs w:val="7"/>
                <w:color w:val="auto"/>
              </w:rPr>
            </w:pPr>
          </w:p>
        </w:tc>
        <w:tc>
          <w:tcPr>
            <w:tcW w:w="880" w:type="dxa"/>
            <w:vAlign w:val="bottom"/>
            <w:tcBorders>
              <w:right w:val="single" w:sz="8" w:color="95B3D7"/>
            </w:tcBorders>
          </w:tcPr>
          <w:p>
            <w:pPr>
              <w:spacing w:after="0"/>
              <w:rPr>
                <w:sz w:val="7"/>
                <w:szCs w:val="7"/>
                <w:color w:val="auto"/>
              </w:rPr>
            </w:pPr>
          </w:p>
        </w:tc>
        <w:tc>
          <w:tcPr>
            <w:tcW w:w="1200" w:type="dxa"/>
            <w:vAlign w:val="bottom"/>
            <w:tcBorders>
              <w:right w:val="single" w:sz="8" w:color="95B3D7"/>
            </w:tcBorders>
          </w:tcPr>
          <w:p>
            <w:pPr>
              <w:spacing w:after="0"/>
              <w:rPr>
                <w:sz w:val="7"/>
                <w:szCs w:val="7"/>
                <w:color w:val="auto"/>
              </w:rPr>
            </w:pPr>
          </w:p>
        </w:tc>
        <w:tc>
          <w:tcPr>
            <w:tcW w:w="1200" w:type="dxa"/>
            <w:vAlign w:val="bottom"/>
            <w:tcBorders>
              <w:right w:val="single" w:sz="8" w:color="95B3D7"/>
            </w:tcBorders>
          </w:tcPr>
          <w:p>
            <w:pPr>
              <w:spacing w:after="0"/>
              <w:rPr>
                <w:sz w:val="7"/>
                <w:szCs w:val="7"/>
                <w:color w:val="auto"/>
              </w:rPr>
            </w:pPr>
          </w:p>
        </w:tc>
        <w:tc>
          <w:tcPr>
            <w:tcW w:w="1220" w:type="dxa"/>
            <w:vAlign w:val="bottom"/>
            <w:tcBorders>
              <w:right w:val="single" w:sz="8" w:color="95B3D7"/>
            </w:tcBorders>
          </w:tcPr>
          <w:p>
            <w:pPr>
              <w:spacing w:after="0"/>
              <w:rPr>
                <w:sz w:val="7"/>
                <w:szCs w:val="7"/>
                <w:color w:val="auto"/>
              </w:rPr>
            </w:pPr>
          </w:p>
        </w:tc>
        <w:tc>
          <w:tcPr>
            <w:tcW w:w="1380" w:type="dxa"/>
            <w:vAlign w:val="bottom"/>
            <w:tcBorders>
              <w:right w:val="single" w:sz="8" w:color="95B3D7"/>
            </w:tcBorders>
          </w:tcPr>
          <w:p>
            <w:pPr>
              <w:spacing w:after="0"/>
              <w:rPr>
                <w:sz w:val="7"/>
                <w:szCs w:val="7"/>
                <w:color w:val="auto"/>
              </w:rPr>
            </w:pPr>
          </w:p>
        </w:tc>
        <w:tc>
          <w:tcPr>
            <w:tcW w:w="1380" w:type="dxa"/>
            <w:vAlign w:val="bottom"/>
            <w:tcBorders>
              <w:right w:val="single" w:sz="8" w:color="95B3D7"/>
            </w:tcBorders>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560" w:type="dxa"/>
            <w:vAlign w:val="bottom"/>
            <w:tcBorders>
              <w:right w:val="single" w:sz="8" w:color="95B3D7"/>
            </w:tcBorders>
          </w:tcPr>
          <w:p>
            <w:pPr>
              <w:ind w:left="180"/>
              <w:spacing w:after="0"/>
              <w:rPr>
                <w:sz w:val="20"/>
                <w:szCs w:val="20"/>
                <w:color w:val="auto"/>
              </w:rPr>
            </w:pPr>
            <w:r>
              <w:rPr>
                <w:rFonts w:ascii="Arial" w:cs="Arial" w:eastAsia="Arial" w:hAnsi="Arial"/>
                <w:sz w:val="13"/>
                <w:szCs w:val="13"/>
                <w:color w:val="auto"/>
              </w:rPr>
              <w:t>Chief Legal &amp;</w:t>
            </w:r>
          </w:p>
        </w:tc>
        <w:tc>
          <w:tcPr>
            <w:tcW w:w="880" w:type="dxa"/>
            <w:vAlign w:val="bottom"/>
            <w:tcBorders>
              <w:right w:val="single" w:sz="8" w:color="95B3D7"/>
            </w:tcBorders>
          </w:tcPr>
          <w:p>
            <w:pPr>
              <w:spacing w:after="0"/>
              <w:rPr>
                <w:sz w:val="12"/>
                <w:szCs w:val="12"/>
                <w:color w:val="auto"/>
              </w:rPr>
            </w:pPr>
          </w:p>
        </w:tc>
        <w:tc>
          <w:tcPr>
            <w:tcW w:w="1200" w:type="dxa"/>
            <w:vAlign w:val="bottom"/>
            <w:tcBorders>
              <w:right w:val="single" w:sz="8" w:color="95B3D7"/>
            </w:tcBorders>
          </w:tcPr>
          <w:p>
            <w:pPr>
              <w:spacing w:after="0"/>
              <w:rPr>
                <w:sz w:val="12"/>
                <w:szCs w:val="12"/>
                <w:color w:val="auto"/>
              </w:rPr>
            </w:pPr>
          </w:p>
        </w:tc>
        <w:tc>
          <w:tcPr>
            <w:tcW w:w="1200" w:type="dxa"/>
            <w:vAlign w:val="bottom"/>
            <w:tcBorders>
              <w:right w:val="single" w:sz="8" w:color="95B3D7"/>
            </w:tcBorders>
          </w:tcPr>
          <w:p>
            <w:pPr>
              <w:spacing w:after="0"/>
              <w:rPr>
                <w:sz w:val="12"/>
                <w:szCs w:val="12"/>
                <w:color w:val="auto"/>
              </w:rPr>
            </w:pPr>
          </w:p>
        </w:tc>
        <w:tc>
          <w:tcPr>
            <w:tcW w:w="1220" w:type="dxa"/>
            <w:vAlign w:val="bottom"/>
            <w:tcBorders>
              <w:right w:val="single" w:sz="8" w:color="95B3D7"/>
            </w:tcBorders>
          </w:tcPr>
          <w:p>
            <w:pPr>
              <w:spacing w:after="0"/>
              <w:rPr>
                <w:sz w:val="12"/>
                <w:szCs w:val="12"/>
                <w:color w:val="auto"/>
              </w:rPr>
            </w:pPr>
          </w:p>
        </w:tc>
        <w:tc>
          <w:tcPr>
            <w:tcW w:w="1380" w:type="dxa"/>
            <w:vAlign w:val="bottom"/>
            <w:tcBorders>
              <w:right w:val="single" w:sz="8" w:color="95B3D7"/>
            </w:tcBorders>
          </w:tcPr>
          <w:p>
            <w:pPr>
              <w:spacing w:after="0"/>
              <w:rPr>
                <w:sz w:val="12"/>
                <w:szCs w:val="12"/>
                <w:color w:val="auto"/>
              </w:rPr>
            </w:pPr>
          </w:p>
        </w:tc>
        <w:tc>
          <w:tcPr>
            <w:tcW w:w="1380" w:type="dxa"/>
            <w:vAlign w:val="bottom"/>
            <w:tcBorders>
              <w:right w:val="single" w:sz="8" w:color="95B3D7"/>
            </w:tcBorders>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560" w:type="dxa"/>
            <w:vAlign w:val="bottom"/>
            <w:tcBorders>
              <w:right w:val="single" w:sz="8" w:color="95B3D7"/>
            </w:tcBorders>
          </w:tcPr>
          <w:p>
            <w:pPr>
              <w:ind w:left="180"/>
              <w:spacing w:after="0"/>
              <w:rPr>
                <w:sz w:val="20"/>
                <w:szCs w:val="20"/>
                <w:color w:val="auto"/>
              </w:rPr>
            </w:pPr>
            <w:r>
              <w:rPr>
                <w:rFonts w:ascii="Arial" w:cs="Arial" w:eastAsia="Arial" w:hAnsi="Arial"/>
                <w:sz w:val="13"/>
                <w:szCs w:val="13"/>
                <w:color w:val="auto"/>
                <w:w w:val="98"/>
              </w:rPr>
              <w:t>Administrative Officer</w:t>
            </w:r>
            <w:r>
              <w:rPr>
                <w:rFonts w:ascii="Arial" w:cs="Arial" w:eastAsia="Arial" w:hAnsi="Arial"/>
                <w:sz w:val="16"/>
                <w:szCs w:val="16"/>
                <w:color w:val="auto"/>
                <w:w w:val="98"/>
                <w:vertAlign w:val="superscript"/>
              </w:rPr>
              <w:t>(7)</w:t>
            </w:r>
          </w:p>
        </w:tc>
        <w:tc>
          <w:tcPr>
            <w:tcW w:w="880" w:type="dxa"/>
            <w:vAlign w:val="bottom"/>
            <w:tcBorders>
              <w:right w:val="single" w:sz="8" w:color="95B3D7"/>
            </w:tcBorders>
          </w:tcPr>
          <w:p>
            <w:pPr>
              <w:spacing w:after="0"/>
              <w:rPr>
                <w:sz w:val="19"/>
                <w:szCs w:val="19"/>
                <w:color w:val="auto"/>
              </w:rPr>
            </w:pPr>
          </w:p>
        </w:tc>
        <w:tc>
          <w:tcPr>
            <w:tcW w:w="1200" w:type="dxa"/>
            <w:vAlign w:val="bottom"/>
            <w:tcBorders>
              <w:right w:val="single" w:sz="8" w:color="95B3D7"/>
            </w:tcBorders>
          </w:tcPr>
          <w:p>
            <w:pPr>
              <w:spacing w:after="0"/>
              <w:rPr>
                <w:sz w:val="19"/>
                <w:szCs w:val="19"/>
                <w:color w:val="auto"/>
              </w:rPr>
            </w:pPr>
          </w:p>
        </w:tc>
        <w:tc>
          <w:tcPr>
            <w:tcW w:w="1200" w:type="dxa"/>
            <w:vAlign w:val="bottom"/>
            <w:tcBorders>
              <w:right w:val="single" w:sz="8" w:color="95B3D7"/>
            </w:tcBorders>
          </w:tcPr>
          <w:p>
            <w:pPr>
              <w:spacing w:after="0"/>
              <w:rPr>
                <w:sz w:val="19"/>
                <w:szCs w:val="19"/>
                <w:color w:val="auto"/>
              </w:rPr>
            </w:pPr>
          </w:p>
        </w:tc>
        <w:tc>
          <w:tcPr>
            <w:tcW w:w="1220" w:type="dxa"/>
            <w:vAlign w:val="bottom"/>
            <w:tcBorders>
              <w:right w:val="single" w:sz="8" w:color="95B3D7"/>
            </w:tcBorders>
          </w:tcPr>
          <w:p>
            <w:pPr>
              <w:spacing w:after="0"/>
              <w:rPr>
                <w:sz w:val="19"/>
                <w:szCs w:val="19"/>
                <w:color w:val="auto"/>
              </w:rPr>
            </w:pPr>
          </w:p>
        </w:tc>
        <w:tc>
          <w:tcPr>
            <w:tcW w:w="1380" w:type="dxa"/>
            <w:vAlign w:val="bottom"/>
            <w:tcBorders>
              <w:right w:val="single" w:sz="8" w:color="95B3D7"/>
            </w:tcBorders>
          </w:tcPr>
          <w:p>
            <w:pPr>
              <w:spacing w:after="0"/>
              <w:rPr>
                <w:sz w:val="19"/>
                <w:szCs w:val="19"/>
                <w:color w:val="auto"/>
              </w:rPr>
            </w:pPr>
          </w:p>
        </w:tc>
        <w:tc>
          <w:tcPr>
            <w:tcW w:w="1380" w:type="dxa"/>
            <w:vAlign w:val="bottom"/>
            <w:tcBorders>
              <w:right w:val="single" w:sz="8" w:color="95B3D7"/>
            </w:tcBorders>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1560" w:type="dxa"/>
            <w:vAlign w:val="bottom"/>
            <w:tcBorders>
              <w:bottom w:val="single" w:sz="8" w:color="95B3D7"/>
              <w:right w:val="single" w:sz="8" w:color="95B3D7"/>
            </w:tcBorders>
          </w:tcPr>
          <w:p>
            <w:pPr>
              <w:spacing w:after="0"/>
              <w:rPr>
                <w:sz w:val="8"/>
                <w:szCs w:val="8"/>
                <w:color w:val="auto"/>
              </w:rPr>
            </w:pPr>
          </w:p>
        </w:tc>
        <w:tc>
          <w:tcPr>
            <w:tcW w:w="880" w:type="dxa"/>
            <w:vAlign w:val="bottom"/>
            <w:tcBorders>
              <w:bottom w:val="single" w:sz="8" w:color="95B3D7"/>
              <w:right w:val="single" w:sz="8" w:color="95B3D7"/>
            </w:tcBorders>
          </w:tcPr>
          <w:p>
            <w:pPr>
              <w:spacing w:after="0"/>
              <w:rPr>
                <w:sz w:val="8"/>
                <w:szCs w:val="8"/>
                <w:color w:val="auto"/>
              </w:rPr>
            </w:pPr>
          </w:p>
        </w:tc>
        <w:tc>
          <w:tcPr>
            <w:tcW w:w="1200" w:type="dxa"/>
            <w:vAlign w:val="bottom"/>
            <w:tcBorders>
              <w:bottom w:val="single" w:sz="8" w:color="95B3D7"/>
              <w:right w:val="single" w:sz="8" w:color="95B3D7"/>
            </w:tcBorders>
          </w:tcPr>
          <w:p>
            <w:pPr>
              <w:spacing w:after="0"/>
              <w:rPr>
                <w:sz w:val="8"/>
                <w:szCs w:val="8"/>
                <w:color w:val="auto"/>
              </w:rPr>
            </w:pPr>
          </w:p>
        </w:tc>
        <w:tc>
          <w:tcPr>
            <w:tcW w:w="1200" w:type="dxa"/>
            <w:vAlign w:val="bottom"/>
            <w:tcBorders>
              <w:bottom w:val="single" w:sz="8" w:color="95B3D7"/>
              <w:right w:val="single" w:sz="8" w:color="95B3D7"/>
            </w:tcBorders>
          </w:tcPr>
          <w:p>
            <w:pPr>
              <w:spacing w:after="0"/>
              <w:rPr>
                <w:sz w:val="8"/>
                <w:szCs w:val="8"/>
                <w:color w:val="auto"/>
              </w:rPr>
            </w:pPr>
          </w:p>
        </w:tc>
        <w:tc>
          <w:tcPr>
            <w:tcW w:w="1220" w:type="dxa"/>
            <w:vAlign w:val="bottom"/>
            <w:tcBorders>
              <w:bottom w:val="single" w:sz="8" w:color="95B3D7"/>
              <w:right w:val="single" w:sz="8" w:color="95B3D7"/>
            </w:tcBorders>
          </w:tcPr>
          <w:p>
            <w:pPr>
              <w:spacing w:after="0"/>
              <w:rPr>
                <w:sz w:val="8"/>
                <w:szCs w:val="8"/>
                <w:color w:val="auto"/>
              </w:rPr>
            </w:pPr>
          </w:p>
        </w:tc>
        <w:tc>
          <w:tcPr>
            <w:tcW w:w="1380" w:type="dxa"/>
            <w:vAlign w:val="bottom"/>
            <w:tcBorders>
              <w:bottom w:val="single" w:sz="8" w:color="95B3D7"/>
              <w:right w:val="single" w:sz="8" w:color="95B3D7"/>
            </w:tcBorders>
          </w:tcPr>
          <w:p>
            <w:pPr>
              <w:spacing w:after="0"/>
              <w:rPr>
                <w:sz w:val="8"/>
                <w:szCs w:val="8"/>
                <w:color w:val="auto"/>
              </w:rPr>
            </w:pPr>
          </w:p>
        </w:tc>
        <w:tc>
          <w:tcPr>
            <w:tcW w:w="1380" w:type="dxa"/>
            <w:vAlign w:val="bottom"/>
            <w:tcBorders>
              <w:bottom w:val="single" w:sz="8" w:color="95B3D7"/>
              <w:right w:val="single" w:sz="8" w:color="95B3D7"/>
            </w:tcBorders>
          </w:tcPr>
          <w:p>
            <w:pPr>
              <w:spacing w:after="0"/>
              <w:rPr>
                <w:sz w:val="8"/>
                <w:szCs w:val="8"/>
                <w:color w:val="auto"/>
              </w:rPr>
            </w:pPr>
          </w:p>
        </w:tc>
        <w:tc>
          <w:tcPr>
            <w:tcW w:w="1200" w:type="dxa"/>
            <w:vAlign w:val="bottom"/>
            <w:tcBorders>
              <w:bottom w:val="single" w:sz="8" w:color="95B3D7"/>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ind w:left="660" w:hanging="328"/>
        <w:spacing w:after="0" w:line="273" w:lineRule="auto"/>
        <w:tabs>
          <w:tab w:leader="none" w:pos="674"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discretionary bonuses awarded to certain NEOs, which were payable in the form of immediately vested shares of common stock. Amounts shown reflect the grant date fair value of such stock awards, computed in accordance with the Financial Accounting Standards Board Accounting Standards Codification Topic 718, “Stock Compensation” (“FASB ASC Topic 718”).</w:t>
      </w:r>
    </w:p>
    <w:p>
      <w:pPr>
        <w:spacing w:after="0" w:line="125" w:lineRule="exact"/>
        <w:rPr>
          <w:rFonts w:ascii="Arial" w:cs="Arial" w:eastAsia="Arial" w:hAnsi="Arial"/>
          <w:sz w:val="14"/>
          <w:szCs w:val="14"/>
          <w:color w:val="auto"/>
        </w:rPr>
      </w:pPr>
    </w:p>
    <w:p>
      <w:pPr>
        <w:ind w:left="660" w:hanging="328"/>
        <w:spacing w:after="0" w:line="267" w:lineRule="auto"/>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2025 and 2024, represents the grant date fair value of equity awards granted to each of the NEOs, composed 50% as restricted stock units (“RSUs”) and 50% as performance share units ("PSUs"). For 2023, represents the grant date fair values associated with the grant of PSUs to each of the NEOs. In each case, amounts are computed in accordance with FASB ASC Topic 718. The grant date fair value of the PSU awards reflected in this column is the target payout based on the probable outcome of the performance-based conditions, determined as of the grant date. Assumptions used in computing the amounts reported herein are set forth in Note 10 to the Consolidated Financial Statements included in the Company's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58" w:name="page59"/>
    <w:bookmarkEnd w:id="58"/>
    <w:p>
      <w:pPr>
        <w:ind w:left="328" w:right="40"/>
        <w:spacing w:after="0" w:line="283" w:lineRule="auto"/>
        <w:rPr>
          <w:sz w:val="20"/>
          <w:szCs w:val="20"/>
          <w:color w:val="auto"/>
        </w:rPr>
      </w:pPr>
      <w:r>
        <w:rPr>
          <w:rFonts w:ascii="Arial" w:cs="Arial" w:eastAsia="Arial" w:hAnsi="Arial"/>
          <w:sz w:val="14"/>
          <w:szCs w:val="14"/>
          <w:color w:val="auto"/>
        </w:rPr>
        <w:t>For Mr. Head, his 2025 equity award consists of the $2.5 million sign-on grant he received in June 2025. With respect to Mr. Freeman, in connection with his transition to an advisory role as of May 2025, we agreed to accelerate the vesting of 241,666 RSUs, including 20,430 of the RSUs granted on March 13, 2025. All other unvested equity awards were cancelled upon his departure from the Company in February 2026.</w:t>
      </w:r>
    </w:p>
    <w:p>
      <w:pPr>
        <w:spacing w:after="0" w:line="186" w:lineRule="exact"/>
        <w:rPr>
          <w:sz w:val="20"/>
          <w:szCs w:val="20"/>
          <w:color w:val="auto"/>
        </w:rPr>
      </w:pPr>
    </w:p>
    <w:p>
      <w:pPr>
        <w:ind w:left="328" w:right="60"/>
        <w:spacing w:after="0" w:line="272" w:lineRule="auto"/>
        <w:rPr>
          <w:sz w:val="20"/>
          <w:szCs w:val="20"/>
          <w:color w:val="auto"/>
        </w:rPr>
      </w:pPr>
      <w:r>
        <w:rPr>
          <w:rFonts w:ascii="Arial" w:cs="Arial" w:eastAsia="Arial" w:hAnsi="Arial"/>
          <w:sz w:val="14"/>
          <w:szCs w:val="14"/>
          <w:color w:val="auto"/>
        </w:rPr>
        <w:t>PSUs awarded in 2025 are earned based on the achievement of certain performance goals over fiscal year 2027 and, to the extent earned, will vest in a single tranche in or about March 2028. The maximum potential payout of the 2025 PSU awards would be 200% of the target shares awarded on the grant date, which would be as follows: Mr. Kao - $8,500,000; Ms. Maroney - $3,700,000; Mr. Head - $2,500,000; Mr. Freeman - $1,900,000; Dr. Kim - $1,800,000; and Mr. Joyce - $1,750,000. These amounts reflect an accounting expense and do not correspond to the actual value that may be realized by the NEOs. See the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table for more information about the PSUs granted in 2025.</w:t>
      </w:r>
    </w:p>
    <w:p>
      <w:pPr>
        <w:spacing w:after="0" w:line="114" w:lineRule="exact"/>
        <w:rPr>
          <w:sz w:val="20"/>
          <w:szCs w:val="20"/>
          <w:color w:val="auto"/>
        </w:rPr>
      </w:pPr>
    </w:p>
    <w:p>
      <w:pPr>
        <w:ind w:left="328" w:right="60"/>
        <w:spacing w:after="0" w:line="272" w:lineRule="auto"/>
        <w:rPr>
          <w:sz w:val="20"/>
          <w:szCs w:val="20"/>
          <w:color w:val="auto"/>
        </w:rPr>
      </w:pPr>
      <w:r>
        <w:rPr>
          <w:rFonts w:ascii="Arial" w:cs="Arial" w:eastAsia="Arial" w:hAnsi="Arial"/>
          <w:sz w:val="14"/>
          <w:szCs w:val="14"/>
          <w:color w:val="auto"/>
        </w:rPr>
        <w:t>PSUs awarded in 2024 are earned based on the achievement of certain performance goals over fiscal year 2026 and, to the extent earned, will vest in a single tranche in or about March 2027. The maximum potential payout of the 2024 PSU awards would be 200% of the target shares awarded on the grant date, which would be as follows: Mr. Kao - $3,300,000; Ms. Maroney - $1,300,000; Mr. Freeman - $1,100,000; and Dr. Kim - $1,400,000. These amounts reflect an accounting expense and do not correspond to the actual value that may be realized by the NEOs. For more information about the PSUs granted in 2024, see the “</w:t>
      </w:r>
      <w:r>
        <w:rPr>
          <w:rFonts w:ascii="Arial" w:cs="Arial" w:eastAsia="Arial" w:hAnsi="Arial"/>
          <w:sz w:val="14"/>
          <w:szCs w:val="14"/>
          <w:i w:val="1"/>
          <w:iCs w:val="1"/>
          <w:color w:val="auto"/>
        </w:rPr>
        <w:t>Grants of Plan-Based</w:t>
      </w:r>
      <w:r>
        <w:rPr>
          <w:rFonts w:ascii="Arial" w:cs="Arial" w:eastAsia="Arial" w:hAnsi="Arial"/>
          <w:sz w:val="14"/>
          <w:szCs w:val="14"/>
          <w:color w:val="auto"/>
        </w:rPr>
        <w:t xml:space="preserve"> </w:t>
      </w:r>
      <w:r>
        <w:rPr>
          <w:rFonts w:ascii="Arial" w:cs="Arial" w:eastAsia="Arial" w:hAnsi="Arial"/>
          <w:sz w:val="14"/>
          <w:szCs w:val="14"/>
          <w:i w:val="1"/>
          <w:iCs w:val="1"/>
          <w:color w:val="auto"/>
        </w:rPr>
        <w:t>Awards</w:t>
      </w:r>
      <w:r>
        <w:rPr>
          <w:rFonts w:ascii="Arial" w:cs="Arial" w:eastAsia="Arial" w:hAnsi="Arial"/>
          <w:sz w:val="14"/>
          <w:szCs w:val="14"/>
          <w:color w:val="auto"/>
        </w:rPr>
        <w:t>” table in our annual proxy statement for fiscal year 2024.</w:t>
      </w:r>
    </w:p>
    <w:p>
      <w:pPr>
        <w:spacing w:after="0" w:line="114" w:lineRule="exact"/>
        <w:rPr>
          <w:sz w:val="20"/>
          <w:szCs w:val="20"/>
          <w:color w:val="auto"/>
        </w:rPr>
      </w:pPr>
    </w:p>
    <w:p>
      <w:pPr>
        <w:ind w:left="328"/>
        <w:spacing w:after="0" w:line="276" w:lineRule="auto"/>
        <w:rPr>
          <w:sz w:val="20"/>
          <w:szCs w:val="20"/>
          <w:color w:val="auto"/>
        </w:rPr>
      </w:pPr>
      <w:r>
        <w:rPr>
          <w:rFonts w:ascii="Arial" w:cs="Arial" w:eastAsia="Arial" w:hAnsi="Arial"/>
          <w:sz w:val="14"/>
          <w:szCs w:val="14"/>
          <w:color w:val="auto"/>
        </w:rPr>
        <w:t>PSUs awarded in 2023 were earned based on achievement of certain performance goals over fiscal year 2024 and vested in two tranches in or about March 2025 and at December 31, 2025. The Compensation Committee certified the results of the corporate metrics related to the 2023 PSUs at 116.8% of target. For more information about the PSUs granted in 2023, see the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table in our annual proxy statement for fiscal year 2023. For Dr. Kim, the 2023 amount also includes the grant date fair value of RSUs granted upon commencement of his employment with the Company in the amount of $2,500,000.</w:t>
      </w:r>
    </w:p>
    <w:p>
      <w:pPr>
        <w:spacing w:after="0" w:line="123" w:lineRule="exact"/>
        <w:rPr>
          <w:sz w:val="20"/>
          <w:szCs w:val="20"/>
          <w:color w:val="auto"/>
        </w:rPr>
      </w:pPr>
    </w:p>
    <w:p>
      <w:pPr>
        <w:ind w:left="328" w:hanging="328"/>
        <w:spacing w:after="0" w:line="267" w:lineRule="auto"/>
        <w:tabs>
          <w:tab w:leader="none" w:pos="328"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2025, represents 75% of the NEO’s 2025 bonus payment under the Company’s annual incentive plan, which was paid in March 2026, and the following portions of the 2024 bonus payments that were paid to each NEO in October 2025: Mr. Kao - $369,207; Ms. Maroney - $195,310; Mr. Freeman - $187,964; Dr. Kim - $174,460; and Mr. Joyce - $166,364. The remaining 25% of the 2025 bonus payment is not included and will be paid, if at all, in September or October of 2026, based on certain performance criteria (an additional payment may also be made at such time, based on our Stars performance). Mr. Head's and Mr. Freeman's 2025 bonus payments were prorated based on their May 2, 2025 transition date.</w:t>
      </w:r>
    </w:p>
    <w:p>
      <w:pPr>
        <w:spacing w:after="0" w:line="76" w:lineRule="exact"/>
        <w:rPr>
          <w:rFonts w:ascii="Arial" w:cs="Arial" w:eastAsia="Arial" w:hAnsi="Arial"/>
          <w:sz w:val="14"/>
          <w:szCs w:val="14"/>
          <w:color w:val="auto"/>
        </w:rPr>
      </w:pPr>
    </w:p>
    <w:p>
      <w:pPr>
        <w:ind w:left="328"/>
        <w:spacing w:after="0" w:line="273" w:lineRule="auto"/>
        <w:rPr>
          <w:rFonts w:ascii="Arial" w:cs="Arial" w:eastAsia="Arial" w:hAnsi="Arial"/>
          <w:sz w:val="14"/>
          <w:szCs w:val="14"/>
          <w:color w:val="auto"/>
        </w:rPr>
      </w:pPr>
      <w:r>
        <w:rPr>
          <w:rFonts w:ascii="Arial" w:cs="Arial" w:eastAsia="Arial" w:hAnsi="Arial"/>
          <w:sz w:val="14"/>
          <w:szCs w:val="14"/>
          <w:color w:val="auto"/>
        </w:rPr>
        <w:t>For 2024, represents 75% of the NEO’s 2024 bonus payment under the Company’s annual incentive plan, which was paid in March 2025, and the following portions of the 2023 bonus payments that were paid to each NEO in October 2024: Mr. Kao - $243,135; Ms. Maroney - $165,096; Mr. Freeman - $160,333; and Dr. Kim - $34,431. Ms. Maroney elected to take $300,000 of her 2024 annual incentive plan award in the form of an immediately vested stock grant.</w:t>
      </w:r>
    </w:p>
    <w:p>
      <w:pPr>
        <w:spacing w:after="0" w:line="125" w:lineRule="exact"/>
        <w:rPr>
          <w:rFonts w:ascii="Arial" w:cs="Arial" w:eastAsia="Arial" w:hAnsi="Arial"/>
          <w:sz w:val="14"/>
          <w:szCs w:val="14"/>
          <w:color w:val="auto"/>
        </w:rPr>
      </w:pPr>
    </w:p>
    <w:p>
      <w:pPr>
        <w:ind w:left="328"/>
        <w:spacing w:after="0" w:line="269" w:lineRule="auto"/>
        <w:rPr>
          <w:rFonts w:ascii="Arial" w:cs="Arial" w:eastAsia="Arial" w:hAnsi="Arial"/>
          <w:sz w:val="14"/>
          <w:szCs w:val="14"/>
          <w:color w:val="auto"/>
        </w:rPr>
      </w:pPr>
      <w:r>
        <w:rPr>
          <w:rFonts w:ascii="Arial" w:cs="Arial" w:eastAsia="Arial" w:hAnsi="Arial"/>
          <w:sz w:val="14"/>
          <w:szCs w:val="14"/>
          <w:color w:val="auto"/>
        </w:rPr>
        <w:t>For 2023, represents 75% of the NEO’s 2023 bonus payment under the Company’s annual incentive plan, which was paid in March 2024, and the following portions of the 2022 bonus payments that were paid to each NEO in October 2023: Mr. Kao - $214,006; Ms. Maroney - $127,279; Mr. Freeman - $101,904; and Dr. Kim - $0. Portions of the 2023 annual incentive plan awards were paid to NEOs in the form of immediately vested stock grants having the following grant date fair values: Ms. Maroney - $179,452; Mr. Freeman - $348,551; and Dr. Kim - $74,851.</w:t>
      </w:r>
    </w:p>
    <w:p>
      <w:pPr>
        <w:spacing w:after="0" w:line="128" w:lineRule="exact"/>
        <w:rPr>
          <w:rFonts w:ascii="Arial" w:cs="Arial" w:eastAsia="Arial" w:hAnsi="Arial"/>
          <w:sz w:val="14"/>
          <w:szCs w:val="14"/>
          <w:color w:val="auto"/>
        </w:rPr>
      </w:pPr>
    </w:p>
    <w:p>
      <w:pPr>
        <w:ind w:left="328" w:right="80"/>
        <w:spacing w:after="0" w:line="283" w:lineRule="auto"/>
        <w:rPr>
          <w:rFonts w:ascii="Arial" w:cs="Arial" w:eastAsia="Arial" w:hAnsi="Arial"/>
          <w:sz w:val="14"/>
          <w:szCs w:val="14"/>
          <w:color w:val="auto"/>
        </w:rPr>
      </w:pPr>
      <w:r>
        <w:rPr>
          <w:rFonts w:ascii="Arial" w:cs="Arial" w:eastAsia="Arial" w:hAnsi="Arial"/>
          <w:sz w:val="14"/>
          <w:szCs w:val="14"/>
          <w:color w:val="auto"/>
        </w:rPr>
        <w:t>Certain NEOs received increases to base salaries and target and maximum bonus opportunities during applicable years. Target bonus opportunities for the full year reflect the weighted average of the target bonus opportunity percentages applicable to each NEO for each applicable period throughout the year. See “</w:t>
      </w:r>
      <w:r>
        <w:rPr>
          <w:rFonts w:ascii="Arial" w:cs="Arial" w:eastAsia="Arial" w:hAnsi="Arial"/>
          <w:sz w:val="14"/>
          <w:szCs w:val="14"/>
          <w:i w:val="1"/>
          <w:iCs w:val="1"/>
          <w:color w:val="auto"/>
        </w:rPr>
        <w:t>Compensation</w:t>
      </w:r>
      <w:r>
        <w:rPr>
          <w:rFonts w:ascii="Arial" w:cs="Arial" w:eastAsia="Arial" w:hAnsi="Arial"/>
          <w:sz w:val="14"/>
          <w:szCs w:val="14"/>
          <w:color w:val="auto"/>
        </w:rPr>
        <w:t xml:space="preserve"> </w:t>
      </w:r>
      <w:r>
        <w:rPr>
          <w:rFonts w:ascii="Arial" w:cs="Arial" w:eastAsia="Arial" w:hAnsi="Arial"/>
          <w:sz w:val="14"/>
          <w:szCs w:val="14"/>
          <w:i w:val="1"/>
          <w:iCs w:val="1"/>
          <w:color w:val="auto"/>
        </w:rPr>
        <w:t>Discussion and Analysis—2025 Executive Compensation Program in Detail—Annual Incentives</w:t>
      </w:r>
      <w:r>
        <w:rPr>
          <w:rFonts w:ascii="Arial" w:cs="Arial" w:eastAsia="Arial" w:hAnsi="Arial"/>
          <w:sz w:val="14"/>
          <w:szCs w:val="14"/>
          <w:color w:val="auto"/>
        </w:rPr>
        <w:t>” above for further discussion of our Annual Incentive Plan.</w:t>
      </w:r>
    </w:p>
    <w:p>
      <w:pPr>
        <w:spacing w:after="0" w:line="118" w:lineRule="exact"/>
        <w:rPr>
          <w:rFonts w:ascii="Arial" w:cs="Arial" w:eastAsia="Arial" w:hAnsi="Arial"/>
          <w:sz w:val="14"/>
          <w:szCs w:val="14"/>
          <w:color w:val="auto"/>
        </w:rPr>
      </w:pPr>
    </w:p>
    <w:p>
      <w:pPr>
        <w:jc w:val="both"/>
        <w:ind w:left="328" w:right="140" w:hanging="328"/>
        <w:spacing w:after="0" w:line="273" w:lineRule="auto"/>
        <w:tabs>
          <w:tab w:leader="none" w:pos="328"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2025, represents: for Mr. Kao – internet stipend of $420; for Ms. Maroney – internet stipend of $420 and Company 401(k) matching contributions of $14,000; for Mr. Head – Company 401(k) matching contributions of $1,908; for Mr. Freeman – internet stipend of $420 and Company 401(k) matching contributions of $7,795; for Dr. Kim – internet stipend of $420 and Company 401(k) matching contributions of $14,000; and for Mr. Joyce – Company 401(k) matching contributions of $14,000.</w:t>
      </w:r>
    </w:p>
    <w:p>
      <w:pPr>
        <w:spacing w:after="0" w:line="71" w:lineRule="exact"/>
        <w:rPr>
          <w:rFonts w:ascii="Arial" w:cs="Arial" w:eastAsia="Arial" w:hAnsi="Arial"/>
          <w:sz w:val="14"/>
          <w:szCs w:val="14"/>
          <w:color w:val="auto"/>
        </w:rPr>
      </w:pPr>
    </w:p>
    <w:p>
      <w:pPr>
        <w:ind w:left="328" w:right="240"/>
        <w:spacing w:after="0" w:line="273" w:lineRule="auto"/>
        <w:rPr>
          <w:rFonts w:ascii="Arial" w:cs="Arial" w:eastAsia="Arial" w:hAnsi="Arial"/>
          <w:sz w:val="14"/>
          <w:szCs w:val="14"/>
          <w:color w:val="auto"/>
        </w:rPr>
      </w:pPr>
      <w:r>
        <w:rPr>
          <w:rFonts w:ascii="Arial" w:cs="Arial" w:eastAsia="Arial" w:hAnsi="Arial"/>
          <w:sz w:val="14"/>
          <w:szCs w:val="14"/>
          <w:color w:val="auto"/>
        </w:rPr>
        <w:t>For 2024, represents: for Mr. Kao – internet stipend of $420 and imputed income for domestic partnership insurance of $5,384; for Ms. Maroney – Company 401(k) matching contributions of $13,800; for Mr. Freeman – internet stipend of $420 and Company 401(k) matching contributions of $10,227; and for Dr. Kim – internet stipend of $245 and Company 401(k) matching contributions of $13,800.</w:t>
      </w:r>
    </w:p>
    <w:p>
      <w:pPr>
        <w:spacing w:after="0" w:line="71" w:lineRule="exact"/>
        <w:rPr>
          <w:rFonts w:ascii="Arial" w:cs="Arial" w:eastAsia="Arial" w:hAnsi="Arial"/>
          <w:sz w:val="14"/>
          <w:szCs w:val="14"/>
          <w:color w:val="auto"/>
        </w:rPr>
      </w:pPr>
    </w:p>
    <w:p>
      <w:pPr>
        <w:ind w:left="328" w:right="20"/>
        <w:spacing w:after="0" w:line="305" w:lineRule="auto"/>
        <w:rPr>
          <w:rFonts w:ascii="Arial" w:cs="Arial" w:eastAsia="Arial" w:hAnsi="Arial"/>
          <w:sz w:val="14"/>
          <w:szCs w:val="14"/>
          <w:color w:val="auto"/>
        </w:rPr>
      </w:pPr>
      <w:r>
        <w:rPr>
          <w:rFonts w:ascii="Arial" w:cs="Arial" w:eastAsia="Arial" w:hAnsi="Arial"/>
          <w:sz w:val="14"/>
          <w:szCs w:val="14"/>
          <w:color w:val="auto"/>
        </w:rPr>
        <w:t>For 2023, represents: for Mr. Kao – internet stipend of $420 and imputed income for domestic partnership insurance of $4,789; for Ms. Maroney – internet stipend of $315 and Company 401(k) matching contributions of $13,200; and for Mr. Freeman – internet stipend of $420 and Company 401(k) matching contributions of $13,200.</w:t>
      </w:r>
    </w:p>
    <w:p>
      <w:pPr>
        <w:spacing w:after="0" w:line="49" w:lineRule="exact"/>
        <w:rPr>
          <w:rFonts w:ascii="Arial" w:cs="Arial" w:eastAsia="Arial" w:hAnsi="Arial"/>
          <w:sz w:val="14"/>
          <w:szCs w:val="14"/>
          <w:color w:val="auto"/>
        </w:rPr>
      </w:pPr>
    </w:p>
    <w:p>
      <w:pPr>
        <w:ind w:left="328" w:hanging="328"/>
        <w:spacing w:after="0"/>
        <w:tabs>
          <w:tab w:leader="none" w:pos="328" w:val="left"/>
        </w:tabs>
        <w:numPr>
          <w:ilvl w:val="0"/>
          <w:numId w:val="54"/>
        </w:numPr>
        <w:rPr>
          <w:rFonts w:ascii="Arial" w:cs="Arial" w:eastAsia="Arial" w:hAnsi="Arial"/>
          <w:sz w:val="14"/>
          <w:szCs w:val="14"/>
          <w:color w:val="auto"/>
        </w:rPr>
      </w:pPr>
      <w:r>
        <w:rPr>
          <w:rFonts w:ascii="Arial" w:cs="Arial" w:eastAsia="Arial" w:hAnsi="Arial"/>
          <w:sz w:val="14"/>
          <w:szCs w:val="14"/>
          <w:color w:val="auto"/>
        </w:rPr>
        <w:t>Mr. Freeman resigned as Chief Financial Officer effective May 2, 2025, at which time Mr. Head was appointed to succeed him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26" w:right="339" w:bottom="1440" w:gutter="0" w:footer="0" w:header="0"/>
        </w:sectPr>
      </w:pPr>
    </w:p>
    <w:bookmarkStart w:id="59" w:name="page60"/>
    <w:bookmarkEnd w:id="59"/>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base annual salary earned for the portion of the fiscal year 2023 after Dr. Kim joined the Company.</w:t>
      </w:r>
    </w:p>
    <w:p>
      <w:pPr>
        <w:spacing w:after="0" w:line="109" w:lineRule="exact"/>
        <w:rPr>
          <w:rFonts w:ascii="Arial" w:cs="Arial" w:eastAsia="Arial" w:hAnsi="Arial"/>
          <w:sz w:val="14"/>
          <w:szCs w:val="14"/>
          <w:color w:val="auto"/>
        </w:rPr>
      </w:pP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Joyce was not a Named Executive Officer for 2023 or 2024.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Grants of Plan-Based Awards for Fiscal Year 2025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plan-based awards granted to the Named Executive Officers in 2025.</w:t>
      </w:r>
    </w:p>
    <w:p>
      <w:pPr>
        <w:spacing w:after="0" w:line="182" w:lineRule="exact"/>
        <w:rPr>
          <w:sz w:val="20"/>
          <w:szCs w:val="20"/>
          <w:color w:val="auto"/>
        </w:rPr>
      </w:pPr>
    </w:p>
    <w:p>
      <w:pPr>
        <w:jc w:val="center"/>
        <w:ind w:left="6180"/>
        <w:spacing w:after="0"/>
        <w:rPr>
          <w:sz w:val="20"/>
          <w:szCs w:val="20"/>
          <w:color w:val="auto"/>
        </w:rPr>
      </w:pPr>
      <w:r>
        <w:rPr>
          <w:rFonts w:ascii="Arial" w:cs="Arial" w:eastAsia="Arial" w:hAnsi="Arial"/>
          <w:sz w:val="9"/>
          <w:szCs w:val="9"/>
          <w:b w:val="1"/>
          <w:bCs w:val="1"/>
          <w:color w:val="auto"/>
        </w:rPr>
        <w:t>All Other</w:t>
      </w:r>
    </w:p>
    <w:p>
      <w:pPr>
        <w:spacing w:after="0" w:line="13" w:lineRule="exact"/>
        <w:rPr>
          <w:sz w:val="20"/>
          <w:szCs w:val="20"/>
          <w:color w:val="auto"/>
        </w:rPr>
      </w:pPr>
    </w:p>
    <w:p>
      <w:pPr>
        <w:jc w:val="center"/>
        <w:ind w:left="6180"/>
        <w:spacing w:after="0"/>
        <w:rPr>
          <w:sz w:val="20"/>
          <w:szCs w:val="20"/>
          <w:color w:val="auto"/>
        </w:rPr>
      </w:pPr>
      <w:r>
        <w:rPr>
          <w:rFonts w:ascii="Arial" w:cs="Arial" w:eastAsia="Arial" w:hAnsi="Arial"/>
          <w:sz w:val="9"/>
          <w:szCs w:val="9"/>
          <w:b w:val="1"/>
          <w:bCs w:val="1"/>
          <w:color w:val="auto"/>
        </w:rPr>
        <w:t>Stock</w:t>
      </w:r>
    </w:p>
    <w:tbl>
      <w:tblPr>
        <w:tblLayout w:type="fixed"/>
        <w:tblInd w:w="76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Estimated Future Payouts Under</w:t>
            </w:r>
          </w:p>
        </w:tc>
        <w:tc>
          <w:tcPr>
            <w:tcW w:w="2700" w:type="dxa"/>
            <w:vAlign w:val="bottom"/>
            <w:gridSpan w:val="3"/>
          </w:tcPr>
          <w:p>
            <w:pPr>
              <w:jc w:val="center"/>
              <w:ind w:right="6"/>
              <w:spacing w:after="0"/>
              <w:rPr>
                <w:sz w:val="20"/>
                <w:szCs w:val="20"/>
                <w:color w:val="auto"/>
              </w:rPr>
            </w:pPr>
            <w:r>
              <w:rPr>
                <w:rFonts w:ascii="Arial" w:cs="Arial" w:eastAsia="Arial" w:hAnsi="Arial"/>
                <w:sz w:val="11"/>
                <w:szCs w:val="11"/>
                <w:b w:val="1"/>
                <w:bCs w:val="1"/>
                <w:color w:val="auto"/>
                <w:w w:val="98"/>
              </w:rPr>
              <w:t>Estimated Future Payouts Under</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rPr>
              <w:t>Awards:</w:t>
            </w: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0" w:type="dxa"/>
            <w:vAlign w:val="bottom"/>
            <w:gridSpan w:val="3"/>
            <w:vMerge w:val="restart"/>
          </w:tcPr>
          <w:p>
            <w:pPr>
              <w:jc w:val="right"/>
              <w:ind w:right="406"/>
              <w:spacing w:after="0"/>
              <w:rPr>
                <w:sz w:val="20"/>
                <w:szCs w:val="20"/>
                <w:color w:val="auto"/>
              </w:rPr>
            </w:pPr>
            <w:r>
              <w:rPr>
                <w:rFonts w:ascii="Arial" w:cs="Arial" w:eastAsia="Arial" w:hAnsi="Arial"/>
                <w:sz w:val="11"/>
                <w:szCs w:val="11"/>
                <w:b w:val="1"/>
                <w:bCs w:val="1"/>
                <w:color w:val="auto"/>
              </w:rPr>
              <w:t>Non-Equity Incentive Plan Awards</w:t>
            </w:r>
          </w:p>
        </w:tc>
        <w:tc>
          <w:tcPr>
            <w:tcW w:w="2700" w:type="dxa"/>
            <w:vAlign w:val="bottom"/>
            <w:gridSpan w:val="3"/>
            <w:vMerge w:val="restart"/>
          </w:tcPr>
          <w:p>
            <w:pPr>
              <w:jc w:val="center"/>
              <w:ind w:right="6"/>
              <w:spacing w:after="0"/>
              <w:rPr>
                <w:sz w:val="20"/>
                <w:szCs w:val="20"/>
                <w:color w:val="auto"/>
              </w:rPr>
            </w:pPr>
            <w:r>
              <w:rPr>
                <w:rFonts w:ascii="Arial" w:cs="Arial" w:eastAsia="Arial" w:hAnsi="Arial"/>
                <w:sz w:val="11"/>
                <w:szCs w:val="11"/>
                <w:b w:val="1"/>
                <w:bCs w:val="1"/>
                <w:color w:val="auto"/>
                <w:w w:val="99"/>
              </w:rPr>
              <w:t>Equity Incentive Plan Awards</w:t>
            </w:r>
          </w:p>
        </w:tc>
        <w:tc>
          <w:tcPr>
            <w:tcW w:w="720" w:type="dxa"/>
            <w:vAlign w:val="bottom"/>
          </w:tcPr>
          <w:p>
            <w:pPr>
              <w:jc w:val="center"/>
              <w:spacing w:after="0" w:line="86" w:lineRule="exact"/>
              <w:rPr>
                <w:sz w:val="20"/>
                <w:szCs w:val="20"/>
                <w:color w:val="auto"/>
              </w:rPr>
            </w:pPr>
            <w:r>
              <w:rPr>
                <w:rFonts w:ascii="Arial" w:cs="Arial" w:eastAsia="Arial" w:hAnsi="Arial"/>
                <w:sz w:val="9"/>
                <w:szCs w:val="9"/>
                <w:b w:val="1"/>
                <w:bCs w:val="1"/>
                <w:color w:val="auto"/>
                <w:w w:val="99"/>
              </w:rPr>
              <w:t>Number</w:t>
            </w: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7"/>
              </w:rPr>
              <w:t>of Shares</w:t>
            </w: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vMerge w:val="restart"/>
          </w:tcPr>
          <w:p>
            <w:pPr>
              <w:jc w:val="right"/>
              <w:ind w:right="147"/>
              <w:spacing w:after="0"/>
              <w:rPr>
                <w:sz w:val="20"/>
                <w:szCs w:val="20"/>
                <w:color w:val="auto"/>
              </w:rPr>
            </w:pPr>
            <w:r>
              <w:rPr>
                <w:rFonts w:ascii="Arial" w:cs="Arial" w:eastAsia="Arial" w:hAnsi="Arial"/>
                <w:sz w:val="8"/>
                <w:szCs w:val="8"/>
                <w:b w:val="1"/>
                <w:bCs w:val="1"/>
                <w:color w:val="auto"/>
              </w:rPr>
              <w:t>Threshold</w:t>
            </w:r>
          </w:p>
        </w:tc>
        <w:tc>
          <w:tcPr>
            <w:tcW w:w="84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Target</w:t>
            </w:r>
          </w:p>
        </w:tc>
        <w:tc>
          <w:tcPr>
            <w:tcW w:w="1040" w:type="dxa"/>
            <w:vAlign w:val="bottom"/>
            <w:vMerge w:val="restart"/>
          </w:tcPr>
          <w:p>
            <w:pPr>
              <w:jc w:val="right"/>
              <w:ind w:right="246"/>
              <w:spacing w:after="0"/>
              <w:rPr>
                <w:sz w:val="20"/>
                <w:szCs w:val="20"/>
                <w:color w:val="auto"/>
              </w:rPr>
            </w:pPr>
            <w:r>
              <w:rPr>
                <w:rFonts w:ascii="Arial" w:cs="Arial" w:eastAsia="Arial" w:hAnsi="Arial"/>
                <w:sz w:val="11"/>
                <w:szCs w:val="11"/>
                <w:b w:val="1"/>
                <w:bCs w:val="1"/>
                <w:color w:val="auto"/>
              </w:rPr>
              <w:t>Maximum</w:t>
            </w:r>
          </w:p>
        </w:tc>
        <w:tc>
          <w:tcPr>
            <w:tcW w:w="90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97"/>
              </w:rPr>
              <w:t>Threshold</w:t>
            </w:r>
          </w:p>
        </w:tc>
        <w:tc>
          <w:tcPr>
            <w:tcW w:w="90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95"/>
              </w:rPr>
              <w:t>Target</w:t>
            </w:r>
          </w:p>
        </w:tc>
        <w:tc>
          <w:tcPr>
            <w:tcW w:w="90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rPr>
              <w:t>Maximum</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7"/>
              </w:rPr>
              <w:t>of Stock or</w:t>
            </w:r>
          </w:p>
        </w:tc>
        <w:tc>
          <w:tcPr>
            <w:tcW w:w="1400" w:type="dxa"/>
            <w:vAlign w:val="bottom"/>
          </w:tcPr>
          <w:p>
            <w:pPr>
              <w:jc w:val="center"/>
              <w:spacing w:after="0"/>
              <w:rPr>
                <w:sz w:val="20"/>
                <w:szCs w:val="20"/>
                <w:color w:val="auto"/>
              </w:rPr>
            </w:pPr>
            <w:r>
              <w:rPr>
                <w:rFonts w:ascii="Arial" w:cs="Arial" w:eastAsia="Arial" w:hAnsi="Arial"/>
                <w:sz w:val="9"/>
                <w:szCs w:val="9"/>
                <w:b w:val="1"/>
                <w:bCs w:val="1"/>
                <w:color w:val="auto"/>
                <w:w w:val="98"/>
              </w:rPr>
              <w:t>Grant Date Fair Value of Stock</w:t>
            </w: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720" w:type="dxa"/>
            <w:vAlign w:val="bottom"/>
          </w:tcPr>
          <w:p>
            <w:pPr>
              <w:jc w:val="center"/>
              <w:ind w:right="8"/>
              <w:spacing w:after="0" w:line="90" w:lineRule="exact"/>
              <w:rPr>
                <w:sz w:val="20"/>
                <w:szCs w:val="20"/>
                <w:color w:val="auto"/>
              </w:rPr>
            </w:pPr>
            <w:r>
              <w:rPr>
                <w:rFonts w:ascii="Arial" w:cs="Arial" w:eastAsia="Arial" w:hAnsi="Arial"/>
                <w:sz w:val="9"/>
                <w:szCs w:val="9"/>
                <w:b w:val="1"/>
                <w:bCs w:val="1"/>
                <w:color w:val="auto"/>
                <w:w w:val="97"/>
              </w:rPr>
              <w:t>Units</w:t>
            </w:r>
          </w:p>
        </w:tc>
        <w:tc>
          <w:tcPr>
            <w:tcW w:w="1400" w:type="dxa"/>
            <w:vAlign w:val="bottom"/>
          </w:tcPr>
          <w:p>
            <w:pPr>
              <w:jc w:val="center"/>
              <w:spacing w:after="0" w:line="90" w:lineRule="exact"/>
              <w:rPr>
                <w:sz w:val="20"/>
                <w:szCs w:val="20"/>
                <w:color w:val="auto"/>
              </w:rPr>
            </w:pPr>
            <w:r>
              <w:rPr>
                <w:rFonts w:ascii="Arial" w:cs="Arial" w:eastAsia="Arial" w:hAnsi="Arial"/>
                <w:sz w:val="8"/>
                <w:szCs w:val="8"/>
                <w:b w:val="1"/>
                <w:bCs w:val="1"/>
                <w:color w:val="auto"/>
              </w:rPr>
              <w:t>and Option Awards</w:t>
            </w:r>
            <w:r>
              <w:rPr>
                <w:rFonts w:ascii="Arial" w:cs="Arial" w:eastAsia="Arial" w:hAnsi="Arial"/>
                <w:sz w:val="10"/>
                <w:szCs w:val="10"/>
                <w:b w:val="1"/>
                <w:bCs w:val="1"/>
                <w:color w:val="auto"/>
                <w:vertAlign w:val="superscript"/>
              </w:rPr>
              <w:t>(2)</w:t>
            </w:r>
          </w:p>
        </w:tc>
        <w:tc>
          <w:tcPr>
            <w:tcW w:w="0" w:type="dxa"/>
            <w:vAlign w:val="bottom"/>
          </w:tcPr>
          <w:p>
            <w:pPr>
              <w:spacing w:after="0"/>
              <w:rPr>
                <w:sz w:val="1"/>
                <w:szCs w:val="1"/>
                <w:color w:val="auto"/>
              </w:rPr>
            </w:pPr>
          </w:p>
        </w:tc>
      </w:tr>
      <w:tr>
        <w:trPr>
          <w:trHeight w:val="108"/>
        </w:trPr>
        <w:tc>
          <w:tcPr>
            <w:tcW w:w="1180" w:type="dxa"/>
            <w:vAlign w:val="bottom"/>
            <w:vMerge w:val="restart"/>
          </w:tcPr>
          <w:p>
            <w:pPr>
              <w:ind w:left="420"/>
              <w:spacing w:after="0"/>
              <w:rPr>
                <w:sz w:val="20"/>
                <w:szCs w:val="20"/>
                <w:color w:val="auto"/>
              </w:rPr>
            </w:pPr>
            <w:r>
              <w:rPr>
                <w:rFonts w:ascii="Arial" w:cs="Arial" w:eastAsia="Arial" w:hAnsi="Arial"/>
                <w:sz w:val="11"/>
                <w:szCs w:val="11"/>
                <w:b w:val="1"/>
                <w:bCs w:val="1"/>
                <w:color w:val="auto"/>
              </w:rPr>
              <w:t>Name</w:t>
            </w:r>
          </w:p>
        </w:tc>
        <w:tc>
          <w:tcPr>
            <w:tcW w:w="114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99"/>
              </w:rPr>
              <w:t>Grant Date</w:t>
            </w:r>
          </w:p>
        </w:tc>
        <w:tc>
          <w:tcPr>
            <w:tcW w:w="720" w:type="dxa"/>
            <w:vAlign w:val="bottom"/>
          </w:tcPr>
          <w:p>
            <w:pPr>
              <w:jc w:val="right"/>
              <w:ind w:right="267"/>
              <w:spacing w:after="0" w:line="109" w:lineRule="exact"/>
              <w:rPr>
                <w:sz w:val="20"/>
                <w:szCs w:val="20"/>
                <w:color w:val="auto"/>
              </w:rPr>
            </w:pPr>
            <w:r>
              <w:rPr>
                <w:rFonts w:ascii="Arial" w:cs="Arial" w:eastAsia="Arial" w:hAnsi="Arial"/>
                <w:sz w:val="11"/>
                <w:szCs w:val="11"/>
                <w:b w:val="1"/>
                <w:bCs w:val="1"/>
                <w:color w:val="auto"/>
              </w:rPr>
              <w:t>($)</w:t>
            </w:r>
          </w:p>
        </w:tc>
        <w:tc>
          <w:tcPr>
            <w:tcW w:w="840" w:type="dxa"/>
            <w:vAlign w:val="bottom"/>
          </w:tcPr>
          <w:p>
            <w:pPr>
              <w:jc w:val="right"/>
              <w:ind w:right="326"/>
              <w:spacing w:after="0" w:line="109" w:lineRule="exact"/>
              <w:rPr>
                <w:sz w:val="20"/>
                <w:szCs w:val="20"/>
                <w:color w:val="auto"/>
              </w:rPr>
            </w:pPr>
            <w:r>
              <w:rPr>
                <w:rFonts w:ascii="Arial" w:cs="Arial" w:eastAsia="Arial" w:hAnsi="Arial"/>
                <w:sz w:val="11"/>
                <w:szCs w:val="11"/>
                <w:b w:val="1"/>
                <w:bCs w:val="1"/>
                <w:color w:val="auto"/>
              </w:rPr>
              <w:t>($)</w:t>
            </w:r>
          </w:p>
        </w:tc>
        <w:tc>
          <w:tcPr>
            <w:tcW w:w="1040" w:type="dxa"/>
            <w:vAlign w:val="bottom"/>
          </w:tcPr>
          <w:p>
            <w:pPr>
              <w:jc w:val="right"/>
              <w:ind w:right="426"/>
              <w:spacing w:after="0" w:line="109" w:lineRule="exact"/>
              <w:rPr>
                <w:sz w:val="20"/>
                <w:szCs w:val="20"/>
                <w:color w:val="auto"/>
              </w:rPr>
            </w:pPr>
            <w:r>
              <w:rPr>
                <w:rFonts w:ascii="Arial" w:cs="Arial" w:eastAsia="Arial" w:hAnsi="Arial"/>
                <w:sz w:val="11"/>
                <w:szCs w:val="11"/>
                <w:b w:val="1"/>
                <w:bCs w:val="1"/>
                <w:color w:val="auto"/>
              </w:rPr>
              <w:t>($)</w:t>
            </w:r>
          </w:p>
        </w:tc>
        <w:tc>
          <w:tcPr>
            <w:tcW w:w="900" w:type="dxa"/>
            <w:vAlign w:val="bottom"/>
          </w:tcPr>
          <w:p>
            <w:pPr>
              <w:jc w:val="center"/>
              <w:ind w:right="6"/>
              <w:spacing w:after="0" w:line="109" w:lineRule="exact"/>
              <w:rPr>
                <w:sz w:val="20"/>
                <w:szCs w:val="20"/>
                <w:color w:val="auto"/>
              </w:rPr>
            </w:pPr>
            <w:r>
              <w:rPr>
                <w:rFonts w:ascii="Arial" w:cs="Arial" w:eastAsia="Arial" w:hAnsi="Arial"/>
                <w:sz w:val="11"/>
                <w:szCs w:val="11"/>
                <w:b w:val="1"/>
                <w:bCs w:val="1"/>
                <w:color w:val="auto"/>
                <w:w w:val="88"/>
              </w:rPr>
              <w:t>(#)</w:t>
            </w:r>
          </w:p>
        </w:tc>
        <w:tc>
          <w:tcPr>
            <w:tcW w:w="9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8"/>
              </w:rPr>
              <w:t>(#)</w:t>
            </w:r>
          </w:p>
        </w:tc>
        <w:tc>
          <w:tcPr>
            <w:tcW w:w="900" w:type="dxa"/>
            <w:vAlign w:val="bottom"/>
          </w:tcPr>
          <w:p>
            <w:pPr>
              <w:jc w:val="right"/>
              <w:ind w:right="346"/>
              <w:spacing w:after="0" w:line="109" w:lineRule="exact"/>
              <w:rPr>
                <w:sz w:val="20"/>
                <w:szCs w:val="20"/>
                <w:color w:val="auto"/>
              </w:rPr>
            </w:pPr>
            <w:r>
              <w:rPr>
                <w:rFonts w:ascii="Arial" w:cs="Arial" w:eastAsia="Arial" w:hAnsi="Arial"/>
                <w:sz w:val="11"/>
                <w:szCs w:val="11"/>
                <w:b w:val="1"/>
                <w:bCs w:val="1"/>
                <w:color w:val="auto"/>
              </w:rPr>
              <w:t>(#)</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1400" w:type="dxa"/>
            <w:vAlign w:val="bottom"/>
          </w:tcPr>
          <w:p>
            <w:pPr>
              <w:jc w:val="center"/>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40"/>
        </w:trPr>
        <w:tc>
          <w:tcPr>
            <w:tcW w:w="118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720" w:type="dxa"/>
            <w:vAlign w:val="bottom"/>
            <w:vMerge w:val="restart"/>
          </w:tcPr>
          <w:p>
            <w:pPr>
              <w:jc w:val="right"/>
              <w:ind w:right="267"/>
              <w:spacing w:after="0"/>
              <w:rPr>
                <w:sz w:val="20"/>
                <w:szCs w:val="20"/>
                <w:color w:val="auto"/>
              </w:rPr>
            </w:pPr>
            <w:r>
              <w:rPr>
                <w:rFonts w:ascii="Arial" w:cs="Arial" w:eastAsia="Arial" w:hAnsi="Arial"/>
                <w:sz w:val="11"/>
                <w:szCs w:val="11"/>
                <w:b w:val="1"/>
                <w:bCs w:val="1"/>
                <w:color w:val="auto"/>
              </w:rPr>
              <w:t>(c)</w:t>
            </w:r>
          </w:p>
        </w:tc>
        <w:tc>
          <w:tcPr>
            <w:tcW w:w="84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(d)</w:t>
            </w:r>
          </w:p>
        </w:tc>
        <w:tc>
          <w:tcPr>
            <w:tcW w:w="1040" w:type="dxa"/>
            <w:vAlign w:val="bottom"/>
            <w:vMerge w:val="restart"/>
          </w:tcPr>
          <w:p>
            <w:pPr>
              <w:jc w:val="right"/>
              <w:ind w:right="426"/>
              <w:spacing w:after="0"/>
              <w:rPr>
                <w:sz w:val="20"/>
                <w:szCs w:val="20"/>
                <w:color w:val="auto"/>
              </w:rPr>
            </w:pPr>
            <w:r>
              <w:rPr>
                <w:rFonts w:ascii="Arial" w:cs="Arial" w:eastAsia="Arial" w:hAnsi="Arial"/>
                <w:sz w:val="11"/>
                <w:szCs w:val="11"/>
                <w:b w:val="1"/>
                <w:bCs w:val="1"/>
                <w:color w:val="auto"/>
              </w:rPr>
              <w:t>(e)</w:t>
            </w:r>
          </w:p>
        </w:tc>
        <w:tc>
          <w:tcPr>
            <w:tcW w:w="90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rPr>
              <w:t>(f)</w:t>
            </w:r>
          </w:p>
        </w:tc>
        <w:tc>
          <w:tcPr>
            <w:tcW w:w="90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(g)</w:t>
            </w:r>
          </w:p>
        </w:tc>
        <w:tc>
          <w:tcPr>
            <w:tcW w:w="900" w:type="dxa"/>
            <w:vAlign w:val="bottom"/>
            <w:vMerge w:val="restart"/>
          </w:tcPr>
          <w:p>
            <w:pPr>
              <w:jc w:val="right"/>
              <w:ind w:right="346"/>
              <w:spacing w:after="0"/>
              <w:rPr>
                <w:sz w:val="20"/>
                <w:szCs w:val="20"/>
                <w:color w:val="auto"/>
              </w:rPr>
            </w:pPr>
            <w:r>
              <w:rPr>
                <w:rFonts w:ascii="Arial" w:cs="Arial" w:eastAsia="Arial" w:hAnsi="Arial"/>
                <w:sz w:val="11"/>
                <w:szCs w:val="11"/>
                <w:b w:val="1"/>
                <w:bCs w:val="1"/>
                <w:color w:val="auto"/>
              </w:rPr>
              <w:t>(h)</w:t>
            </w:r>
          </w:p>
        </w:tc>
        <w:tc>
          <w:tcPr>
            <w:tcW w:w="7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3"/>
              </w:rPr>
              <w:t>(i)</w:t>
            </w:r>
          </w:p>
        </w:tc>
        <w:tc>
          <w:tcPr>
            <w:tcW w:w="14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3"/>
              </w:rPr>
              <w:t>(l)</w:t>
            </w:r>
          </w:p>
        </w:tc>
        <w:tc>
          <w:tcPr>
            <w:tcW w:w="0" w:type="dxa"/>
            <w:vAlign w:val="bottom"/>
          </w:tcPr>
          <w:p>
            <w:pPr>
              <w:spacing w:after="0"/>
              <w:rPr>
                <w:sz w:val="1"/>
                <w:szCs w:val="1"/>
                <w:color w:val="auto"/>
              </w:rPr>
            </w:pPr>
          </w:p>
        </w:tc>
      </w:tr>
      <w:tr>
        <w:trPr>
          <w:trHeight w:val="155"/>
        </w:trPr>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1"/>
                <w:szCs w:val="11"/>
                <w:b w:val="1"/>
                <w:bCs w:val="1"/>
                <w:color w:val="auto"/>
              </w:rPr>
              <w:t>(a)</w:t>
            </w:r>
          </w:p>
        </w:tc>
        <w:tc>
          <w:tcPr>
            <w:tcW w:w="11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9"/>
              </w:rPr>
              <w:t>(b)</w:t>
            </w:r>
          </w:p>
        </w:tc>
        <w:tc>
          <w:tcPr>
            <w:tcW w:w="720" w:type="dxa"/>
            <w:vAlign w:val="bottom"/>
            <w:tcBorders>
              <w:bottom w:val="single" w:sz="8" w:color="auto"/>
            </w:tcBorders>
            <w:vMerge w:val="continue"/>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b w:val="1"/>
                <w:bCs w:val="1"/>
                <w:color w:val="auto"/>
              </w:rPr>
              <w:t>John Kao</w:t>
            </w:r>
          </w:p>
        </w:tc>
        <w:tc>
          <w:tcPr>
            <w:tcW w:w="1140" w:type="dxa"/>
            <w:vAlign w:val="bottom"/>
            <w:tcBorders>
              <w:right w:val="single" w:sz="8" w:color="95B3D7"/>
            </w:tcBorders>
            <w:shd w:val="clear" w:color="auto" w:fill="DBE5F1"/>
          </w:tcPr>
          <w:p>
            <w:pPr>
              <w:spacing w:after="0"/>
              <w:rPr>
                <w:sz w:val="14"/>
                <w:szCs w:val="14"/>
                <w:color w:val="auto"/>
              </w:rPr>
            </w:pPr>
          </w:p>
        </w:tc>
        <w:tc>
          <w:tcPr>
            <w:tcW w:w="720" w:type="dxa"/>
            <w:vAlign w:val="bottom"/>
            <w:tcBorders>
              <w:right w:val="single" w:sz="8" w:color="95B3D7"/>
            </w:tcBorders>
            <w:shd w:val="clear" w:color="auto" w:fill="DBE5F1"/>
          </w:tcPr>
          <w:p>
            <w:pPr>
              <w:spacing w:after="0"/>
              <w:rPr>
                <w:sz w:val="14"/>
                <w:szCs w:val="14"/>
                <w:color w:val="auto"/>
              </w:rPr>
            </w:pPr>
          </w:p>
        </w:tc>
        <w:tc>
          <w:tcPr>
            <w:tcW w:w="840" w:type="dxa"/>
            <w:vAlign w:val="bottom"/>
            <w:tcBorders>
              <w:right w:val="single" w:sz="8" w:color="95B3D7"/>
            </w:tcBorders>
            <w:shd w:val="clear" w:color="auto" w:fill="DBE5F1"/>
          </w:tcPr>
          <w:p>
            <w:pPr>
              <w:spacing w:after="0"/>
              <w:rPr>
                <w:sz w:val="14"/>
                <w:szCs w:val="14"/>
                <w:color w:val="auto"/>
              </w:rPr>
            </w:pPr>
          </w:p>
        </w:tc>
        <w:tc>
          <w:tcPr>
            <w:tcW w:w="1040" w:type="dxa"/>
            <w:vAlign w:val="bottom"/>
            <w:tcBorders>
              <w:right w:val="single" w:sz="8" w:color="95B3D7"/>
            </w:tcBorders>
            <w:shd w:val="clear" w:color="auto" w:fill="DBE5F1"/>
          </w:tcPr>
          <w:p>
            <w:pPr>
              <w:spacing w:after="0"/>
              <w:rPr>
                <w:sz w:val="14"/>
                <w:szCs w:val="14"/>
                <w:color w:val="auto"/>
              </w:rPr>
            </w:pPr>
          </w:p>
        </w:tc>
        <w:tc>
          <w:tcPr>
            <w:tcW w:w="900" w:type="dxa"/>
            <w:vAlign w:val="bottom"/>
            <w:tcBorders>
              <w:right w:val="single" w:sz="8" w:color="95B3D7"/>
            </w:tcBorders>
            <w:shd w:val="clear" w:color="auto" w:fill="DBE5F1"/>
          </w:tcPr>
          <w:p>
            <w:pPr>
              <w:spacing w:after="0"/>
              <w:rPr>
                <w:sz w:val="14"/>
                <w:szCs w:val="14"/>
                <w:color w:val="auto"/>
              </w:rPr>
            </w:pPr>
          </w:p>
        </w:tc>
        <w:tc>
          <w:tcPr>
            <w:tcW w:w="900" w:type="dxa"/>
            <w:vAlign w:val="bottom"/>
            <w:tcBorders>
              <w:right w:val="single" w:sz="8" w:color="95B3D7"/>
            </w:tcBorders>
            <w:shd w:val="clear" w:color="auto" w:fill="DBE5F1"/>
          </w:tcPr>
          <w:p>
            <w:pPr>
              <w:spacing w:after="0"/>
              <w:rPr>
                <w:sz w:val="14"/>
                <w:szCs w:val="14"/>
                <w:color w:val="auto"/>
              </w:rPr>
            </w:pPr>
          </w:p>
        </w:tc>
        <w:tc>
          <w:tcPr>
            <w:tcW w:w="900" w:type="dxa"/>
            <w:vAlign w:val="bottom"/>
            <w:tcBorders>
              <w:right w:val="single" w:sz="8" w:color="95B3D7"/>
            </w:tcBorders>
            <w:shd w:val="clear" w:color="auto" w:fill="DBE5F1"/>
          </w:tcPr>
          <w:p>
            <w:pPr>
              <w:spacing w:after="0"/>
              <w:rPr>
                <w:sz w:val="14"/>
                <w:szCs w:val="14"/>
                <w:color w:val="auto"/>
              </w:rPr>
            </w:pPr>
          </w:p>
        </w:tc>
        <w:tc>
          <w:tcPr>
            <w:tcW w:w="720" w:type="dxa"/>
            <w:vAlign w:val="bottom"/>
            <w:tcBorders>
              <w:right w:val="single" w:sz="8" w:color="95B3D7"/>
            </w:tcBorders>
            <w:shd w:val="clear" w:color="auto" w:fill="DBE5F1"/>
          </w:tcPr>
          <w:p>
            <w:pPr>
              <w:spacing w:after="0"/>
              <w:rPr>
                <w:sz w:val="14"/>
                <w:szCs w:val="14"/>
                <w:color w:val="auto"/>
              </w:rPr>
            </w:pPr>
          </w:p>
        </w:tc>
        <w:tc>
          <w:tcPr>
            <w:tcW w:w="140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80" w:type="dxa"/>
            <w:vAlign w:val="bottom"/>
            <w:tcBorders>
              <w:right w:val="single" w:sz="8" w:color="95B3D7"/>
            </w:tcBorders>
            <w:shd w:val="clear" w:color="auto" w:fill="DBE5F1"/>
          </w:tcPr>
          <w:p>
            <w:pPr>
              <w:ind w:left="20"/>
              <w:spacing w:after="0" w:line="217" w:lineRule="exact"/>
              <w:rPr>
                <w:sz w:val="20"/>
                <w:szCs w:val="20"/>
                <w:color w:val="auto"/>
              </w:rPr>
            </w:pPr>
            <w:r>
              <w:rPr>
                <w:rFonts w:ascii="Arial" w:cs="Arial" w:eastAsia="Arial" w:hAnsi="Arial"/>
                <w:sz w:val="21"/>
                <w:szCs w:val="21"/>
                <w:color w:val="auto"/>
                <w:vertAlign w:val="subscript"/>
              </w:rPr>
              <w:t>AIP</w:t>
            </w:r>
            <w:r>
              <w:rPr>
                <w:rFonts w:ascii="Arial" w:cs="Arial" w:eastAsia="Arial" w:hAnsi="Arial"/>
                <w:sz w:val="7"/>
                <w:szCs w:val="7"/>
                <w:color w:val="auto"/>
              </w:rPr>
              <w:t>(1)</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0"/>
              </w:rPr>
              <w:t>—</w:t>
            </w:r>
          </w:p>
        </w:tc>
        <w:tc>
          <w:tcPr>
            <w:tcW w:w="7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525,096</w:t>
            </w:r>
          </w:p>
        </w:tc>
        <w:tc>
          <w:tcPr>
            <w:tcW w:w="8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1,050,192</w:t>
            </w:r>
          </w:p>
        </w:tc>
        <w:tc>
          <w:tcPr>
            <w:tcW w:w="10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2,100,384</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4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7"/>
                <w:szCs w:val="7"/>
                <w:color w:val="auto"/>
              </w:rPr>
              <w:t>(2)</w:t>
            </w:r>
          </w:p>
        </w:tc>
        <w:tc>
          <w:tcPr>
            <w:tcW w:w="1140" w:type="dxa"/>
            <w:vAlign w:val="bottom"/>
            <w:tcBorders>
              <w:right w:val="single" w:sz="8" w:color="95B3D7"/>
            </w:tcBorders>
            <w:shd w:val="clear" w:color="auto" w:fill="DBE5F1"/>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274,194</w:t>
            </w:r>
          </w:p>
        </w:tc>
        <w:tc>
          <w:tcPr>
            <w:tcW w:w="14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4,250,007</w:t>
            </w:r>
          </w:p>
        </w:tc>
        <w:tc>
          <w:tcPr>
            <w:tcW w:w="0" w:type="dxa"/>
            <w:vAlign w:val="bottom"/>
          </w:tcPr>
          <w:p>
            <w:pPr>
              <w:spacing w:after="0"/>
              <w:rPr>
                <w:sz w:val="1"/>
                <w:szCs w:val="1"/>
                <w:color w:val="auto"/>
              </w:rPr>
            </w:pPr>
          </w:p>
        </w:tc>
      </w:tr>
      <w:tr>
        <w:trPr>
          <w:trHeight w:val="176"/>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7"/>
                <w:szCs w:val="7"/>
                <w:color w:val="auto"/>
              </w:rPr>
              <w:t>(2)</w:t>
            </w:r>
          </w:p>
        </w:tc>
        <w:tc>
          <w:tcPr>
            <w:tcW w:w="1140" w:type="dxa"/>
            <w:vAlign w:val="bottom"/>
            <w:tcBorders>
              <w:right w:val="single" w:sz="8" w:color="95B3D7"/>
            </w:tcBorders>
            <w:shd w:val="clear" w:color="auto" w:fill="DBE5F1"/>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137,097</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274,194</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548,388</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4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4,250,007</w:t>
            </w:r>
          </w:p>
        </w:tc>
        <w:tc>
          <w:tcPr>
            <w:tcW w:w="0" w:type="dxa"/>
            <w:vAlign w:val="bottom"/>
          </w:tcPr>
          <w:p>
            <w:pPr>
              <w:spacing w:after="0"/>
              <w:rPr>
                <w:sz w:val="1"/>
                <w:szCs w:val="1"/>
                <w:color w:val="auto"/>
              </w:rPr>
            </w:pPr>
          </w:p>
        </w:tc>
      </w:tr>
      <w:tr>
        <w:trPr>
          <w:trHeight w:val="203"/>
        </w:trPr>
        <w:tc>
          <w:tcPr>
            <w:tcW w:w="1180" w:type="dxa"/>
            <w:vAlign w:val="bottom"/>
            <w:tcBorders>
              <w:bottom w:val="single" w:sz="8" w:color="DBE5F1"/>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7"/>
                <w:szCs w:val="7"/>
                <w:color w:val="auto"/>
              </w:rPr>
              <w:t>(3)</w:t>
            </w:r>
          </w:p>
        </w:tc>
        <w:tc>
          <w:tcPr>
            <w:tcW w:w="1140" w:type="dxa"/>
            <w:vAlign w:val="bottom"/>
            <w:tcBorders>
              <w:bottom w:val="single" w:sz="8" w:color="DBE5F1"/>
              <w:right w:val="single" w:sz="8" w:color="95B3D7"/>
            </w:tcBorders>
            <w:shd w:val="clear" w:color="auto" w:fill="DBE5F1"/>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bottom w:val="single" w:sz="8" w:color="DBE5F1"/>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E5F1"/>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DBE5F1"/>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64,516</w:t>
            </w:r>
          </w:p>
        </w:tc>
        <w:tc>
          <w:tcPr>
            <w:tcW w:w="14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1"/>
                <w:szCs w:val="11"/>
                <w:color w:val="auto"/>
              </w:rPr>
              <w:t>1,000,000</w:t>
            </w:r>
          </w:p>
        </w:tc>
        <w:tc>
          <w:tcPr>
            <w:tcW w:w="0" w:type="dxa"/>
            <w:vAlign w:val="bottom"/>
          </w:tcPr>
          <w:p>
            <w:pPr>
              <w:spacing w:after="0"/>
              <w:rPr>
                <w:sz w:val="1"/>
                <w:szCs w:val="1"/>
                <w:color w:val="auto"/>
              </w:rPr>
            </w:pPr>
          </w:p>
        </w:tc>
      </w:tr>
      <w:tr>
        <w:trPr>
          <w:trHeight w:val="161"/>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b w:val="1"/>
                <w:bCs w:val="1"/>
                <w:color w:val="auto"/>
              </w:rPr>
              <w:t>Dawn Maroney</w:t>
            </w:r>
          </w:p>
        </w:tc>
        <w:tc>
          <w:tcPr>
            <w:tcW w:w="1140" w:type="dxa"/>
            <w:vAlign w:val="bottom"/>
            <w:tcBorders>
              <w:right w:val="single" w:sz="8" w:color="95B3D7"/>
            </w:tcBorders>
          </w:tcPr>
          <w:p>
            <w:pPr>
              <w:spacing w:after="0"/>
              <w:rPr>
                <w:sz w:val="14"/>
                <w:szCs w:val="14"/>
                <w:color w:val="auto"/>
              </w:rPr>
            </w:pPr>
          </w:p>
        </w:tc>
        <w:tc>
          <w:tcPr>
            <w:tcW w:w="720" w:type="dxa"/>
            <w:vAlign w:val="bottom"/>
            <w:tcBorders>
              <w:right w:val="single" w:sz="8" w:color="95B3D7"/>
            </w:tcBorders>
          </w:tcPr>
          <w:p>
            <w:pPr>
              <w:spacing w:after="0"/>
              <w:rPr>
                <w:sz w:val="14"/>
                <w:szCs w:val="14"/>
                <w:color w:val="auto"/>
              </w:rPr>
            </w:pPr>
          </w:p>
        </w:tc>
        <w:tc>
          <w:tcPr>
            <w:tcW w:w="840" w:type="dxa"/>
            <w:vAlign w:val="bottom"/>
            <w:tcBorders>
              <w:right w:val="single" w:sz="8" w:color="95B3D7"/>
            </w:tcBorders>
          </w:tcPr>
          <w:p>
            <w:pPr>
              <w:spacing w:after="0"/>
              <w:rPr>
                <w:sz w:val="14"/>
                <w:szCs w:val="14"/>
                <w:color w:val="auto"/>
              </w:rPr>
            </w:pPr>
          </w:p>
        </w:tc>
        <w:tc>
          <w:tcPr>
            <w:tcW w:w="1040" w:type="dxa"/>
            <w:vAlign w:val="bottom"/>
            <w:tcBorders>
              <w:right w:val="single" w:sz="8" w:color="95B3D7"/>
            </w:tcBorders>
          </w:tcPr>
          <w:p>
            <w:pPr>
              <w:spacing w:after="0"/>
              <w:rPr>
                <w:sz w:val="14"/>
                <w:szCs w:val="14"/>
                <w:color w:val="auto"/>
              </w:rPr>
            </w:pPr>
          </w:p>
        </w:tc>
        <w:tc>
          <w:tcPr>
            <w:tcW w:w="900" w:type="dxa"/>
            <w:vAlign w:val="bottom"/>
            <w:tcBorders>
              <w:right w:val="single" w:sz="8" w:color="95B3D7"/>
            </w:tcBorders>
          </w:tcPr>
          <w:p>
            <w:pPr>
              <w:spacing w:after="0"/>
              <w:rPr>
                <w:sz w:val="14"/>
                <w:szCs w:val="14"/>
                <w:color w:val="auto"/>
              </w:rPr>
            </w:pPr>
          </w:p>
        </w:tc>
        <w:tc>
          <w:tcPr>
            <w:tcW w:w="900" w:type="dxa"/>
            <w:vAlign w:val="bottom"/>
            <w:tcBorders>
              <w:right w:val="single" w:sz="8" w:color="95B3D7"/>
            </w:tcBorders>
          </w:tcPr>
          <w:p>
            <w:pPr>
              <w:spacing w:after="0"/>
              <w:rPr>
                <w:sz w:val="14"/>
                <w:szCs w:val="14"/>
                <w:color w:val="auto"/>
              </w:rPr>
            </w:pPr>
          </w:p>
        </w:tc>
        <w:tc>
          <w:tcPr>
            <w:tcW w:w="900" w:type="dxa"/>
            <w:vAlign w:val="bottom"/>
            <w:tcBorders>
              <w:right w:val="single" w:sz="8" w:color="95B3D7"/>
            </w:tcBorders>
          </w:tcPr>
          <w:p>
            <w:pPr>
              <w:spacing w:after="0"/>
              <w:rPr>
                <w:sz w:val="14"/>
                <w:szCs w:val="14"/>
                <w:color w:val="auto"/>
              </w:rPr>
            </w:pPr>
          </w:p>
        </w:tc>
        <w:tc>
          <w:tcPr>
            <w:tcW w:w="720" w:type="dxa"/>
            <w:vAlign w:val="bottom"/>
            <w:tcBorders>
              <w:right w:val="single" w:sz="8" w:color="95B3D7"/>
            </w:tcBorders>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AIP</w:t>
            </w:r>
            <w:r>
              <w:rPr>
                <w:rFonts w:ascii="Arial" w:cs="Arial" w:eastAsia="Arial" w:hAnsi="Arial"/>
                <w:sz w:val="14"/>
                <w:szCs w:val="14"/>
                <w:color w:val="auto"/>
                <w:vertAlign w:val="superscript"/>
              </w:rPr>
              <w:t>(1)</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0"/>
              </w:rPr>
              <w:t>—</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286,058</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572,116</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1,144,232</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7"/>
                <w:szCs w:val="7"/>
                <w:color w:val="auto"/>
              </w:rPr>
              <w:t>(2)</w:t>
            </w:r>
          </w:p>
        </w:tc>
        <w:tc>
          <w:tcPr>
            <w:tcW w:w="1140" w:type="dxa"/>
            <w:vAlign w:val="bottom"/>
            <w:tcBorders>
              <w:right w:val="single" w:sz="8" w:color="95B3D7"/>
            </w:tcBorders>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119,355</w:t>
            </w:r>
          </w:p>
        </w:tc>
        <w:tc>
          <w:tcPr>
            <w:tcW w:w="1400" w:type="dxa"/>
            <w:vAlign w:val="bottom"/>
          </w:tcPr>
          <w:p>
            <w:pPr>
              <w:jc w:val="right"/>
              <w:spacing w:after="0"/>
              <w:rPr>
                <w:sz w:val="20"/>
                <w:szCs w:val="20"/>
                <w:color w:val="auto"/>
              </w:rPr>
            </w:pPr>
            <w:r>
              <w:rPr>
                <w:rFonts w:ascii="Arial" w:cs="Arial" w:eastAsia="Arial" w:hAnsi="Arial"/>
                <w:sz w:val="11"/>
                <w:szCs w:val="11"/>
                <w:color w:val="auto"/>
              </w:rPr>
              <w:t>1,850,003</w:t>
            </w:r>
          </w:p>
        </w:tc>
        <w:tc>
          <w:tcPr>
            <w:tcW w:w="0" w:type="dxa"/>
            <w:vAlign w:val="bottom"/>
          </w:tcPr>
          <w:p>
            <w:pPr>
              <w:spacing w:after="0"/>
              <w:rPr>
                <w:sz w:val="1"/>
                <w:szCs w:val="1"/>
                <w:color w:val="auto"/>
              </w:rPr>
            </w:pPr>
          </w:p>
        </w:tc>
      </w:tr>
      <w:tr>
        <w:trPr>
          <w:trHeight w:val="175"/>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7"/>
                <w:szCs w:val="7"/>
                <w:color w:val="auto"/>
              </w:rPr>
              <w:t>(2)</w:t>
            </w:r>
          </w:p>
        </w:tc>
        <w:tc>
          <w:tcPr>
            <w:tcW w:w="1140" w:type="dxa"/>
            <w:vAlign w:val="bottom"/>
            <w:tcBorders>
              <w:right w:val="single" w:sz="8" w:color="95B3D7"/>
            </w:tcBorders>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59,678</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119,355</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238,710</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Pr>
          <w:p>
            <w:pPr>
              <w:jc w:val="right"/>
              <w:spacing w:after="0"/>
              <w:rPr>
                <w:sz w:val="20"/>
                <w:szCs w:val="20"/>
                <w:color w:val="auto"/>
              </w:rPr>
            </w:pPr>
            <w:r>
              <w:rPr>
                <w:rFonts w:ascii="Arial" w:cs="Arial" w:eastAsia="Arial" w:hAnsi="Arial"/>
                <w:sz w:val="11"/>
                <w:szCs w:val="11"/>
                <w:color w:val="auto"/>
              </w:rPr>
              <w:t>1,850,003</w:t>
            </w:r>
          </w:p>
        </w:tc>
        <w:tc>
          <w:tcPr>
            <w:tcW w:w="0" w:type="dxa"/>
            <w:vAlign w:val="bottom"/>
          </w:tcPr>
          <w:p>
            <w:pPr>
              <w:spacing w:after="0"/>
              <w:rPr>
                <w:sz w:val="1"/>
                <w:szCs w:val="1"/>
                <w:color w:val="auto"/>
              </w:rPr>
            </w:pPr>
          </w:p>
        </w:tc>
      </w:tr>
      <w:tr>
        <w:trPr>
          <w:trHeight w:val="189"/>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7"/>
                <w:szCs w:val="7"/>
                <w:color w:val="auto"/>
              </w:rPr>
              <w:t>(3)</w:t>
            </w:r>
          </w:p>
        </w:tc>
        <w:tc>
          <w:tcPr>
            <w:tcW w:w="1140" w:type="dxa"/>
            <w:vAlign w:val="bottom"/>
            <w:tcBorders>
              <w:right w:val="single" w:sz="8" w:color="95B3D7"/>
            </w:tcBorders>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32,258</w:t>
            </w:r>
          </w:p>
        </w:tc>
        <w:tc>
          <w:tcPr>
            <w:tcW w:w="1400" w:type="dxa"/>
            <w:vAlign w:val="bottom"/>
          </w:tcPr>
          <w:p>
            <w:pPr>
              <w:jc w:val="right"/>
              <w:spacing w:after="0"/>
              <w:rPr>
                <w:sz w:val="20"/>
                <w:szCs w:val="20"/>
                <w:color w:val="auto"/>
              </w:rPr>
            </w:pPr>
            <w:r>
              <w:rPr>
                <w:rFonts w:ascii="Arial" w:cs="Arial" w:eastAsia="Arial" w:hAnsi="Arial"/>
                <w:sz w:val="11"/>
                <w:szCs w:val="11"/>
                <w:color w:val="auto"/>
              </w:rPr>
              <w:t>500,000</w:t>
            </w:r>
          </w:p>
        </w:tc>
        <w:tc>
          <w:tcPr>
            <w:tcW w:w="0" w:type="dxa"/>
            <w:vAlign w:val="bottom"/>
          </w:tcPr>
          <w:p>
            <w:pPr>
              <w:spacing w:after="0"/>
              <w:rPr>
                <w:sz w:val="1"/>
                <w:szCs w:val="1"/>
                <w:color w:val="auto"/>
              </w:rPr>
            </w:pPr>
          </w:p>
        </w:tc>
      </w:tr>
      <w:tr>
        <w:trPr>
          <w:trHeight w:val="33"/>
        </w:trPr>
        <w:tc>
          <w:tcPr>
            <w:tcW w:w="1180" w:type="dxa"/>
            <w:vAlign w:val="bottom"/>
            <w:tcBorders>
              <w:right w:val="single" w:sz="8" w:color="95B3D7"/>
            </w:tcBorders>
          </w:tcPr>
          <w:p>
            <w:pPr>
              <w:spacing w:after="0"/>
              <w:rPr>
                <w:sz w:val="2"/>
                <w:szCs w:val="2"/>
                <w:color w:val="auto"/>
              </w:rPr>
            </w:pPr>
          </w:p>
        </w:tc>
        <w:tc>
          <w:tcPr>
            <w:tcW w:w="1140" w:type="dxa"/>
            <w:vAlign w:val="bottom"/>
            <w:tcBorders>
              <w:right w:val="single" w:sz="8" w:color="95B3D7"/>
            </w:tcBorders>
          </w:tcPr>
          <w:p>
            <w:pPr>
              <w:spacing w:after="0"/>
              <w:rPr>
                <w:sz w:val="2"/>
                <w:szCs w:val="2"/>
                <w:color w:val="auto"/>
              </w:rPr>
            </w:pPr>
          </w:p>
        </w:tc>
        <w:tc>
          <w:tcPr>
            <w:tcW w:w="720" w:type="dxa"/>
            <w:vAlign w:val="bottom"/>
            <w:tcBorders>
              <w:right w:val="single" w:sz="8" w:color="95B3D7"/>
            </w:tcBorders>
          </w:tcPr>
          <w:p>
            <w:pPr>
              <w:spacing w:after="0"/>
              <w:rPr>
                <w:sz w:val="2"/>
                <w:szCs w:val="2"/>
                <w:color w:val="auto"/>
              </w:rPr>
            </w:pPr>
          </w:p>
        </w:tc>
        <w:tc>
          <w:tcPr>
            <w:tcW w:w="840" w:type="dxa"/>
            <w:vAlign w:val="bottom"/>
            <w:tcBorders>
              <w:right w:val="single" w:sz="8" w:color="95B3D7"/>
            </w:tcBorders>
          </w:tcPr>
          <w:p>
            <w:pPr>
              <w:spacing w:after="0"/>
              <w:rPr>
                <w:sz w:val="2"/>
                <w:szCs w:val="2"/>
                <w:color w:val="auto"/>
              </w:rPr>
            </w:pPr>
          </w:p>
        </w:tc>
        <w:tc>
          <w:tcPr>
            <w:tcW w:w="1040" w:type="dxa"/>
            <w:vAlign w:val="bottom"/>
            <w:tcBorders>
              <w:right w:val="single" w:sz="8" w:color="95B3D7"/>
            </w:tcBorders>
          </w:tcPr>
          <w:p>
            <w:pPr>
              <w:spacing w:after="0"/>
              <w:rPr>
                <w:sz w:val="2"/>
                <w:szCs w:val="2"/>
                <w:color w:val="auto"/>
              </w:rPr>
            </w:pPr>
          </w:p>
        </w:tc>
        <w:tc>
          <w:tcPr>
            <w:tcW w:w="900" w:type="dxa"/>
            <w:vAlign w:val="bottom"/>
            <w:tcBorders>
              <w:right w:val="single" w:sz="8" w:color="95B3D7"/>
            </w:tcBorders>
          </w:tcPr>
          <w:p>
            <w:pPr>
              <w:spacing w:after="0"/>
              <w:rPr>
                <w:sz w:val="2"/>
                <w:szCs w:val="2"/>
                <w:color w:val="auto"/>
              </w:rPr>
            </w:pPr>
          </w:p>
        </w:tc>
        <w:tc>
          <w:tcPr>
            <w:tcW w:w="900" w:type="dxa"/>
            <w:vAlign w:val="bottom"/>
            <w:tcBorders>
              <w:right w:val="single" w:sz="8" w:color="95B3D7"/>
            </w:tcBorders>
          </w:tcPr>
          <w:p>
            <w:pPr>
              <w:spacing w:after="0"/>
              <w:rPr>
                <w:sz w:val="2"/>
                <w:szCs w:val="2"/>
                <w:color w:val="auto"/>
              </w:rPr>
            </w:pPr>
          </w:p>
        </w:tc>
        <w:tc>
          <w:tcPr>
            <w:tcW w:w="900" w:type="dxa"/>
            <w:vAlign w:val="bottom"/>
            <w:tcBorders>
              <w:right w:val="single" w:sz="8" w:color="95B3D7"/>
            </w:tcBorders>
          </w:tcPr>
          <w:p>
            <w:pPr>
              <w:spacing w:after="0"/>
              <w:rPr>
                <w:sz w:val="2"/>
                <w:szCs w:val="2"/>
                <w:color w:val="auto"/>
              </w:rPr>
            </w:pPr>
          </w:p>
        </w:tc>
        <w:tc>
          <w:tcPr>
            <w:tcW w:w="720" w:type="dxa"/>
            <w:vAlign w:val="bottom"/>
            <w:tcBorders>
              <w:right w:val="single" w:sz="8" w:color="95B3D7"/>
            </w:tcBorders>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b w:val="1"/>
                <w:bCs w:val="1"/>
                <w:color w:val="auto"/>
              </w:rPr>
              <w:t>James M. Head</w:t>
            </w:r>
          </w:p>
        </w:tc>
        <w:tc>
          <w:tcPr>
            <w:tcW w:w="1140" w:type="dxa"/>
            <w:vAlign w:val="bottom"/>
            <w:tcBorders>
              <w:right w:val="single" w:sz="8" w:color="95B3D7"/>
            </w:tcBorders>
            <w:shd w:val="clear" w:color="auto" w:fill="DBE5F1"/>
          </w:tcPr>
          <w:p>
            <w:pPr>
              <w:spacing w:after="0"/>
              <w:rPr>
                <w:sz w:val="12"/>
                <w:szCs w:val="12"/>
                <w:color w:val="auto"/>
              </w:rPr>
            </w:pPr>
          </w:p>
        </w:tc>
        <w:tc>
          <w:tcPr>
            <w:tcW w:w="720" w:type="dxa"/>
            <w:vAlign w:val="bottom"/>
            <w:tcBorders>
              <w:right w:val="single" w:sz="8" w:color="95B3D7"/>
            </w:tcBorders>
            <w:shd w:val="clear" w:color="auto" w:fill="DBE5F1"/>
          </w:tcPr>
          <w:p>
            <w:pPr>
              <w:spacing w:after="0"/>
              <w:rPr>
                <w:sz w:val="12"/>
                <w:szCs w:val="12"/>
                <w:color w:val="auto"/>
              </w:rPr>
            </w:pPr>
          </w:p>
        </w:tc>
        <w:tc>
          <w:tcPr>
            <w:tcW w:w="840" w:type="dxa"/>
            <w:vAlign w:val="bottom"/>
            <w:tcBorders>
              <w:right w:val="single" w:sz="8" w:color="95B3D7"/>
            </w:tcBorders>
            <w:shd w:val="clear" w:color="auto" w:fill="DBE5F1"/>
          </w:tcPr>
          <w:p>
            <w:pPr>
              <w:spacing w:after="0"/>
              <w:rPr>
                <w:sz w:val="12"/>
                <w:szCs w:val="12"/>
                <w:color w:val="auto"/>
              </w:rPr>
            </w:pPr>
          </w:p>
        </w:tc>
        <w:tc>
          <w:tcPr>
            <w:tcW w:w="1040" w:type="dxa"/>
            <w:vAlign w:val="bottom"/>
            <w:tcBorders>
              <w:right w:val="single" w:sz="8" w:color="95B3D7"/>
            </w:tcBorders>
            <w:shd w:val="clear" w:color="auto" w:fill="DBE5F1"/>
          </w:tcPr>
          <w:p>
            <w:pPr>
              <w:spacing w:after="0"/>
              <w:rPr>
                <w:sz w:val="12"/>
                <w:szCs w:val="12"/>
                <w:color w:val="auto"/>
              </w:rPr>
            </w:pPr>
          </w:p>
        </w:tc>
        <w:tc>
          <w:tcPr>
            <w:tcW w:w="900" w:type="dxa"/>
            <w:vAlign w:val="bottom"/>
            <w:tcBorders>
              <w:right w:val="single" w:sz="8" w:color="95B3D7"/>
            </w:tcBorders>
            <w:shd w:val="clear" w:color="auto" w:fill="DBE5F1"/>
          </w:tcPr>
          <w:p>
            <w:pPr>
              <w:spacing w:after="0"/>
              <w:rPr>
                <w:sz w:val="12"/>
                <w:szCs w:val="12"/>
                <w:color w:val="auto"/>
              </w:rPr>
            </w:pPr>
          </w:p>
        </w:tc>
        <w:tc>
          <w:tcPr>
            <w:tcW w:w="900" w:type="dxa"/>
            <w:vAlign w:val="bottom"/>
            <w:tcBorders>
              <w:right w:val="single" w:sz="8" w:color="95B3D7"/>
            </w:tcBorders>
            <w:shd w:val="clear" w:color="auto" w:fill="DBE5F1"/>
          </w:tcPr>
          <w:p>
            <w:pPr>
              <w:spacing w:after="0"/>
              <w:rPr>
                <w:sz w:val="12"/>
                <w:szCs w:val="12"/>
                <w:color w:val="auto"/>
              </w:rPr>
            </w:pPr>
          </w:p>
        </w:tc>
        <w:tc>
          <w:tcPr>
            <w:tcW w:w="900" w:type="dxa"/>
            <w:vAlign w:val="bottom"/>
            <w:tcBorders>
              <w:right w:val="single" w:sz="8" w:color="95B3D7"/>
            </w:tcBorders>
            <w:shd w:val="clear" w:color="auto" w:fill="DBE5F1"/>
          </w:tcPr>
          <w:p>
            <w:pPr>
              <w:spacing w:after="0"/>
              <w:rPr>
                <w:sz w:val="12"/>
                <w:szCs w:val="12"/>
                <w:color w:val="auto"/>
              </w:rPr>
            </w:pPr>
          </w:p>
        </w:tc>
        <w:tc>
          <w:tcPr>
            <w:tcW w:w="720" w:type="dxa"/>
            <w:vAlign w:val="bottom"/>
            <w:tcBorders>
              <w:right w:val="single" w:sz="8" w:color="95B3D7"/>
            </w:tcBorders>
            <w:shd w:val="clear" w:color="auto" w:fill="DBE5F1"/>
          </w:tcPr>
          <w:p>
            <w:pPr>
              <w:spacing w:after="0"/>
              <w:rPr>
                <w:sz w:val="12"/>
                <w:szCs w:val="12"/>
                <w:color w:val="auto"/>
              </w:rPr>
            </w:pPr>
          </w:p>
        </w:tc>
        <w:tc>
          <w:tcPr>
            <w:tcW w:w="140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AIP</w:t>
            </w:r>
            <w:r>
              <w:rPr>
                <w:rFonts w:ascii="Arial" w:cs="Arial" w:eastAsia="Arial" w:hAnsi="Arial"/>
                <w:sz w:val="7"/>
                <w:szCs w:val="7"/>
                <w:color w:val="auto"/>
              </w:rPr>
              <w:t>(1)</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0"/>
              </w:rPr>
              <w:t>—</w:t>
            </w:r>
          </w:p>
        </w:tc>
        <w:tc>
          <w:tcPr>
            <w:tcW w:w="7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157,904</w:t>
            </w:r>
          </w:p>
        </w:tc>
        <w:tc>
          <w:tcPr>
            <w:tcW w:w="8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315,808</w:t>
            </w:r>
          </w:p>
        </w:tc>
        <w:tc>
          <w:tcPr>
            <w:tcW w:w="10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631,616</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4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7"/>
                <w:szCs w:val="7"/>
                <w:color w:val="auto"/>
              </w:rPr>
              <w:t>(2)</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6/4/2025</w:t>
            </w:r>
          </w:p>
        </w:tc>
        <w:tc>
          <w:tcPr>
            <w:tcW w:w="7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81,593</w:t>
            </w:r>
          </w:p>
        </w:tc>
        <w:tc>
          <w:tcPr>
            <w:tcW w:w="14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1,250,005</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DBE5F1"/>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7"/>
                <w:szCs w:val="7"/>
                <w:color w:val="auto"/>
              </w:rPr>
              <w:t>(2)</w:t>
            </w:r>
          </w:p>
        </w:tc>
        <w:tc>
          <w:tcPr>
            <w:tcW w:w="11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7"/>
              </w:rPr>
              <w:t>6/4/2025</w:t>
            </w:r>
          </w:p>
        </w:tc>
        <w:tc>
          <w:tcPr>
            <w:tcW w:w="720" w:type="dxa"/>
            <w:vAlign w:val="bottom"/>
            <w:tcBorders>
              <w:bottom w:val="single" w:sz="8" w:color="DBE5F1"/>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E5F1"/>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DBE5F1"/>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40,797</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81,593</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163,186</w:t>
            </w:r>
          </w:p>
        </w:tc>
        <w:tc>
          <w:tcPr>
            <w:tcW w:w="72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1"/>
                <w:szCs w:val="11"/>
                <w:color w:val="auto"/>
              </w:rPr>
              <w:t>1,250,005</w:t>
            </w:r>
          </w:p>
        </w:tc>
        <w:tc>
          <w:tcPr>
            <w:tcW w:w="0" w:type="dxa"/>
            <w:vAlign w:val="bottom"/>
          </w:tcPr>
          <w:p>
            <w:pPr>
              <w:spacing w:after="0"/>
              <w:rPr>
                <w:sz w:val="1"/>
                <w:szCs w:val="1"/>
                <w:color w:val="auto"/>
              </w:rPr>
            </w:pPr>
          </w:p>
        </w:tc>
      </w:tr>
      <w:tr>
        <w:trPr>
          <w:trHeight w:val="162"/>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b w:val="1"/>
                <w:bCs w:val="1"/>
                <w:color w:val="auto"/>
              </w:rPr>
              <w:t>Thomas Freeman</w:t>
            </w:r>
          </w:p>
        </w:tc>
        <w:tc>
          <w:tcPr>
            <w:tcW w:w="1140" w:type="dxa"/>
            <w:vAlign w:val="bottom"/>
            <w:tcBorders>
              <w:right w:val="single" w:sz="8" w:color="95B3D7"/>
            </w:tcBorders>
          </w:tcPr>
          <w:p>
            <w:pPr>
              <w:spacing w:after="0"/>
              <w:rPr>
                <w:sz w:val="14"/>
                <w:szCs w:val="14"/>
                <w:color w:val="auto"/>
              </w:rPr>
            </w:pPr>
          </w:p>
        </w:tc>
        <w:tc>
          <w:tcPr>
            <w:tcW w:w="720" w:type="dxa"/>
            <w:vAlign w:val="bottom"/>
            <w:tcBorders>
              <w:right w:val="single" w:sz="8" w:color="95B3D7"/>
            </w:tcBorders>
          </w:tcPr>
          <w:p>
            <w:pPr>
              <w:spacing w:after="0"/>
              <w:rPr>
                <w:sz w:val="14"/>
                <w:szCs w:val="14"/>
                <w:color w:val="auto"/>
              </w:rPr>
            </w:pPr>
          </w:p>
        </w:tc>
        <w:tc>
          <w:tcPr>
            <w:tcW w:w="840" w:type="dxa"/>
            <w:vAlign w:val="bottom"/>
            <w:tcBorders>
              <w:right w:val="single" w:sz="8" w:color="95B3D7"/>
            </w:tcBorders>
          </w:tcPr>
          <w:p>
            <w:pPr>
              <w:spacing w:after="0"/>
              <w:rPr>
                <w:sz w:val="14"/>
                <w:szCs w:val="14"/>
                <w:color w:val="auto"/>
              </w:rPr>
            </w:pPr>
          </w:p>
        </w:tc>
        <w:tc>
          <w:tcPr>
            <w:tcW w:w="1040" w:type="dxa"/>
            <w:vAlign w:val="bottom"/>
            <w:tcBorders>
              <w:right w:val="single" w:sz="8" w:color="95B3D7"/>
            </w:tcBorders>
          </w:tcPr>
          <w:p>
            <w:pPr>
              <w:spacing w:after="0"/>
              <w:rPr>
                <w:sz w:val="14"/>
                <w:szCs w:val="14"/>
                <w:color w:val="auto"/>
              </w:rPr>
            </w:pPr>
          </w:p>
        </w:tc>
        <w:tc>
          <w:tcPr>
            <w:tcW w:w="900" w:type="dxa"/>
            <w:vAlign w:val="bottom"/>
            <w:tcBorders>
              <w:right w:val="single" w:sz="8" w:color="95B3D7"/>
            </w:tcBorders>
          </w:tcPr>
          <w:p>
            <w:pPr>
              <w:spacing w:after="0"/>
              <w:rPr>
                <w:sz w:val="14"/>
                <w:szCs w:val="14"/>
                <w:color w:val="auto"/>
              </w:rPr>
            </w:pPr>
          </w:p>
        </w:tc>
        <w:tc>
          <w:tcPr>
            <w:tcW w:w="900" w:type="dxa"/>
            <w:vAlign w:val="bottom"/>
            <w:tcBorders>
              <w:right w:val="single" w:sz="8" w:color="95B3D7"/>
            </w:tcBorders>
          </w:tcPr>
          <w:p>
            <w:pPr>
              <w:spacing w:after="0"/>
              <w:rPr>
                <w:sz w:val="14"/>
                <w:szCs w:val="14"/>
                <w:color w:val="auto"/>
              </w:rPr>
            </w:pPr>
          </w:p>
        </w:tc>
        <w:tc>
          <w:tcPr>
            <w:tcW w:w="900" w:type="dxa"/>
            <w:vAlign w:val="bottom"/>
            <w:tcBorders>
              <w:right w:val="single" w:sz="8" w:color="95B3D7"/>
            </w:tcBorders>
          </w:tcPr>
          <w:p>
            <w:pPr>
              <w:spacing w:after="0"/>
              <w:rPr>
                <w:sz w:val="14"/>
                <w:szCs w:val="14"/>
                <w:color w:val="auto"/>
              </w:rPr>
            </w:pPr>
          </w:p>
        </w:tc>
        <w:tc>
          <w:tcPr>
            <w:tcW w:w="720" w:type="dxa"/>
            <w:vAlign w:val="bottom"/>
            <w:tcBorders>
              <w:right w:val="single" w:sz="8" w:color="95B3D7"/>
            </w:tcBorders>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80" w:type="dxa"/>
            <w:vAlign w:val="bottom"/>
            <w:tcBorders>
              <w:right w:val="single" w:sz="8" w:color="95B3D7"/>
            </w:tcBorders>
          </w:tcPr>
          <w:p>
            <w:pPr>
              <w:ind w:left="20"/>
              <w:spacing w:after="0" w:line="217" w:lineRule="exact"/>
              <w:rPr>
                <w:sz w:val="20"/>
                <w:szCs w:val="20"/>
                <w:color w:val="auto"/>
              </w:rPr>
            </w:pPr>
            <w:r>
              <w:rPr>
                <w:rFonts w:ascii="Arial" w:cs="Arial" w:eastAsia="Arial" w:hAnsi="Arial"/>
                <w:sz w:val="21"/>
                <w:szCs w:val="21"/>
                <w:color w:val="auto"/>
                <w:vertAlign w:val="subscript"/>
              </w:rPr>
              <w:t>AIP</w:t>
            </w:r>
            <w:r>
              <w:rPr>
                <w:rFonts w:ascii="Arial" w:cs="Arial" w:eastAsia="Arial" w:hAnsi="Arial"/>
                <w:sz w:val="7"/>
                <w:szCs w:val="7"/>
                <w:color w:val="auto"/>
              </w:rPr>
              <w:t>(1)</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0"/>
              </w:rPr>
              <w:t>—</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102,652</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205,304</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410,608</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7"/>
                <w:szCs w:val="7"/>
                <w:color w:val="auto"/>
              </w:rPr>
              <w:t>(2)</w:t>
            </w:r>
          </w:p>
        </w:tc>
        <w:tc>
          <w:tcPr>
            <w:tcW w:w="1140" w:type="dxa"/>
            <w:vAlign w:val="bottom"/>
            <w:tcBorders>
              <w:right w:val="single" w:sz="8" w:color="95B3D7"/>
            </w:tcBorders>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61,290</w:t>
            </w:r>
          </w:p>
        </w:tc>
        <w:tc>
          <w:tcPr>
            <w:tcW w:w="1400" w:type="dxa"/>
            <w:vAlign w:val="bottom"/>
          </w:tcPr>
          <w:p>
            <w:pPr>
              <w:jc w:val="right"/>
              <w:spacing w:after="0"/>
              <w:rPr>
                <w:sz w:val="20"/>
                <w:szCs w:val="20"/>
                <w:color w:val="auto"/>
              </w:rPr>
            </w:pPr>
            <w:r>
              <w:rPr>
                <w:rFonts w:ascii="Arial" w:cs="Arial" w:eastAsia="Arial" w:hAnsi="Arial"/>
                <w:sz w:val="11"/>
                <w:szCs w:val="11"/>
                <w:color w:val="auto"/>
              </w:rPr>
              <w:t>949,995</w:t>
            </w:r>
          </w:p>
        </w:tc>
        <w:tc>
          <w:tcPr>
            <w:tcW w:w="0" w:type="dxa"/>
            <w:vAlign w:val="bottom"/>
          </w:tcPr>
          <w:p>
            <w:pPr>
              <w:spacing w:after="0"/>
              <w:rPr>
                <w:sz w:val="1"/>
                <w:szCs w:val="1"/>
                <w:color w:val="auto"/>
              </w:rPr>
            </w:pPr>
          </w:p>
        </w:tc>
      </w:tr>
      <w:tr>
        <w:trPr>
          <w:trHeight w:val="175"/>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7"/>
                <w:szCs w:val="7"/>
                <w:color w:val="auto"/>
              </w:rPr>
              <w:t>(2)</w:t>
            </w:r>
          </w:p>
        </w:tc>
        <w:tc>
          <w:tcPr>
            <w:tcW w:w="1140" w:type="dxa"/>
            <w:vAlign w:val="bottom"/>
            <w:tcBorders>
              <w:right w:val="single" w:sz="8" w:color="95B3D7"/>
            </w:tcBorders>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30,645</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61,290</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122,580</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Pr>
          <w:p>
            <w:pPr>
              <w:jc w:val="right"/>
              <w:spacing w:after="0"/>
              <w:rPr>
                <w:sz w:val="20"/>
                <w:szCs w:val="20"/>
                <w:color w:val="auto"/>
              </w:rPr>
            </w:pPr>
            <w:r>
              <w:rPr>
                <w:rFonts w:ascii="Arial" w:cs="Arial" w:eastAsia="Arial" w:hAnsi="Arial"/>
                <w:sz w:val="11"/>
                <w:szCs w:val="11"/>
                <w:color w:val="auto"/>
              </w:rPr>
              <w:t>949,995</w:t>
            </w:r>
          </w:p>
        </w:tc>
        <w:tc>
          <w:tcPr>
            <w:tcW w:w="0" w:type="dxa"/>
            <w:vAlign w:val="bottom"/>
          </w:tcPr>
          <w:p>
            <w:pPr>
              <w:spacing w:after="0"/>
              <w:rPr>
                <w:sz w:val="1"/>
                <w:szCs w:val="1"/>
                <w:color w:val="auto"/>
              </w:rPr>
            </w:pPr>
          </w:p>
        </w:tc>
      </w:tr>
      <w:tr>
        <w:trPr>
          <w:trHeight w:val="189"/>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Stock Award</w:t>
            </w:r>
            <w:r>
              <w:rPr>
                <w:rFonts w:ascii="Arial" w:cs="Arial" w:eastAsia="Arial" w:hAnsi="Arial"/>
                <w:sz w:val="7"/>
                <w:szCs w:val="7"/>
                <w:color w:val="auto"/>
              </w:rPr>
              <w:t>(3)</w:t>
            </w:r>
          </w:p>
        </w:tc>
        <w:tc>
          <w:tcPr>
            <w:tcW w:w="1140" w:type="dxa"/>
            <w:vAlign w:val="bottom"/>
            <w:tcBorders>
              <w:right w:val="single" w:sz="8" w:color="95B3D7"/>
            </w:tcBorders>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32,258</w:t>
            </w:r>
          </w:p>
        </w:tc>
        <w:tc>
          <w:tcPr>
            <w:tcW w:w="1400" w:type="dxa"/>
            <w:vAlign w:val="bottom"/>
          </w:tcPr>
          <w:p>
            <w:pPr>
              <w:jc w:val="right"/>
              <w:spacing w:after="0"/>
              <w:rPr>
                <w:sz w:val="20"/>
                <w:szCs w:val="20"/>
                <w:color w:val="auto"/>
              </w:rPr>
            </w:pPr>
            <w:r>
              <w:rPr>
                <w:rFonts w:ascii="Arial" w:cs="Arial" w:eastAsia="Arial" w:hAnsi="Arial"/>
                <w:sz w:val="11"/>
                <w:szCs w:val="11"/>
                <w:color w:val="auto"/>
              </w:rPr>
              <w:t>500,000</w:t>
            </w:r>
          </w:p>
        </w:tc>
        <w:tc>
          <w:tcPr>
            <w:tcW w:w="0" w:type="dxa"/>
            <w:vAlign w:val="bottom"/>
          </w:tcPr>
          <w:p>
            <w:pPr>
              <w:spacing w:after="0"/>
              <w:rPr>
                <w:sz w:val="1"/>
                <w:szCs w:val="1"/>
                <w:color w:val="auto"/>
              </w:rPr>
            </w:pPr>
          </w:p>
        </w:tc>
      </w:tr>
      <w:tr>
        <w:trPr>
          <w:trHeight w:val="33"/>
        </w:trPr>
        <w:tc>
          <w:tcPr>
            <w:tcW w:w="1180" w:type="dxa"/>
            <w:vAlign w:val="bottom"/>
            <w:tcBorders>
              <w:right w:val="single" w:sz="8" w:color="95B3D7"/>
            </w:tcBorders>
          </w:tcPr>
          <w:p>
            <w:pPr>
              <w:spacing w:after="0"/>
              <w:rPr>
                <w:sz w:val="2"/>
                <w:szCs w:val="2"/>
                <w:color w:val="auto"/>
              </w:rPr>
            </w:pPr>
          </w:p>
        </w:tc>
        <w:tc>
          <w:tcPr>
            <w:tcW w:w="1140" w:type="dxa"/>
            <w:vAlign w:val="bottom"/>
            <w:tcBorders>
              <w:right w:val="single" w:sz="8" w:color="95B3D7"/>
            </w:tcBorders>
          </w:tcPr>
          <w:p>
            <w:pPr>
              <w:spacing w:after="0"/>
              <w:rPr>
                <w:sz w:val="2"/>
                <w:szCs w:val="2"/>
                <w:color w:val="auto"/>
              </w:rPr>
            </w:pPr>
          </w:p>
        </w:tc>
        <w:tc>
          <w:tcPr>
            <w:tcW w:w="720" w:type="dxa"/>
            <w:vAlign w:val="bottom"/>
            <w:tcBorders>
              <w:right w:val="single" w:sz="8" w:color="95B3D7"/>
            </w:tcBorders>
          </w:tcPr>
          <w:p>
            <w:pPr>
              <w:spacing w:after="0"/>
              <w:rPr>
                <w:sz w:val="2"/>
                <w:szCs w:val="2"/>
                <w:color w:val="auto"/>
              </w:rPr>
            </w:pPr>
          </w:p>
        </w:tc>
        <w:tc>
          <w:tcPr>
            <w:tcW w:w="840" w:type="dxa"/>
            <w:vAlign w:val="bottom"/>
            <w:tcBorders>
              <w:right w:val="single" w:sz="8" w:color="95B3D7"/>
            </w:tcBorders>
          </w:tcPr>
          <w:p>
            <w:pPr>
              <w:spacing w:after="0"/>
              <w:rPr>
                <w:sz w:val="2"/>
                <w:szCs w:val="2"/>
                <w:color w:val="auto"/>
              </w:rPr>
            </w:pPr>
          </w:p>
        </w:tc>
        <w:tc>
          <w:tcPr>
            <w:tcW w:w="1040" w:type="dxa"/>
            <w:vAlign w:val="bottom"/>
            <w:tcBorders>
              <w:right w:val="single" w:sz="8" w:color="95B3D7"/>
            </w:tcBorders>
          </w:tcPr>
          <w:p>
            <w:pPr>
              <w:spacing w:after="0"/>
              <w:rPr>
                <w:sz w:val="2"/>
                <w:szCs w:val="2"/>
                <w:color w:val="auto"/>
              </w:rPr>
            </w:pPr>
          </w:p>
        </w:tc>
        <w:tc>
          <w:tcPr>
            <w:tcW w:w="900" w:type="dxa"/>
            <w:vAlign w:val="bottom"/>
            <w:tcBorders>
              <w:right w:val="single" w:sz="8" w:color="95B3D7"/>
            </w:tcBorders>
          </w:tcPr>
          <w:p>
            <w:pPr>
              <w:spacing w:after="0"/>
              <w:rPr>
                <w:sz w:val="2"/>
                <w:szCs w:val="2"/>
                <w:color w:val="auto"/>
              </w:rPr>
            </w:pPr>
          </w:p>
        </w:tc>
        <w:tc>
          <w:tcPr>
            <w:tcW w:w="900" w:type="dxa"/>
            <w:vAlign w:val="bottom"/>
            <w:tcBorders>
              <w:right w:val="single" w:sz="8" w:color="95B3D7"/>
            </w:tcBorders>
          </w:tcPr>
          <w:p>
            <w:pPr>
              <w:spacing w:after="0"/>
              <w:rPr>
                <w:sz w:val="2"/>
                <w:szCs w:val="2"/>
                <w:color w:val="auto"/>
              </w:rPr>
            </w:pPr>
          </w:p>
        </w:tc>
        <w:tc>
          <w:tcPr>
            <w:tcW w:w="900" w:type="dxa"/>
            <w:vAlign w:val="bottom"/>
            <w:tcBorders>
              <w:right w:val="single" w:sz="8" w:color="95B3D7"/>
            </w:tcBorders>
          </w:tcPr>
          <w:p>
            <w:pPr>
              <w:spacing w:after="0"/>
              <w:rPr>
                <w:sz w:val="2"/>
                <w:szCs w:val="2"/>
                <w:color w:val="auto"/>
              </w:rPr>
            </w:pPr>
          </w:p>
        </w:tc>
        <w:tc>
          <w:tcPr>
            <w:tcW w:w="720" w:type="dxa"/>
            <w:vAlign w:val="bottom"/>
            <w:tcBorders>
              <w:right w:val="single" w:sz="8" w:color="95B3D7"/>
            </w:tcBorders>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180" w:type="dxa"/>
            <w:vAlign w:val="bottom"/>
            <w:tcBorders>
              <w:right w:val="single" w:sz="8" w:color="95B3D7"/>
            </w:tcBorders>
            <w:shd w:val="clear" w:color="auto" w:fill="DBE5F1"/>
          </w:tcPr>
          <w:p>
            <w:pPr>
              <w:ind w:left="20"/>
              <w:spacing w:after="0" w:line="109" w:lineRule="exact"/>
              <w:rPr>
                <w:sz w:val="20"/>
                <w:szCs w:val="20"/>
                <w:color w:val="auto"/>
              </w:rPr>
            </w:pPr>
            <w:r>
              <w:rPr>
                <w:rFonts w:ascii="Arial" w:cs="Arial" w:eastAsia="Arial" w:hAnsi="Arial"/>
                <w:sz w:val="11"/>
                <w:szCs w:val="11"/>
                <w:b w:val="1"/>
                <w:bCs w:val="1"/>
                <w:color w:val="auto"/>
              </w:rPr>
              <w:t>Hyong (Ken) Kim,</w:t>
            </w:r>
          </w:p>
        </w:tc>
        <w:tc>
          <w:tcPr>
            <w:tcW w:w="1140" w:type="dxa"/>
            <w:vAlign w:val="bottom"/>
            <w:tcBorders>
              <w:right w:val="single" w:sz="8" w:color="95B3D7"/>
            </w:tcBorders>
            <w:shd w:val="clear" w:color="auto" w:fill="DBE5F1"/>
          </w:tcPr>
          <w:p>
            <w:pPr>
              <w:spacing w:after="0"/>
              <w:rPr>
                <w:sz w:val="9"/>
                <w:szCs w:val="9"/>
                <w:color w:val="auto"/>
              </w:rPr>
            </w:pPr>
          </w:p>
        </w:tc>
        <w:tc>
          <w:tcPr>
            <w:tcW w:w="720" w:type="dxa"/>
            <w:vAlign w:val="bottom"/>
            <w:tcBorders>
              <w:right w:val="single" w:sz="8" w:color="95B3D7"/>
            </w:tcBorders>
            <w:shd w:val="clear" w:color="auto" w:fill="DBE5F1"/>
          </w:tcPr>
          <w:p>
            <w:pPr>
              <w:spacing w:after="0"/>
              <w:rPr>
                <w:sz w:val="9"/>
                <w:szCs w:val="9"/>
                <w:color w:val="auto"/>
              </w:rPr>
            </w:pPr>
          </w:p>
        </w:tc>
        <w:tc>
          <w:tcPr>
            <w:tcW w:w="840" w:type="dxa"/>
            <w:vAlign w:val="bottom"/>
            <w:tcBorders>
              <w:right w:val="single" w:sz="8" w:color="95B3D7"/>
            </w:tcBorders>
            <w:shd w:val="clear" w:color="auto" w:fill="DBE5F1"/>
          </w:tcPr>
          <w:p>
            <w:pPr>
              <w:spacing w:after="0"/>
              <w:rPr>
                <w:sz w:val="9"/>
                <w:szCs w:val="9"/>
                <w:color w:val="auto"/>
              </w:rPr>
            </w:pPr>
          </w:p>
        </w:tc>
        <w:tc>
          <w:tcPr>
            <w:tcW w:w="1040" w:type="dxa"/>
            <w:vAlign w:val="bottom"/>
            <w:tcBorders>
              <w:right w:val="single" w:sz="8" w:color="95B3D7"/>
            </w:tcBorders>
            <w:shd w:val="clear" w:color="auto" w:fill="DBE5F1"/>
          </w:tcPr>
          <w:p>
            <w:pPr>
              <w:spacing w:after="0"/>
              <w:rPr>
                <w:sz w:val="9"/>
                <w:szCs w:val="9"/>
                <w:color w:val="auto"/>
              </w:rPr>
            </w:pPr>
          </w:p>
        </w:tc>
        <w:tc>
          <w:tcPr>
            <w:tcW w:w="900" w:type="dxa"/>
            <w:vAlign w:val="bottom"/>
            <w:tcBorders>
              <w:right w:val="single" w:sz="8" w:color="95B3D7"/>
            </w:tcBorders>
            <w:shd w:val="clear" w:color="auto" w:fill="DBE5F1"/>
          </w:tcPr>
          <w:p>
            <w:pPr>
              <w:spacing w:after="0"/>
              <w:rPr>
                <w:sz w:val="9"/>
                <w:szCs w:val="9"/>
                <w:color w:val="auto"/>
              </w:rPr>
            </w:pPr>
          </w:p>
        </w:tc>
        <w:tc>
          <w:tcPr>
            <w:tcW w:w="900" w:type="dxa"/>
            <w:vAlign w:val="bottom"/>
            <w:tcBorders>
              <w:right w:val="single" w:sz="8" w:color="95B3D7"/>
            </w:tcBorders>
            <w:shd w:val="clear" w:color="auto" w:fill="DBE5F1"/>
          </w:tcPr>
          <w:p>
            <w:pPr>
              <w:spacing w:after="0"/>
              <w:rPr>
                <w:sz w:val="9"/>
                <w:szCs w:val="9"/>
                <w:color w:val="auto"/>
              </w:rPr>
            </w:pPr>
          </w:p>
        </w:tc>
        <w:tc>
          <w:tcPr>
            <w:tcW w:w="900" w:type="dxa"/>
            <w:vAlign w:val="bottom"/>
            <w:tcBorders>
              <w:right w:val="single" w:sz="8" w:color="95B3D7"/>
            </w:tcBorders>
            <w:shd w:val="clear" w:color="auto" w:fill="DBE5F1"/>
          </w:tcPr>
          <w:p>
            <w:pPr>
              <w:spacing w:after="0"/>
              <w:rPr>
                <w:sz w:val="9"/>
                <w:szCs w:val="9"/>
                <w:color w:val="auto"/>
              </w:rPr>
            </w:pPr>
          </w:p>
        </w:tc>
        <w:tc>
          <w:tcPr>
            <w:tcW w:w="720" w:type="dxa"/>
            <w:vAlign w:val="bottom"/>
            <w:tcBorders>
              <w:right w:val="single" w:sz="8" w:color="95B3D7"/>
            </w:tcBorders>
            <w:shd w:val="clear" w:color="auto" w:fill="DBE5F1"/>
          </w:tcPr>
          <w:p>
            <w:pPr>
              <w:spacing w:after="0"/>
              <w:rPr>
                <w:sz w:val="9"/>
                <w:szCs w:val="9"/>
                <w:color w:val="auto"/>
              </w:rPr>
            </w:pPr>
          </w:p>
        </w:tc>
        <w:tc>
          <w:tcPr>
            <w:tcW w:w="140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b w:val="1"/>
                <w:bCs w:val="1"/>
                <w:color w:val="auto"/>
              </w:rPr>
              <w:t>M.D.</w:t>
            </w:r>
          </w:p>
        </w:tc>
        <w:tc>
          <w:tcPr>
            <w:tcW w:w="1140" w:type="dxa"/>
            <w:vAlign w:val="bottom"/>
            <w:tcBorders>
              <w:right w:val="single" w:sz="8" w:color="95B3D7"/>
            </w:tcBorders>
            <w:shd w:val="clear" w:color="auto" w:fill="DBE5F1"/>
          </w:tcPr>
          <w:p>
            <w:pPr>
              <w:spacing w:after="0"/>
              <w:rPr>
                <w:sz w:val="12"/>
                <w:szCs w:val="12"/>
                <w:color w:val="auto"/>
              </w:rPr>
            </w:pPr>
          </w:p>
        </w:tc>
        <w:tc>
          <w:tcPr>
            <w:tcW w:w="720" w:type="dxa"/>
            <w:vAlign w:val="bottom"/>
            <w:tcBorders>
              <w:right w:val="single" w:sz="8" w:color="95B3D7"/>
            </w:tcBorders>
            <w:shd w:val="clear" w:color="auto" w:fill="DBE5F1"/>
          </w:tcPr>
          <w:p>
            <w:pPr>
              <w:spacing w:after="0"/>
              <w:rPr>
                <w:sz w:val="12"/>
                <w:szCs w:val="12"/>
                <w:color w:val="auto"/>
              </w:rPr>
            </w:pPr>
          </w:p>
        </w:tc>
        <w:tc>
          <w:tcPr>
            <w:tcW w:w="840" w:type="dxa"/>
            <w:vAlign w:val="bottom"/>
            <w:tcBorders>
              <w:right w:val="single" w:sz="8" w:color="95B3D7"/>
            </w:tcBorders>
            <w:shd w:val="clear" w:color="auto" w:fill="DBE5F1"/>
          </w:tcPr>
          <w:p>
            <w:pPr>
              <w:spacing w:after="0"/>
              <w:rPr>
                <w:sz w:val="12"/>
                <w:szCs w:val="12"/>
                <w:color w:val="auto"/>
              </w:rPr>
            </w:pPr>
          </w:p>
        </w:tc>
        <w:tc>
          <w:tcPr>
            <w:tcW w:w="1040" w:type="dxa"/>
            <w:vAlign w:val="bottom"/>
            <w:tcBorders>
              <w:right w:val="single" w:sz="8" w:color="95B3D7"/>
            </w:tcBorders>
            <w:shd w:val="clear" w:color="auto" w:fill="DBE5F1"/>
          </w:tcPr>
          <w:p>
            <w:pPr>
              <w:spacing w:after="0"/>
              <w:rPr>
                <w:sz w:val="12"/>
                <w:szCs w:val="12"/>
                <w:color w:val="auto"/>
              </w:rPr>
            </w:pPr>
          </w:p>
        </w:tc>
        <w:tc>
          <w:tcPr>
            <w:tcW w:w="900" w:type="dxa"/>
            <w:vAlign w:val="bottom"/>
            <w:tcBorders>
              <w:right w:val="single" w:sz="8" w:color="95B3D7"/>
            </w:tcBorders>
            <w:shd w:val="clear" w:color="auto" w:fill="DBE5F1"/>
          </w:tcPr>
          <w:p>
            <w:pPr>
              <w:spacing w:after="0"/>
              <w:rPr>
                <w:sz w:val="12"/>
                <w:szCs w:val="12"/>
                <w:color w:val="auto"/>
              </w:rPr>
            </w:pPr>
          </w:p>
        </w:tc>
        <w:tc>
          <w:tcPr>
            <w:tcW w:w="900" w:type="dxa"/>
            <w:vAlign w:val="bottom"/>
            <w:tcBorders>
              <w:right w:val="single" w:sz="8" w:color="95B3D7"/>
            </w:tcBorders>
            <w:shd w:val="clear" w:color="auto" w:fill="DBE5F1"/>
          </w:tcPr>
          <w:p>
            <w:pPr>
              <w:spacing w:after="0"/>
              <w:rPr>
                <w:sz w:val="12"/>
                <w:szCs w:val="12"/>
                <w:color w:val="auto"/>
              </w:rPr>
            </w:pPr>
          </w:p>
        </w:tc>
        <w:tc>
          <w:tcPr>
            <w:tcW w:w="900" w:type="dxa"/>
            <w:vAlign w:val="bottom"/>
            <w:tcBorders>
              <w:right w:val="single" w:sz="8" w:color="95B3D7"/>
            </w:tcBorders>
            <w:shd w:val="clear" w:color="auto" w:fill="DBE5F1"/>
          </w:tcPr>
          <w:p>
            <w:pPr>
              <w:spacing w:after="0"/>
              <w:rPr>
                <w:sz w:val="12"/>
                <w:szCs w:val="12"/>
                <w:color w:val="auto"/>
              </w:rPr>
            </w:pPr>
          </w:p>
        </w:tc>
        <w:tc>
          <w:tcPr>
            <w:tcW w:w="720" w:type="dxa"/>
            <w:vAlign w:val="bottom"/>
            <w:tcBorders>
              <w:right w:val="single" w:sz="8" w:color="95B3D7"/>
            </w:tcBorders>
            <w:shd w:val="clear" w:color="auto" w:fill="DBE5F1"/>
          </w:tcPr>
          <w:p>
            <w:pPr>
              <w:spacing w:after="0"/>
              <w:rPr>
                <w:sz w:val="12"/>
                <w:szCs w:val="12"/>
                <w:color w:val="auto"/>
              </w:rPr>
            </w:pPr>
          </w:p>
        </w:tc>
        <w:tc>
          <w:tcPr>
            <w:tcW w:w="1400" w:type="dxa"/>
            <w:vAlign w:val="bottom"/>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AIP</w:t>
            </w:r>
            <w:r>
              <w:rPr>
                <w:rFonts w:ascii="Arial" w:cs="Arial" w:eastAsia="Arial" w:hAnsi="Arial"/>
                <w:sz w:val="7"/>
                <w:szCs w:val="7"/>
                <w:color w:val="auto"/>
              </w:rPr>
              <w:t>(1)</w:t>
            </w:r>
          </w:p>
        </w:tc>
        <w:tc>
          <w:tcPr>
            <w:tcW w:w="11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1"/>
                <w:szCs w:val="11"/>
                <w:color w:val="auto"/>
                <w:w w:val="90"/>
              </w:rPr>
              <w:t>—</w:t>
            </w:r>
          </w:p>
        </w:tc>
        <w:tc>
          <w:tcPr>
            <w:tcW w:w="7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238,000</w:t>
            </w:r>
          </w:p>
        </w:tc>
        <w:tc>
          <w:tcPr>
            <w:tcW w:w="8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476,000</w:t>
            </w:r>
          </w:p>
        </w:tc>
        <w:tc>
          <w:tcPr>
            <w:tcW w:w="10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952,000</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4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118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7"/>
                <w:szCs w:val="7"/>
                <w:color w:val="auto"/>
              </w:rPr>
              <w:t>(2)</w:t>
            </w:r>
          </w:p>
        </w:tc>
        <w:tc>
          <w:tcPr>
            <w:tcW w:w="1140" w:type="dxa"/>
            <w:vAlign w:val="bottom"/>
            <w:tcBorders>
              <w:right w:val="single" w:sz="8" w:color="95B3D7"/>
            </w:tcBorders>
            <w:shd w:val="clear" w:color="auto" w:fill="DBE5F1"/>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58,065</w:t>
            </w:r>
          </w:p>
        </w:tc>
        <w:tc>
          <w:tcPr>
            <w:tcW w:w="14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900,008</w:t>
            </w:r>
          </w:p>
        </w:tc>
        <w:tc>
          <w:tcPr>
            <w:tcW w:w="0" w:type="dxa"/>
            <w:vAlign w:val="bottom"/>
          </w:tcPr>
          <w:p>
            <w:pPr>
              <w:spacing w:after="0"/>
              <w:rPr>
                <w:sz w:val="1"/>
                <w:szCs w:val="1"/>
                <w:color w:val="auto"/>
              </w:rPr>
            </w:pPr>
          </w:p>
        </w:tc>
      </w:tr>
      <w:tr>
        <w:trPr>
          <w:trHeight w:val="189"/>
        </w:trPr>
        <w:tc>
          <w:tcPr>
            <w:tcW w:w="1180" w:type="dxa"/>
            <w:vAlign w:val="bottom"/>
            <w:tcBorders>
              <w:bottom w:val="single" w:sz="8" w:color="DBE5F1"/>
              <w:right w:val="single" w:sz="8" w:color="95B3D7"/>
            </w:tcBorders>
            <w:shd w:val="clear" w:color="auto" w:fill="DBE5F1"/>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7"/>
                <w:szCs w:val="7"/>
                <w:color w:val="auto"/>
              </w:rPr>
              <w:t>(2)</w:t>
            </w:r>
          </w:p>
        </w:tc>
        <w:tc>
          <w:tcPr>
            <w:tcW w:w="1140" w:type="dxa"/>
            <w:vAlign w:val="bottom"/>
            <w:tcBorders>
              <w:bottom w:val="single" w:sz="8" w:color="DBE5F1"/>
              <w:right w:val="single" w:sz="8" w:color="95B3D7"/>
            </w:tcBorders>
            <w:shd w:val="clear" w:color="auto" w:fill="DBE5F1"/>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bottom w:val="single" w:sz="8" w:color="DBE5F1"/>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DBE5F1"/>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DBE5F1"/>
              <w:right w:val="single" w:sz="8" w:color="95B3D7"/>
            </w:tcBorders>
            <w:shd w:val="clear" w:color="auto" w:fill="DBE5F1"/>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29,033</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58,065</w:t>
            </w:r>
          </w:p>
        </w:tc>
        <w:tc>
          <w:tcPr>
            <w:tcW w:w="90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116,130</w:t>
            </w:r>
          </w:p>
        </w:tc>
        <w:tc>
          <w:tcPr>
            <w:tcW w:w="720" w:type="dxa"/>
            <w:vAlign w:val="bottom"/>
            <w:tcBorders>
              <w:bottom w:val="single" w:sz="8" w:color="DBE5F1"/>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w:t>
            </w:r>
          </w:p>
        </w:tc>
        <w:tc>
          <w:tcPr>
            <w:tcW w:w="14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1"/>
                <w:szCs w:val="11"/>
                <w:color w:val="auto"/>
              </w:rPr>
              <w:t>900,008</w:t>
            </w:r>
          </w:p>
        </w:tc>
        <w:tc>
          <w:tcPr>
            <w:tcW w:w="0" w:type="dxa"/>
            <w:vAlign w:val="bottom"/>
          </w:tcPr>
          <w:p>
            <w:pPr>
              <w:spacing w:after="0"/>
              <w:rPr>
                <w:sz w:val="1"/>
                <w:szCs w:val="1"/>
                <w:color w:val="auto"/>
              </w:rPr>
            </w:pPr>
          </w:p>
        </w:tc>
      </w:tr>
      <w:tr>
        <w:trPr>
          <w:trHeight w:val="148"/>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b w:val="1"/>
                <w:bCs w:val="1"/>
                <w:color w:val="auto"/>
              </w:rPr>
              <w:t>Christopher Joyce</w:t>
            </w:r>
          </w:p>
        </w:tc>
        <w:tc>
          <w:tcPr>
            <w:tcW w:w="1140" w:type="dxa"/>
            <w:vAlign w:val="bottom"/>
            <w:tcBorders>
              <w:right w:val="single" w:sz="8" w:color="95B3D7"/>
            </w:tcBorders>
          </w:tcPr>
          <w:p>
            <w:pPr>
              <w:spacing w:after="0"/>
              <w:rPr>
                <w:sz w:val="12"/>
                <w:szCs w:val="12"/>
                <w:color w:val="auto"/>
              </w:rPr>
            </w:pPr>
          </w:p>
        </w:tc>
        <w:tc>
          <w:tcPr>
            <w:tcW w:w="720" w:type="dxa"/>
            <w:vAlign w:val="bottom"/>
            <w:tcBorders>
              <w:right w:val="single" w:sz="8" w:color="95B3D7"/>
            </w:tcBorders>
          </w:tcPr>
          <w:p>
            <w:pPr>
              <w:spacing w:after="0"/>
              <w:rPr>
                <w:sz w:val="12"/>
                <w:szCs w:val="12"/>
                <w:color w:val="auto"/>
              </w:rPr>
            </w:pPr>
          </w:p>
        </w:tc>
        <w:tc>
          <w:tcPr>
            <w:tcW w:w="840" w:type="dxa"/>
            <w:vAlign w:val="bottom"/>
            <w:tcBorders>
              <w:right w:val="single" w:sz="8" w:color="95B3D7"/>
            </w:tcBorders>
          </w:tcPr>
          <w:p>
            <w:pPr>
              <w:spacing w:after="0"/>
              <w:rPr>
                <w:sz w:val="12"/>
                <w:szCs w:val="12"/>
                <w:color w:val="auto"/>
              </w:rPr>
            </w:pPr>
          </w:p>
        </w:tc>
        <w:tc>
          <w:tcPr>
            <w:tcW w:w="1040" w:type="dxa"/>
            <w:vAlign w:val="bottom"/>
            <w:tcBorders>
              <w:right w:val="single" w:sz="8" w:color="95B3D7"/>
            </w:tcBorders>
          </w:tcPr>
          <w:p>
            <w:pPr>
              <w:spacing w:after="0"/>
              <w:rPr>
                <w:sz w:val="12"/>
                <w:szCs w:val="12"/>
                <w:color w:val="auto"/>
              </w:rPr>
            </w:pPr>
          </w:p>
        </w:tc>
        <w:tc>
          <w:tcPr>
            <w:tcW w:w="900" w:type="dxa"/>
            <w:vAlign w:val="bottom"/>
            <w:tcBorders>
              <w:right w:val="single" w:sz="8" w:color="95B3D7"/>
            </w:tcBorders>
          </w:tcPr>
          <w:p>
            <w:pPr>
              <w:spacing w:after="0"/>
              <w:rPr>
                <w:sz w:val="12"/>
                <w:szCs w:val="12"/>
                <w:color w:val="auto"/>
              </w:rPr>
            </w:pPr>
          </w:p>
        </w:tc>
        <w:tc>
          <w:tcPr>
            <w:tcW w:w="900" w:type="dxa"/>
            <w:vAlign w:val="bottom"/>
            <w:tcBorders>
              <w:right w:val="single" w:sz="8" w:color="95B3D7"/>
            </w:tcBorders>
          </w:tcPr>
          <w:p>
            <w:pPr>
              <w:spacing w:after="0"/>
              <w:rPr>
                <w:sz w:val="12"/>
                <w:szCs w:val="12"/>
                <w:color w:val="auto"/>
              </w:rPr>
            </w:pPr>
          </w:p>
        </w:tc>
        <w:tc>
          <w:tcPr>
            <w:tcW w:w="900" w:type="dxa"/>
            <w:vAlign w:val="bottom"/>
            <w:tcBorders>
              <w:right w:val="single" w:sz="8" w:color="95B3D7"/>
            </w:tcBorders>
          </w:tcPr>
          <w:p>
            <w:pPr>
              <w:spacing w:after="0"/>
              <w:rPr>
                <w:sz w:val="12"/>
                <w:szCs w:val="12"/>
                <w:color w:val="auto"/>
              </w:rPr>
            </w:pPr>
          </w:p>
        </w:tc>
        <w:tc>
          <w:tcPr>
            <w:tcW w:w="720" w:type="dxa"/>
            <w:vAlign w:val="bottom"/>
            <w:tcBorders>
              <w:right w:val="single" w:sz="8" w:color="95B3D7"/>
            </w:tcBorders>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AIP</w:t>
            </w:r>
            <w:r>
              <w:rPr>
                <w:rFonts w:ascii="Arial" w:cs="Arial" w:eastAsia="Arial" w:hAnsi="Arial"/>
                <w:sz w:val="14"/>
                <w:szCs w:val="14"/>
                <w:color w:val="auto"/>
                <w:vertAlign w:val="superscript"/>
              </w:rPr>
              <w:t>(1)</w:t>
            </w:r>
          </w:p>
        </w:tc>
        <w:tc>
          <w:tcPr>
            <w:tcW w:w="1140" w:type="dxa"/>
            <w:vAlign w:val="bottom"/>
            <w:tcBorders>
              <w:right w:val="single" w:sz="8" w:color="95B3D7"/>
            </w:tcBorders>
          </w:tcPr>
          <w:p>
            <w:pPr>
              <w:jc w:val="center"/>
              <w:spacing w:after="0"/>
              <w:rPr>
                <w:sz w:val="20"/>
                <w:szCs w:val="20"/>
                <w:color w:val="auto"/>
              </w:rPr>
            </w:pPr>
            <w:r>
              <w:rPr>
                <w:rFonts w:ascii="Arial" w:cs="Arial" w:eastAsia="Arial" w:hAnsi="Arial"/>
                <w:sz w:val="11"/>
                <w:szCs w:val="11"/>
                <w:color w:val="auto"/>
                <w:w w:val="90"/>
              </w:rPr>
              <w:t>—</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223,125</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446,250</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892,500</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2"/>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RSU Award</w:t>
            </w:r>
            <w:r>
              <w:rPr>
                <w:rFonts w:ascii="Arial" w:cs="Arial" w:eastAsia="Arial" w:hAnsi="Arial"/>
                <w:sz w:val="7"/>
                <w:szCs w:val="7"/>
                <w:color w:val="auto"/>
              </w:rPr>
              <w:t>(2)</w:t>
            </w:r>
          </w:p>
        </w:tc>
        <w:tc>
          <w:tcPr>
            <w:tcW w:w="1140" w:type="dxa"/>
            <w:vAlign w:val="bottom"/>
            <w:tcBorders>
              <w:right w:val="single" w:sz="8" w:color="95B3D7"/>
            </w:tcBorders>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56,452</w:t>
            </w:r>
          </w:p>
        </w:tc>
        <w:tc>
          <w:tcPr>
            <w:tcW w:w="1400" w:type="dxa"/>
            <w:vAlign w:val="bottom"/>
          </w:tcPr>
          <w:p>
            <w:pPr>
              <w:jc w:val="right"/>
              <w:spacing w:after="0"/>
              <w:rPr>
                <w:sz w:val="20"/>
                <w:szCs w:val="20"/>
                <w:color w:val="auto"/>
              </w:rPr>
            </w:pPr>
            <w:r>
              <w:rPr>
                <w:rFonts w:ascii="Arial" w:cs="Arial" w:eastAsia="Arial" w:hAnsi="Arial"/>
                <w:sz w:val="11"/>
                <w:szCs w:val="11"/>
                <w:color w:val="auto"/>
              </w:rPr>
              <w:t>875,006</w:t>
            </w:r>
          </w:p>
        </w:tc>
        <w:tc>
          <w:tcPr>
            <w:tcW w:w="0" w:type="dxa"/>
            <w:vAlign w:val="bottom"/>
          </w:tcPr>
          <w:p>
            <w:pPr>
              <w:spacing w:after="0"/>
              <w:rPr>
                <w:sz w:val="1"/>
                <w:szCs w:val="1"/>
                <w:color w:val="auto"/>
              </w:rPr>
            </w:pPr>
          </w:p>
        </w:tc>
      </w:tr>
      <w:tr>
        <w:trPr>
          <w:trHeight w:val="175"/>
        </w:trPr>
        <w:tc>
          <w:tcPr>
            <w:tcW w:w="1180" w:type="dxa"/>
            <w:vAlign w:val="bottom"/>
            <w:tcBorders>
              <w:right w:val="single" w:sz="8" w:color="95B3D7"/>
            </w:tcBorders>
          </w:tcPr>
          <w:p>
            <w:pPr>
              <w:ind w:left="20"/>
              <w:spacing w:after="0"/>
              <w:rPr>
                <w:sz w:val="20"/>
                <w:szCs w:val="20"/>
                <w:color w:val="auto"/>
              </w:rPr>
            </w:pPr>
            <w:r>
              <w:rPr>
                <w:rFonts w:ascii="Arial" w:cs="Arial" w:eastAsia="Arial" w:hAnsi="Arial"/>
                <w:sz w:val="11"/>
                <w:szCs w:val="11"/>
                <w:color w:val="auto"/>
              </w:rPr>
              <w:t>PSU Award</w:t>
            </w:r>
            <w:r>
              <w:rPr>
                <w:rFonts w:ascii="Arial" w:cs="Arial" w:eastAsia="Arial" w:hAnsi="Arial"/>
                <w:sz w:val="7"/>
                <w:szCs w:val="7"/>
                <w:color w:val="auto"/>
              </w:rPr>
              <w:t>(2)</w:t>
            </w:r>
          </w:p>
        </w:tc>
        <w:tc>
          <w:tcPr>
            <w:tcW w:w="1140" w:type="dxa"/>
            <w:vAlign w:val="bottom"/>
            <w:tcBorders>
              <w:right w:val="single" w:sz="8" w:color="95B3D7"/>
            </w:tcBorders>
          </w:tcPr>
          <w:p>
            <w:pPr>
              <w:jc w:val="center"/>
              <w:ind w:right="6"/>
              <w:spacing w:after="0"/>
              <w:rPr>
                <w:sz w:val="20"/>
                <w:szCs w:val="20"/>
                <w:color w:val="auto"/>
              </w:rPr>
            </w:pPr>
            <w:r>
              <w:rPr>
                <w:rFonts w:ascii="Arial" w:cs="Arial" w:eastAsia="Arial" w:hAnsi="Arial"/>
                <w:sz w:val="11"/>
                <w:szCs w:val="11"/>
                <w:color w:val="auto"/>
                <w:w w:val="97"/>
              </w:rPr>
              <w:t>3/13/2025</w:t>
            </w:r>
          </w:p>
        </w:tc>
        <w:tc>
          <w:tcPr>
            <w:tcW w:w="7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1040" w:type="dxa"/>
            <w:vAlign w:val="bottom"/>
            <w:tcBorders>
              <w:right w:val="single" w:sz="8" w:color="95B3D7"/>
            </w:tcBorders>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28,226</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56,452</w:t>
            </w:r>
          </w:p>
        </w:tc>
        <w:tc>
          <w:tcPr>
            <w:tcW w:w="9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112,904</w:t>
            </w:r>
          </w:p>
        </w:tc>
        <w:tc>
          <w:tcPr>
            <w:tcW w:w="72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w:t>
            </w:r>
          </w:p>
        </w:tc>
        <w:tc>
          <w:tcPr>
            <w:tcW w:w="1400" w:type="dxa"/>
            <w:vAlign w:val="bottom"/>
          </w:tcPr>
          <w:p>
            <w:pPr>
              <w:jc w:val="right"/>
              <w:spacing w:after="0"/>
              <w:rPr>
                <w:sz w:val="20"/>
                <w:szCs w:val="20"/>
                <w:color w:val="auto"/>
              </w:rPr>
            </w:pPr>
            <w:r>
              <w:rPr>
                <w:rFonts w:ascii="Arial" w:cs="Arial" w:eastAsia="Arial" w:hAnsi="Arial"/>
                <w:sz w:val="11"/>
                <w:szCs w:val="11"/>
                <w:color w:val="auto"/>
              </w:rPr>
              <w:t>875,006</w:t>
            </w:r>
          </w:p>
        </w:tc>
        <w:tc>
          <w:tcPr>
            <w:tcW w:w="0" w:type="dxa"/>
            <w:vAlign w:val="bottom"/>
          </w:tcPr>
          <w:p>
            <w:pPr>
              <w:spacing w:after="0"/>
              <w:rPr>
                <w:sz w:val="1"/>
                <w:szCs w:val="1"/>
                <w:color w:val="auto"/>
              </w:rPr>
            </w:pPr>
          </w:p>
        </w:tc>
      </w:tr>
      <w:tr>
        <w:trPr>
          <w:trHeight w:val="33"/>
        </w:trPr>
        <w:tc>
          <w:tcPr>
            <w:tcW w:w="1180" w:type="dxa"/>
            <w:vAlign w:val="bottom"/>
            <w:tcBorders>
              <w:bottom w:val="single" w:sz="8" w:color="95B3D7"/>
              <w:right w:val="single" w:sz="8" w:color="95B3D7"/>
            </w:tcBorders>
          </w:tcPr>
          <w:p>
            <w:pPr>
              <w:spacing w:after="0"/>
              <w:rPr>
                <w:sz w:val="2"/>
                <w:szCs w:val="2"/>
                <w:color w:val="auto"/>
              </w:rPr>
            </w:pPr>
          </w:p>
        </w:tc>
        <w:tc>
          <w:tcPr>
            <w:tcW w:w="1140" w:type="dxa"/>
            <w:vAlign w:val="bottom"/>
            <w:tcBorders>
              <w:bottom w:val="single" w:sz="8" w:color="95B3D7"/>
              <w:right w:val="single" w:sz="8" w:color="95B3D7"/>
            </w:tcBorders>
          </w:tcPr>
          <w:p>
            <w:pPr>
              <w:spacing w:after="0"/>
              <w:rPr>
                <w:sz w:val="2"/>
                <w:szCs w:val="2"/>
                <w:color w:val="auto"/>
              </w:rPr>
            </w:pPr>
          </w:p>
        </w:tc>
        <w:tc>
          <w:tcPr>
            <w:tcW w:w="720" w:type="dxa"/>
            <w:vAlign w:val="bottom"/>
            <w:tcBorders>
              <w:bottom w:val="single" w:sz="8" w:color="95B3D7"/>
              <w:right w:val="single" w:sz="8" w:color="95B3D7"/>
            </w:tcBorders>
          </w:tcPr>
          <w:p>
            <w:pPr>
              <w:spacing w:after="0"/>
              <w:rPr>
                <w:sz w:val="2"/>
                <w:szCs w:val="2"/>
                <w:color w:val="auto"/>
              </w:rPr>
            </w:pPr>
          </w:p>
        </w:tc>
        <w:tc>
          <w:tcPr>
            <w:tcW w:w="840" w:type="dxa"/>
            <w:vAlign w:val="bottom"/>
            <w:tcBorders>
              <w:bottom w:val="single" w:sz="8" w:color="95B3D7"/>
              <w:right w:val="single" w:sz="8" w:color="95B3D7"/>
            </w:tcBorders>
          </w:tcPr>
          <w:p>
            <w:pPr>
              <w:spacing w:after="0"/>
              <w:rPr>
                <w:sz w:val="2"/>
                <w:szCs w:val="2"/>
                <w:color w:val="auto"/>
              </w:rPr>
            </w:pPr>
          </w:p>
        </w:tc>
        <w:tc>
          <w:tcPr>
            <w:tcW w:w="1040" w:type="dxa"/>
            <w:vAlign w:val="bottom"/>
            <w:tcBorders>
              <w:bottom w:val="single" w:sz="8" w:color="95B3D7"/>
              <w:right w:val="single" w:sz="8" w:color="95B3D7"/>
            </w:tcBorders>
          </w:tcPr>
          <w:p>
            <w:pPr>
              <w:spacing w:after="0"/>
              <w:rPr>
                <w:sz w:val="2"/>
                <w:szCs w:val="2"/>
                <w:color w:val="auto"/>
              </w:rPr>
            </w:pPr>
          </w:p>
        </w:tc>
        <w:tc>
          <w:tcPr>
            <w:tcW w:w="900" w:type="dxa"/>
            <w:vAlign w:val="bottom"/>
            <w:tcBorders>
              <w:bottom w:val="single" w:sz="8" w:color="95B3D7"/>
              <w:right w:val="single" w:sz="8" w:color="95B3D7"/>
            </w:tcBorders>
          </w:tcPr>
          <w:p>
            <w:pPr>
              <w:spacing w:after="0"/>
              <w:rPr>
                <w:sz w:val="2"/>
                <w:szCs w:val="2"/>
                <w:color w:val="auto"/>
              </w:rPr>
            </w:pPr>
          </w:p>
        </w:tc>
        <w:tc>
          <w:tcPr>
            <w:tcW w:w="900" w:type="dxa"/>
            <w:vAlign w:val="bottom"/>
            <w:tcBorders>
              <w:bottom w:val="single" w:sz="8" w:color="95B3D7"/>
              <w:right w:val="single" w:sz="8" w:color="95B3D7"/>
            </w:tcBorders>
          </w:tcPr>
          <w:p>
            <w:pPr>
              <w:spacing w:after="0"/>
              <w:rPr>
                <w:sz w:val="2"/>
                <w:szCs w:val="2"/>
                <w:color w:val="auto"/>
              </w:rPr>
            </w:pPr>
          </w:p>
        </w:tc>
        <w:tc>
          <w:tcPr>
            <w:tcW w:w="900" w:type="dxa"/>
            <w:vAlign w:val="bottom"/>
            <w:tcBorders>
              <w:bottom w:val="single" w:sz="8" w:color="95B3D7"/>
              <w:right w:val="single" w:sz="8" w:color="95B3D7"/>
            </w:tcBorders>
          </w:tcPr>
          <w:p>
            <w:pPr>
              <w:spacing w:after="0"/>
              <w:rPr>
                <w:sz w:val="2"/>
                <w:szCs w:val="2"/>
                <w:color w:val="auto"/>
              </w:rPr>
            </w:pPr>
          </w:p>
        </w:tc>
        <w:tc>
          <w:tcPr>
            <w:tcW w:w="720" w:type="dxa"/>
            <w:vAlign w:val="bottom"/>
            <w:tcBorders>
              <w:bottom w:val="single" w:sz="8" w:color="95B3D7"/>
              <w:right w:val="single" w:sz="8" w:color="95B3D7"/>
            </w:tcBorders>
          </w:tcPr>
          <w:p>
            <w:pPr>
              <w:spacing w:after="0"/>
              <w:rPr>
                <w:sz w:val="2"/>
                <w:szCs w:val="2"/>
                <w:color w:val="auto"/>
              </w:rPr>
            </w:pPr>
          </w:p>
        </w:tc>
        <w:tc>
          <w:tcPr>
            <w:tcW w:w="1400" w:type="dxa"/>
            <w:vAlign w:val="bottom"/>
            <w:tcBorders>
              <w:bottom w:val="single" w:sz="8" w:color="95B3D7"/>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left="660" w:hanging="251"/>
        <w:spacing w:after="0" w:line="261" w:lineRule="auto"/>
        <w:tabs>
          <w:tab w:leader="none" w:pos="684" w:val="left"/>
        </w:tabs>
        <w:numPr>
          <w:ilvl w:val="0"/>
          <w:numId w:val="56"/>
        </w:numPr>
        <w:rPr>
          <w:rFonts w:ascii="Arial" w:cs="Arial" w:eastAsia="Arial" w:hAnsi="Arial"/>
          <w:sz w:val="14"/>
          <w:szCs w:val="14"/>
          <w:color w:val="auto"/>
        </w:rPr>
      </w:pPr>
      <w:r>
        <w:rPr>
          <w:rFonts w:ascii="Arial" w:cs="Arial" w:eastAsia="Arial" w:hAnsi="Arial"/>
          <w:sz w:val="14"/>
          <w:szCs w:val="14"/>
          <w:color w:val="auto"/>
        </w:rPr>
        <w:t>Awards designated “AIP” represent the threshold, target and maximum amounts of performance-based awards that our NEOs might have earned during 2025 under our Annual Incentive Plan, dependent upon our 2025 performance. Maximum payouts assume that the Annual Incentive Plan was funded at maximum levels based on applicable Company and/or business unit performance and that individual performance was also achieved at maximum levels. Awards actually earned are shown above in the “Non-Equity Incentive Plan Compensation” column of the 2025 Summary Compensation Table. Payouts depend on the achievement of predetermined, strategic and/or financial corporate performance objectives (75% of the award), as well as individual performance (25% of the award, other than for Mr. Kao, whose payout is based entirely on corporate goal performance). Based on results, base payouts can range from 0% to 200% of target award amounts. In addition, a modifier (-25% to +35%) is applied to the total bonus payout based on the Company’s CMS Star Ratings. During 2025, the base salaries and target and maximum bonus opportunities were increased for certain NEOs. Target bonus opportunities for the full 2025 year reflect the weighted average of the target bonus opportunity percentages applicable to each NEO for each applicable period throughout the year. Target bonus opportunities for Mr. Head and Mr. Freeman were prorated based on their May 2, 2025 transition date. See “</w:t>
      </w:r>
      <w:r>
        <w:rPr>
          <w:rFonts w:ascii="Arial" w:cs="Arial" w:eastAsia="Arial" w:hAnsi="Arial"/>
          <w:sz w:val="14"/>
          <w:szCs w:val="14"/>
          <w:i w:val="1"/>
          <w:iCs w:val="1"/>
          <w:color w:val="auto"/>
        </w:rPr>
        <w:t>Compensation Discussion and Analysis—2025 Executive Compensation Program in Detail—Annual Incentives</w:t>
      </w:r>
      <w:r>
        <w:rPr>
          <w:rFonts w:ascii="Arial" w:cs="Arial" w:eastAsia="Arial" w:hAnsi="Arial"/>
          <w:sz w:val="14"/>
          <w:szCs w:val="14"/>
          <w:color w:val="auto"/>
        </w:rPr>
        <w:t>” above for further discussion of our 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60" w:name="page61"/>
    <w:bookmarkEnd w:id="60"/>
    <w:p>
      <w:pPr>
        <w:spacing w:after="0" w:line="95" w:lineRule="exact"/>
        <w:rPr>
          <w:sz w:val="20"/>
          <w:szCs w:val="20"/>
          <w:color w:val="auto"/>
        </w:rPr>
      </w:pPr>
    </w:p>
    <w:p>
      <w:pPr>
        <w:ind w:left="660" w:right="60" w:hanging="247"/>
        <w:spacing w:after="0" w:line="264"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actual value to be realized by an NEO depends upon the appreciation in value of the Company's stock and the length of time the award is held. The grant date fair value of each RSU award was computed in accordance with FASB ASC Topic 718 based on the closing stock price on the grant date. The grant date fair value of each PSU award was computed in accordance with FASB ASC Topic 718 based on assumptions discussed in Note 10 “Stock-Based Compensation” to the Company’s consolidated financial statements in the Form 10-K for the year ended December 31, 2025, as filed with the SEC, assuming target-level achievement. Threshold, target, and maximum awards are equal to 50%, 100%, and 200%, respectively, of the number of PSUs granted. The PSUs are earned based on the achievement of certain performance goals over fiscal year 2027 and will vest, to the extent achievement metrics are met, in or about March 2028. The grant date fair value of each RSU award was computed in accordance with FASB ASC Topic 718 based on the closing stock price on the grant date. RSU awards to employees are generally subject to three-year vesting provisions.</w:t>
      </w:r>
    </w:p>
    <w:p>
      <w:pPr>
        <w:spacing w:after="0" w:line="149" w:lineRule="exact"/>
        <w:rPr>
          <w:rFonts w:ascii="Arial" w:cs="Arial" w:eastAsia="Arial" w:hAnsi="Arial"/>
          <w:sz w:val="14"/>
          <w:szCs w:val="14"/>
          <w:color w:val="auto"/>
        </w:rPr>
      </w:pPr>
    </w:p>
    <w:p>
      <w:pPr>
        <w:ind w:left="660" w:right="320" w:hanging="247"/>
        <w:spacing w:after="0" w:line="305"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grants of immediately vested shares of common stock taken in lieu of cash settlement under our 2024 AIP or as discretionary awards in March 2025. These amounts are included in the Summary Compensation Table as "Non-Equity Incentive Plan Compensation" or "Bonuses," respectively, paid in 2024.</w:t>
      </w:r>
    </w:p>
    <w:p>
      <w:pPr>
        <w:spacing w:after="0" w:line="135" w:lineRule="exact"/>
        <w:rPr>
          <w:sz w:val="20"/>
          <w:szCs w:val="20"/>
          <w:color w:val="auto"/>
        </w:rPr>
      </w:pPr>
    </w:p>
    <w:p>
      <w:pPr>
        <w:ind w:right="2260"/>
        <w:spacing w:after="0" w:line="438" w:lineRule="auto"/>
        <w:rPr>
          <w:sz w:val="20"/>
          <w:szCs w:val="20"/>
          <w:color w:val="auto"/>
        </w:rPr>
      </w:pPr>
      <w:r>
        <w:rPr>
          <w:rFonts w:ascii="Arial" w:cs="Arial" w:eastAsia="Arial" w:hAnsi="Arial"/>
          <w:sz w:val="18"/>
          <w:szCs w:val="18"/>
          <w:b w:val="1"/>
          <w:bCs w:val="1"/>
          <w:color w:val="1F497D"/>
        </w:rPr>
        <w:t xml:space="preserve">Additional Narrative Disclosure to Summary Compensation Table and Grant of Plan-Based Awards Table </w:t>
      </w:r>
      <w:r>
        <w:rPr>
          <w:rFonts w:ascii="Arial" w:cs="Arial" w:eastAsia="Arial" w:hAnsi="Arial"/>
          <w:sz w:val="18"/>
          <w:szCs w:val="18"/>
          <w:b w:val="1"/>
          <w:bCs w:val="1"/>
          <w:i w:val="1"/>
          <w:iCs w:val="1"/>
          <w:color w:val="1F497D"/>
        </w:rPr>
        <w:t>Non-Equity Incentive Plan Compensation</w:t>
      </w:r>
    </w:p>
    <w:p>
      <w:pPr>
        <w:spacing w:after="0" w:line="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Target bonus opportunities and payouts for each of the fiscal years shown in the tables above reflect the weighted average of the target bonus opportunity percentages for each applicable period throughout the fiscal year. In general, annual cash incentive bonuses are determined based on the achievement of pre-established performance goals as determined by the Board (or the Compensation Committee) within the first 90 days of the calendar year following the applicable performance year, and may be based on quantitative performance objectives for the Company or one or more of its affiliates, subsidiaries, business units or divisions, and/or individual quantitative or qualitative performance objectives or any combination of the foregoing. Base salaries and annual cash incentive bonus opportunities are reviewed by the Board at least annually and may be increased (but not decreased). For additional information on the 2025 Annual Incentive Plan, see “</w:t>
      </w:r>
      <w:r>
        <w:rPr>
          <w:rFonts w:ascii="Arial" w:cs="Arial" w:eastAsia="Arial" w:hAnsi="Arial"/>
          <w:sz w:val="18"/>
          <w:szCs w:val="18"/>
          <w:i w:val="1"/>
          <w:iCs w:val="1"/>
          <w:color w:val="auto"/>
        </w:rPr>
        <w:t>Compensation Discussion &amp; Analysis—2025 Executive Compensation Program in Detail—Annual Incentives</w:t>
      </w:r>
      <w:r>
        <w:rPr>
          <w:rFonts w:ascii="Arial" w:cs="Arial" w:eastAsia="Arial" w:hAnsi="Arial"/>
          <w:sz w:val="18"/>
          <w:szCs w:val="18"/>
          <w:color w:val="auto"/>
        </w:rPr>
        <w:t>”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Employment Agreements</w:t>
      </w:r>
    </w:p>
    <w:p>
      <w:pPr>
        <w:spacing w:after="0" w:line="223"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March 2021, in connection with our initial public offering, we entered into amended and restated employment agreements with Mr. Kao, Mr. Freeman and Ms. Maroney, effective as of March 26, 2021, each of which superseded their prior employment agreements. In addition, we entered into an employment agreement with Mr. Head, effective as of May 2, 2025; we entered into an employment agreement with Dr. Kim, effective as of September 25, 2023; and we entered into an employment agreement with Mr. Joyce, effective as of August 1, 2023. The foregoing employment agreements are referred to herein as the “NEO Employment Agreements.”</w:t>
      </w:r>
    </w:p>
    <w:p>
      <w:pPr>
        <w:spacing w:after="0" w:line="2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Each NEO Employment Agreement provides for an initial term of one year, which automatically renews for additional one-year periods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until either the Company or the Named Executive Officer provides written notice within 90 days in advance of the next scheduled renewal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an intent not to renew. The NEO Employment Agreements provided for an initial base salary as follows: $675,000 for Mr. Kao;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$550,000 for Ms. Maroney; $600,000 for Mr. Head; $450,000 for Mr. Freeman; $560,000 for Dr. Kim; and $525,000 for Mr. Joyce. In addition,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each employment agreement provided for an annual cash incentive bonus with an initial target and maximum bonus opportunity equal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and 200% of base salary for Mr. Kao; 85% and 170% of base salary for Ms. Maroney; 50% and 100% of base salary for Mr. Freeman;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 and 170% of base salary for Dr. Kim; and 85% and 170% of base salary for Mr. Joyce. Certain NEOs have received increases to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 salary and/or increases to their target and maximum bonus opportunity percentages.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1" w:name="page62"/>
    <w:bookmarkEnd w:id="61"/>
    <w:p>
      <w:pPr>
        <w:spacing w:after="0" w:line="193"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Each of our Named Executive Officers is entitled to severance payments and benefits upon a qualifying termination of employment as described below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Outstanding Equity Awards at 2025 Fiscal Year End</w:t>
      </w:r>
    </w:p>
    <w:p>
      <w:pPr>
        <w:spacing w:after="0" w:line="117" w:lineRule="exact"/>
        <w:rPr>
          <w:sz w:val="20"/>
          <w:szCs w:val="20"/>
          <w:color w:val="auto"/>
        </w:rPr>
      </w:pPr>
    </w:p>
    <w:p>
      <w:pPr>
        <w:ind w:right="460" w:firstLine="492"/>
        <w:spacing w:after="0" w:line="287" w:lineRule="auto"/>
        <w:rPr>
          <w:sz w:val="20"/>
          <w:szCs w:val="20"/>
          <w:color w:val="auto"/>
        </w:rPr>
      </w:pPr>
      <w:r>
        <w:rPr>
          <w:rFonts w:ascii="Arial" w:cs="Arial" w:eastAsia="Arial" w:hAnsi="Arial"/>
          <w:sz w:val="18"/>
          <w:szCs w:val="18"/>
          <w:color w:val="auto"/>
        </w:rPr>
        <w:t>The following table summarizes, for each of the Named Executive Officers, the number of shares of our common stock underlying outstanding equity awards held as of December 31, 2025.</w:t>
      </w:r>
    </w:p>
    <w:p>
      <w:pPr>
        <w:spacing w:after="0" w:line="334"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1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Option Awards</w:t>
            </w: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right"/>
              <w:ind w:right="627"/>
              <w:spacing w:after="0"/>
              <w:rPr>
                <w:sz w:val="20"/>
                <w:szCs w:val="20"/>
                <w:color w:val="auto"/>
              </w:rPr>
            </w:pPr>
            <w:r>
              <w:rPr>
                <w:rFonts w:ascii="Arial" w:cs="Arial" w:eastAsia="Arial" w:hAnsi="Arial"/>
                <w:sz w:val="11"/>
                <w:szCs w:val="11"/>
                <w:b w:val="1"/>
                <w:bCs w:val="1"/>
                <w:color w:val="auto"/>
              </w:rPr>
              <w:t>Stock Awards</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220" w:type="dxa"/>
            <w:vAlign w:val="bottom"/>
            <w:tcBorders>
              <w:right w:val="single" w:sz="8" w:color="95B3D7"/>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right w:val="single" w:sz="8" w:color="95B3D7"/>
            </w:tcBorders>
          </w:tcPr>
          <w:p>
            <w:pPr>
              <w:spacing w:after="0"/>
              <w:rPr>
                <w:sz w:val="11"/>
                <w:szCs w:val="11"/>
                <w:color w:val="auto"/>
              </w:rPr>
            </w:pPr>
          </w:p>
        </w:tc>
        <w:tc>
          <w:tcPr>
            <w:tcW w:w="940" w:type="dxa"/>
            <w:vAlign w:val="bottom"/>
            <w:tcBorders>
              <w:right w:val="single" w:sz="8" w:color="95B3D7"/>
            </w:tcBorders>
          </w:tcPr>
          <w:p>
            <w:pPr>
              <w:spacing w:after="0"/>
              <w:rPr>
                <w:sz w:val="11"/>
                <w:szCs w:val="11"/>
                <w:color w:val="auto"/>
              </w:rPr>
            </w:pPr>
          </w:p>
        </w:tc>
        <w:tc>
          <w:tcPr>
            <w:tcW w:w="980" w:type="dxa"/>
            <w:vAlign w:val="bottom"/>
            <w:tcBorders>
              <w:right w:val="single" w:sz="8" w:color="95B3D7"/>
            </w:tcBorders>
          </w:tcPr>
          <w:p>
            <w:pPr>
              <w:spacing w:after="0"/>
              <w:rPr>
                <w:sz w:val="11"/>
                <w:szCs w:val="11"/>
                <w:color w:val="auto"/>
              </w:rPr>
            </w:pPr>
          </w:p>
        </w:tc>
        <w:tc>
          <w:tcPr>
            <w:tcW w:w="900" w:type="dxa"/>
            <w:vAlign w:val="bottom"/>
            <w:tcBorders>
              <w:right w:val="single" w:sz="8" w:color="95B3D7"/>
            </w:tcBorders>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Borders>
              <w:right w:val="single" w:sz="8" w:color="95B3D7"/>
            </w:tcBorders>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tcBorders>
              <w:right w:val="single" w:sz="8" w:color="95B3D7"/>
            </w:tcBorders>
          </w:tcPr>
          <w:p>
            <w:pPr>
              <w:spacing w:after="0"/>
              <w:rPr>
                <w:sz w:val="20"/>
                <w:szCs w:val="20"/>
                <w:color w:val="auto"/>
              </w:rPr>
            </w:pPr>
            <w:r>
              <w:rPr>
                <w:rFonts w:ascii="Arial" w:cs="Arial" w:eastAsia="Arial" w:hAnsi="Arial"/>
                <w:sz w:val="10"/>
                <w:szCs w:val="10"/>
                <w:b w:val="1"/>
                <w:bCs w:val="1"/>
                <w:color w:val="auto"/>
              </w:rPr>
              <w:t>Equity incentive</w:t>
            </w:r>
          </w:p>
        </w:tc>
        <w:tc>
          <w:tcPr>
            <w:tcW w:w="1000" w:type="dxa"/>
            <w:vAlign w:val="bottom"/>
          </w:tcPr>
          <w:p>
            <w:pPr>
              <w:spacing w:after="0"/>
              <w:rPr>
                <w:sz w:val="20"/>
                <w:szCs w:val="20"/>
                <w:color w:val="auto"/>
              </w:rPr>
            </w:pPr>
            <w:r>
              <w:rPr>
                <w:rFonts w:ascii="Arial" w:cs="Arial" w:eastAsia="Arial" w:hAnsi="Arial"/>
                <w:sz w:val="10"/>
                <w:szCs w:val="10"/>
                <w:b w:val="1"/>
                <w:bCs w:val="1"/>
                <w:color w:val="auto"/>
              </w:rPr>
              <w:t>Equity incentive</w:t>
            </w:r>
          </w:p>
        </w:tc>
        <w:tc>
          <w:tcPr>
            <w:tcW w:w="0" w:type="dxa"/>
            <w:vAlign w:val="bottom"/>
          </w:tcPr>
          <w:p>
            <w:pPr>
              <w:spacing w:after="0"/>
              <w:rPr>
                <w:sz w:val="1"/>
                <w:szCs w:val="1"/>
                <w:color w:val="auto"/>
              </w:rPr>
            </w:pPr>
          </w:p>
        </w:tc>
      </w:tr>
      <w:tr>
        <w:trPr>
          <w:trHeight w:val="122"/>
        </w:trPr>
        <w:tc>
          <w:tcPr>
            <w:tcW w:w="1220" w:type="dxa"/>
            <w:vAlign w:val="bottom"/>
            <w:tcBorders>
              <w:right w:val="single" w:sz="8" w:color="95B3D7"/>
            </w:tcBorders>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right w:val="single" w:sz="8" w:color="95B3D7"/>
            </w:tcBorders>
          </w:tcPr>
          <w:p>
            <w:pPr>
              <w:spacing w:after="0"/>
              <w:rPr>
                <w:sz w:val="10"/>
                <w:szCs w:val="10"/>
                <w:color w:val="auto"/>
              </w:rPr>
            </w:pPr>
          </w:p>
        </w:tc>
        <w:tc>
          <w:tcPr>
            <w:tcW w:w="940" w:type="dxa"/>
            <w:vAlign w:val="bottom"/>
            <w:tcBorders>
              <w:right w:val="single" w:sz="8" w:color="95B3D7"/>
            </w:tcBorders>
            <w:vMerge w:val="restart"/>
          </w:tcPr>
          <w:p>
            <w:pPr>
              <w:ind w:left="20"/>
              <w:spacing w:after="0"/>
              <w:rPr>
                <w:sz w:val="20"/>
                <w:szCs w:val="20"/>
                <w:color w:val="auto"/>
              </w:rPr>
            </w:pPr>
            <w:r>
              <w:rPr>
                <w:rFonts w:ascii="Arial" w:cs="Arial" w:eastAsia="Arial" w:hAnsi="Arial"/>
                <w:sz w:val="10"/>
                <w:szCs w:val="10"/>
                <w:b w:val="1"/>
                <w:bCs w:val="1"/>
                <w:color w:val="auto"/>
              </w:rPr>
              <w:t>Number of</w:t>
            </w:r>
          </w:p>
        </w:tc>
        <w:tc>
          <w:tcPr>
            <w:tcW w:w="980" w:type="dxa"/>
            <w:vAlign w:val="bottom"/>
            <w:tcBorders>
              <w:right w:val="single" w:sz="8" w:color="95B3D7"/>
            </w:tcBorders>
            <w:vMerge w:val="restart"/>
          </w:tcPr>
          <w:p>
            <w:pPr>
              <w:ind w:left="20"/>
              <w:spacing w:after="0"/>
              <w:rPr>
                <w:sz w:val="20"/>
                <w:szCs w:val="20"/>
                <w:color w:val="auto"/>
              </w:rPr>
            </w:pPr>
            <w:r>
              <w:rPr>
                <w:rFonts w:ascii="Arial" w:cs="Arial" w:eastAsia="Arial" w:hAnsi="Arial"/>
                <w:sz w:val="10"/>
                <w:szCs w:val="10"/>
                <w:b w:val="1"/>
                <w:bCs w:val="1"/>
                <w:color w:val="auto"/>
              </w:rPr>
              <w:t>Equity Incentive</w:t>
            </w:r>
          </w:p>
        </w:tc>
        <w:tc>
          <w:tcPr>
            <w:tcW w:w="900" w:type="dxa"/>
            <w:vAlign w:val="bottom"/>
            <w:tcBorders>
              <w:right w:val="single" w:sz="8" w:color="95B3D7"/>
            </w:tcBorders>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Borders>
              <w:right w:val="single" w:sz="8" w:color="95B3D7"/>
            </w:tcBorders>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tcBorders>
              <w:right w:val="single" w:sz="8" w:color="95B3D7"/>
            </w:tcBorders>
          </w:tcPr>
          <w:p>
            <w:pPr>
              <w:spacing w:after="0"/>
              <w:rPr>
                <w:sz w:val="20"/>
                <w:szCs w:val="20"/>
                <w:color w:val="auto"/>
              </w:rPr>
            </w:pPr>
            <w:r>
              <w:rPr>
                <w:rFonts w:ascii="Arial" w:cs="Arial" w:eastAsia="Arial" w:hAnsi="Arial"/>
                <w:sz w:val="10"/>
                <w:szCs w:val="10"/>
                <w:b w:val="1"/>
                <w:bCs w:val="1"/>
                <w:color w:val="auto"/>
              </w:rPr>
              <w:t>plan awards:</w:t>
            </w:r>
          </w:p>
        </w:tc>
        <w:tc>
          <w:tcPr>
            <w:tcW w:w="1000" w:type="dxa"/>
            <w:vAlign w:val="bottom"/>
          </w:tcPr>
          <w:p>
            <w:pPr>
              <w:spacing w:after="0"/>
              <w:rPr>
                <w:sz w:val="20"/>
                <w:szCs w:val="20"/>
                <w:color w:val="auto"/>
              </w:rPr>
            </w:pPr>
            <w:r>
              <w:rPr>
                <w:rFonts w:ascii="Arial" w:cs="Arial" w:eastAsia="Arial" w:hAnsi="Arial"/>
                <w:sz w:val="10"/>
                <w:szCs w:val="10"/>
                <w:b w:val="1"/>
                <w:bCs w:val="1"/>
                <w:color w:val="auto"/>
              </w:rPr>
              <w:t>plan awards:</w:t>
            </w:r>
          </w:p>
        </w:tc>
        <w:tc>
          <w:tcPr>
            <w:tcW w:w="0" w:type="dxa"/>
            <w:vAlign w:val="bottom"/>
          </w:tcPr>
          <w:p>
            <w:pPr>
              <w:spacing w:after="0"/>
              <w:rPr>
                <w:sz w:val="1"/>
                <w:szCs w:val="1"/>
                <w:color w:val="auto"/>
              </w:rPr>
            </w:pPr>
          </w:p>
        </w:tc>
      </w:tr>
      <w:tr>
        <w:trPr>
          <w:trHeight w:val="32"/>
        </w:trPr>
        <w:tc>
          <w:tcPr>
            <w:tcW w:w="1220" w:type="dxa"/>
            <w:vAlign w:val="bottom"/>
            <w:tcBorders>
              <w:right w:val="single" w:sz="8" w:color="95B3D7"/>
            </w:tcBorders>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right w:val="single" w:sz="8" w:color="95B3D7"/>
            </w:tcBorders>
          </w:tcPr>
          <w:p>
            <w:pPr>
              <w:spacing w:after="0"/>
              <w:rPr>
                <w:sz w:val="2"/>
                <w:szCs w:val="2"/>
                <w:color w:val="auto"/>
              </w:rPr>
            </w:pPr>
          </w:p>
        </w:tc>
        <w:tc>
          <w:tcPr>
            <w:tcW w:w="940" w:type="dxa"/>
            <w:vAlign w:val="bottom"/>
            <w:tcBorders>
              <w:right w:val="single" w:sz="8" w:color="95B3D7"/>
            </w:tcBorders>
            <w:vMerge w:val="continue"/>
          </w:tcPr>
          <w:p>
            <w:pPr>
              <w:spacing w:after="0"/>
              <w:rPr>
                <w:sz w:val="2"/>
                <w:szCs w:val="2"/>
                <w:color w:val="auto"/>
              </w:rPr>
            </w:pPr>
          </w:p>
        </w:tc>
        <w:tc>
          <w:tcPr>
            <w:tcW w:w="980" w:type="dxa"/>
            <w:vAlign w:val="bottom"/>
            <w:tcBorders>
              <w:right w:val="single" w:sz="8" w:color="95B3D7"/>
            </w:tcBorders>
            <w:vMerge w:val="continue"/>
          </w:tcPr>
          <w:p>
            <w:pPr>
              <w:spacing w:after="0"/>
              <w:rPr>
                <w:sz w:val="2"/>
                <w:szCs w:val="2"/>
                <w:color w:val="auto"/>
              </w:rPr>
            </w:pPr>
          </w:p>
        </w:tc>
        <w:tc>
          <w:tcPr>
            <w:tcW w:w="900" w:type="dxa"/>
            <w:vAlign w:val="bottom"/>
            <w:tcBorders>
              <w:right w:val="single" w:sz="8" w:color="95B3D7"/>
            </w:tcBorders>
          </w:tcPr>
          <w:p>
            <w:pPr>
              <w:spacing w:after="0"/>
              <w:rPr>
                <w:sz w:val="2"/>
                <w:szCs w:val="2"/>
                <w:color w:val="auto"/>
              </w:rPr>
            </w:pPr>
          </w:p>
        </w:tc>
        <w:tc>
          <w:tcPr>
            <w:tcW w:w="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Borders>
              <w:right w:val="single" w:sz="8" w:color="95B3D7"/>
            </w:tcBorders>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Borders>
              <w:right w:val="single" w:sz="8" w:color="95B3D7"/>
            </w:tcBorders>
            <w:vMerge w:val="restart"/>
          </w:tcPr>
          <w:p>
            <w:pPr>
              <w:spacing w:after="0"/>
              <w:rPr>
                <w:sz w:val="20"/>
                <w:szCs w:val="20"/>
                <w:color w:val="auto"/>
              </w:rPr>
            </w:pPr>
            <w:r>
              <w:rPr>
                <w:rFonts w:ascii="Arial" w:cs="Arial" w:eastAsia="Arial" w:hAnsi="Arial"/>
                <w:sz w:val="10"/>
                <w:szCs w:val="10"/>
                <w:b w:val="1"/>
                <w:bCs w:val="1"/>
                <w:color w:val="auto"/>
              </w:rPr>
              <w:t>number of</w:t>
            </w:r>
          </w:p>
        </w:tc>
        <w:tc>
          <w:tcPr>
            <w:tcW w:w="1000" w:type="dxa"/>
            <w:vAlign w:val="bottom"/>
            <w:vMerge w:val="restart"/>
          </w:tcPr>
          <w:p>
            <w:pPr>
              <w:spacing w:after="0"/>
              <w:rPr>
                <w:sz w:val="20"/>
                <w:szCs w:val="20"/>
                <w:color w:val="auto"/>
              </w:rPr>
            </w:pPr>
            <w:r>
              <w:rPr>
                <w:rFonts w:ascii="Arial" w:cs="Arial" w:eastAsia="Arial" w:hAnsi="Arial"/>
                <w:sz w:val="10"/>
                <w:szCs w:val="10"/>
                <w:b w:val="1"/>
                <w:bCs w:val="1"/>
                <w:color w:val="auto"/>
              </w:rPr>
              <w:t>market or payout</w:t>
            </w:r>
          </w:p>
        </w:tc>
        <w:tc>
          <w:tcPr>
            <w:tcW w:w="0" w:type="dxa"/>
            <w:vAlign w:val="bottom"/>
          </w:tcPr>
          <w:p>
            <w:pPr>
              <w:spacing w:after="0" w:line="20" w:lineRule="exact"/>
              <w:rPr>
                <w:sz w:val="1"/>
                <w:szCs w:val="1"/>
                <w:color w:val="auto"/>
              </w:rPr>
            </w:pPr>
          </w:p>
        </w:tc>
      </w:tr>
      <w:tr>
        <w:trPr>
          <w:trHeight w:val="95"/>
        </w:trPr>
        <w:tc>
          <w:tcPr>
            <w:tcW w:w="1220" w:type="dxa"/>
            <w:vAlign w:val="bottom"/>
            <w:tcBorders>
              <w:right w:val="single" w:sz="8" w:color="95B3D7"/>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right w:val="single" w:sz="8" w:color="95B3D7"/>
            </w:tcBorders>
            <w:vMerge w:val="restart"/>
          </w:tcPr>
          <w:p>
            <w:pPr>
              <w:ind w:left="20"/>
              <w:spacing w:after="0"/>
              <w:rPr>
                <w:sz w:val="20"/>
                <w:szCs w:val="20"/>
                <w:color w:val="auto"/>
              </w:rPr>
            </w:pPr>
            <w:r>
              <w:rPr>
                <w:rFonts w:ascii="Arial" w:cs="Arial" w:eastAsia="Arial" w:hAnsi="Arial"/>
                <w:sz w:val="10"/>
                <w:szCs w:val="10"/>
                <w:b w:val="1"/>
                <w:bCs w:val="1"/>
                <w:color w:val="auto"/>
              </w:rPr>
              <w:t>Number of</w:t>
            </w:r>
          </w:p>
        </w:tc>
        <w:tc>
          <w:tcPr>
            <w:tcW w:w="940" w:type="dxa"/>
            <w:vAlign w:val="bottom"/>
            <w:tcBorders>
              <w:right w:val="single" w:sz="8" w:color="95B3D7"/>
            </w:tcBorders>
            <w:vMerge w:val="continue"/>
          </w:tcPr>
          <w:p>
            <w:pPr>
              <w:spacing w:after="0"/>
              <w:rPr>
                <w:sz w:val="8"/>
                <w:szCs w:val="8"/>
                <w:color w:val="auto"/>
              </w:rPr>
            </w:pPr>
          </w:p>
        </w:tc>
        <w:tc>
          <w:tcPr>
            <w:tcW w:w="980" w:type="dxa"/>
            <w:vAlign w:val="bottom"/>
            <w:tcBorders>
              <w:right w:val="single" w:sz="8" w:color="95B3D7"/>
            </w:tcBorders>
          </w:tcPr>
          <w:p>
            <w:pPr>
              <w:ind w:left="20"/>
              <w:spacing w:after="0" w:line="95" w:lineRule="exact"/>
              <w:rPr>
                <w:sz w:val="20"/>
                <w:szCs w:val="20"/>
                <w:color w:val="auto"/>
              </w:rPr>
            </w:pPr>
            <w:r>
              <w:rPr>
                <w:rFonts w:ascii="Arial" w:cs="Arial" w:eastAsia="Arial" w:hAnsi="Arial"/>
                <w:sz w:val="10"/>
                <w:szCs w:val="10"/>
                <w:b w:val="1"/>
                <w:bCs w:val="1"/>
                <w:color w:val="auto"/>
              </w:rPr>
              <w:t>Plan Awards:</w:t>
            </w:r>
          </w:p>
        </w:tc>
        <w:tc>
          <w:tcPr>
            <w:tcW w:w="900" w:type="dxa"/>
            <w:vAlign w:val="bottom"/>
            <w:tcBorders>
              <w:right w:val="single" w:sz="8" w:color="95B3D7"/>
            </w:tcBorders>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right w:val="single" w:sz="8" w:color="95B3D7"/>
            </w:tcBorders>
            <w:vMerge w:val="restart"/>
          </w:tcPr>
          <w:p>
            <w:pPr>
              <w:ind w:left="20"/>
              <w:spacing w:after="0"/>
              <w:rPr>
                <w:sz w:val="20"/>
                <w:szCs w:val="20"/>
                <w:color w:val="auto"/>
              </w:rPr>
            </w:pPr>
            <w:r>
              <w:rPr>
                <w:rFonts w:ascii="Arial" w:cs="Arial" w:eastAsia="Arial" w:hAnsi="Arial"/>
                <w:sz w:val="10"/>
                <w:szCs w:val="10"/>
                <w:b w:val="1"/>
                <w:bCs w:val="1"/>
                <w:color w:val="auto"/>
              </w:rPr>
              <w:t>Number of Shares</w:t>
            </w:r>
          </w:p>
        </w:tc>
        <w:tc>
          <w:tcPr>
            <w:tcW w:w="1000" w:type="dxa"/>
            <w:vAlign w:val="bottom"/>
            <w:vMerge w:val="restart"/>
          </w:tcPr>
          <w:p>
            <w:pPr>
              <w:spacing w:after="0"/>
              <w:rPr>
                <w:sz w:val="20"/>
                <w:szCs w:val="20"/>
                <w:color w:val="auto"/>
              </w:rPr>
            </w:pPr>
            <w:r>
              <w:rPr>
                <w:rFonts w:ascii="Arial" w:cs="Arial" w:eastAsia="Arial" w:hAnsi="Arial"/>
                <w:sz w:val="10"/>
                <w:szCs w:val="10"/>
                <w:b w:val="1"/>
                <w:bCs w:val="1"/>
                <w:color w:val="auto"/>
              </w:rPr>
              <w:t>Market Value of</w:t>
            </w:r>
          </w:p>
        </w:tc>
        <w:tc>
          <w:tcPr>
            <w:tcW w:w="1020" w:type="dxa"/>
            <w:vAlign w:val="bottom"/>
            <w:tcBorders>
              <w:right w:val="single" w:sz="8" w:color="95B3D7"/>
            </w:tcBorders>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220" w:type="dxa"/>
            <w:vAlign w:val="bottom"/>
            <w:tcBorders>
              <w:right w:val="single" w:sz="8" w:color="95B3D7"/>
            </w:tcBorders>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right w:val="single" w:sz="8" w:color="95B3D7"/>
            </w:tcBorders>
            <w:vMerge w:val="continue"/>
          </w:tcPr>
          <w:p>
            <w:pPr>
              <w:spacing w:after="0"/>
              <w:rPr>
                <w:sz w:val="9"/>
                <w:szCs w:val="9"/>
                <w:color w:val="auto"/>
              </w:rPr>
            </w:pPr>
          </w:p>
        </w:tc>
        <w:tc>
          <w:tcPr>
            <w:tcW w:w="940" w:type="dxa"/>
            <w:vAlign w:val="bottom"/>
            <w:tcBorders>
              <w:right w:val="single" w:sz="8" w:color="95B3D7"/>
            </w:tcBorders>
          </w:tcPr>
          <w:p>
            <w:pPr>
              <w:ind w:left="20"/>
              <w:spacing w:after="0" w:line="108" w:lineRule="exact"/>
              <w:rPr>
                <w:sz w:val="20"/>
                <w:szCs w:val="20"/>
                <w:color w:val="auto"/>
              </w:rPr>
            </w:pPr>
            <w:r>
              <w:rPr>
                <w:rFonts w:ascii="Arial" w:cs="Arial" w:eastAsia="Arial" w:hAnsi="Arial"/>
                <w:sz w:val="10"/>
                <w:szCs w:val="10"/>
                <w:b w:val="1"/>
                <w:bCs w:val="1"/>
                <w:color w:val="auto"/>
              </w:rPr>
              <w:t>Securities</w:t>
            </w:r>
          </w:p>
        </w:tc>
        <w:tc>
          <w:tcPr>
            <w:tcW w:w="980" w:type="dxa"/>
            <w:vAlign w:val="bottom"/>
            <w:tcBorders>
              <w:right w:val="single" w:sz="8" w:color="95B3D7"/>
            </w:tcBorders>
          </w:tcPr>
          <w:p>
            <w:pPr>
              <w:ind w:left="20"/>
              <w:spacing w:after="0" w:line="108" w:lineRule="exact"/>
              <w:rPr>
                <w:sz w:val="20"/>
                <w:szCs w:val="20"/>
                <w:color w:val="auto"/>
              </w:rPr>
            </w:pPr>
            <w:r>
              <w:rPr>
                <w:rFonts w:ascii="Arial" w:cs="Arial" w:eastAsia="Arial" w:hAnsi="Arial"/>
                <w:sz w:val="10"/>
                <w:szCs w:val="10"/>
                <w:b w:val="1"/>
                <w:bCs w:val="1"/>
                <w:color w:val="auto"/>
              </w:rPr>
              <w:t>Number of</w:t>
            </w:r>
          </w:p>
        </w:tc>
        <w:tc>
          <w:tcPr>
            <w:tcW w:w="900" w:type="dxa"/>
            <w:vAlign w:val="bottom"/>
            <w:tcBorders>
              <w:right w:val="single" w:sz="8" w:color="95B3D7"/>
            </w:tcBorders>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right w:val="single" w:sz="8" w:color="95B3D7"/>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20" w:type="dxa"/>
            <w:vAlign w:val="bottom"/>
            <w:tcBorders>
              <w:right w:val="single" w:sz="8" w:color="95B3D7"/>
            </w:tcBorders>
          </w:tcPr>
          <w:p>
            <w:pPr>
              <w:spacing w:after="0" w:line="108" w:lineRule="exact"/>
              <w:rPr>
                <w:sz w:val="20"/>
                <w:szCs w:val="20"/>
                <w:color w:val="auto"/>
              </w:rPr>
            </w:pPr>
            <w:r>
              <w:rPr>
                <w:rFonts w:ascii="Arial" w:cs="Arial" w:eastAsia="Arial" w:hAnsi="Arial"/>
                <w:sz w:val="10"/>
                <w:szCs w:val="10"/>
                <w:b w:val="1"/>
                <w:bCs w:val="1"/>
                <w:color w:val="auto"/>
              </w:rPr>
              <w:t>unearned shares,</w:t>
            </w:r>
          </w:p>
        </w:tc>
        <w:tc>
          <w:tcPr>
            <w:tcW w:w="1000" w:type="dxa"/>
            <w:vAlign w:val="bottom"/>
          </w:tcPr>
          <w:p>
            <w:pPr>
              <w:spacing w:after="0" w:line="108" w:lineRule="exact"/>
              <w:rPr>
                <w:sz w:val="20"/>
                <w:szCs w:val="20"/>
                <w:color w:val="auto"/>
              </w:rPr>
            </w:pPr>
            <w:r>
              <w:rPr>
                <w:rFonts w:ascii="Arial" w:cs="Arial" w:eastAsia="Arial" w:hAnsi="Arial"/>
                <w:sz w:val="10"/>
                <w:szCs w:val="10"/>
                <w:b w:val="1"/>
                <w:bCs w:val="1"/>
                <w:color w:val="auto"/>
              </w:rPr>
              <w:t>value of unearned</w:t>
            </w:r>
          </w:p>
        </w:tc>
        <w:tc>
          <w:tcPr>
            <w:tcW w:w="0" w:type="dxa"/>
            <w:vAlign w:val="bottom"/>
          </w:tcPr>
          <w:p>
            <w:pPr>
              <w:spacing w:after="0"/>
              <w:rPr>
                <w:sz w:val="1"/>
                <w:szCs w:val="1"/>
                <w:color w:val="auto"/>
              </w:rPr>
            </w:pPr>
          </w:p>
        </w:tc>
      </w:tr>
      <w:tr>
        <w:trPr>
          <w:trHeight w:val="95"/>
        </w:trPr>
        <w:tc>
          <w:tcPr>
            <w:tcW w:w="1220" w:type="dxa"/>
            <w:vAlign w:val="bottom"/>
            <w:tcBorders>
              <w:right w:val="single" w:sz="8" w:color="95B3D7"/>
            </w:tcBorders>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right w:val="single" w:sz="8" w:color="95B3D7"/>
            </w:tcBorders>
          </w:tcPr>
          <w:p>
            <w:pPr>
              <w:ind w:left="20"/>
              <w:spacing w:after="0" w:line="95" w:lineRule="exact"/>
              <w:rPr>
                <w:sz w:val="20"/>
                <w:szCs w:val="20"/>
                <w:color w:val="auto"/>
              </w:rPr>
            </w:pPr>
            <w:r>
              <w:rPr>
                <w:rFonts w:ascii="Arial" w:cs="Arial" w:eastAsia="Arial" w:hAnsi="Arial"/>
                <w:sz w:val="10"/>
                <w:szCs w:val="10"/>
                <w:b w:val="1"/>
                <w:bCs w:val="1"/>
                <w:color w:val="auto"/>
              </w:rPr>
              <w:t>Securities</w:t>
            </w:r>
          </w:p>
        </w:tc>
        <w:tc>
          <w:tcPr>
            <w:tcW w:w="940" w:type="dxa"/>
            <w:vAlign w:val="bottom"/>
            <w:tcBorders>
              <w:right w:val="single" w:sz="8" w:color="95B3D7"/>
            </w:tcBorders>
          </w:tcPr>
          <w:p>
            <w:pPr>
              <w:ind w:left="20"/>
              <w:spacing w:after="0" w:line="95" w:lineRule="exact"/>
              <w:rPr>
                <w:sz w:val="20"/>
                <w:szCs w:val="20"/>
                <w:color w:val="auto"/>
              </w:rPr>
            </w:pPr>
            <w:r>
              <w:rPr>
                <w:rFonts w:ascii="Arial" w:cs="Arial" w:eastAsia="Arial" w:hAnsi="Arial"/>
                <w:sz w:val="10"/>
                <w:szCs w:val="10"/>
                <w:b w:val="1"/>
                <w:bCs w:val="1"/>
                <w:color w:val="auto"/>
              </w:rPr>
              <w:t>Underlying</w:t>
            </w:r>
          </w:p>
        </w:tc>
        <w:tc>
          <w:tcPr>
            <w:tcW w:w="980" w:type="dxa"/>
            <w:vAlign w:val="bottom"/>
            <w:tcBorders>
              <w:right w:val="single" w:sz="8" w:color="95B3D7"/>
            </w:tcBorders>
          </w:tcPr>
          <w:p>
            <w:pPr>
              <w:ind w:left="20"/>
              <w:spacing w:after="0" w:line="95" w:lineRule="exact"/>
              <w:rPr>
                <w:sz w:val="20"/>
                <w:szCs w:val="20"/>
                <w:color w:val="auto"/>
              </w:rPr>
            </w:pPr>
            <w:r>
              <w:rPr>
                <w:rFonts w:ascii="Arial" w:cs="Arial" w:eastAsia="Arial" w:hAnsi="Arial"/>
                <w:sz w:val="10"/>
                <w:szCs w:val="10"/>
                <w:b w:val="1"/>
                <w:bCs w:val="1"/>
                <w:color w:val="auto"/>
              </w:rPr>
              <w:t>Securities</w:t>
            </w:r>
          </w:p>
        </w:tc>
        <w:tc>
          <w:tcPr>
            <w:tcW w:w="900" w:type="dxa"/>
            <w:vAlign w:val="bottom"/>
            <w:tcBorders>
              <w:right w:val="single" w:sz="8" w:color="95B3D7"/>
            </w:tcBorders>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tcBorders>
              <w:right w:val="single" w:sz="8" w:color="95B3D7"/>
            </w:tcBorders>
          </w:tcPr>
          <w:p>
            <w:pPr>
              <w:ind w:left="20"/>
              <w:spacing w:after="0" w:line="95" w:lineRule="exact"/>
              <w:rPr>
                <w:sz w:val="20"/>
                <w:szCs w:val="20"/>
                <w:color w:val="auto"/>
              </w:rPr>
            </w:pPr>
            <w:r>
              <w:rPr>
                <w:rFonts w:ascii="Arial" w:cs="Arial" w:eastAsia="Arial" w:hAnsi="Arial"/>
                <w:sz w:val="10"/>
                <w:szCs w:val="10"/>
                <w:b w:val="1"/>
                <w:bCs w:val="1"/>
                <w:color w:val="auto"/>
              </w:rPr>
              <w:t>or Units of Stock</w:t>
            </w:r>
          </w:p>
        </w:tc>
        <w:tc>
          <w:tcPr>
            <w:tcW w:w="1000" w:type="dxa"/>
            <w:vAlign w:val="bottom"/>
          </w:tcPr>
          <w:p>
            <w:pPr>
              <w:spacing w:after="0" w:line="95" w:lineRule="exact"/>
              <w:rPr>
                <w:sz w:val="20"/>
                <w:szCs w:val="20"/>
                <w:color w:val="auto"/>
              </w:rPr>
            </w:pPr>
            <w:r>
              <w:rPr>
                <w:rFonts w:ascii="Arial" w:cs="Arial" w:eastAsia="Arial" w:hAnsi="Arial"/>
                <w:sz w:val="10"/>
                <w:szCs w:val="10"/>
                <w:b w:val="1"/>
                <w:bCs w:val="1"/>
                <w:color w:val="auto"/>
              </w:rPr>
              <w:t>Shares or Units of</w:t>
            </w:r>
          </w:p>
        </w:tc>
        <w:tc>
          <w:tcPr>
            <w:tcW w:w="1020" w:type="dxa"/>
            <w:vAlign w:val="bottom"/>
            <w:tcBorders>
              <w:right w:val="single" w:sz="8" w:color="95B3D7"/>
            </w:tcBorders>
          </w:tcPr>
          <w:p>
            <w:pPr>
              <w:spacing w:after="0" w:line="95" w:lineRule="exact"/>
              <w:rPr>
                <w:sz w:val="20"/>
                <w:szCs w:val="20"/>
                <w:color w:val="auto"/>
              </w:rPr>
            </w:pPr>
            <w:r>
              <w:rPr>
                <w:rFonts w:ascii="Arial" w:cs="Arial" w:eastAsia="Arial" w:hAnsi="Arial"/>
                <w:sz w:val="10"/>
                <w:szCs w:val="10"/>
                <w:b w:val="1"/>
                <w:bCs w:val="1"/>
                <w:color w:val="auto"/>
              </w:rPr>
              <w:t>units, or other</w:t>
            </w:r>
          </w:p>
        </w:tc>
        <w:tc>
          <w:tcPr>
            <w:tcW w:w="1000" w:type="dxa"/>
            <w:vAlign w:val="bottom"/>
          </w:tcPr>
          <w:p>
            <w:pPr>
              <w:spacing w:after="0" w:line="95" w:lineRule="exact"/>
              <w:rPr>
                <w:sz w:val="20"/>
                <w:szCs w:val="20"/>
                <w:color w:val="auto"/>
              </w:rPr>
            </w:pPr>
            <w:r>
              <w:rPr>
                <w:rFonts w:ascii="Arial" w:cs="Arial" w:eastAsia="Arial" w:hAnsi="Arial"/>
                <w:sz w:val="10"/>
                <w:szCs w:val="10"/>
                <w:b w:val="1"/>
                <w:bCs w:val="1"/>
                <w:color w:val="auto"/>
              </w:rPr>
              <w:t>shares, units, or</w:t>
            </w:r>
          </w:p>
        </w:tc>
        <w:tc>
          <w:tcPr>
            <w:tcW w:w="0" w:type="dxa"/>
            <w:vAlign w:val="bottom"/>
          </w:tcPr>
          <w:p>
            <w:pPr>
              <w:spacing w:after="0"/>
              <w:rPr>
                <w:sz w:val="1"/>
                <w:szCs w:val="1"/>
                <w:color w:val="auto"/>
              </w:rPr>
            </w:pPr>
          </w:p>
        </w:tc>
      </w:tr>
      <w:tr>
        <w:trPr>
          <w:trHeight w:val="121"/>
        </w:trPr>
        <w:tc>
          <w:tcPr>
            <w:tcW w:w="1220" w:type="dxa"/>
            <w:vAlign w:val="bottom"/>
            <w:tcBorders>
              <w:right w:val="single" w:sz="8" w:color="95B3D7"/>
            </w:tcBorders>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Underlying</w:t>
            </w:r>
          </w:p>
        </w:tc>
        <w:tc>
          <w:tcPr>
            <w:tcW w:w="94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Unexercised</w:t>
            </w:r>
          </w:p>
        </w:tc>
        <w:tc>
          <w:tcPr>
            <w:tcW w:w="98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Underlying</w:t>
            </w:r>
          </w:p>
        </w:tc>
        <w:tc>
          <w:tcPr>
            <w:tcW w:w="900" w:type="dxa"/>
            <w:vAlign w:val="bottom"/>
            <w:tcBorders>
              <w:right w:val="single" w:sz="8" w:color="95B3D7"/>
            </w:tcBorders>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That Have Not</w:t>
            </w:r>
          </w:p>
        </w:tc>
        <w:tc>
          <w:tcPr>
            <w:tcW w:w="1000" w:type="dxa"/>
            <w:vAlign w:val="bottom"/>
          </w:tcPr>
          <w:p>
            <w:pPr>
              <w:spacing w:after="0"/>
              <w:rPr>
                <w:sz w:val="20"/>
                <w:szCs w:val="20"/>
                <w:color w:val="auto"/>
              </w:rPr>
            </w:pPr>
            <w:r>
              <w:rPr>
                <w:rFonts w:ascii="Arial" w:cs="Arial" w:eastAsia="Arial" w:hAnsi="Arial"/>
                <w:sz w:val="10"/>
                <w:szCs w:val="10"/>
                <w:b w:val="1"/>
                <w:bCs w:val="1"/>
                <w:color w:val="auto"/>
              </w:rPr>
              <w:t>Stock That Have</w:t>
            </w:r>
          </w:p>
        </w:tc>
        <w:tc>
          <w:tcPr>
            <w:tcW w:w="1020" w:type="dxa"/>
            <w:vAlign w:val="bottom"/>
            <w:tcBorders>
              <w:right w:val="single" w:sz="8" w:color="95B3D7"/>
            </w:tcBorders>
          </w:tcPr>
          <w:p>
            <w:pPr>
              <w:spacing w:after="0"/>
              <w:rPr>
                <w:sz w:val="20"/>
                <w:szCs w:val="20"/>
                <w:color w:val="auto"/>
              </w:rPr>
            </w:pPr>
            <w:r>
              <w:rPr>
                <w:rFonts w:ascii="Arial" w:cs="Arial" w:eastAsia="Arial" w:hAnsi="Arial"/>
                <w:sz w:val="10"/>
                <w:szCs w:val="10"/>
                <w:b w:val="1"/>
                <w:bCs w:val="1"/>
                <w:color w:val="auto"/>
              </w:rPr>
              <w:t>rights that have</w:t>
            </w:r>
          </w:p>
        </w:tc>
        <w:tc>
          <w:tcPr>
            <w:tcW w:w="1000" w:type="dxa"/>
            <w:vAlign w:val="bottom"/>
          </w:tcPr>
          <w:p>
            <w:pPr>
              <w:spacing w:after="0"/>
              <w:rPr>
                <w:sz w:val="20"/>
                <w:szCs w:val="20"/>
                <w:color w:val="auto"/>
              </w:rPr>
            </w:pPr>
            <w:r>
              <w:rPr>
                <w:rFonts w:ascii="Arial" w:cs="Arial" w:eastAsia="Arial" w:hAnsi="Arial"/>
                <w:sz w:val="10"/>
                <w:szCs w:val="10"/>
                <w:b w:val="1"/>
                <w:bCs w:val="1"/>
                <w:color w:val="auto"/>
              </w:rPr>
              <w:t>other rights that</w:t>
            </w:r>
          </w:p>
        </w:tc>
        <w:tc>
          <w:tcPr>
            <w:tcW w:w="0" w:type="dxa"/>
            <w:vAlign w:val="bottom"/>
          </w:tcPr>
          <w:p>
            <w:pPr>
              <w:spacing w:after="0"/>
              <w:rPr>
                <w:sz w:val="1"/>
                <w:szCs w:val="1"/>
                <w:color w:val="auto"/>
              </w:rPr>
            </w:pPr>
          </w:p>
        </w:tc>
      </w:tr>
      <w:tr>
        <w:trPr>
          <w:trHeight w:val="122"/>
        </w:trPr>
        <w:tc>
          <w:tcPr>
            <w:tcW w:w="1220" w:type="dxa"/>
            <w:vAlign w:val="bottom"/>
            <w:tcBorders>
              <w:right w:val="single" w:sz="8" w:color="95B3D7"/>
            </w:tcBorders>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Unexercised</w:t>
            </w:r>
          </w:p>
        </w:tc>
        <w:tc>
          <w:tcPr>
            <w:tcW w:w="94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Options</w:t>
            </w:r>
            <w:r>
              <w:rPr>
                <w:rFonts w:ascii="Arial" w:cs="Arial" w:eastAsia="Arial" w:hAnsi="Arial"/>
                <w:sz w:val="6"/>
                <w:szCs w:val="6"/>
                <w:b w:val="1"/>
                <w:bCs w:val="1"/>
                <w:color w:val="auto"/>
              </w:rPr>
              <w:t>(1)</w:t>
            </w:r>
          </w:p>
        </w:tc>
        <w:tc>
          <w:tcPr>
            <w:tcW w:w="98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Unexercised</w:t>
            </w:r>
          </w:p>
        </w:tc>
        <w:tc>
          <w:tcPr>
            <w:tcW w:w="900" w:type="dxa"/>
            <w:vAlign w:val="bottom"/>
            <w:tcBorders>
              <w:right w:val="single" w:sz="8" w:color="95B3D7"/>
            </w:tcBorders>
          </w:tcPr>
          <w:p>
            <w:pPr>
              <w:spacing w:after="0"/>
              <w:rPr>
                <w:sz w:val="20"/>
                <w:szCs w:val="20"/>
                <w:color w:val="auto"/>
              </w:rPr>
            </w:pPr>
            <w:r>
              <w:rPr>
                <w:rFonts w:ascii="Arial" w:cs="Arial" w:eastAsia="Arial" w:hAnsi="Arial"/>
                <w:sz w:val="10"/>
                <w:szCs w:val="10"/>
                <w:b w:val="1"/>
                <w:bCs w:val="1"/>
                <w:color w:val="auto"/>
              </w:rPr>
              <w:t>Option Exercise</w:t>
            </w:r>
          </w:p>
        </w:tc>
        <w:tc>
          <w:tcPr>
            <w:tcW w:w="940" w:type="dxa"/>
            <w:vAlign w:val="bottom"/>
          </w:tcPr>
          <w:p>
            <w:pPr>
              <w:ind w:left="20"/>
              <w:spacing w:after="0"/>
              <w:rPr>
                <w:sz w:val="20"/>
                <w:szCs w:val="20"/>
                <w:color w:val="auto"/>
              </w:rPr>
            </w:pPr>
            <w:r>
              <w:rPr>
                <w:rFonts w:ascii="Arial" w:cs="Arial" w:eastAsia="Arial" w:hAnsi="Arial"/>
                <w:sz w:val="10"/>
                <w:szCs w:val="10"/>
                <w:b w:val="1"/>
                <w:bCs w:val="1"/>
                <w:color w:val="auto"/>
              </w:rPr>
              <w:t>Option Expiration</w:t>
            </w:r>
          </w:p>
        </w:tc>
        <w:tc>
          <w:tcPr>
            <w:tcW w:w="260" w:type="dxa"/>
            <w:vAlign w:val="bottom"/>
          </w:tcPr>
          <w:p>
            <w:pPr>
              <w:spacing w:after="0"/>
              <w:rPr>
                <w:sz w:val="10"/>
                <w:szCs w:val="10"/>
                <w:color w:val="auto"/>
              </w:rPr>
            </w:pPr>
          </w:p>
        </w:tc>
        <w:tc>
          <w:tcPr>
            <w:tcW w:w="102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Vested</w:t>
            </w:r>
          </w:p>
        </w:tc>
        <w:tc>
          <w:tcPr>
            <w:tcW w:w="1000" w:type="dxa"/>
            <w:vAlign w:val="bottom"/>
          </w:tcPr>
          <w:p>
            <w:pPr>
              <w:spacing w:after="0"/>
              <w:rPr>
                <w:sz w:val="20"/>
                <w:szCs w:val="20"/>
                <w:color w:val="auto"/>
              </w:rPr>
            </w:pPr>
            <w:r>
              <w:rPr>
                <w:rFonts w:ascii="Arial" w:cs="Arial" w:eastAsia="Arial" w:hAnsi="Arial"/>
                <w:sz w:val="10"/>
                <w:szCs w:val="10"/>
                <w:b w:val="1"/>
                <w:bCs w:val="1"/>
                <w:color w:val="auto"/>
              </w:rPr>
              <w:t>Not Vested</w:t>
            </w:r>
            <w:r>
              <w:rPr>
                <w:rFonts w:ascii="Arial" w:cs="Arial" w:eastAsia="Arial" w:hAnsi="Arial"/>
                <w:sz w:val="6"/>
                <w:szCs w:val="6"/>
                <w:b w:val="1"/>
                <w:bCs w:val="1"/>
                <w:color w:val="auto"/>
              </w:rPr>
              <w:t>(2)</w:t>
            </w:r>
          </w:p>
        </w:tc>
        <w:tc>
          <w:tcPr>
            <w:tcW w:w="1020" w:type="dxa"/>
            <w:vAlign w:val="bottom"/>
            <w:tcBorders>
              <w:right w:val="single" w:sz="8" w:color="95B3D7"/>
            </w:tcBorders>
          </w:tcPr>
          <w:p>
            <w:pPr>
              <w:spacing w:after="0"/>
              <w:rPr>
                <w:sz w:val="20"/>
                <w:szCs w:val="20"/>
                <w:color w:val="auto"/>
              </w:rPr>
            </w:pPr>
            <w:r>
              <w:rPr>
                <w:rFonts w:ascii="Arial" w:cs="Arial" w:eastAsia="Arial" w:hAnsi="Arial"/>
                <w:sz w:val="10"/>
                <w:szCs w:val="10"/>
                <w:b w:val="1"/>
                <w:bCs w:val="1"/>
                <w:color w:val="auto"/>
              </w:rPr>
              <w:t>not vested</w:t>
            </w:r>
          </w:p>
        </w:tc>
        <w:tc>
          <w:tcPr>
            <w:tcW w:w="1000" w:type="dxa"/>
            <w:vAlign w:val="bottom"/>
          </w:tcPr>
          <w:p>
            <w:pPr>
              <w:spacing w:after="0" w:line="122" w:lineRule="exact"/>
              <w:rPr>
                <w:sz w:val="20"/>
                <w:szCs w:val="20"/>
                <w:color w:val="auto"/>
              </w:rPr>
            </w:pPr>
            <w:r>
              <w:rPr>
                <w:rFonts w:ascii="Arial" w:cs="Arial" w:eastAsia="Arial" w:hAnsi="Arial"/>
                <w:sz w:val="10"/>
                <w:szCs w:val="10"/>
                <w:b w:val="1"/>
                <w:bCs w:val="1"/>
                <w:color w:val="auto"/>
              </w:rPr>
              <w:t>have not vested</w:t>
            </w:r>
            <w:r>
              <w:rPr>
                <w:rFonts w:ascii="Arial" w:cs="Arial" w:eastAsia="Arial" w:hAnsi="Arial"/>
                <w:sz w:val="12"/>
                <w:szCs w:val="12"/>
                <w:b w:val="1"/>
                <w:bCs w:val="1"/>
                <w:color w:val="auto"/>
                <w:vertAlign w:val="superscript"/>
              </w:rPr>
              <w:t>(2)</w:t>
            </w:r>
          </w:p>
        </w:tc>
        <w:tc>
          <w:tcPr>
            <w:tcW w:w="0" w:type="dxa"/>
            <w:vAlign w:val="bottom"/>
          </w:tcPr>
          <w:p>
            <w:pPr>
              <w:spacing w:after="0"/>
              <w:rPr>
                <w:sz w:val="1"/>
                <w:szCs w:val="1"/>
                <w:color w:val="auto"/>
              </w:rPr>
            </w:pPr>
          </w:p>
        </w:tc>
      </w:tr>
      <w:tr>
        <w:trPr>
          <w:trHeight w:val="94"/>
        </w:trPr>
        <w:tc>
          <w:tcPr>
            <w:tcW w:w="1220" w:type="dxa"/>
            <w:vAlign w:val="bottom"/>
            <w:tcBorders>
              <w:bottom w:val="single" w:sz="8" w:color="auto"/>
              <w:right w:val="single" w:sz="8" w:color="95B3D7"/>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Borders>
              <w:bottom w:val="single" w:sz="8" w:color="auto"/>
              <w:right w:val="single" w:sz="8" w:color="95B3D7"/>
            </w:tcBorders>
          </w:tcPr>
          <w:p>
            <w:pPr>
              <w:ind w:left="20"/>
              <w:spacing w:after="0" w:line="95" w:lineRule="exact"/>
              <w:rPr>
                <w:sz w:val="20"/>
                <w:szCs w:val="20"/>
                <w:color w:val="auto"/>
              </w:rPr>
            </w:pPr>
            <w:r>
              <w:rPr>
                <w:rFonts w:ascii="Arial" w:cs="Arial" w:eastAsia="Arial" w:hAnsi="Arial"/>
                <w:sz w:val="10"/>
                <w:szCs w:val="10"/>
                <w:b w:val="1"/>
                <w:bCs w:val="1"/>
                <w:color w:val="auto"/>
              </w:rPr>
              <w:t>Options</w:t>
            </w:r>
          </w:p>
        </w:tc>
        <w:tc>
          <w:tcPr>
            <w:tcW w:w="940" w:type="dxa"/>
            <w:vAlign w:val="bottom"/>
            <w:tcBorders>
              <w:bottom w:val="single" w:sz="8" w:color="auto"/>
              <w:right w:val="single" w:sz="8" w:color="95B3D7"/>
            </w:tcBorders>
          </w:tcPr>
          <w:p>
            <w:pPr>
              <w:spacing w:after="0"/>
              <w:rPr>
                <w:sz w:val="8"/>
                <w:szCs w:val="8"/>
                <w:color w:val="auto"/>
              </w:rPr>
            </w:pPr>
          </w:p>
        </w:tc>
        <w:tc>
          <w:tcPr>
            <w:tcW w:w="980" w:type="dxa"/>
            <w:vAlign w:val="bottom"/>
            <w:tcBorders>
              <w:bottom w:val="single" w:sz="8" w:color="auto"/>
              <w:right w:val="single" w:sz="8" w:color="95B3D7"/>
            </w:tcBorders>
          </w:tcPr>
          <w:p>
            <w:pPr>
              <w:ind w:left="20"/>
              <w:spacing w:after="0" w:line="95" w:lineRule="exact"/>
              <w:rPr>
                <w:sz w:val="20"/>
                <w:szCs w:val="20"/>
                <w:color w:val="auto"/>
              </w:rPr>
            </w:pPr>
            <w:r>
              <w:rPr>
                <w:rFonts w:ascii="Arial" w:cs="Arial" w:eastAsia="Arial" w:hAnsi="Arial"/>
                <w:sz w:val="10"/>
                <w:szCs w:val="10"/>
                <w:b w:val="1"/>
                <w:bCs w:val="1"/>
                <w:color w:val="auto"/>
              </w:rPr>
              <w:t>Options</w:t>
            </w:r>
          </w:p>
        </w:tc>
        <w:tc>
          <w:tcPr>
            <w:tcW w:w="900" w:type="dxa"/>
            <w:vAlign w:val="bottom"/>
            <w:tcBorders>
              <w:bottom w:val="single" w:sz="8" w:color="auto"/>
              <w:right w:val="single" w:sz="8" w:color="95B3D7"/>
            </w:tcBorders>
          </w:tcPr>
          <w:p>
            <w:pPr>
              <w:spacing w:after="0" w:line="95" w:lineRule="exact"/>
              <w:rPr>
                <w:sz w:val="20"/>
                <w:szCs w:val="20"/>
                <w:color w:val="auto"/>
              </w:rPr>
            </w:pPr>
            <w:r>
              <w:rPr>
                <w:rFonts w:ascii="Arial" w:cs="Arial" w:eastAsia="Arial" w:hAnsi="Arial"/>
                <w:sz w:val="10"/>
                <w:szCs w:val="10"/>
                <w:b w:val="1"/>
                <w:bCs w:val="1"/>
                <w:color w:val="auto"/>
              </w:rPr>
              <w:t>Price</w:t>
            </w:r>
          </w:p>
        </w:tc>
        <w:tc>
          <w:tcPr>
            <w:tcW w:w="940" w:type="dxa"/>
            <w:vAlign w:val="bottom"/>
            <w:tcBorders>
              <w:bottom w:val="single" w:sz="8" w:color="auto"/>
            </w:tcBorders>
          </w:tcPr>
          <w:p>
            <w:pPr>
              <w:ind w:left="20"/>
              <w:spacing w:after="0" w:line="95" w:lineRule="exact"/>
              <w:rPr>
                <w:sz w:val="20"/>
                <w:szCs w:val="20"/>
                <w:color w:val="auto"/>
              </w:rPr>
            </w:pPr>
            <w:r>
              <w:rPr>
                <w:rFonts w:ascii="Arial" w:cs="Arial" w:eastAsia="Arial" w:hAnsi="Arial"/>
                <w:sz w:val="10"/>
                <w:szCs w:val="10"/>
                <w:b w:val="1"/>
                <w:bCs w:val="1"/>
                <w:color w:val="auto"/>
              </w:rPr>
              <w:t>Date</w:t>
            </w:r>
          </w:p>
        </w:tc>
        <w:tc>
          <w:tcPr>
            <w:tcW w:w="260" w:type="dxa"/>
            <w:vAlign w:val="bottom"/>
          </w:tcPr>
          <w:p>
            <w:pPr>
              <w:spacing w:after="0"/>
              <w:rPr>
                <w:sz w:val="8"/>
                <w:szCs w:val="8"/>
                <w:color w:val="auto"/>
              </w:rPr>
            </w:pPr>
          </w:p>
        </w:tc>
        <w:tc>
          <w:tcPr>
            <w:tcW w:w="1020" w:type="dxa"/>
            <w:vAlign w:val="bottom"/>
            <w:tcBorders>
              <w:bottom w:val="single" w:sz="8" w:color="auto"/>
              <w:right w:val="single" w:sz="8" w:color="95B3D7"/>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20" w:type="dxa"/>
            <w:vAlign w:val="bottom"/>
            <w:tcBorders>
              <w:bottom w:val="single" w:sz="8" w:color="auto"/>
              <w:right w:val="single" w:sz="8" w:color="95B3D7"/>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220" w:type="dxa"/>
            <w:vAlign w:val="bottom"/>
            <w:tcBorders>
              <w:right w:val="single" w:sz="8" w:color="95B3D7"/>
            </w:tcBorders>
          </w:tcPr>
          <w:p>
            <w:pPr>
              <w:ind w:left="80"/>
              <w:spacing w:after="0"/>
              <w:rPr>
                <w:sz w:val="20"/>
                <w:szCs w:val="20"/>
                <w:color w:val="auto"/>
              </w:rPr>
            </w:pPr>
            <w:r>
              <w:rPr>
                <w:rFonts w:ascii="Arial" w:cs="Arial" w:eastAsia="Arial" w:hAnsi="Arial"/>
                <w:sz w:val="10"/>
                <w:szCs w:val="10"/>
                <w:b w:val="1"/>
                <w:bCs w:val="1"/>
                <w:color w:val="auto"/>
              </w:rPr>
              <w:t>Name</w:t>
            </w:r>
          </w:p>
        </w:tc>
        <w:tc>
          <w:tcPr>
            <w:tcW w:w="920" w:type="dxa"/>
            <w:vAlign w:val="bottom"/>
          </w:tcPr>
          <w:p>
            <w:pPr>
              <w:jc w:val="right"/>
              <w:ind w:right="286"/>
              <w:spacing w:after="0"/>
              <w:rPr>
                <w:sz w:val="20"/>
                <w:szCs w:val="20"/>
                <w:color w:val="auto"/>
              </w:rPr>
            </w:pPr>
            <w:r>
              <w:rPr>
                <w:rFonts w:ascii="Arial" w:cs="Arial" w:eastAsia="Arial" w:hAnsi="Arial"/>
                <w:sz w:val="10"/>
                <w:szCs w:val="10"/>
                <w:b w:val="1"/>
                <w:bCs w:val="1"/>
                <w:color w:val="auto"/>
              </w:rPr>
              <w:t>Grant Date</w:t>
            </w:r>
          </w:p>
        </w:tc>
        <w:tc>
          <w:tcPr>
            <w:tcW w:w="100" w:type="dxa"/>
            <w:vAlign w:val="bottom"/>
          </w:tcPr>
          <w:p>
            <w:pPr>
              <w:spacing w:after="0"/>
              <w:rPr>
                <w:sz w:val="12"/>
                <w:szCs w:val="12"/>
                <w:color w:val="auto"/>
              </w:rPr>
            </w:pPr>
          </w:p>
        </w:tc>
        <w:tc>
          <w:tcPr>
            <w:tcW w:w="960" w:type="dxa"/>
            <w:vAlign w:val="bottom"/>
            <w:tcBorders>
              <w:right w:val="single" w:sz="8" w:color="95B3D7"/>
            </w:tcBorders>
          </w:tcPr>
          <w:p>
            <w:pPr>
              <w:ind w:left="20"/>
              <w:spacing w:after="0"/>
              <w:rPr>
                <w:sz w:val="20"/>
                <w:szCs w:val="20"/>
                <w:color w:val="auto"/>
              </w:rPr>
            </w:pPr>
            <w:r>
              <w:rPr>
                <w:rFonts w:ascii="Arial" w:cs="Arial" w:eastAsia="Arial" w:hAnsi="Arial"/>
                <w:sz w:val="10"/>
                <w:szCs w:val="10"/>
                <w:b w:val="1"/>
                <w:bCs w:val="1"/>
                <w:color w:val="auto"/>
              </w:rPr>
              <w:t>(#) Exercisable</w:t>
            </w:r>
          </w:p>
        </w:tc>
        <w:tc>
          <w:tcPr>
            <w:tcW w:w="940" w:type="dxa"/>
            <w:vAlign w:val="bottom"/>
            <w:tcBorders>
              <w:right w:val="single" w:sz="8" w:color="95B3D7"/>
            </w:tcBorders>
          </w:tcPr>
          <w:p>
            <w:pPr>
              <w:ind w:left="20"/>
              <w:spacing w:after="0"/>
              <w:rPr>
                <w:sz w:val="20"/>
                <w:szCs w:val="20"/>
                <w:color w:val="auto"/>
              </w:rPr>
            </w:pPr>
            <w:r>
              <w:rPr>
                <w:rFonts w:ascii="Arial" w:cs="Arial" w:eastAsia="Arial" w:hAnsi="Arial"/>
                <w:sz w:val="9"/>
                <w:szCs w:val="9"/>
                <w:b w:val="1"/>
                <w:bCs w:val="1"/>
                <w:color w:val="auto"/>
              </w:rPr>
              <w:t>(#) Unexercisable</w:t>
            </w:r>
          </w:p>
        </w:tc>
        <w:tc>
          <w:tcPr>
            <w:tcW w:w="980" w:type="dxa"/>
            <w:vAlign w:val="bottom"/>
            <w:tcBorders>
              <w:right w:val="single" w:sz="8" w:color="95B3D7"/>
            </w:tcBorders>
          </w:tcPr>
          <w:p>
            <w:pPr>
              <w:ind w:left="400"/>
              <w:spacing w:after="0"/>
              <w:rPr>
                <w:sz w:val="20"/>
                <w:szCs w:val="20"/>
                <w:color w:val="auto"/>
              </w:rPr>
            </w:pPr>
            <w:r>
              <w:rPr>
                <w:rFonts w:ascii="Arial" w:cs="Arial" w:eastAsia="Arial" w:hAnsi="Arial"/>
                <w:sz w:val="10"/>
                <w:szCs w:val="10"/>
                <w:b w:val="1"/>
                <w:bCs w:val="1"/>
                <w:color w:val="auto"/>
              </w:rPr>
              <w:t>(#)</w:t>
            </w:r>
          </w:p>
        </w:tc>
        <w:tc>
          <w:tcPr>
            <w:tcW w:w="900" w:type="dxa"/>
            <w:vAlign w:val="bottom"/>
            <w:tcBorders>
              <w:right w:val="single" w:sz="8" w:color="95B3D7"/>
            </w:tcBorders>
          </w:tcPr>
          <w:p>
            <w:pPr>
              <w:jc w:val="right"/>
              <w:ind w:right="366"/>
              <w:spacing w:after="0"/>
              <w:rPr>
                <w:sz w:val="20"/>
                <w:szCs w:val="20"/>
                <w:color w:val="auto"/>
              </w:rPr>
            </w:pPr>
            <w:r>
              <w:rPr>
                <w:rFonts w:ascii="Arial" w:cs="Arial" w:eastAsia="Arial" w:hAnsi="Arial"/>
                <w:sz w:val="10"/>
                <w:szCs w:val="10"/>
                <w:b w:val="1"/>
                <w:bCs w:val="1"/>
                <w:color w:val="auto"/>
              </w:rPr>
              <w:t>($)</w:t>
            </w:r>
          </w:p>
        </w:tc>
        <w:tc>
          <w:tcPr>
            <w:tcW w:w="940" w:type="dxa"/>
            <w:vAlign w:val="bottom"/>
          </w:tcPr>
          <w:p>
            <w:pPr>
              <w:spacing w:after="0"/>
              <w:rPr>
                <w:sz w:val="12"/>
                <w:szCs w:val="12"/>
                <w:color w:val="auto"/>
              </w:rPr>
            </w:pPr>
          </w:p>
        </w:tc>
        <w:tc>
          <w:tcPr>
            <w:tcW w:w="1280" w:type="dxa"/>
            <w:vAlign w:val="bottom"/>
            <w:tcBorders>
              <w:right w:val="single" w:sz="8" w:color="95B3D7"/>
            </w:tcBorders>
            <w:gridSpan w:val="2"/>
          </w:tcPr>
          <w:p>
            <w:pPr>
              <w:jc w:val="right"/>
              <w:ind w:right="407"/>
              <w:spacing w:after="0"/>
              <w:rPr>
                <w:sz w:val="20"/>
                <w:szCs w:val="20"/>
                <w:color w:val="auto"/>
              </w:rPr>
            </w:pPr>
            <w:r>
              <w:rPr>
                <w:rFonts w:ascii="Arial" w:cs="Arial" w:eastAsia="Arial" w:hAnsi="Arial"/>
                <w:sz w:val="10"/>
                <w:szCs w:val="10"/>
                <w:b w:val="1"/>
                <w:bCs w:val="1"/>
                <w:color w:val="auto"/>
              </w:rPr>
              <w:t>(#)</w:t>
            </w:r>
          </w:p>
        </w:tc>
        <w:tc>
          <w:tcPr>
            <w:tcW w:w="1000" w:type="dxa"/>
            <w:vAlign w:val="bottom"/>
          </w:tcPr>
          <w:p>
            <w:pPr>
              <w:jc w:val="right"/>
              <w:ind w:right="407"/>
              <w:spacing w:after="0"/>
              <w:rPr>
                <w:sz w:val="20"/>
                <w:szCs w:val="20"/>
                <w:color w:val="auto"/>
              </w:rPr>
            </w:pPr>
            <w:r>
              <w:rPr>
                <w:rFonts w:ascii="Arial" w:cs="Arial" w:eastAsia="Arial" w:hAnsi="Arial"/>
                <w:sz w:val="10"/>
                <w:szCs w:val="10"/>
                <w:b w:val="1"/>
                <w:bCs w:val="1"/>
                <w:color w:val="auto"/>
              </w:rPr>
              <w:t>($)</w:t>
            </w:r>
          </w:p>
        </w:tc>
        <w:tc>
          <w:tcPr>
            <w:tcW w:w="1020" w:type="dxa"/>
            <w:vAlign w:val="bottom"/>
            <w:tcBorders>
              <w:right w:val="single" w:sz="8" w:color="95B3D7"/>
            </w:tcBorders>
          </w:tcPr>
          <w:p>
            <w:pPr>
              <w:jc w:val="right"/>
              <w:ind w:right="427"/>
              <w:spacing w:after="0"/>
              <w:rPr>
                <w:sz w:val="20"/>
                <w:szCs w:val="20"/>
                <w:color w:val="auto"/>
              </w:rPr>
            </w:pPr>
            <w:r>
              <w:rPr>
                <w:rFonts w:ascii="Arial" w:cs="Arial" w:eastAsia="Arial" w:hAnsi="Arial"/>
                <w:sz w:val="10"/>
                <w:szCs w:val="10"/>
                <w:b w:val="1"/>
                <w:bCs w:val="1"/>
                <w:color w:val="auto"/>
              </w:rPr>
              <w:t>(#)</w:t>
            </w:r>
          </w:p>
        </w:tc>
        <w:tc>
          <w:tcPr>
            <w:tcW w:w="1000" w:type="dxa"/>
            <w:vAlign w:val="bottom"/>
          </w:tcPr>
          <w:p>
            <w:pPr>
              <w:jc w:val="right"/>
              <w:ind w:right="407"/>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90"/>
        </w:trPr>
        <w:tc>
          <w:tcPr>
            <w:tcW w:w="1220" w:type="dxa"/>
            <w:vAlign w:val="bottom"/>
            <w:tcBorders>
              <w:top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DBE5F1"/>
            </w:tcBorders>
          </w:tcPr>
          <w:p>
            <w:pPr>
              <w:spacing w:after="0"/>
              <w:rPr>
                <w:sz w:val="7"/>
                <w:szCs w:val="7"/>
                <w:color w:val="auto"/>
              </w:rPr>
            </w:pPr>
          </w:p>
        </w:tc>
        <w:tc>
          <w:tcPr>
            <w:tcW w:w="96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spacing w:after="0"/>
              <w:rPr>
                <w:sz w:val="7"/>
                <w:szCs w:val="7"/>
                <w:color w:val="auto"/>
              </w:rPr>
            </w:pPr>
          </w:p>
        </w:tc>
        <w:tc>
          <w:tcPr>
            <w:tcW w:w="980" w:type="dxa"/>
            <w:vAlign w:val="bottom"/>
            <w:tcBorders>
              <w:top w:val="single" w:sz="8" w:color="auto"/>
              <w:bottom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spacing w:after="0"/>
              <w:rPr>
                <w:sz w:val="7"/>
                <w:szCs w:val="7"/>
                <w:color w:val="auto"/>
              </w:rPr>
            </w:pPr>
          </w:p>
        </w:tc>
        <w:tc>
          <w:tcPr>
            <w:tcW w:w="940" w:type="dxa"/>
            <w:vAlign w:val="bottom"/>
            <w:tcBorders>
              <w:top w:val="single" w:sz="8" w:color="auto"/>
              <w:bottom w:val="single" w:sz="8" w:color="auto"/>
            </w:tcBorders>
          </w:tcPr>
          <w:p>
            <w:pPr>
              <w:spacing w:after="0"/>
              <w:rPr>
                <w:sz w:val="7"/>
                <w:szCs w:val="7"/>
                <w:color w:val="auto"/>
              </w:rPr>
            </w:pPr>
          </w:p>
        </w:tc>
        <w:tc>
          <w:tcPr>
            <w:tcW w:w="260" w:type="dxa"/>
            <w:vAlign w:val="bottom"/>
            <w:tcBorders>
              <w:bottom w:val="single" w:sz="8" w:color="DBE5F1"/>
            </w:tcBorders>
          </w:tcPr>
          <w:p>
            <w:pPr>
              <w:spacing w:after="0"/>
              <w:rPr>
                <w:sz w:val="7"/>
                <w:szCs w:val="7"/>
                <w:color w:val="auto"/>
              </w:rPr>
            </w:pPr>
          </w:p>
        </w:tc>
        <w:tc>
          <w:tcPr>
            <w:tcW w:w="1020" w:type="dxa"/>
            <w:vAlign w:val="bottom"/>
            <w:tcBorders>
              <w:top w:val="single" w:sz="8" w:color="auto"/>
              <w:bottom w:val="single" w:sz="8" w:color="auto"/>
            </w:tcBorders>
          </w:tcPr>
          <w:p>
            <w:pPr>
              <w:spacing w:after="0"/>
              <w:rPr>
                <w:sz w:val="7"/>
                <w:szCs w:val="7"/>
                <w:color w:val="auto"/>
              </w:rPr>
            </w:pPr>
          </w:p>
        </w:tc>
        <w:tc>
          <w:tcPr>
            <w:tcW w:w="1000" w:type="dxa"/>
            <w:vAlign w:val="bottom"/>
            <w:tcBorders>
              <w:top w:val="single" w:sz="8" w:color="auto"/>
              <w:bottom w:val="single" w:sz="8" w:color="auto"/>
            </w:tcBorders>
          </w:tcPr>
          <w:p>
            <w:pPr>
              <w:spacing w:after="0"/>
              <w:rPr>
                <w:sz w:val="7"/>
                <w:szCs w:val="7"/>
                <w:color w:val="auto"/>
              </w:rPr>
            </w:pPr>
          </w:p>
        </w:tc>
        <w:tc>
          <w:tcPr>
            <w:tcW w:w="1020" w:type="dxa"/>
            <w:vAlign w:val="bottom"/>
            <w:tcBorders>
              <w:top w:val="single" w:sz="8" w:color="auto"/>
              <w:bottom w:val="single" w:sz="8" w:color="auto"/>
            </w:tcBorders>
          </w:tcPr>
          <w:p>
            <w:pPr>
              <w:spacing w:after="0"/>
              <w:rPr>
                <w:sz w:val="7"/>
                <w:szCs w:val="7"/>
                <w:color w:val="auto"/>
              </w:rPr>
            </w:pPr>
          </w:p>
        </w:tc>
        <w:tc>
          <w:tcPr>
            <w:tcW w:w="100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220" w:type="dxa"/>
            <w:vAlign w:val="bottom"/>
            <w:tcBorders>
              <w:left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1"/>
                <w:szCs w:val="11"/>
                <w:color w:val="auto"/>
              </w:rPr>
              <w:t>John Kao</w:t>
            </w: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shd w:val="clear" w:color="auto" w:fill="DBE5F1"/>
          </w:tcPr>
          <w:p>
            <w:pPr>
              <w:spacing w:after="0"/>
              <w:rPr>
                <w:sz w:val="15"/>
                <w:szCs w:val="15"/>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E5F1"/>
          </w:tcPr>
          <w:p>
            <w:pPr>
              <w:spacing w:after="0"/>
              <w:rPr>
                <w:sz w:val="15"/>
                <w:szCs w:val="15"/>
                <w:color w:val="auto"/>
              </w:rPr>
            </w:pPr>
          </w:p>
        </w:tc>
        <w:tc>
          <w:tcPr>
            <w:tcW w:w="102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274,194</w:t>
            </w:r>
            <w:r>
              <w:rPr>
                <w:rFonts w:ascii="Arial" w:cs="Arial" w:eastAsia="Arial" w:hAnsi="Arial"/>
                <w:sz w:val="14"/>
                <w:szCs w:val="14"/>
                <w:color w:val="auto"/>
                <w:vertAlign w:val="superscript"/>
              </w:rPr>
              <w:t>(3)</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5,415,332</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4"/>
        </w:trPr>
        <w:tc>
          <w:tcPr>
            <w:tcW w:w="1220" w:type="dxa"/>
            <w:vAlign w:val="bottom"/>
            <w:tcBorders>
              <w:left w:val="single" w:sz="8" w:color="95B3D7"/>
              <w:right w:val="single" w:sz="8" w:color="95B3D7"/>
            </w:tcBorders>
            <w:shd w:val="clear" w:color="auto" w:fill="DBE5F1"/>
          </w:tcPr>
          <w:p>
            <w:pPr>
              <w:spacing w:after="0"/>
              <w:rPr>
                <w:sz w:val="14"/>
                <w:szCs w:val="14"/>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shd w:val="clear" w:color="auto" w:fill="DBE5F1"/>
          </w:tcPr>
          <w:p>
            <w:pPr>
              <w:spacing w:after="0"/>
              <w:rPr>
                <w:sz w:val="14"/>
                <w:szCs w:val="14"/>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E5F1"/>
          </w:tcPr>
          <w:p>
            <w:pPr>
              <w:spacing w:after="0"/>
              <w:rPr>
                <w:sz w:val="14"/>
                <w:szCs w:val="14"/>
                <w:color w:val="auto"/>
              </w:rPr>
            </w:pP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274,194</w:t>
            </w:r>
            <w:r>
              <w:rPr>
                <w:rFonts w:ascii="Arial" w:cs="Arial" w:eastAsia="Arial" w:hAnsi="Arial"/>
                <w:sz w:val="14"/>
                <w:szCs w:val="14"/>
                <w:color w:val="auto"/>
                <w:vertAlign w:val="superscript"/>
              </w:rPr>
              <w:t>(6)</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5,415,332</w:t>
            </w:r>
          </w:p>
        </w:tc>
        <w:tc>
          <w:tcPr>
            <w:tcW w:w="0" w:type="dxa"/>
            <w:vAlign w:val="bottom"/>
          </w:tcPr>
          <w:p>
            <w:pPr>
              <w:spacing w:after="0"/>
              <w:rPr>
                <w:sz w:val="1"/>
                <w:szCs w:val="1"/>
                <w:color w:val="auto"/>
              </w:rPr>
            </w:pPr>
          </w:p>
        </w:tc>
      </w:tr>
      <w:tr>
        <w:trPr>
          <w:trHeight w:val="162"/>
        </w:trPr>
        <w:tc>
          <w:tcPr>
            <w:tcW w:w="1220" w:type="dxa"/>
            <w:vAlign w:val="bottom"/>
            <w:tcBorders>
              <w:left w:val="single" w:sz="8" w:color="95B3D7"/>
              <w:right w:val="single" w:sz="8" w:color="95B3D7"/>
            </w:tcBorders>
            <w:shd w:val="clear" w:color="auto" w:fill="DBE5F1"/>
          </w:tcPr>
          <w:p>
            <w:pPr>
              <w:spacing w:after="0"/>
              <w:rPr>
                <w:sz w:val="14"/>
                <w:szCs w:val="14"/>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4"/>
                <w:szCs w:val="14"/>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shd w:val="clear" w:color="auto" w:fill="DBE5F1"/>
          </w:tcPr>
          <w:p>
            <w:pPr>
              <w:jc w:val="right"/>
              <w:spacing w:after="0"/>
              <w:rPr>
                <w:sz w:val="20"/>
                <w:szCs w:val="20"/>
                <w:color w:val="auto"/>
              </w:rPr>
            </w:pPr>
            <w:r>
              <w:rPr>
                <w:rFonts w:ascii="Arial" w:cs="Arial" w:eastAsia="Arial" w:hAnsi="Arial"/>
                <w:sz w:val="11"/>
                <w:szCs w:val="11"/>
                <w:color w:val="auto"/>
              </w:rPr>
              <w:t>247,500</w:t>
            </w:r>
            <w:r>
              <w:rPr>
                <w:rFonts w:ascii="Arial" w:cs="Arial" w:eastAsia="Arial" w:hAnsi="Arial"/>
                <w:sz w:val="14"/>
                <w:szCs w:val="14"/>
                <w:color w:val="auto"/>
                <w:vertAlign w:val="superscript"/>
              </w:rPr>
              <w:t>(4)</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4,888,125</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220" w:type="dxa"/>
            <w:vAlign w:val="bottom"/>
            <w:tcBorders>
              <w:left w:val="single" w:sz="8" w:color="95B3D7"/>
              <w:right w:val="single" w:sz="8" w:color="95B3D7"/>
            </w:tcBorders>
            <w:shd w:val="clear" w:color="auto" w:fill="DBE5F1"/>
          </w:tcPr>
          <w:p>
            <w:pPr>
              <w:spacing w:after="0"/>
              <w:rPr>
                <w:sz w:val="14"/>
                <w:szCs w:val="14"/>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4"/>
                <w:szCs w:val="14"/>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E5F1"/>
          </w:tcPr>
          <w:p>
            <w:pPr>
              <w:spacing w:after="0"/>
              <w:rPr>
                <w:sz w:val="14"/>
                <w:szCs w:val="14"/>
                <w:color w:val="auto"/>
              </w:rPr>
            </w:pP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330,000</w:t>
            </w:r>
            <w:r>
              <w:rPr>
                <w:rFonts w:ascii="Arial" w:cs="Arial" w:eastAsia="Arial" w:hAnsi="Arial"/>
                <w:sz w:val="14"/>
                <w:szCs w:val="14"/>
                <w:color w:val="auto"/>
                <w:vertAlign w:val="superscript"/>
              </w:rPr>
              <w:t>(7)</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6,517,500</w:t>
            </w:r>
          </w:p>
        </w:tc>
        <w:tc>
          <w:tcPr>
            <w:tcW w:w="0" w:type="dxa"/>
            <w:vAlign w:val="bottom"/>
          </w:tcPr>
          <w:p>
            <w:pPr>
              <w:spacing w:after="0"/>
              <w:rPr>
                <w:sz w:val="1"/>
                <w:szCs w:val="1"/>
                <w:color w:val="auto"/>
              </w:rPr>
            </w:pPr>
          </w:p>
        </w:tc>
      </w:tr>
      <w:tr>
        <w:trPr>
          <w:trHeight w:val="187"/>
        </w:trPr>
        <w:tc>
          <w:tcPr>
            <w:tcW w:w="1220" w:type="dxa"/>
            <w:vAlign w:val="bottom"/>
            <w:tcBorders>
              <w:left w:val="single" w:sz="8" w:color="95B3D7"/>
              <w:right w:val="single" w:sz="8" w:color="95B3D7"/>
            </w:tcBorders>
            <w:shd w:val="clear" w:color="auto" w:fill="DBE5F1"/>
          </w:tcPr>
          <w:p>
            <w:pPr>
              <w:spacing w:after="0"/>
              <w:rPr>
                <w:sz w:val="16"/>
                <w:szCs w:val="16"/>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9/12/2022</w:t>
            </w:r>
          </w:p>
        </w:tc>
        <w:tc>
          <w:tcPr>
            <w:tcW w:w="100" w:type="dxa"/>
            <w:vAlign w:val="bottom"/>
            <w:shd w:val="clear" w:color="auto" w:fill="DBE5F1"/>
          </w:tcPr>
          <w:p>
            <w:pPr>
              <w:spacing w:after="0"/>
              <w:rPr>
                <w:sz w:val="16"/>
                <w:szCs w:val="16"/>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shd w:val="clear" w:color="auto" w:fill="DBE5F1"/>
          </w:tcPr>
          <w:p>
            <w:pPr>
              <w:jc w:val="right"/>
              <w:spacing w:after="0"/>
              <w:rPr>
                <w:sz w:val="20"/>
                <w:szCs w:val="20"/>
                <w:color w:val="auto"/>
              </w:rPr>
            </w:pPr>
            <w:r>
              <w:rPr>
                <w:rFonts w:ascii="Arial" w:cs="Arial" w:eastAsia="Arial" w:hAnsi="Arial"/>
                <w:sz w:val="11"/>
                <w:szCs w:val="11"/>
                <w:color w:val="auto"/>
              </w:rPr>
              <w:t>819,513</w:t>
            </w:r>
            <w:r>
              <w:rPr>
                <w:rFonts w:ascii="Arial" w:cs="Arial" w:eastAsia="Arial" w:hAnsi="Arial"/>
                <w:sz w:val="14"/>
                <w:szCs w:val="14"/>
                <w:color w:val="auto"/>
                <w:vertAlign w:val="superscript"/>
              </w:rPr>
              <w:t>(5)</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16,185,382</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8"/>
        </w:trPr>
        <w:tc>
          <w:tcPr>
            <w:tcW w:w="1220" w:type="dxa"/>
            <w:vAlign w:val="bottom"/>
            <w:tcBorders>
              <w:left w:val="single" w:sz="8" w:color="95B3D7"/>
              <w:right w:val="single" w:sz="8" w:color="95B3D7"/>
            </w:tcBorders>
            <w:shd w:val="clear" w:color="auto" w:fill="DBE5F1"/>
          </w:tcPr>
          <w:p>
            <w:pPr>
              <w:spacing w:after="0"/>
              <w:rPr>
                <w:sz w:val="17"/>
                <w:szCs w:val="17"/>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3/8/2022</w:t>
            </w:r>
          </w:p>
        </w:tc>
        <w:tc>
          <w:tcPr>
            <w:tcW w:w="100" w:type="dxa"/>
            <w:vAlign w:val="bottom"/>
            <w:shd w:val="clear" w:color="auto" w:fill="DBE5F1"/>
          </w:tcPr>
          <w:p>
            <w:pPr>
              <w:spacing w:after="0"/>
              <w:rPr>
                <w:sz w:val="17"/>
                <w:szCs w:val="17"/>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273,723</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91,241</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9.06</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3/8/2032</w:t>
            </w:r>
          </w:p>
        </w:tc>
        <w:tc>
          <w:tcPr>
            <w:tcW w:w="260" w:type="dxa"/>
            <w:vAlign w:val="bottom"/>
            <w:shd w:val="clear" w:color="auto" w:fill="DBE5F1"/>
          </w:tcPr>
          <w:p>
            <w:pPr>
              <w:spacing w:after="0"/>
              <w:rPr>
                <w:sz w:val="17"/>
                <w:szCs w:val="17"/>
                <w:color w:val="auto"/>
              </w:rPr>
            </w:pP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86"/>
        </w:trPr>
        <w:tc>
          <w:tcPr>
            <w:tcW w:w="1220" w:type="dxa"/>
            <w:vAlign w:val="bottom"/>
            <w:tcBorders>
              <w:left w:val="single" w:sz="8" w:color="95B3D7"/>
              <w:right w:val="single" w:sz="8" w:color="95B3D7"/>
            </w:tcBorders>
            <w:shd w:val="clear" w:color="auto" w:fill="DBE5F1"/>
          </w:tcPr>
          <w:p>
            <w:pPr>
              <w:spacing w:after="0"/>
              <w:rPr>
                <w:sz w:val="24"/>
                <w:szCs w:val="24"/>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3/8/2022</w:t>
            </w:r>
          </w:p>
        </w:tc>
        <w:tc>
          <w:tcPr>
            <w:tcW w:w="100" w:type="dxa"/>
            <w:vAlign w:val="bottom"/>
            <w:shd w:val="clear" w:color="auto" w:fill="DBE5F1"/>
          </w:tcPr>
          <w:p>
            <w:pPr>
              <w:spacing w:after="0"/>
              <w:rPr>
                <w:sz w:val="24"/>
                <w:szCs w:val="24"/>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shd w:val="clear" w:color="auto" w:fill="DBE5F1"/>
          </w:tcPr>
          <w:p>
            <w:pPr>
              <w:jc w:val="right"/>
              <w:spacing w:after="0"/>
              <w:rPr>
                <w:sz w:val="20"/>
                <w:szCs w:val="20"/>
                <w:color w:val="auto"/>
              </w:rPr>
            </w:pPr>
            <w:r>
              <w:rPr>
                <w:rFonts w:ascii="Arial" w:cs="Arial" w:eastAsia="Arial" w:hAnsi="Arial"/>
                <w:sz w:val="11"/>
                <w:szCs w:val="11"/>
                <w:color w:val="auto"/>
              </w:rPr>
              <w:t>124,172</w:t>
            </w:r>
            <w:r>
              <w:rPr>
                <w:rFonts w:ascii="Arial" w:cs="Arial" w:eastAsia="Arial" w:hAnsi="Arial"/>
                <w:sz w:val="14"/>
                <w:szCs w:val="14"/>
                <w:color w:val="auto"/>
                <w:vertAlign w:val="superscript"/>
              </w:rPr>
              <w:t>(4)</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2,452,397</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0"/>
        </w:trPr>
        <w:tc>
          <w:tcPr>
            <w:tcW w:w="1220" w:type="dxa"/>
            <w:vAlign w:val="bottom"/>
            <w:tcBorders>
              <w:left w:val="single" w:sz="8" w:color="95B3D7"/>
              <w:right w:val="single" w:sz="8" w:color="95B3D7"/>
            </w:tcBorders>
            <w:shd w:val="clear" w:color="auto" w:fill="DBE5F1"/>
          </w:tcPr>
          <w:p>
            <w:pPr>
              <w:spacing w:after="0"/>
              <w:rPr>
                <w:sz w:val="17"/>
                <w:szCs w:val="17"/>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3/25/2021</w:t>
            </w:r>
          </w:p>
        </w:tc>
        <w:tc>
          <w:tcPr>
            <w:tcW w:w="100" w:type="dxa"/>
            <w:vAlign w:val="bottom"/>
            <w:shd w:val="clear" w:color="auto" w:fill="DBE5F1"/>
          </w:tcPr>
          <w:p>
            <w:pPr>
              <w:spacing w:after="0"/>
              <w:rPr>
                <w:sz w:val="17"/>
                <w:szCs w:val="17"/>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3,916,668</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18.00</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3/25/2031</w:t>
            </w:r>
          </w:p>
        </w:tc>
        <w:tc>
          <w:tcPr>
            <w:tcW w:w="260" w:type="dxa"/>
            <w:vAlign w:val="bottom"/>
            <w:shd w:val="clear" w:color="auto" w:fill="DBE5F1"/>
          </w:tcPr>
          <w:p>
            <w:pPr>
              <w:spacing w:after="0"/>
              <w:rPr>
                <w:sz w:val="17"/>
                <w:szCs w:val="17"/>
                <w:color w:val="auto"/>
              </w:rPr>
            </w:pP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74"/>
        </w:trPr>
        <w:tc>
          <w:tcPr>
            <w:tcW w:w="1220" w:type="dxa"/>
            <w:vAlign w:val="bottom"/>
            <w:tcBorders>
              <w:left w:val="single" w:sz="8" w:color="95B3D7"/>
              <w:right w:val="single" w:sz="8" w:color="95B3D7"/>
            </w:tcBorders>
            <w:shd w:val="clear" w:color="auto" w:fill="DBE5F1"/>
          </w:tcPr>
          <w:p>
            <w:pPr>
              <w:spacing w:after="0"/>
              <w:rPr>
                <w:sz w:val="6"/>
                <w:szCs w:val="6"/>
                <w:color w:val="auto"/>
              </w:rPr>
            </w:pPr>
          </w:p>
        </w:tc>
        <w:tc>
          <w:tcPr>
            <w:tcW w:w="920" w:type="dxa"/>
            <w:vAlign w:val="bottom"/>
            <w:tcBorders>
              <w:right w:val="single" w:sz="8" w:color="95B3D7"/>
            </w:tcBorders>
            <w:shd w:val="clear" w:color="auto" w:fill="DBE5F1"/>
          </w:tcPr>
          <w:p>
            <w:pPr>
              <w:spacing w:after="0"/>
              <w:rPr>
                <w:sz w:val="6"/>
                <w:szCs w:val="6"/>
                <w:color w:val="auto"/>
              </w:rPr>
            </w:pPr>
          </w:p>
        </w:tc>
        <w:tc>
          <w:tcPr>
            <w:tcW w:w="100" w:type="dxa"/>
            <w:vAlign w:val="bottom"/>
            <w:shd w:val="clear" w:color="auto" w:fill="DBE5F1"/>
          </w:tcPr>
          <w:p>
            <w:pPr>
              <w:spacing w:after="0"/>
              <w:rPr>
                <w:sz w:val="6"/>
                <w:szCs w:val="6"/>
                <w:color w:val="auto"/>
              </w:rPr>
            </w:pPr>
          </w:p>
        </w:tc>
        <w:tc>
          <w:tcPr>
            <w:tcW w:w="960" w:type="dxa"/>
            <w:vAlign w:val="bottom"/>
            <w:tcBorders>
              <w:right w:val="single" w:sz="8" w:color="95B3D7"/>
            </w:tcBorders>
            <w:shd w:val="clear" w:color="auto" w:fill="DBE5F1"/>
          </w:tcPr>
          <w:p>
            <w:pPr>
              <w:spacing w:after="0"/>
              <w:rPr>
                <w:sz w:val="6"/>
                <w:szCs w:val="6"/>
                <w:color w:val="auto"/>
              </w:rPr>
            </w:pPr>
          </w:p>
        </w:tc>
        <w:tc>
          <w:tcPr>
            <w:tcW w:w="940" w:type="dxa"/>
            <w:vAlign w:val="bottom"/>
            <w:tcBorders>
              <w:right w:val="single" w:sz="8" w:color="95B3D7"/>
            </w:tcBorders>
            <w:shd w:val="clear" w:color="auto" w:fill="DBE5F1"/>
          </w:tcPr>
          <w:p>
            <w:pPr>
              <w:spacing w:after="0"/>
              <w:rPr>
                <w:sz w:val="6"/>
                <w:szCs w:val="6"/>
                <w:color w:val="auto"/>
              </w:rPr>
            </w:pPr>
          </w:p>
        </w:tc>
        <w:tc>
          <w:tcPr>
            <w:tcW w:w="980" w:type="dxa"/>
            <w:vAlign w:val="bottom"/>
            <w:tcBorders>
              <w:right w:val="single" w:sz="8" w:color="95B3D7"/>
            </w:tcBorders>
            <w:shd w:val="clear" w:color="auto" w:fill="DBE5F1"/>
          </w:tcPr>
          <w:p>
            <w:pPr>
              <w:spacing w:after="0"/>
              <w:rPr>
                <w:sz w:val="6"/>
                <w:szCs w:val="6"/>
                <w:color w:val="auto"/>
              </w:rPr>
            </w:pPr>
          </w:p>
        </w:tc>
        <w:tc>
          <w:tcPr>
            <w:tcW w:w="900" w:type="dxa"/>
            <w:vAlign w:val="bottom"/>
            <w:tcBorders>
              <w:right w:val="single" w:sz="8" w:color="95B3D7"/>
            </w:tcBorders>
            <w:shd w:val="clear" w:color="auto" w:fill="DBE5F1"/>
          </w:tcPr>
          <w:p>
            <w:pPr>
              <w:spacing w:after="0"/>
              <w:rPr>
                <w:sz w:val="6"/>
                <w:szCs w:val="6"/>
                <w:color w:val="auto"/>
              </w:rPr>
            </w:pPr>
          </w:p>
        </w:tc>
        <w:tc>
          <w:tcPr>
            <w:tcW w:w="940" w:type="dxa"/>
            <w:vAlign w:val="bottom"/>
            <w:tcBorders>
              <w:right w:val="single" w:sz="8" w:color="95B3D7"/>
            </w:tcBorders>
            <w:shd w:val="clear" w:color="auto" w:fill="DBE5F1"/>
          </w:tcPr>
          <w:p>
            <w:pPr>
              <w:spacing w:after="0"/>
              <w:rPr>
                <w:sz w:val="6"/>
                <w:szCs w:val="6"/>
                <w:color w:val="auto"/>
              </w:rPr>
            </w:pPr>
          </w:p>
        </w:tc>
        <w:tc>
          <w:tcPr>
            <w:tcW w:w="260" w:type="dxa"/>
            <w:vAlign w:val="bottom"/>
            <w:shd w:val="clear" w:color="auto" w:fill="DBE5F1"/>
          </w:tcPr>
          <w:p>
            <w:pPr>
              <w:spacing w:after="0"/>
              <w:rPr>
                <w:sz w:val="6"/>
                <w:szCs w:val="6"/>
                <w:color w:val="auto"/>
              </w:rPr>
            </w:pPr>
          </w:p>
        </w:tc>
        <w:tc>
          <w:tcPr>
            <w:tcW w:w="1020" w:type="dxa"/>
            <w:vAlign w:val="bottom"/>
            <w:tcBorders>
              <w:right w:val="single" w:sz="8" w:color="95B3D7"/>
            </w:tcBorders>
            <w:shd w:val="clear" w:color="auto" w:fill="DBE5F1"/>
          </w:tcPr>
          <w:p>
            <w:pPr>
              <w:spacing w:after="0"/>
              <w:rPr>
                <w:sz w:val="6"/>
                <w:szCs w:val="6"/>
                <w:color w:val="auto"/>
              </w:rPr>
            </w:pPr>
          </w:p>
        </w:tc>
        <w:tc>
          <w:tcPr>
            <w:tcW w:w="1000" w:type="dxa"/>
            <w:vAlign w:val="bottom"/>
            <w:tcBorders>
              <w:right w:val="single" w:sz="8" w:color="95B3D7"/>
            </w:tcBorders>
            <w:shd w:val="clear" w:color="auto" w:fill="DBE5F1"/>
          </w:tcPr>
          <w:p>
            <w:pPr>
              <w:spacing w:after="0"/>
              <w:rPr>
                <w:sz w:val="6"/>
                <w:szCs w:val="6"/>
                <w:color w:val="auto"/>
              </w:rPr>
            </w:pPr>
          </w:p>
        </w:tc>
        <w:tc>
          <w:tcPr>
            <w:tcW w:w="1020" w:type="dxa"/>
            <w:vAlign w:val="bottom"/>
            <w:tcBorders>
              <w:right w:val="single" w:sz="8" w:color="95B3D7"/>
            </w:tcBorders>
            <w:shd w:val="clear" w:color="auto" w:fill="DBE5F1"/>
          </w:tcPr>
          <w:p>
            <w:pPr>
              <w:spacing w:after="0"/>
              <w:rPr>
                <w:sz w:val="6"/>
                <w:szCs w:val="6"/>
                <w:color w:val="auto"/>
              </w:rPr>
            </w:pPr>
          </w:p>
        </w:tc>
        <w:tc>
          <w:tcPr>
            <w:tcW w:w="1000" w:type="dxa"/>
            <w:vAlign w:val="bottom"/>
            <w:tcBorders>
              <w:right w:val="single" w:sz="8" w:color="95B3D7"/>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220" w:type="dxa"/>
            <w:vAlign w:val="bottom"/>
            <w:tcBorders>
              <w:left w:val="single" w:sz="8" w:color="95B3D7"/>
              <w:right w:val="single" w:sz="8" w:color="95B3D7"/>
            </w:tcBorders>
          </w:tcPr>
          <w:p>
            <w:pPr>
              <w:ind w:left="40"/>
              <w:spacing w:after="0"/>
              <w:rPr>
                <w:sz w:val="20"/>
                <w:szCs w:val="20"/>
                <w:color w:val="auto"/>
              </w:rPr>
            </w:pPr>
            <w:r>
              <w:rPr>
                <w:rFonts w:ascii="Arial" w:cs="Arial" w:eastAsia="Arial" w:hAnsi="Arial"/>
                <w:sz w:val="11"/>
                <w:szCs w:val="11"/>
                <w:color w:val="auto"/>
              </w:rPr>
              <w:t>Dawn</w:t>
            </w: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tcPr>
          <w:p>
            <w:pPr>
              <w:spacing w:after="0"/>
              <w:rPr>
                <w:sz w:val="11"/>
                <w:szCs w:val="11"/>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tcPr>
          <w:p>
            <w:pPr>
              <w:jc w:val="right"/>
              <w:spacing w:after="0" w:line="135" w:lineRule="exact"/>
              <w:rPr>
                <w:sz w:val="20"/>
                <w:szCs w:val="20"/>
                <w:color w:val="auto"/>
              </w:rPr>
            </w:pPr>
            <w:r>
              <w:rPr>
                <w:rFonts w:ascii="Arial" w:cs="Arial" w:eastAsia="Arial" w:hAnsi="Arial"/>
                <w:sz w:val="11"/>
                <w:szCs w:val="11"/>
                <w:color w:val="auto"/>
              </w:rPr>
              <w:t>119,355</w:t>
            </w:r>
            <w:r>
              <w:rPr>
                <w:rFonts w:ascii="Arial" w:cs="Arial" w:eastAsia="Arial" w:hAnsi="Arial"/>
                <w:sz w:val="14"/>
                <w:szCs w:val="14"/>
                <w:color w:val="auto"/>
                <w:vertAlign w:val="superscript"/>
              </w:rPr>
              <w:t>(3)</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2,357,261</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52"/>
        </w:trPr>
        <w:tc>
          <w:tcPr>
            <w:tcW w:w="1220" w:type="dxa"/>
            <w:vAlign w:val="bottom"/>
            <w:tcBorders>
              <w:left w:val="single" w:sz="8" w:color="95B3D7"/>
              <w:right w:val="single" w:sz="8" w:color="95B3D7"/>
            </w:tcBorders>
          </w:tcPr>
          <w:p>
            <w:pPr>
              <w:ind w:left="40"/>
              <w:spacing w:after="0"/>
              <w:rPr>
                <w:sz w:val="20"/>
                <w:szCs w:val="20"/>
                <w:color w:val="auto"/>
              </w:rPr>
            </w:pPr>
            <w:r>
              <w:rPr>
                <w:rFonts w:ascii="Arial" w:cs="Arial" w:eastAsia="Arial" w:hAnsi="Arial"/>
                <w:sz w:val="11"/>
                <w:szCs w:val="11"/>
                <w:color w:val="auto"/>
              </w:rPr>
              <w:t>Maroney</w:t>
            </w: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tcPr>
          <w:p>
            <w:pPr>
              <w:spacing w:after="0"/>
              <w:rPr>
                <w:sz w:val="21"/>
                <w:szCs w:val="21"/>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119,355</w:t>
            </w:r>
            <w:r>
              <w:rPr>
                <w:rFonts w:ascii="Arial" w:cs="Arial" w:eastAsia="Arial" w:hAnsi="Arial"/>
                <w:sz w:val="14"/>
                <w:szCs w:val="14"/>
                <w:color w:val="auto"/>
                <w:vertAlign w:val="superscript"/>
              </w:rPr>
              <w:t>(6)</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2,357,261</w:t>
            </w:r>
          </w:p>
        </w:tc>
        <w:tc>
          <w:tcPr>
            <w:tcW w:w="0" w:type="dxa"/>
            <w:vAlign w:val="bottom"/>
          </w:tcPr>
          <w:p>
            <w:pPr>
              <w:spacing w:after="0"/>
              <w:rPr>
                <w:sz w:val="1"/>
                <w:szCs w:val="1"/>
                <w:color w:val="auto"/>
              </w:rPr>
            </w:pPr>
          </w:p>
        </w:tc>
      </w:tr>
      <w:tr>
        <w:trPr>
          <w:trHeight w:val="178"/>
        </w:trPr>
        <w:tc>
          <w:tcPr>
            <w:tcW w:w="1220" w:type="dxa"/>
            <w:vAlign w:val="bottom"/>
            <w:tcBorders>
              <w:left w:val="single" w:sz="8" w:color="95B3D7"/>
              <w:right w:val="single" w:sz="8" w:color="95B3D7"/>
            </w:tcBorders>
          </w:tcPr>
          <w:p>
            <w:pPr>
              <w:spacing w:after="0"/>
              <w:rPr>
                <w:sz w:val="15"/>
                <w:szCs w:val="15"/>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5"/>
                <w:szCs w:val="15"/>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tcPr>
          <w:p>
            <w:pPr>
              <w:jc w:val="right"/>
              <w:spacing w:after="0"/>
              <w:rPr>
                <w:sz w:val="20"/>
                <w:szCs w:val="20"/>
                <w:color w:val="auto"/>
              </w:rPr>
            </w:pPr>
            <w:r>
              <w:rPr>
                <w:rFonts w:ascii="Arial" w:cs="Arial" w:eastAsia="Arial" w:hAnsi="Arial"/>
                <w:sz w:val="11"/>
                <w:szCs w:val="11"/>
                <w:color w:val="auto"/>
              </w:rPr>
              <w:t>97,500</w:t>
            </w:r>
            <w:r>
              <w:rPr>
                <w:rFonts w:ascii="Arial" w:cs="Arial" w:eastAsia="Arial" w:hAnsi="Arial"/>
                <w:sz w:val="14"/>
                <w:szCs w:val="14"/>
                <w:color w:val="auto"/>
                <w:vertAlign w:val="superscript"/>
              </w:rPr>
              <w:t>(4)</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1,925,625</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220" w:type="dxa"/>
            <w:vAlign w:val="bottom"/>
            <w:tcBorders>
              <w:left w:val="single" w:sz="8" w:color="95B3D7"/>
              <w:right w:val="single" w:sz="8" w:color="95B3D7"/>
            </w:tcBorders>
          </w:tcPr>
          <w:p>
            <w:pPr>
              <w:spacing w:after="0"/>
              <w:rPr>
                <w:sz w:val="14"/>
                <w:szCs w:val="14"/>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4"/>
                <w:szCs w:val="14"/>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130,000</w:t>
            </w:r>
            <w:r>
              <w:rPr>
                <w:rFonts w:ascii="Arial" w:cs="Arial" w:eastAsia="Arial" w:hAnsi="Arial"/>
                <w:sz w:val="14"/>
                <w:szCs w:val="14"/>
                <w:color w:val="auto"/>
                <w:vertAlign w:val="superscript"/>
              </w:rPr>
              <w:t>(7)</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2,567,500</w:t>
            </w:r>
          </w:p>
        </w:tc>
        <w:tc>
          <w:tcPr>
            <w:tcW w:w="0" w:type="dxa"/>
            <w:vAlign w:val="bottom"/>
          </w:tcPr>
          <w:p>
            <w:pPr>
              <w:spacing w:after="0"/>
              <w:rPr>
                <w:sz w:val="1"/>
                <w:szCs w:val="1"/>
                <w:color w:val="auto"/>
              </w:rPr>
            </w:pPr>
          </w:p>
        </w:tc>
      </w:tr>
      <w:tr>
        <w:trPr>
          <w:trHeight w:val="187"/>
        </w:trPr>
        <w:tc>
          <w:tcPr>
            <w:tcW w:w="1220" w:type="dxa"/>
            <w:vAlign w:val="bottom"/>
            <w:tcBorders>
              <w:left w:val="single" w:sz="8" w:color="95B3D7"/>
              <w:right w:val="single" w:sz="8" w:color="95B3D7"/>
            </w:tcBorders>
          </w:tcPr>
          <w:p>
            <w:pPr>
              <w:spacing w:after="0"/>
              <w:rPr>
                <w:sz w:val="16"/>
                <w:szCs w:val="16"/>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9/12/2022</w:t>
            </w:r>
          </w:p>
        </w:tc>
        <w:tc>
          <w:tcPr>
            <w:tcW w:w="100" w:type="dxa"/>
            <w:vAlign w:val="bottom"/>
          </w:tcPr>
          <w:p>
            <w:pPr>
              <w:spacing w:after="0"/>
              <w:rPr>
                <w:sz w:val="16"/>
                <w:szCs w:val="16"/>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tcPr>
          <w:p>
            <w:pPr>
              <w:jc w:val="right"/>
              <w:spacing w:after="0"/>
              <w:rPr>
                <w:sz w:val="20"/>
                <w:szCs w:val="20"/>
                <w:color w:val="auto"/>
              </w:rPr>
            </w:pPr>
            <w:r>
              <w:rPr>
                <w:rFonts w:ascii="Arial" w:cs="Arial" w:eastAsia="Arial" w:hAnsi="Arial"/>
                <w:sz w:val="11"/>
                <w:szCs w:val="11"/>
                <w:color w:val="auto"/>
              </w:rPr>
              <w:t>215,661</w:t>
            </w:r>
            <w:r>
              <w:rPr>
                <w:rFonts w:ascii="Arial" w:cs="Arial" w:eastAsia="Arial" w:hAnsi="Arial"/>
                <w:sz w:val="14"/>
                <w:szCs w:val="14"/>
                <w:color w:val="auto"/>
                <w:vertAlign w:val="superscript"/>
              </w:rPr>
              <w:t>(5)</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4,259,305</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0"/>
        </w:trPr>
        <w:tc>
          <w:tcPr>
            <w:tcW w:w="1220" w:type="dxa"/>
            <w:vAlign w:val="bottom"/>
            <w:tcBorders>
              <w:left w:val="single" w:sz="8" w:color="95B3D7"/>
              <w:right w:val="single" w:sz="8" w:color="95B3D7"/>
            </w:tcBorders>
          </w:tcPr>
          <w:p>
            <w:pPr>
              <w:spacing w:after="0"/>
              <w:rPr>
                <w:sz w:val="17"/>
                <w:szCs w:val="17"/>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3/8/2022</w:t>
            </w:r>
          </w:p>
        </w:tc>
        <w:tc>
          <w:tcPr>
            <w:tcW w:w="1060" w:type="dxa"/>
            <w:vAlign w:val="bottom"/>
            <w:tcBorders>
              <w:right w:val="single" w:sz="8" w:color="95B3D7"/>
            </w:tcBorders>
            <w:gridSpan w:val="2"/>
            <w:vMerge w:val="restart"/>
          </w:tcPr>
          <w:p>
            <w:pPr>
              <w:jc w:val="right"/>
              <w:ind w:right="27"/>
              <w:spacing w:after="0"/>
              <w:rPr>
                <w:sz w:val="20"/>
                <w:szCs w:val="20"/>
                <w:color w:val="auto"/>
              </w:rPr>
            </w:pPr>
            <w:r>
              <w:rPr>
                <w:rFonts w:ascii="Arial" w:cs="Arial" w:eastAsia="Arial" w:hAnsi="Arial"/>
                <w:sz w:val="11"/>
                <w:szCs w:val="11"/>
                <w:color w:val="auto"/>
              </w:rPr>
              <w:t>114,051</w:t>
            </w:r>
          </w:p>
        </w:tc>
        <w:tc>
          <w:tcPr>
            <w:tcW w:w="940" w:type="dxa"/>
            <w:vAlign w:val="bottom"/>
            <w:tcBorders>
              <w:right w:val="single" w:sz="8" w:color="95B3D7"/>
            </w:tcBorders>
            <w:vMerge w:val="restart"/>
          </w:tcPr>
          <w:p>
            <w:pPr>
              <w:jc w:val="right"/>
              <w:ind w:right="27"/>
              <w:spacing w:after="0"/>
              <w:rPr>
                <w:sz w:val="20"/>
                <w:szCs w:val="20"/>
                <w:color w:val="auto"/>
              </w:rPr>
            </w:pPr>
            <w:r>
              <w:rPr>
                <w:rFonts w:ascii="Arial" w:cs="Arial" w:eastAsia="Arial" w:hAnsi="Arial"/>
                <w:sz w:val="11"/>
                <w:szCs w:val="11"/>
                <w:color w:val="auto"/>
              </w:rPr>
              <w:t>38,017</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9.06</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3/8/2032</w:t>
            </w:r>
          </w:p>
        </w:tc>
        <w:tc>
          <w:tcPr>
            <w:tcW w:w="260" w:type="dxa"/>
            <w:vAlign w:val="bottom"/>
          </w:tcPr>
          <w:p>
            <w:pPr>
              <w:spacing w:after="0"/>
              <w:rPr>
                <w:sz w:val="17"/>
                <w:szCs w:val="17"/>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220" w:type="dxa"/>
            <w:vAlign w:val="bottom"/>
            <w:tcBorders>
              <w:left w:val="single" w:sz="8" w:color="95B3D7"/>
              <w:right w:val="single" w:sz="8" w:color="95B3D7"/>
            </w:tcBorders>
          </w:tcPr>
          <w:p>
            <w:pPr>
              <w:spacing w:after="0"/>
              <w:rPr>
                <w:sz w:val="7"/>
                <w:szCs w:val="7"/>
                <w:color w:val="auto"/>
              </w:rPr>
            </w:pPr>
          </w:p>
        </w:tc>
        <w:tc>
          <w:tcPr>
            <w:tcW w:w="920" w:type="dxa"/>
            <w:vAlign w:val="bottom"/>
            <w:tcBorders>
              <w:right w:val="single" w:sz="8" w:color="95B3D7"/>
            </w:tcBorders>
          </w:tcPr>
          <w:p>
            <w:pPr>
              <w:spacing w:after="0"/>
              <w:rPr>
                <w:sz w:val="7"/>
                <w:szCs w:val="7"/>
                <w:color w:val="auto"/>
              </w:rPr>
            </w:pPr>
          </w:p>
        </w:tc>
        <w:tc>
          <w:tcPr>
            <w:tcW w:w="1060" w:type="dxa"/>
            <w:vAlign w:val="bottom"/>
            <w:tcBorders>
              <w:right w:val="single" w:sz="8" w:color="95B3D7"/>
            </w:tcBorders>
            <w:gridSpan w:val="2"/>
            <w:vMerge w:val="continue"/>
          </w:tcPr>
          <w:p>
            <w:pPr>
              <w:spacing w:after="0"/>
              <w:rPr>
                <w:sz w:val="7"/>
                <w:szCs w:val="7"/>
                <w:color w:val="auto"/>
              </w:rPr>
            </w:pPr>
          </w:p>
        </w:tc>
        <w:tc>
          <w:tcPr>
            <w:tcW w:w="940" w:type="dxa"/>
            <w:vAlign w:val="bottom"/>
            <w:tcBorders>
              <w:right w:val="single" w:sz="8" w:color="95B3D7"/>
            </w:tcBorders>
            <w:vMerge w:val="continue"/>
          </w:tcPr>
          <w:p>
            <w:pPr>
              <w:spacing w:after="0"/>
              <w:rPr>
                <w:sz w:val="7"/>
                <w:szCs w:val="7"/>
                <w:color w:val="auto"/>
              </w:rPr>
            </w:pPr>
          </w:p>
        </w:tc>
        <w:tc>
          <w:tcPr>
            <w:tcW w:w="980" w:type="dxa"/>
            <w:vAlign w:val="bottom"/>
            <w:tcBorders>
              <w:right w:val="single" w:sz="8" w:color="95B3D7"/>
            </w:tcBorders>
          </w:tcPr>
          <w:p>
            <w:pPr>
              <w:spacing w:after="0"/>
              <w:rPr>
                <w:sz w:val="7"/>
                <w:szCs w:val="7"/>
                <w:color w:val="auto"/>
              </w:rPr>
            </w:pPr>
          </w:p>
        </w:tc>
        <w:tc>
          <w:tcPr>
            <w:tcW w:w="900" w:type="dxa"/>
            <w:vAlign w:val="bottom"/>
            <w:tcBorders>
              <w:right w:val="single" w:sz="8" w:color="95B3D7"/>
            </w:tcBorders>
          </w:tcPr>
          <w:p>
            <w:pPr>
              <w:spacing w:after="0"/>
              <w:rPr>
                <w:sz w:val="7"/>
                <w:szCs w:val="7"/>
                <w:color w:val="auto"/>
              </w:rPr>
            </w:pPr>
          </w:p>
        </w:tc>
        <w:tc>
          <w:tcPr>
            <w:tcW w:w="940" w:type="dxa"/>
            <w:vAlign w:val="bottom"/>
            <w:tcBorders>
              <w:right w:val="single" w:sz="8" w:color="95B3D7"/>
            </w:tcBorders>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Borders>
              <w:right w:val="single" w:sz="8" w:color="95B3D7"/>
            </w:tcBorders>
          </w:tcPr>
          <w:p>
            <w:pPr>
              <w:spacing w:after="0"/>
              <w:rPr>
                <w:sz w:val="7"/>
                <w:szCs w:val="7"/>
                <w:color w:val="auto"/>
              </w:rPr>
            </w:pPr>
          </w:p>
        </w:tc>
        <w:tc>
          <w:tcPr>
            <w:tcW w:w="1000" w:type="dxa"/>
            <w:vAlign w:val="bottom"/>
            <w:tcBorders>
              <w:right w:val="single" w:sz="8" w:color="95B3D7"/>
            </w:tcBorders>
          </w:tcPr>
          <w:p>
            <w:pPr>
              <w:spacing w:after="0"/>
              <w:rPr>
                <w:sz w:val="7"/>
                <w:szCs w:val="7"/>
                <w:color w:val="auto"/>
              </w:rPr>
            </w:pPr>
          </w:p>
        </w:tc>
        <w:tc>
          <w:tcPr>
            <w:tcW w:w="1020" w:type="dxa"/>
            <w:vAlign w:val="bottom"/>
            <w:tcBorders>
              <w:right w:val="single" w:sz="8" w:color="95B3D7"/>
            </w:tcBorders>
          </w:tcPr>
          <w:p>
            <w:pPr>
              <w:spacing w:after="0"/>
              <w:rPr>
                <w:sz w:val="7"/>
                <w:szCs w:val="7"/>
                <w:color w:val="auto"/>
              </w:rPr>
            </w:pPr>
          </w:p>
        </w:tc>
        <w:tc>
          <w:tcPr>
            <w:tcW w:w="1000" w:type="dxa"/>
            <w:vAlign w:val="bottom"/>
            <w:tcBorders>
              <w:right w:val="single" w:sz="8" w:color="95B3D7"/>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1220" w:type="dxa"/>
            <w:vAlign w:val="bottom"/>
            <w:tcBorders>
              <w:left w:val="single" w:sz="8" w:color="95B3D7"/>
              <w:right w:val="single" w:sz="8" w:color="95B3D7"/>
            </w:tcBorders>
          </w:tcPr>
          <w:p>
            <w:pPr>
              <w:spacing w:after="0"/>
              <w:rPr>
                <w:sz w:val="17"/>
                <w:szCs w:val="17"/>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3/8/2022</w:t>
            </w:r>
          </w:p>
        </w:tc>
        <w:tc>
          <w:tcPr>
            <w:tcW w:w="100" w:type="dxa"/>
            <w:vAlign w:val="bottom"/>
          </w:tcPr>
          <w:p>
            <w:pPr>
              <w:spacing w:after="0"/>
              <w:rPr>
                <w:sz w:val="17"/>
                <w:szCs w:val="17"/>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spacing w:after="0"/>
              <w:rPr>
                <w:sz w:val="17"/>
                <w:szCs w:val="17"/>
                <w:color w:val="auto"/>
              </w:rPr>
            </w:pPr>
          </w:p>
        </w:tc>
        <w:tc>
          <w:tcPr>
            <w:tcW w:w="1280" w:type="dxa"/>
            <w:vAlign w:val="bottom"/>
            <w:tcBorders>
              <w:right w:val="single" w:sz="8" w:color="95B3D7"/>
            </w:tcBorders>
            <w:gridSpan w:val="2"/>
          </w:tcPr>
          <w:p>
            <w:pPr>
              <w:jc w:val="right"/>
              <w:spacing w:after="0"/>
              <w:rPr>
                <w:sz w:val="20"/>
                <w:szCs w:val="20"/>
                <w:color w:val="auto"/>
              </w:rPr>
            </w:pPr>
            <w:r>
              <w:rPr>
                <w:rFonts w:ascii="Arial" w:cs="Arial" w:eastAsia="Arial" w:hAnsi="Arial"/>
                <w:sz w:val="11"/>
                <w:szCs w:val="11"/>
                <w:color w:val="auto"/>
              </w:rPr>
              <w:t>51,738</w:t>
            </w:r>
            <w:r>
              <w:rPr>
                <w:rFonts w:ascii="Arial" w:cs="Arial" w:eastAsia="Arial" w:hAnsi="Arial"/>
                <w:sz w:val="14"/>
                <w:szCs w:val="14"/>
                <w:color w:val="auto"/>
                <w:vertAlign w:val="superscript"/>
              </w:rPr>
              <w:t>(4)</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1,021,826</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0"/>
        </w:trPr>
        <w:tc>
          <w:tcPr>
            <w:tcW w:w="1220" w:type="dxa"/>
            <w:vAlign w:val="bottom"/>
            <w:tcBorders>
              <w:left w:val="single" w:sz="8" w:color="95B3D7"/>
              <w:right w:val="single" w:sz="8" w:color="95B3D7"/>
            </w:tcBorders>
          </w:tcPr>
          <w:p>
            <w:pPr>
              <w:spacing w:after="0"/>
              <w:rPr>
                <w:sz w:val="17"/>
                <w:szCs w:val="17"/>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3/25/2021</w:t>
            </w:r>
          </w:p>
        </w:tc>
        <w:tc>
          <w:tcPr>
            <w:tcW w:w="1060" w:type="dxa"/>
            <w:vAlign w:val="bottom"/>
            <w:tcBorders>
              <w:right w:val="single" w:sz="8" w:color="95B3D7"/>
            </w:tcBorders>
            <w:gridSpan w:val="2"/>
            <w:vMerge w:val="restart"/>
          </w:tcPr>
          <w:p>
            <w:pPr>
              <w:jc w:val="right"/>
              <w:ind w:right="27"/>
              <w:spacing w:after="0"/>
              <w:rPr>
                <w:sz w:val="20"/>
                <w:szCs w:val="20"/>
                <w:color w:val="auto"/>
              </w:rPr>
            </w:pPr>
            <w:r>
              <w:rPr>
                <w:rFonts w:ascii="Arial" w:cs="Arial" w:eastAsia="Arial" w:hAnsi="Arial"/>
                <w:sz w:val="11"/>
                <w:szCs w:val="11"/>
                <w:color w:val="auto"/>
              </w:rPr>
              <w:t>1,030,702</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18.00</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3/25/2031</w:t>
            </w:r>
          </w:p>
        </w:tc>
        <w:tc>
          <w:tcPr>
            <w:tcW w:w="260" w:type="dxa"/>
            <w:vAlign w:val="bottom"/>
          </w:tcPr>
          <w:p>
            <w:pPr>
              <w:spacing w:after="0"/>
              <w:rPr>
                <w:sz w:val="17"/>
                <w:szCs w:val="17"/>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1"/>
        </w:trPr>
        <w:tc>
          <w:tcPr>
            <w:tcW w:w="1220" w:type="dxa"/>
            <w:vAlign w:val="bottom"/>
            <w:tcBorders>
              <w:left w:val="single" w:sz="8" w:color="95B3D7"/>
              <w:right w:val="single" w:sz="8" w:color="95B3D7"/>
            </w:tcBorders>
          </w:tcPr>
          <w:p>
            <w:pPr>
              <w:spacing w:after="0"/>
              <w:rPr>
                <w:sz w:val="7"/>
                <w:szCs w:val="7"/>
                <w:color w:val="auto"/>
              </w:rPr>
            </w:pPr>
          </w:p>
        </w:tc>
        <w:tc>
          <w:tcPr>
            <w:tcW w:w="920" w:type="dxa"/>
            <w:vAlign w:val="bottom"/>
            <w:tcBorders>
              <w:right w:val="single" w:sz="8" w:color="95B3D7"/>
            </w:tcBorders>
          </w:tcPr>
          <w:p>
            <w:pPr>
              <w:spacing w:after="0"/>
              <w:rPr>
                <w:sz w:val="7"/>
                <w:szCs w:val="7"/>
                <w:color w:val="auto"/>
              </w:rPr>
            </w:pPr>
          </w:p>
        </w:tc>
        <w:tc>
          <w:tcPr>
            <w:tcW w:w="1060" w:type="dxa"/>
            <w:vAlign w:val="bottom"/>
            <w:tcBorders>
              <w:right w:val="single" w:sz="8" w:color="95B3D7"/>
            </w:tcBorders>
            <w:gridSpan w:val="2"/>
            <w:vMerge w:val="continue"/>
          </w:tcPr>
          <w:p>
            <w:pPr>
              <w:spacing w:after="0"/>
              <w:rPr>
                <w:sz w:val="7"/>
                <w:szCs w:val="7"/>
                <w:color w:val="auto"/>
              </w:rPr>
            </w:pPr>
          </w:p>
        </w:tc>
        <w:tc>
          <w:tcPr>
            <w:tcW w:w="940" w:type="dxa"/>
            <w:vAlign w:val="bottom"/>
            <w:tcBorders>
              <w:right w:val="single" w:sz="8" w:color="95B3D7"/>
            </w:tcBorders>
          </w:tcPr>
          <w:p>
            <w:pPr>
              <w:spacing w:after="0"/>
              <w:rPr>
                <w:sz w:val="7"/>
                <w:szCs w:val="7"/>
                <w:color w:val="auto"/>
              </w:rPr>
            </w:pPr>
          </w:p>
        </w:tc>
        <w:tc>
          <w:tcPr>
            <w:tcW w:w="980" w:type="dxa"/>
            <w:vAlign w:val="bottom"/>
            <w:tcBorders>
              <w:right w:val="single" w:sz="8" w:color="95B3D7"/>
            </w:tcBorders>
          </w:tcPr>
          <w:p>
            <w:pPr>
              <w:spacing w:after="0"/>
              <w:rPr>
                <w:sz w:val="7"/>
                <w:szCs w:val="7"/>
                <w:color w:val="auto"/>
              </w:rPr>
            </w:pPr>
          </w:p>
        </w:tc>
        <w:tc>
          <w:tcPr>
            <w:tcW w:w="900" w:type="dxa"/>
            <w:vAlign w:val="bottom"/>
            <w:tcBorders>
              <w:right w:val="single" w:sz="8" w:color="95B3D7"/>
            </w:tcBorders>
          </w:tcPr>
          <w:p>
            <w:pPr>
              <w:spacing w:after="0"/>
              <w:rPr>
                <w:sz w:val="7"/>
                <w:szCs w:val="7"/>
                <w:color w:val="auto"/>
              </w:rPr>
            </w:pPr>
          </w:p>
        </w:tc>
        <w:tc>
          <w:tcPr>
            <w:tcW w:w="940" w:type="dxa"/>
            <w:vAlign w:val="bottom"/>
            <w:tcBorders>
              <w:right w:val="single" w:sz="8" w:color="95B3D7"/>
            </w:tcBorders>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tcBorders>
              <w:right w:val="single" w:sz="8" w:color="95B3D7"/>
            </w:tcBorders>
          </w:tcPr>
          <w:p>
            <w:pPr>
              <w:spacing w:after="0"/>
              <w:rPr>
                <w:sz w:val="7"/>
                <w:szCs w:val="7"/>
                <w:color w:val="auto"/>
              </w:rPr>
            </w:pPr>
          </w:p>
        </w:tc>
        <w:tc>
          <w:tcPr>
            <w:tcW w:w="1000" w:type="dxa"/>
            <w:vAlign w:val="bottom"/>
            <w:tcBorders>
              <w:right w:val="single" w:sz="8" w:color="95B3D7"/>
            </w:tcBorders>
          </w:tcPr>
          <w:p>
            <w:pPr>
              <w:spacing w:after="0"/>
              <w:rPr>
                <w:sz w:val="7"/>
                <w:szCs w:val="7"/>
                <w:color w:val="auto"/>
              </w:rPr>
            </w:pPr>
          </w:p>
        </w:tc>
        <w:tc>
          <w:tcPr>
            <w:tcW w:w="1020" w:type="dxa"/>
            <w:vAlign w:val="bottom"/>
            <w:tcBorders>
              <w:right w:val="single" w:sz="8" w:color="95B3D7"/>
            </w:tcBorders>
          </w:tcPr>
          <w:p>
            <w:pPr>
              <w:spacing w:after="0"/>
              <w:rPr>
                <w:sz w:val="7"/>
                <w:szCs w:val="7"/>
                <w:color w:val="auto"/>
              </w:rPr>
            </w:pPr>
          </w:p>
        </w:tc>
        <w:tc>
          <w:tcPr>
            <w:tcW w:w="1000" w:type="dxa"/>
            <w:vAlign w:val="bottom"/>
            <w:tcBorders>
              <w:right w:val="single" w:sz="8" w:color="95B3D7"/>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1220" w:type="dxa"/>
            <w:vAlign w:val="bottom"/>
            <w:tcBorders>
              <w:left w:val="single" w:sz="8" w:color="95B3D7"/>
              <w:right w:val="single" w:sz="8" w:color="95B3D7"/>
            </w:tcBorders>
          </w:tcPr>
          <w:p>
            <w:pPr>
              <w:spacing w:after="0"/>
              <w:rPr>
                <w:sz w:val="9"/>
                <w:szCs w:val="9"/>
                <w:color w:val="auto"/>
              </w:rPr>
            </w:pPr>
          </w:p>
        </w:tc>
        <w:tc>
          <w:tcPr>
            <w:tcW w:w="920" w:type="dxa"/>
            <w:vAlign w:val="bottom"/>
            <w:tcBorders>
              <w:right w:val="single" w:sz="8" w:color="95B3D7"/>
            </w:tcBorders>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Borders>
              <w:right w:val="single" w:sz="8" w:color="95B3D7"/>
            </w:tcBorders>
          </w:tcPr>
          <w:p>
            <w:pPr>
              <w:spacing w:after="0"/>
              <w:rPr>
                <w:sz w:val="9"/>
                <w:szCs w:val="9"/>
                <w:color w:val="auto"/>
              </w:rPr>
            </w:pPr>
          </w:p>
        </w:tc>
        <w:tc>
          <w:tcPr>
            <w:tcW w:w="940" w:type="dxa"/>
            <w:vAlign w:val="bottom"/>
            <w:tcBorders>
              <w:right w:val="single" w:sz="8" w:color="95B3D7"/>
            </w:tcBorders>
          </w:tcPr>
          <w:p>
            <w:pPr>
              <w:spacing w:after="0"/>
              <w:rPr>
                <w:sz w:val="9"/>
                <w:szCs w:val="9"/>
                <w:color w:val="auto"/>
              </w:rPr>
            </w:pPr>
          </w:p>
        </w:tc>
        <w:tc>
          <w:tcPr>
            <w:tcW w:w="980" w:type="dxa"/>
            <w:vAlign w:val="bottom"/>
            <w:tcBorders>
              <w:right w:val="single" w:sz="8" w:color="95B3D7"/>
            </w:tcBorders>
          </w:tcPr>
          <w:p>
            <w:pPr>
              <w:spacing w:after="0"/>
              <w:rPr>
                <w:sz w:val="9"/>
                <w:szCs w:val="9"/>
                <w:color w:val="auto"/>
              </w:rPr>
            </w:pPr>
          </w:p>
        </w:tc>
        <w:tc>
          <w:tcPr>
            <w:tcW w:w="900" w:type="dxa"/>
            <w:vAlign w:val="bottom"/>
            <w:tcBorders>
              <w:right w:val="single" w:sz="8" w:color="95B3D7"/>
            </w:tcBorders>
          </w:tcPr>
          <w:p>
            <w:pPr>
              <w:spacing w:after="0"/>
              <w:rPr>
                <w:sz w:val="9"/>
                <w:szCs w:val="9"/>
                <w:color w:val="auto"/>
              </w:rPr>
            </w:pPr>
          </w:p>
        </w:tc>
        <w:tc>
          <w:tcPr>
            <w:tcW w:w="940" w:type="dxa"/>
            <w:vAlign w:val="bottom"/>
            <w:tcBorders>
              <w:right w:val="single" w:sz="8" w:color="95B3D7"/>
            </w:tcBorders>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tcBorders>
              <w:right w:val="single" w:sz="8" w:color="95B3D7"/>
            </w:tcBorders>
          </w:tcPr>
          <w:p>
            <w:pPr>
              <w:spacing w:after="0"/>
              <w:rPr>
                <w:sz w:val="9"/>
                <w:szCs w:val="9"/>
                <w:color w:val="auto"/>
              </w:rPr>
            </w:pPr>
          </w:p>
        </w:tc>
        <w:tc>
          <w:tcPr>
            <w:tcW w:w="1000" w:type="dxa"/>
            <w:vAlign w:val="bottom"/>
            <w:tcBorders>
              <w:right w:val="single" w:sz="8" w:color="95B3D7"/>
            </w:tcBorders>
          </w:tcPr>
          <w:p>
            <w:pPr>
              <w:spacing w:after="0"/>
              <w:rPr>
                <w:sz w:val="9"/>
                <w:szCs w:val="9"/>
                <w:color w:val="auto"/>
              </w:rPr>
            </w:pPr>
          </w:p>
        </w:tc>
        <w:tc>
          <w:tcPr>
            <w:tcW w:w="1020" w:type="dxa"/>
            <w:vAlign w:val="bottom"/>
            <w:tcBorders>
              <w:right w:val="single" w:sz="8" w:color="95B3D7"/>
            </w:tcBorders>
          </w:tcPr>
          <w:p>
            <w:pPr>
              <w:spacing w:after="0"/>
              <w:rPr>
                <w:sz w:val="9"/>
                <w:szCs w:val="9"/>
                <w:color w:val="auto"/>
              </w:rPr>
            </w:pPr>
          </w:p>
        </w:tc>
        <w:tc>
          <w:tcPr>
            <w:tcW w:w="1000" w:type="dxa"/>
            <w:vAlign w:val="bottom"/>
            <w:tcBorders>
              <w:right w:val="single" w:sz="8" w:color="95B3D7"/>
            </w:tcBorders>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20" w:type="dxa"/>
            <w:vAlign w:val="bottom"/>
            <w:tcBorders>
              <w:left w:val="single" w:sz="8" w:color="95B3D7"/>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James M. Head</w:t>
            </w: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6/4/2025</w:t>
            </w:r>
          </w:p>
        </w:tc>
        <w:tc>
          <w:tcPr>
            <w:tcW w:w="100" w:type="dxa"/>
            <w:vAlign w:val="bottom"/>
            <w:shd w:val="clear" w:color="auto" w:fill="DBE5F1"/>
          </w:tcPr>
          <w:p>
            <w:pPr>
              <w:spacing w:after="0"/>
              <w:rPr>
                <w:sz w:val="14"/>
                <w:szCs w:val="14"/>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shd w:val="clear" w:color="auto" w:fill="DBE5F1"/>
          </w:tcPr>
          <w:p>
            <w:pPr>
              <w:jc w:val="right"/>
              <w:spacing w:after="0"/>
              <w:rPr>
                <w:sz w:val="20"/>
                <w:szCs w:val="20"/>
                <w:color w:val="auto"/>
              </w:rPr>
            </w:pPr>
            <w:r>
              <w:rPr>
                <w:rFonts w:ascii="Arial" w:cs="Arial" w:eastAsia="Arial" w:hAnsi="Arial"/>
                <w:sz w:val="11"/>
                <w:szCs w:val="11"/>
                <w:color w:val="auto"/>
              </w:rPr>
              <w:t>81,593</w:t>
            </w:r>
            <w:r>
              <w:rPr>
                <w:rFonts w:ascii="Arial" w:cs="Arial" w:eastAsia="Arial" w:hAnsi="Arial"/>
                <w:sz w:val="14"/>
                <w:szCs w:val="14"/>
                <w:color w:val="auto"/>
                <w:vertAlign w:val="superscript"/>
              </w:rPr>
              <w:t>(3)</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1,611,462</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220" w:type="dxa"/>
            <w:vAlign w:val="bottom"/>
            <w:tcBorders>
              <w:left w:val="single" w:sz="8" w:color="95B3D7"/>
              <w:right w:val="single" w:sz="8" w:color="95B3D7"/>
            </w:tcBorders>
            <w:shd w:val="clear" w:color="auto" w:fill="DBE5F1"/>
          </w:tcPr>
          <w:p>
            <w:pPr>
              <w:spacing w:after="0"/>
              <w:rPr>
                <w:sz w:val="14"/>
                <w:szCs w:val="14"/>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6/4/2025</w:t>
            </w:r>
          </w:p>
        </w:tc>
        <w:tc>
          <w:tcPr>
            <w:tcW w:w="100" w:type="dxa"/>
            <w:vAlign w:val="bottom"/>
            <w:shd w:val="clear" w:color="auto" w:fill="DBE5F1"/>
          </w:tcPr>
          <w:p>
            <w:pPr>
              <w:spacing w:after="0"/>
              <w:rPr>
                <w:sz w:val="14"/>
                <w:szCs w:val="14"/>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E5F1"/>
          </w:tcPr>
          <w:p>
            <w:pPr>
              <w:spacing w:after="0"/>
              <w:rPr>
                <w:sz w:val="14"/>
                <w:szCs w:val="14"/>
                <w:color w:val="auto"/>
              </w:rPr>
            </w:pP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81,593</w:t>
            </w:r>
            <w:r>
              <w:rPr>
                <w:rFonts w:ascii="Arial" w:cs="Arial" w:eastAsia="Arial" w:hAnsi="Arial"/>
                <w:sz w:val="14"/>
                <w:szCs w:val="14"/>
                <w:color w:val="auto"/>
                <w:vertAlign w:val="superscript"/>
              </w:rPr>
              <w:t>(6)</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1,611,462</w:t>
            </w:r>
          </w:p>
        </w:tc>
        <w:tc>
          <w:tcPr>
            <w:tcW w:w="0" w:type="dxa"/>
            <w:vAlign w:val="bottom"/>
          </w:tcPr>
          <w:p>
            <w:pPr>
              <w:spacing w:after="0"/>
              <w:rPr>
                <w:sz w:val="1"/>
                <w:szCs w:val="1"/>
                <w:color w:val="auto"/>
              </w:rPr>
            </w:pPr>
          </w:p>
        </w:tc>
      </w:tr>
      <w:tr>
        <w:trPr>
          <w:trHeight w:val="95"/>
        </w:trPr>
        <w:tc>
          <w:tcPr>
            <w:tcW w:w="1220" w:type="dxa"/>
            <w:vAlign w:val="bottom"/>
            <w:tcBorders>
              <w:left w:val="single" w:sz="8" w:color="95B3D7"/>
              <w:right w:val="single" w:sz="8" w:color="95B3D7"/>
            </w:tcBorders>
            <w:shd w:val="clear" w:color="auto" w:fill="DBE5F1"/>
          </w:tcPr>
          <w:p>
            <w:pPr>
              <w:spacing w:after="0"/>
              <w:rPr>
                <w:sz w:val="8"/>
                <w:szCs w:val="8"/>
                <w:color w:val="auto"/>
              </w:rPr>
            </w:pPr>
          </w:p>
        </w:tc>
        <w:tc>
          <w:tcPr>
            <w:tcW w:w="920" w:type="dxa"/>
            <w:vAlign w:val="bottom"/>
            <w:tcBorders>
              <w:right w:val="single" w:sz="8" w:color="95B3D7"/>
            </w:tcBorders>
            <w:shd w:val="clear" w:color="auto" w:fill="DBE5F1"/>
          </w:tcPr>
          <w:p>
            <w:pPr>
              <w:spacing w:after="0"/>
              <w:rPr>
                <w:sz w:val="8"/>
                <w:szCs w:val="8"/>
                <w:color w:val="auto"/>
              </w:rPr>
            </w:pPr>
          </w:p>
        </w:tc>
        <w:tc>
          <w:tcPr>
            <w:tcW w:w="100" w:type="dxa"/>
            <w:vAlign w:val="bottom"/>
            <w:shd w:val="clear" w:color="auto" w:fill="DBE5F1"/>
          </w:tcPr>
          <w:p>
            <w:pPr>
              <w:spacing w:after="0"/>
              <w:rPr>
                <w:sz w:val="8"/>
                <w:szCs w:val="8"/>
                <w:color w:val="auto"/>
              </w:rPr>
            </w:pPr>
          </w:p>
        </w:tc>
        <w:tc>
          <w:tcPr>
            <w:tcW w:w="960" w:type="dxa"/>
            <w:vAlign w:val="bottom"/>
            <w:tcBorders>
              <w:right w:val="single" w:sz="8" w:color="95B3D7"/>
            </w:tcBorders>
            <w:shd w:val="clear" w:color="auto" w:fill="DBE5F1"/>
          </w:tcPr>
          <w:p>
            <w:pPr>
              <w:spacing w:after="0"/>
              <w:rPr>
                <w:sz w:val="8"/>
                <w:szCs w:val="8"/>
                <w:color w:val="auto"/>
              </w:rPr>
            </w:pPr>
          </w:p>
        </w:tc>
        <w:tc>
          <w:tcPr>
            <w:tcW w:w="940" w:type="dxa"/>
            <w:vAlign w:val="bottom"/>
            <w:tcBorders>
              <w:right w:val="single" w:sz="8" w:color="95B3D7"/>
            </w:tcBorders>
            <w:shd w:val="clear" w:color="auto" w:fill="DBE5F1"/>
          </w:tcPr>
          <w:p>
            <w:pPr>
              <w:spacing w:after="0"/>
              <w:rPr>
                <w:sz w:val="8"/>
                <w:szCs w:val="8"/>
                <w:color w:val="auto"/>
              </w:rPr>
            </w:pPr>
          </w:p>
        </w:tc>
        <w:tc>
          <w:tcPr>
            <w:tcW w:w="980" w:type="dxa"/>
            <w:vAlign w:val="bottom"/>
            <w:tcBorders>
              <w:right w:val="single" w:sz="8" w:color="95B3D7"/>
            </w:tcBorders>
            <w:shd w:val="clear" w:color="auto" w:fill="DBE5F1"/>
          </w:tcPr>
          <w:p>
            <w:pPr>
              <w:spacing w:after="0"/>
              <w:rPr>
                <w:sz w:val="8"/>
                <w:szCs w:val="8"/>
                <w:color w:val="auto"/>
              </w:rPr>
            </w:pPr>
          </w:p>
        </w:tc>
        <w:tc>
          <w:tcPr>
            <w:tcW w:w="900" w:type="dxa"/>
            <w:vAlign w:val="bottom"/>
            <w:tcBorders>
              <w:right w:val="single" w:sz="8" w:color="95B3D7"/>
            </w:tcBorders>
            <w:shd w:val="clear" w:color="auto" w:fill="DBE5F1"/>
          </w:tcPr>
          <w:p>
            <w:pPr>
              <w:spacing w:after="0"/>
              <w:rPr>
                <w:sz w:val="8"/>
                <w:szCs w:val="8"/>
                <w:color w:val="auto"/>
              </w:rPr>
            </w:pPr>
          </w:p>
        </w:tc>
        <w:tc>
          <w:tcPr>
            <w:tcW w:w="940" w:type="dxa"/>
            <w:vAlign w:val="bottom"/>
            <w:tcBorders>
              <w:right w:val="single" w:sz="8" w:color="95B3D7"/>
            </w:tcBorders>
            <w:shd w:val="clear" w:color="auto" w:fill="DBE5F1"/>
          </w:tcPr>
          <w:p>
            <w:pPr>
              <w:spacing w:after="0"/>
              <w:rPr>
                <w:sz w:val="8"/>
                <w:szCs w:val="8"/>
                <w:color w:val="auto"/>
              </w:rPr>
            </w:pPr>
          </w:p>
        </w:tc>
        <w:tc>
          <w:tcPr>
            <w:tcW w:w="260" w:type="dxa"/>
            <w:vAlign w:val="bottom"/>
            <w:shd w:val="clear" w:color="auto" w:fill="DBE5F1"/>
          </w:tcPr>
          <w:p>
            <w:pPr>
              <w:spacing w:after="0"/>
              <w:rPr>
                <w:sz w:val="8"/>
                <w:szCs w:val="8"/>
                <w:color w:val="auto"/>
              </w:rPr>
            </w:pPr>
          </w:p>
        </w:tc>
        <w:tc>
          <w:tcPr>
            <w:tcW w:w="1020" w:type="dxa"/>
            <w:vAlign w:val="bottom"/>
            <w:tcBorders>
              <w:right w:val="single" w:sz="8" w:color="95B3D7"/>
            </w:tcBorders>
            <w:shd w:val="clear" w:color="auto" w:fill="DBE5F1"/>
          </w:tcPr>
          <w:p>
            <w:pPr>
              <w:spacing w:after="0"/>
              <w:rPr>
                <w:sz w:val="8"/>
                <w:szCs w:val="8"/>
                <w:color w:val="auto"/>
              </w:rPr>
            </w:pPr>
          </w:p>
        </w:tc>
        <w:tc>
          <w:tcPr>
            <w:tcW w:w="1000" w:type="dxa"/>
            <w:vAlign w:val="bottom"/>
            <w:tcBorders>
              <w:right w:val="single" w:sz="8" w:color="95B3D7"/>
            </w:tcBorders>
            <w:shd w:val="clear" w:color="auto" w:fill="DBE5F1"/>
          </w:tcPr>
          <w:p>
            <w:pPr>
              <w:spacing w:after="0"/>
              <w:rPr>
                <w:sz w:val="8"/>
                <w:szCs w:val="8"/>
                <w:color w:val="auto"/>
              </w:rPr>
            </w:pPr>
          </w:p>
        </w:tc>
        <w:tc>
          <w:tcPr>
            <w:tcW w:w="1020" w:type="dxa"/>
            <w:vAlign w:val="bottom"/>
            <w:tcBorders>
              <w:right w:val="single" w:sz="8" w:color="95B3D7"/>
            </w:tcBorders>
            <w:shd w:val="clear" w:color="auto" w:fill="DBE5F1"/>
          </w:tcPr>
          <w:p>
            <w:pPr>
              <w:spacing w:after="0"/>
              <w:rPr>
                <w:sz w:val="8"/>
                <w:szCs w:val="8"/>
                <w:color w:val="auto"/>
              </w:rPr>
            </w:pPr>
          </w:p>
        </w:tc>
        <w:tc>
          <w:tcPr>
            <w:tcW w:w="1000" w:type="dxa"/>
            <w:vAlign w:val="bottom"/>
            <w:tcBorders>
              <w:right w:val="single" w:sz="8" w:color="95B3D7"/>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1220" w:type="dxa"/>
            <w:vAlign w:val="bottom"/>
            <w:tcBorders>
              <w:left w:val="single" w:sz="8" w:color="95B3D7"/>
              <w:right w:val="single" w:sz="8" w:color="95B3D7"/>
            </w:tcBorders>
          </w:tcPr>
          <w:p>
            <w:pPr>
              <w:ind w:left="80"/>
              <w:spacing w:after="0"/>
              <w:rPr>
                <w:sz w:val="20"/>
                <w:szCs w:val="20"/>
                <w:color w:val="auto"/>
              </w:rPr>
            </w:pPr>
            <w:r>
              <w:rPr>
                <w:rFonts w:ascii="Arial" w:cs="Arial" w:eastAsia="Arial" w:hAnsi="Arial"/>
                <w:sz w:val="11"/>
                <w:szCs w:val="11"/>
                <w:color w:val="auto"/>
              </w:rPr>
              <w:t>Thomas Freeman</w:t>
            </w: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tcPr>
          <w:p>
            <w:pPr>
              <w:spacing w:after="0"/>
              <w:rPr>
                <w:sz w:val="16"/>
                <w:szCs w:val="16"/>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tcPr>
          <w:p>
            <w:pPr>
              <w:jc w:val="right"/>
              <w:spacing w:after="0"/>
              <w:rPr>
                <w:sz w:val="20"/>
                <w:szCs w:val="20"/>
                <w:color w:val="auto"/>
              </w:rPr>
            </w:pPr>
            <w:r>
              <w:rPr>
                <w:rFonts w:ascii="Arial" w:cs="Arial" w:eastAsia="Arial" w:hAnsi="Arial"/>
                <w:sz w:val="11"/>
                <w:szCs w:val="11"/>
                <w:color w:val="auto"/>
              </w:rPr>
              <w:t>40,860</w:t>
            </w:r>
            <w:r>
              <w:rPr>
                <w:rFonts w:ascii="Arial" w:cs="Arial" w:eastAsia="Arial" w:hAnsi="Arial"/>
                <w:sz w:val="14"/>
                <w:szCs w:val="14"/>
                <w:color w:val="auto"/>
                <w:vertAlign w:val="superscript"/>
              </w:rPr>
              <w:t>(3)</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806,985</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0"/>
        </w:trPr>
        <w:tc>
          <w:tcPr>
            <w:tcW w:w="1220" w:type="dxa"/>
            <w:vAlign w:val="bottom"/>
            <w:tcBorders>
              <w:left w:val="single" w:sz="8" w:color="95B3D7"/>
              <w:right w:val="single" w:sz="8" w:color="95B3D7"/>
            </w:tcBorders>
          </w:tcPr>
          <w:p>
            <w:pPr>
              <w:spacing w:after="0"/>
              <w:rPr>
                <w:sz w:val="17"/>
                <w:szCs w:val="17"/>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tcPr>
          <w:p>
            <w:pPr>
              <w:spacing w:after="0"/>
              <w:rPr>
                <w:sz w:val="17"/>
                <w:szCs w:val="17"/>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7"/>
                <w:szCs w:val="17"/>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61,290</w:t>
            </w:r>
            <w:r>
              <w:rPr>
                <w:rFonts w:ascii="Arial" w:cs="Arial" w:eastAsia="Arial" w:hAnsi="Arial"/>
                <w:sz w:val="14"/>
                <w:szCs w:val="14"/>
                <w:color w:val="auto"/>
                <w:vertAlign w:val="superscript"/>
              </w:rPr>
              <w:t>(6)</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1,210,478</w:t>
            </w:r>
          </w:p>
        </w:tc>
        <w:tc>
          <w:tcPr>
            <w:tcW w:w="0" w:type="dxa"/>
            <w:vAlign w:val="bottom"/>
          </w:tcPr>
          <w:p>
            <w:pPr>
              <w:spacing w:after="0"/>
              <w:rPr>
                <w:sz w:val="1"/>
                <w:szCs w:val="1"/>
                <w:color w:val="auto"/>
              </w:rPr>
            </w:pPr>
          </w:p>
        </w:tc>
      </w:tr>
      <w:tr>
        <w:trPr>
          <w:trHeight w:val="178"/>
        </w:trPr>
        <w:tc>
          <w:tcPr>
            <w:tcW w:w="1220" w:type="dxa"/>
            <w:vAlign w:val="bottom"/>
            <w:tcBorders>
              <w:left w:val="single" w:sz="8" w:color="95B3D7"/>
              <w:right w:val="single" w:sz="8" w:color="95B3D7"/>
            </w:tcBorders>
          </w:tcPr>
          <w:p>
            <w:pPr>
              <w:spacing w:after="0"/>
              <w:rPr>
                <w:sz w:val="15"/>
                <w:szCs w:val="15"/>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5"/>
                <w:szCs w:val="15"/>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tcPr>
          <w:p>
            <w:pPr>
              <w:jc w:val="right"/>
              <w:spacing w:after="0"/>
              <w:rPr>
                <w:sz w:val="20"/>
                <w:szCs w:val="20"/>
                <w:color w:val="auto"/>
              </w:rPr>
            </w:pPr>
            <w:r>
              <w:rPr>
                <w:rFonts w:ascii="Arial" w:cs="Arial" w:eastAsia="Arial" w:hAnsi="Arial"/>
                <w:sz w:val="11"/>
                <w:szCs w:val="11"/>
                <w:color w:val="auto"/>
              </w:rPr>
              <w:t>55,000</w:t>
            </w:r>
            <w:r>
              <w:rPr>
                <w:rFonts w:ascii="Arial" w:cs="Arial" w:eastAsia="Arial" w:hAnsi="Arial"/>
                <w:sz w:val="14"/>
                <w:szCs w:val="14"/>
                <w:color w:val="auto"/>
                <w:vertAlign w:val="superscript"/>
              </w:rPr>
              <w:t>(4)</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1,086,250</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4"/>
        </w:trPr>
        <w:tc>
          <w:tcPr>
            <w:tcW w:w="1220" w:type="dxa"/>
            <w:vAlign w:val="bottom"/>
            <w:tcBorders>
              <w:left w:val="single" w:sz="8" w:color="95B3D7"/>
              <w:right w:val="single" w:sz="8" w:color="95B3D7"/>
            </w:tcBorders>
          </w:tcPr>
          <w:p>
            <w:pPr>
              <w:spacing w:after="0"/>
              <w:rPr>
                <w:sz w:val="14"/>
                <w:szCs w:val="14"/>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4"/>
                <w:szCs w:val="14"/>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110,000</w:t>
            </w:r>
            <w:r>
              <w:rPr>
                <w:rFonts w:ascii="Arial" w:cs="Arial" w:eastAsia="Arial" w:hAnsi="Arial"/>
                <w:sz w:val="14"/>
                <w:szCs w:val="14"/>
                <w:color w:val="auto"/>
                <w:vertAlign w:val="superscript"/>
              </w:rPr>
              <w:t>(7)</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2,172,500</w:t>
            </w:r>
          </w:p>
        </w:tc>
        <w:tc>
          <w:tcPr>
            <w:tcW w:w="0" w:type="dxa"/>
            <w:vAlign w:val="bottom"/>
          </w:tcPr>
          <w:p>
            <w:pPr>
              <w:spacing w:after="0"/>
              <w:rPr>
                <w:sz w:val="1"/>
                <w:szCs w:val="1"/>
                <w:color w:val="auto"/>
              </w:rPr>
            </w:pPr>
          </w:p>
        </w:tc>
      </w:tr>
      <w:tr>
        <w:trPr>
          <w:trHeight w:val="142"/>
        </w:trPr>
        <w:tc>
          <w:tcPr>
            <w:tcW w:w="1220" w:type="dxa"/>
            <w:vAlign w:val="bottom"/>
            <w:tcBorders>
              <w:left w:val="single" w:sz="8" w:color="95B3D7"/>
              <w:right w:val="single" w:sz="8" w:color="95B3D7"/>
            </w:tcBorders>
          </w:tcPr>
          <w:p>
            <w:pPr>
              <w:spacing w:after="0"/>
              <w:rPr>
                <w:sz w:val="12"/>
                <w:szCs w:val="12"/>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3/8/2022</w:t>
            </w:r>
          </w:p>
        </w:tc>
        <w:tc>
          <w:tcPr>
            <w:tcW w:w="1060" w:type="dxa"/>
            <w:vAlign w:val="bottom"/>
            <w:tcBorders>
              <w:right w:val="single" w:sz="8" w:color="95B3D7"/>
            </w:tcBorders>
            <w:gridSpan w:val="2"/>
          </w:tcPr>
          <w:p>
            <w:pPr>
              <w:jc w:val="right"/>
              <w:ind w:right="27"/>
              <w:spacing w:after="0"/>
              <w:rPr>
                <w:sz w:val="20"/>
                <w:szCs w:val="20"/>
                <w:color w:val="auto"/>
              </w:rPr>
            </w:pPr>
            <w:r>
              <w:rPr>
                <w:rFonts w:ascii="Arial" w:cs="Arial" w:eastAsia="Arial" w:hAnsi="Arial"/>
                <w:sz w:val="11"/>
                <w:szCs w:val="11"/>
                <w:color w:val="auto"/>
              </w:rPr>
              <w:t>25,091</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9.06</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3/8/2032</w:t>
            </w:r>
          </w:p>
        </w:tc>
        <w:tc>
          <w:tcPr>
            <w:tcW w:w="260" w:type="dxa"/>
            <w:vAlign w:val="bottom"/>
          </w:tcPr>
          <w:p>
            <w:pPr>
              <w:spacing w:after="0"/>
              <w:rPr>
                <w:sz w:val="12"/>
                <w:szCs w:val="12"/>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95"/>
        </w:trPr>
        <w:tc>
          <w:tcPr>
            <w:tcW w:w="1220" w:type="dxa"/>
            <w:vAlign w:val="bottom"/>
            <w:tcBorders>
              <w:left w:val="single" w:sz="8" w:color="95B3D7"/>
              <w:right w:val="single" w:sz="8" w:color="95B3D7"/>
            </w:tcBorders>
          </w:tcPr>
          <w:p>
            <w:pPr>
              <w:spacing w:after="0"/>
              <w:rPr>
                <w:sz w:val="17"/>
                <w:szCs w:val="17"/>
                <w:color w:val="auto"/>
              </w:rPr>
            </w:pPr>
          </w:p>
        </w:tc>
        <w:tc>
          <w:tcPr>
            <w:tcW w:w="920" w:type="dxa"/>
            <w:vAlign w:val="bottom"/>
            <w:tcBorders>
              <w:right w:val="single" w:sz="8" w:color="95B3D7"/>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right w:val="single" w:sz="8" w:color="95B3D7"/>
            </w:tcBorders>
          </w:tcPr>
          <w:p>
            <w:pPr>
              <w:spacing w:after="0"/>
              <w:rPr>
                <w:sz w:val="17"/>
                <w:szCs w:val="17"/>
                <w:color w:val="auto"/>
              </w:rPr>
            </w:pPr>
          </w:p>
        </w:tc>
        <w:tc>
          <w:tcPr>
            <w:tcW w:w="940" w:type="dxa"/>
            <w:vAlign w:val="bottom"/>
            <w:tcBorders>
              <w:right w:val="single" w:sz="8" w:color="95B3D7"/>
            </w:tcBorders>
          </w:tcPr>
          <w:p>
            <w:pPr>
              <w:spacing w:after="0"/>
              <w:rPr>
                <w:sz w:val="17"/>
                <w:szCs w:val="17"/>
                <w:color w:val="auto"/>
              </w:rPr>
            </w:pPr>
          </w:p>
        </w:tc>
        <w:tc>
          <w:tcPr>
            <w:tcW w:w="980" w:type="dxa"/>
            <w:vAlign w:val="bottom"/>
            <w:tcBorders>
              <w:right w:val="single" w:sz="8" w:color="95B3D7"/>
            </w:tcBorders>
          </w:tcPr>
          <w:p>
            <w:pPr>
              <w:spacing w:after="0"/>
              <w:rPr>
                <w:sz w:val="17"/>
                <w:szCs w:val="17"/>
                <w:color w:val="auto"/>
              </w:rPr>
            </w:pPr>
          </w:p>
        </w:tc>
        <w:tc>
          <w:tcPr>
            <w:tcW w:w="900" w:type="dxa"/>
            <w:vAlign w:val="bottom"/>
            <w:tcBorders>
              <w:right w:val="single" w:sz="8" w:color="95B3D7"/>
            </w:tcBorders>
          </w:tcPr>
          <w:p>
            <w:pPr>
              <w:spacing w:after="0"/>
              <w:rPr>
                <w:sz w:val="17"/>
                <w:szCs w:val="17"/>
                <w:color w:val="auto"/>
              </w:rPr>
            </w:pPr>
          </w:p>
        </w:tc>
        <w:tc>
          <w:tcPr>
            <w:tcW w:w="940" w:type="dxa"/>
            <w:vAlign w:val="bottom"/>
            <w:tcBorders>
              <w:right w:val="single" w:sz="8" w:color="95B3D7"/>
            </w:tcBorders>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Borders>
              <w:right w:val="single" w:sz="8" w:color="95B3D7"/>
            </w:tcBorders>
          </w:tcPr>
          <w:p>
            <w:pPr>
              <w:spacing w:after="0"/>
              <w:rPr>
                <w:sz w:val="17"/>
                <w:szCs w:val="17"/>
                <w:color w:val="auto"/>
              </w:rPr>
            </w:pPr>
          </w:p>
        </w:tc>
        <w:tc>
          <w:tcPr>
            <w:tcW w:w="1000" w:type="dxa"/>
            <w:vAlign w:val="bottom"/>
            <w:tcBorders>
              <w:right w:val="single" w:sz="8" w:color="95B3D7"/>
            </w:tcBorders>
          </w:tcPr>
          <w:p>
            <w:pPr>
              <w:spacing w:after="0"/>
              <w:rPr>
                <w:sz w:val="17"/>
                <w:szCs w:val="17"/>
                <w:color w:val="auto"/>
              </w:rPr>
            </w:pPr>
          </w:p>
        </w:tc>
        <w:tc>
          <w:tcPr>
            <w:tcW w:w="1020" w:type="dxa"/>
            <w:vAlign w:val="bottom"/>
            <w:tcBorders>
              <w:right w:val="single" w:sz="8" w:color="95B3D7"/>
            </w:tcBorders>
          </w:tcPr>
          <w:p>
            <w:pPr>
              <w:spacing w:after="0"/>
              <w:rPr>
                <w:sz w:val="17"/>
                <w:szCs w:val="17"/>
                <w:color w:val="auto"/>
              </w:rPr>
            </w:pPr>
          </w:p>
        </w:tc>
        <w:tc>
          <w:tcPr>
            <w:tcW w:w="1000" w:type="dxa"/>
            <w:vAlign w:val="bottom"/>
            <w:tcBorders>
              <w:right w:val="single" w:sz="8" w:color="95B3D7"/>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Borders>
              <w:left w:val="single" w:sz="8" w:color="95B3D7"/>
              <w:right w:val="single" w:sz="8" w:color="95B3D7"/>
            </w:tcBorders>
            <w:shd w:val="clear" w:color="auto" w:fill="DBE5F1"/>
          </w:tcPr>
          <w:p>
            <w:pPr>
              <w:ind w:left="40"/>
              <w:spacing w:after="0"/>
              <w:rPr>
                <w:sz w:val="20"/>
                <w:szCs w:val="20"/>
                <w:color w:val="auto"/>
              </w:rPr>
            </w:pPr>
            <w:r>
              <w:rPr>
                <w:rFonts w:ascii="Arial" w:cs="Arial" w:eastAsia="Arial" w:hAnsi="Arial"/>
                <w:sz w:val="11"/>
                <w:szCs w:val="11"/>
                <w:color w:val="auto"/>
              </w:rPr>
              <w:t>Hyong (Ken) Kim, M.D.</w:t>
            </w: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shd w:val="clear" w:color="auto" w:fill="DBE5F1"/>
          </w:tcPr>
          <w:p>
            <w:pPr>
              <w:spacing w:after="0"/>
              <w:rPr>
                <w:sz w:val="17"/>
                <w:szCs w:val="17"/>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shd w:val="clear" w:color="auto" w:fill="DBE5F1"/>
          </w:tcPr>
          <w:p>
            <w:pPr>
              <w:jc w:val="right"/>
              <w:spacing w:after="0"/>
              <w:rPr>
                <w:sz w:val="20"/>
                <w:szCs w:val="20"/>
                <w:color w:val="auto"/>
              </w:rPr>
            </w:pPr>
            <w:r>
              <w:rPr>
                <w:rFonts w:ascii="Arial" w:cs="Arial" w:eastAsia="Arial" w:hAnsi="Arial"/>
                <w:sz w:val="11"/>
                <w:szCs w:val="11"/>
                <w:color w:val="auto"/>
              </w:rPr>
              <w:t>58,065</w:t>
            </w:r>
            <w:r>
              <w:rPr>
                <w:rFonts w:ascii="Arial" w:cs="Arial" w:eastAsia="Arial" w:hAnsi="Arial"/>
                <w:sz w:val="14"/>
                <w:szCs w:val="14"/>
                <w:color w:val="auto"/>
                <w:vertAlign w:val="superscript"/>
              </w:rPr>
              <w:t>(3)</w:t>
            </w:r>
          </w:p>
        </w:tc>
        <w:tc>
          <w:tcPr>
            <w:tcW w:w="10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1,146,784</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3"/>
        </w:trPr>
        <w:tc>
          <w:tcPr>
            <w:tcW w:w="1220" w:type="dxa"/>
            <w:vAlign w:val="bottom"/>
            <w:tcBorders>
              <w:left w:val="single" w:sz="8" w:color="95B3D7"/>
              <w:right w:val="single" w:sz="8" w:color="95B3D7"/>
            </w:tcBorders>
            <w:shd w:val="clear" w:color="auto" w:fill="DBE5F1"/>
          </w:tcPr>
          <w:p>
            <w:pPr>
              <w:spacing w:after="0"/>
              <w:rPr>
                <w:sz w:val="17"/>
                <w:szCs w:val="17"/>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shd w:val="clear" w:color="auto" w:fill="DBE5F1"/>
          </w:tcPr>
          <w:p>
            <w:pPr>
              <w:spacing w:after="0"/>
              <w:rPr>
                <w:sz w:val="17"/>
                <w:szCs w:val="17"/>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E5F1"/>
          </w:tcPr>
          <w:p>
            <w:pPr>
              <w:spacing w:after="0"/>
              <w:rPr>
                <w:sz w:val="17"/>
                <w:szCs w:val="17"/>
                <w:color w:val="auto"/>
              </w:rPr>
            </w:pP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58,065</w:t>
            </w:r>
            <w:r>
              <w:rPr>
                <w:rFonts w:ascii="Arial" w:cs="Arial" w:eastAsia="Arial" w:hAnsi="Arial"/>
                <w:sz w:val="14"/>
                <w:szCs w:val="14"/>
                <w:color w:val="auto"/>
                <w:vertAlign w:val="superscript"/>
              </w:rPr>
              <w:t>(6)</w:t>
            </w:r>
          </w:p>
        </w:tc>
        <w:tc>
          <w:tcPr>
            <w:tcW w:w="1000" w:type="dxa"/>
            <w:vAlign w:val="bottom"/>
            <w:tcBorders>
              <w:right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1,146,784</w:t>
            </w:r>
          </w:p>
        </w:tc>
        <w:tc>
          <w:tcPr>
            <w:tcW w:w="0" w:type="dxa"/>
            <w:vAlign w:val="bottom"/>
          </w:tcPr>
          <w:p>
            <w:pPr>
              <w:spacing w:after="0"/>
              <w:rPr>
                <w:sz w:val="1"/>
                <w:szCs w:val="1"/>
                <w:color w:val="auto"/>
              </w:rPr>
            </w:pPr>
          </w:p>
        </w:tc>
      </w:tr>
      <w:tr>
        <w:trPr>
          <w:trHeight w:val="187"/>
        </w:trPr>
        <w:tc>
          <w:tcPr>
            <w:tcW w:w="1220" w:type="dxa"/>
            <w:vAlign w:val="bottom"/>
            <w:tcBorders>
              <w:left w:val="single" w:sz="8" w:color="95B3D7"/>
              <w:right w:val="single" w:sz="8" w:color="95B3D7"/>
            </w:tcBorders>
            <w:shd w:val="clear" w:color="auto" w:fill="DBE5F1"/>
          </w:tcPr>
          <w:p>
            <w:pPr>
              <w:spacing w:after="0"/>
              <w:rPr>
                <w:sz w:val="16"/>
                <w:szCs w:val="16"/>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6"/>
                <w:szCs w:val="16"/>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shd w:val="clear" w:color="auto" w:fill="DBE5F1"/>
          </w:tcPr>
          <w:p>
            <w:pPr>
              <w:jc w:val="right"/>
              <w:spacing w:after="0"/>
              <w:rPr>
                <w:sz w:val="20"/>
                <w:szCs w:val="20"/>
                <w:color w:val="auto"/>
              </w:rPr>
            </w:pPr>
            <w:r>
              <w:rPr>
                <w:rFonts w:ascii="Arial" w:cs="Arial" w:eastAsia="Arial" w:hAnsi="Arial"/>
                <w:sz w:val="11"/>
                <w:szCs w:val="11"/>
                <w:color w:val="auto"/>
              </w:rPr>
              <w:t>105,000</w:t>
            </w:r>
            <w:r>
              <w:rPr>
                <w:rFonts w:ascii="Arial" w:cs="Arial" w:eastAsia="Arial" w:hAnsi="Arial"/>
                <w:sz w:val="14"/>
                <w:szCs w:val="14"/>
                <w:color w:val="auto"/>
                <w:vertAlign w:val="superscript"/>
              </w:rPr>
              <w:t>(4)</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2,073,750</w:t>
            </w:r>
          </w:p>
        </w:tc>
        <w:tc>
          <w:tcPr>
            <w:tcW w:w="1020" w:type="dxa"/>
            <w:vAlign w:val="bottom"/>
            <w:tcBorders>
              <w:right w:val="single" w:sz="8" w:color="95B3D7"/>
            </w:tcBorders>
            <w:shd w:val="clear" w:color="auto" w:fill="DBE5F1"/>
          </w:tcPr>
          <w:p>
            <w:pPr>
              <w:spacing w:after="0"/>
              <w:rPr>
                <w:sz w:val="16"/>
                <w:szCs w:val="16"/>
                <w:color w:val="auto"/>
              </w:rPr>
            </w:pPr>
          </w:p>
        </w:tc>
        <w:tc>
          <w:tcPr>
            <w:tcW w:w="1000" w:type="dxa"/>
            <w:vAlign w:val="bottom"/>
            <w:tcBorders>
              <w:right w:val="single" w:sz="8" w:color="95B3D7"/>
            </w:tcBorders>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20" w:type="dxa"/>
            <w:vAlign w:val="bottom"/>
            <w:tcBorders>
              <w:left w:val="single" w:sz="8" w:color="95B3D7"/>
              <w:right w:val="single" w:sz="8" w:color="95B3D7"/>
            </w:tcBorders>
            <w:shd w:val="clear" w:color="auto" w:fill="DBE5F1"/>
          </w:tcPr>
          <w:p>
            <w:pPr>
              <w:spacing w:after="0"/>
              <w:rPr>
                <w:sz w:val="18"/>
                <w:szCs w:val="18"/>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shd w:val="clear" w:color="auto" w:fill="DBE5F1"/>
          </w:tcPr>
          <w:p>
            <w:pPr>
              <w:spacing w:after="0"/>
              <w:rPr>
                <w:sz w:val="18"/>
                <w:szCs w:val="18"/>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shd w:val="clear" w:color="auto" w:fill="DBE5F1"/>
          </w:tcPr>
          <w:p>
            <w:pPr>
              <w:spacing w:after="0"/>
              <w:rPr>
                <w:sz w:val="18"/>
                <w:szCs w:val="18"/>
                <w:color w:val="auto"/>
              </w:rPr>
            </w:pP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shd w:val="clear" w:color="auto" w:fill="DBE5F1"/>
          </w:tcPr>
          <w:p>
            <w:pPr>
              <w:jc w:val="right"/>
              <w:ind w:right="7"/>
              <w:spacing w:after="0"/>
              <w:rPr>
                <w:sz w:val="20"/>
                <w:szCs w:val="20"/>
                <w:color w:val="auto"/>
              </w:rPr>
            </w:pPr>
            <w:r>
              <w:rPr>
                <w:rFonts w:ascii="Arial" w:cs="Arial" w:eastAsia="Arial" w:hAnsi="Arial"/>
                <w:sz w:val="11"/>
                <w:szCs w:val="11"/>
                <w:color w:val="auto"/>
              </w:rPr>
              <w:t>140,000</w:t>
            </w:r>
            <w:r>
              <w:rPr>
                <w:rFonts w:ascii="Arial" w:cs="Arial" w:eastAsia="Arial" w:hAnsi="Arial"/>
                <w:sz w:val="14"/>
                <w:szCs w:val="14"/>
                <w:color w:val="auto"/>
                <w:vertAlign w:val="superscript"/>
              </w:rPr>
              <w:t>(7)</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2,765,000</w:t>
            </w:r>
          </w:p>
        </w:tc>
        <w:tc>
          <w:tcPr>
            <w:tcW w:w="0" w:type="dxa"/>
            <w:vAlign w:val="bottom"/>
          </w:tcPr>
          <w:p>
            <w:pPr>
              <w:spacing w:after="0"/>
              <w:rPr>
                <w:sz w:val="1"/>
                <w:szCs w:val="1"/>
                <w:color w:val="auto"/>
              </w:rPr>
            </w:pPr>
          </w:p>
        </w:tc>
      </w:tr>
      <w:tr>
        <w:trPr>
          <w:trHeight w:val="162"/>
        </w:trPr>
        <w:tc>
          <w:tcPr>
            <w:tcW w:w="1220" w:type="dxa"/>
            <w:vAlign w:val="bottom"/>
            <w:tcBorders>
              <w:left w:val="single" w:sz="8" w:color="95B3D7"/>
              <w:right w:val="single" w:sz="8" w:color="95B3D7"/>
            </w:tcBorders>
            <w:shd w:val="clear" w:color="auto" w:fill="DBE5F1"/>
          </w:tcPr>
          <w:p>
            <w:pPr>
              <w:spacing w:after="0"/>
              <w:rPr>
                <w:sz w:val="14"/>
                <w:szCs w:val="14"/>
                <w:color w:val="auto"/>
              </w:rPr>
            </w:pPr>
          </w:p>
        </w:tc>
        <w:tc>
          <w:tcPr>
            <w:tcW w:w="92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10/4/2023</w:t>
            </w:r>
          </w:p>
        </w:tc>
        <w:tc>
          <w:tcPr>
            <w:tcW w:w="100" w:type="dxa"/>
            <w:vAlign w:val="bottom"/>
            <w:shd w:val="clear" w:color="auto" w:fill="DBE5F1"/>
          </w:tcPr>
          <w:p>
            <w:pPr>
              <w:spacing w:after="0"/>
              <w:rPr>
                <w:sz w:val="14"/>
                <w:szCs w:val="14"/>
                <w:color w:val="auto"/>
              </w:rPr>
            </w:pPr>
          </w:p>
        </w:tc>
        <w:tc>
          <w:tcPr>
            <w:tcW w:w="96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shd w:val="clear" w:color="auto" w:fill="DBE5F1"/>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shd w:val="clear" w:color="auto" w:fill="DBE5F1"/>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shd w:val="clear" w:color="auto" w:fill="DBE5F1"/>
          </w:tcPr>
          <w:p>
            <w:pPr>
              <w:jc w:val="right"/>
              <w:spacing w:after="0"/>
              <w:rPr>
                <w:sz w:val="20"/>
                <w:szCs w:val="20"/>
                <w:color w:val="auto"/>
              </w:rPr>
            </w:pPr>
            <w:r>
              <w:rPr>
                <w:rFonts w:ascii="Arial" w:cs="Arial" w:eastAsia="Arial" w:hAnsi="Arial"/>
                <w:sz w:val="11"/>
                <w:szCs w:val="11"/>
                <w:color w:val="auto"/>
              </w:rPr>
              <w:t>170,068</w:t>
            </w:r>
            <w:r>
              <w:rPr>
                <w:rFonts w:ascii="Arial" w:cs="Arial" w:eastAsia="Arial" w:hAnsi="Arial"/>
                <w:sz w:val="14"/>
                <w:szCs w:val="14"/>
                <w:color w:val="auto"/>
                <w:vertAlign w:val="superscript"/>
              </w:rPr>
              <w:t>(4)</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3,358,843</w:t>
            </w:r>
          </w:p>
        </w:tc>
        <w:tc>
          <w:tcPr>
            <w:tcW w:w="1020" w:type="dxa"/>
            <w:vAlign w:val="bottom"/>
            <w:tcBorders>
              <w:right w:val="single" w:sz="8" w:color="95B3D7"/>
            </w:tcBorders>
            <w:shd w:val="clear" w:color="auto" w:fill="DBE5F1"/>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shd w:val="clear" w:color="auto" w:fill="DBE5F1"/>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5"/>
        </w:trPr>
        <w:tc>
          <w:tcPr>
            <w:tcW w:w="1220" w:type="dxa"/>
            <w:vAlign w:val="bottom"/>
            <w:tcBorders>
              <w:left w:val="single" w:sz="8" w:color="95B3D7"/>
              <w:right w:val="single" w:sz="8" w:color="95B3D7"/>
            </w:tcBorders>
            <w:shd w:val="clear" w:color="auto" w:fill="DBE5F1"/>
          </w:tcPr>
          <w:p>
            <w:pPr>
              <w:spacing w:after="0"/>
              <w:rPr>
                <w:sz w:val="8"/>
                <w:szCs w:val="8"/>
                <w:color w:val="auto"/>
              </w:rPr>
            </w:pPr>
          </w:p>
        </w:tc>
        <w:tc>
          <w:tcPr>
            <w:tcW w:w="920" w:type="dxa"/>
            <w:vAlign w:val="bottom"/>
            <w:tcBorders>
              <w:right w:val="single" w:sz="8" w:color="95B3D7"/>
            </w:tcBorders>
            <w:shd w:val="clear" w:color="auto" w:fill="DBE5F1"/>
          </w:tcPr>
          <w:p>
            <w:pPr>
              <w:spacing w:after="0"/>
              <w:rPr>
                <w:sz w:val="8"/>
                <w:szCs w:val="8"/>
                <w:color w:val="auto"/>
              </w:rPr>
            </w:pPr>
          </w:p>
        </w:tc>
        <w:tc>
          <w:tcPr>
            <w:tcW w:w="100" w:type="dxa"/>
            <w:vAlign w:val="bottom"/>
            <w:shd w:val="clear" w:color="auto" w:fill="DBE5F1"/>
          </w:tcPr>
          <w:p>
            <w:pPr>
              <w:spacing w:after="0"/>
              <w:rPr>
                <w:sz w:val="8"/>
                <w:szCs w:val="8"/>
                <w:color w:val="auto"/>
              </w:rPr>
            </w:pPr>
          </w:p>
        </w:tc>
        <w:tc>
          <w:tcPr>
            <w:tcW w:w="960" w:type="dxa"/>
            <w:vAlign w:val="bottom"/>
            <w:tcBorders>
              <w:right w:val="single" w:sz="8" w:color="95B3D7"/>
            </w:tcBorders>
            <w:shd w:val="clear" w:color="auto" w:fill="DBE5F1"/>
          </w:tcPr>
          <w:p>
            <w:pPr>
              <w:spacing w:after="0"/>
              <w:rPr>
                <w:sz w:val="8"/>
                <w:szCs w:val="8"/>
                <w:color w:val="auto"/>
              </w:rPr>
            </w:pPr>
          </w:p>
        </w:tc>
        <w:tc>
          <w:tcPr>
            <w:tcW w:w="940" w:type="dxa"/>
            <w:vAlign w:val="bottom"/>
            <w:tcBorders>
              <w:right w:val="single" w:sz="8" w:color="95B3D7"/>
            </w:tcBorders>
            <w:shd w:val="clear" w:color="auto" w:fill="DBE5F1"/>
          </w:tcPr>
          <w:p>
            <w:pPr>
              <w:spacing w:after="0"/>
              <w:rPr>
                <w:sz w:val="8"/>
                <w:szCs w:val="8"/>
                <w:color w:val="auto"/>
              </w:rPr>
            </w:pPr>
          </w:p>
        </w:tc>
        <w:tc>
          <w:tcPr>
            <w:tcW w:w="980" w:type="dxa"/>
            <w:vAlign w:val="bottom"/>
            <w:tcBorders>
              <w:right w:val="single" w:sz="8" w:color="95B3D7"/>
            </w:tcBorders>
            <w:shd w:val="clear" w:color="auto" w:fill="DBE5F1"/>
          </w:tcPr>
          <w:p>
            <w:pPr>
              <w:spacing w:after="0"/>
              <w:rPr>
                <w:sz w:val="8"/>
                <w:szCs w:val="8"/>
                <w:color w:val="auto"/>
              </w:rPr>
            </w:pPr>
          </w:p>
        </w:tc>
        <w:tc>
          <w:tcPr>
            <w:tcW w:w="900" w:type="dxa"/>
            <w:vAlign w:val="bottom"/>
            <w:tcBorders>
              <w:right w:val="single" w:sz="8" w:color="95B3D7"/>
            </w:tcBorders>
            <w:shd w:val="clear" w:color="auto" w:fill="DBE5F1"/>
          </w:tcPr>
          <w:p>
            <w:pPr>
              <w:spacing w:after="0"/>
              <w:rPr>
                <w:sz w:val="8"/>
                <w:szCs w:val="8"/>
                <w:color w:val="auto"/>
              </w:rPr>
            </w:pPr>
          </w:p>
        </w:tc>
        <w:tc>
          <w:tcPr>
            <w:tcW w:w="940" w:type="dxa"/>
            <w:vAlign w:val="bottom"/>
            <w:tcBorders>
              <w:right w:val="single" w:sz="8" w:color="95B3D7"/>
            </w:tcBorders>
            <w:shd w:val="clear" w:color="auto" w:fill="DBE5F1"/>
          </w:tcPr>
          <w:p>
            <w:pPr>
              <w:spacing w:after="0"/>
              <w:rPr>
                <w:sz w:val="8"/>
                <w:szCs w:val="8"/>
                <w:color w:val="auto"/>
              </w:rPr>
            </w:pPr>
          </w:p>
        </w:tc>
        <w:tc>
          <w:tcPr>
            <w:tcW w:w="260" w:type="dxa"/>
            <w:vAlign w:val="bottom"/>
            <w:shd w:val="clear" w:color="auto" w:fill="DBE5F1"/>
          </w:tcPr>
          <w:p>
            <w:pPr>
              <w:spacing w:after="0"/>
              <w:rPr>
                <w:sz w:val="8"/>
                <w:szCs w:val="8"/>
                <w:color w:val="auto"/>
              </w:rPr>
            </w:pPr>
          </w:p>
        </w:tc>
        <w:tc>
          <w:tcPr>
            <w:tcW w:w="1020" w:type="dxa"/>
            <w:vAlign w:val="bottom"/>
            <w:tcBorders>
              <w:right w:val="single" w:sz="8" w:color="95B3D7"/>
            </w:tcBorders>
            <w:shd w:val="clear" w:color="auto" w:fill="DBE5F1"/>
          </w:tcPr>
          <w:p>
            <w:pPr>
              <w:spacing w:after="0"/>
              <w:rPr>
                <w:sz w:val="8"/>
                <w:szCs w:val="8"/>
                <w:color w:val="auto"/>
              </w:rPr>
            </w:pPr>
          </w:p>
        </w:tc>
        <w:tc>
          <w:tcPr>
            <w:tcW w:w="1000" w:type="dxa"/>
            <w:vAlign w:val="bottom"/>
            <w:tcBorders>
              <w:right w:val="single" w:sz="8" w:color="95B3D7"/>
            </w:tcBorders>
            <w:shd w:val="clear" w:color="auto" w:fill="DBE5F1"/>
          </w:tcPr>
          <w:p>
            <w:pPr>
              <w:spacing w:after="0"/>
              <w:rPr>
                <w:sz w:val="8"/>
                <w:szCs w:val="8"/>
                <w:color w:val="auto"/>
              </w:rPr>
            </w:pPr>
          </w:p>
        </w:tc>
        <w:tc>
          <w:tcPr>
            <w:tcW w:w="1020" w:type="dxa"/>
            <w:vAlign w:val="bottom"/>
            <w:tcBorders>
              <w:right w:val="single" w:sz="8" w:color="95B3D7"/>
            </w:tcBorders>
            <w:shd w:val="clear" w:color="auto" w:fill="DBE5F1"/>
          </w:tcPr>
          <w:p>
            <w:pPr>
              <w:spacing w:after="0"/>
              <w:rPr>
                <w:sz w:val="8"/>
                <w:szCs w:val="8"/>
                <w:color w:val="auto"/>
              </w:rPr>
            </w:pPr>
          </w:p>
        </w:tc>
        <w:tc>
          <w:tcPr>
            <w:tcW w:w="1000" w:type="dxa"/>
            <w:vAlign w:val="bottom"/>
            <w:tcBorders>
              <w:right w:val="single" w:sz="8" w:color="95B3D7"/>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1220" w:type="dxa"/>
            <w:vAlign w:val="bottom"/>
            <w:tcBorders>
              <w:left w:val="single" w:sz="8" w:color="95B3D7"/>
              <w:right w:val="single" w:sz="8" w:color="95B3D7"/>
            </w:tcBorders>
          </w:tcPr>
          <w:p>
            <w:pPr>
              <w:ind w:left="40"/>
              <w:spacing w:after="0"/>
              <w:rPr>
                <w:sz w:val="20"/>
                <w:szCs w:val="20"/>
                <w:color w:val="auto"/>
              </w:rPr>
            </w:pPr>
            <w:r>
              <w:rPr>
                <w:rFonts w:ascii="Arial" w:cs="Arial" w:eastAsia="Arial" w:hAnsi="Arial"/>
                <w:sz w:val="11"/>
                <w:szCs w:val="11"/>
                <w:color w:val="auto"/>
              </w:rPr>
              <w:t>Christopher Joyce</w:t>
            </w: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tcPr>
          <w:p>
            <w:pPr>
              <w:spacing w:after="0"/>
              <w:rPr>
                <w:sz w:val="17"/>
                <w:szCs w:val="17"/>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tcPr>
          <w:p>
            <w:pPr>
              <w:jc w:val="right"/>
              <w:spacing w:after="0"/>
              <w:rPr>
                <w:sz w:val="20"/>
                <w:szCs w:val="20"/>
                <w:color w:val="auto"/>
              </w:rPr>
            </w:pPr>
            <w:r>
              <w:rPr>
                <w:rFonts w:ascii="Arial" w:cs="Arial" w:eastAsia="Arial" w:hAnsi="Arial"/>
                <w:sz w:val="11"/>
                <w:szCs w:val="11"/>
                <w:color w:val="auto"/>
              </w:rPr>
              <w:t>56,452</w:t>
            </w:r>
            <w:r>
              <w:rPr>
                <w:rFonts w:ascii="Arial" w:cs="Arial" w:eastAsia="Arial" w:hAnsi="Arial"/>
                <w:sz w:val="14"/>
                <w:szCs w:val="14"/>
                <w:color w:val="auto"/>
                <w:vertAlign w:val="superscript"/>
              </w:rPr>
              <w:t>(3)</w:t>
            </w:r>
          </w:p>
        </w:tc>
        <w:tc>
          <w:tcPr>
            <w:tcW w:w="1000" w:type="dxa"/>
            <w:vAlign w:val="bottom"/>
            <w:tcBorders>
              <w:right w:val="single" w:sz="8" w:color="95B3D7"/>
            </w:tcBorders>
          </w:tcPr>
          <w:p>
            <w:pPr>
              <w:jc w:val="right"/>
              <w:spacing w:after="0"/>
              <w:rPr>
                <w:sz w:val="20"/>
                <w:szCs w:val="20"/>
                <w:color w:val="auto"/>
              </w:rPr>
            </w:pPr>
            <w:r>
              <w:rPr>
                <w:rFonts w:ascii="Arial" w:cs="Arial" w:eastAsia="Arial" w:hAnsi="Arial"/>
                <w:sz w:val="11"/>
                <w:szCs w:val="11"/>
                <w:color w:val="auto"/>
              </w:rPr>
              <w:t>1,114,927</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87"/>
        </w:trPr>
        <w:tc>
          <w:tcPr>
            <w:tcW w:w="1220" w:type="dxa"/>
            <w:vAlign w:val="bottom"/>
            <w:tcBorders>
              <w:left w:val="single" w:sz="8" w:color="95B3D7"/>
              <w:right w:val="single" w:sz="8" w:color="95B3D7"/>
            </w:tcBorders>
          </w:tcPr>
          <w:p>
            <w:pPr>
              <w:spacing w:after="0"/>
              <w:rPr>
                <w:sz w:val="16"/>
                <w:szCs w:val="16"/>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3/13/2025</w:t>
            </w:r>
          </w:p>
        </w:tc>
        <w:tc>
          <w:tcPr>
            <w:tcW w:w="100" w:type="dxa"/>
            <w:vAlign w:val="bottom"/>
          </w:tcPr>
          <w:p>
            <w:pPr>
              <w:spacing w:after="0"/>
              <w:rPr>
                <w:sz w:val="16"/>
                <w:szCs w:val="16"/>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6"/>
                <w:szCs w:val="16"/>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56,452</w:t>
            </w:r>
            <w:r>
              <w:rPr>
                <w:rFonts w:ascii="Arial" w:cs="Arial" w:eastAsia="Arial" w:hAnsi="Arial"/>
                <w:sz w:val="14"/>
                <w:szCs w:val="14"/>
                <w:color w:val="auto"/>
                <w:vertAlign w:val="superscript"/>
              </w:rPr>
              <w:t>(6)</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1,114,927</w:t>
            </w:r>
          </w:p>
        </w:tc>
        <w:tc>
          <w:tcPr>
            <w:tcW w:w="0" w:type="dxa"/>
            <w:vAlign w:val="bottom"/>
          </w:tcPr>
          <w:p>
            <w:pPr>
              <w:spacing w:after="0"/>
              <w:rPr>
                <w:sz w:val="1"/>
                <w:szCs w:val="1"/>
                <w:color w:val="auto"/>
              </w:rPr>
            </w:pPr>
          </w:p>
        </w:tc>
      </w:tr>
      <w:tr>
        <w:trPr>
          <w:trHeight w:val="178"/>
        </w:trPr>
        <w:tc>
          <w:tcPr>
            <w:tcW w:w="1220" w:type="dxa"/>
            <w:vAlign w:val="bottom"/>
            <w:tcBorders>
              <w:left w:val="single" w:sz="8" w:color="95B3D7"/>
              <w:right w:val="single" w:sz="8" w:color="95B3D7"/>
            </w:tcBorders>
          </w:tcPr>
          <w:p>
            <w:pPr>
              <w:spacing w:after="0"/>
              <w:rPr>
                <w:sz w:val="15"/>
                <w:szCs w:val="15"/>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5"/>
                <w:szCs w:val="15"/>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right w:val="single" w:sz="8" w:color="95B3D7"/>
            </w:tcBorders>
            <w:gridSpan w:val="2"/>
          </w:tcPr>
          <w:p>
            <w:pPr>
              <w:jc w:val="right"/>
              <w:spacing w:after="0"/>
              <w:rPr>
                <w:sz w:val="20"/>
                <w:szCs w:val="20"/>
                <w:color w:val="auto"/>
              </w:rPr>
            </w:pPr>
            <w:r>
              <w:rPr>
                <w:rFonts w:ascii="Arial" w:cs="Arial" w:eastAsia="Arial" w:hAnsi="Arial"/>
                <w:sz w:val="11"/>
                <w:szCs w:val="11"/>
                <w:color w:val="auto"/>
              </w:rPr>
              <w:t>97,500</w:t>
            </w:r>
            <w:r>
              <w:rPr>
                <w:rFonts w:ascii="Arial" w:cs="Arial" w:eastAsia="Arial" w:hAnsi="Arial"/>
                <w:sz w:val="14"/>
                <w:szCs w:val="14"/>
                <w:color w:val="auto"/>
                <w:vertAlign w:val="superscript"/>
              </w:rPr>
              <w:t>(4)</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1,925,625</w:t>
            </w: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1220" w:type="dxa"/>
            <w:vAlign w:val="bottom"/>
            <w:tcBorders>
              <w:left w:val="single" w:sz="8" w:color="95B3D7"/>
              <w:right w:val="single" w:sz="8" w:color="95B3D7"/>
            </w:tcBorders>
          </w:tcPr>
          <w:p>
            <w:pPr>
              <w:spacing w:after="0"/>
              <w:rPr>
                <w:sz w:val="14"/>
                <w:szCs w:val="14"/>
                <w:color w:val="auto"/>
              </w:rPr>
            </w:pPr>
          </w:p>
        </w:tc>
        <w:tc>
          <w:tcPr>
            <w:tcW w:w="92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3/13/2024</w:t>
            </w:r>
          </w:p>
        </w:tc>
        <w:tc>
          <w:tcPr>
            <w:tcW w:w="100" w:type="dxa"/>
            <w:vAlign w:val="bottom"/>
          </w:tcPr>
          <w:p>
            <w:pPr>
              <w:spacing w:after="0"/>
              <w:rPr>
                <w:sz w:val="14"/>
                <w:szCs w:val="14"/>
                <w:color w:val="auto"/>
              </w:rPr>
            </w:pPr>
          </w:p>
        </w:tc>
        <w:tc>
          <w:tcPr>
            <w:tcW w:w="96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1020" w:type="dxa"/>
            <w:vAlign w:val="bottom"/>
            <w:tcBorders>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1020" w:type="dxa"/>
            <w:vAlign w:val="bottom"/>
            <w:tcBorders>
              <w:right w:val="single" w:sz="8" w:color="95B3D7"/>
            </w:tcBorders>
          </w:tcPr>
          <w:p>
            <w:pPr>
              <w:jc w:val="right"/>
              <w:ind w:right="7"/>
              <w:spacing w:after="0"/>
              <w:rPr>
                <w:sz w:val="20"/>
                <w:szCs w:val="20"/>
                <w:color w:val="auto"/>
              </w:rPr>
            </w:pPr>
            <w:r>
              <w:rPr>
                <w:rFonts w:ascii="Arial" w:cs="Arial" w:eastAsia="Arial" w:hAnsi="Arial"/>
                <w:sz w:val="11"/>
                <w:szCs w:val="11"/>
                <w:color w:val="auto"/>
              </w:rPr>
              <w:t>130,000</w:t>
            </w:r>
            <w:r>
              <w:rPr>
                <w:rFonts w:ascii="Arial" w:cs="Arial" w:eastAsia="Arial" w:hAnsi="Arial"/>
                <w:sz w:val="14"/>
                <w:szCs w:val="14"/>
                <w:color w:val="auto"/>
                <w:vertAlign w:val="superscript"/>
              </w:rPr>
              <w:t>(7)</w:t>
            </w:r>
          </w:p>
        </w:tc>
        <w:tc>
          <w:tcPr>
            <w:tcW w:w="1000" w:type="dxa"/>
            <w:vAlign w:val="bottom"/>
            <w:tcBorders>
              <w:right w:val="single" w:sz="8" w:color="95B3D7"/>
            </w:tcBorders>
          </w:tcPr>
          <w:p>
            <w:pPr>
              <w:jc w:val="right"/>
              <w:ind w:right="27"/>
              <w:spacing w:after="0"/>
              <w:rPr>
                <w:sz w:val="20"/>
                <w:szCs w:val="20"/>
                <w:color w:val="auto"/>
              </w:rPr>
            </w:pPr>
            <w:r>
              <w:rPr>
                <w:rFonts w:ascii="Arial" w:cs="Arial" w:eastAsia="Arial" w:hAnsi="Arial"/>
                <w:sz w:val="11"/>
                <w:szCs w:val="11"/>
                <w:color w:val="auto"/>
              </w:rPr>
              <w:t>2,567,500</w:t>
            </w:r>
          </w:p>
        </w:tc>
        <w:tc>
          <w:tcPr>
            <w:tcW w:w="0" w:type="dxa"/>
            <w:vAlign w:val="bottom"/>
          </w:tcPr>
          <w:p>
            <w:pPr>
              <w:spacing w:after="0"/>
              <w:rPr>
                <w:sz w:val="1"/>
                <w:szCs w:val="1"/>
                <w:color w:val="auto"/>
              </w:rPr>
            </w:pPr>
          </w:p>
        </w:tc>
      </w:tr>
      <w:tr>
        <w:trPr>
          <w:trHeight w:val="164"/>
        </w:trPr>
        <w:tc>
          <w:tcPr>
            <w:tcW w:w="1220" w:type="dxa"/>
            <w:vAlign w:val="bottom"/>
            <w:tcBorders>
              <w:left w:val="single" w:sz="8" w:color="95B3D7"/>
              <w:bottom w:val="single" w:sz="8" w:color="95B3D7"/>
              <w:right w:val="single" w:sz="8" w:color="95B3D7"/>
            </w:tcBorders>
          </w:tcPr>
          <w:p>
            <w:pPr>
              <w:spacing w:after="0"/>
              <w:rPr>
                <w:sz w:val="14"/>
                <w:szCs w:val="14"/>
                <w:color w:val="auto"/>
              </w:rPr>
            </w:pPr>
          </w:p>
        </w:tc>
        <w:tc>
          <w:tcPr>
            <w:tcW w:w="920" w:type="dxa"/>
            <w:vAlign w:val="bottom"/>
            <w:tcBorders>
              <w:bottom w:val="single" w:sz="8" w:color="95B3D7"/>
              <w:right w:val="single" w:sz="8" w:color="95B3D7"/>
            </w:tcBorders>
          </w:tcPr>
          <w:p>
            <w:pPr>
              <w:jc w:val="right"/>
              <w:ind w:right="26"/>
              <w:spacing w:after="0"/>
              <w:rPr>
                <w:sz w:val="20"/>
                <w:szCs w:val="20"/>
                <w:color w:val="auto"/>
              </w:rPr>
            </w:pPr>
            <w:r>
              <w:rPr>
                <w:rFonts w:ascii="Arial" w:cs="Arial" w:eastAsia="Arial" w:hAnsi="Arial"/>
                <w:sz w:val="11"/>
                <w:szCs w:val="11"/>
                <w:color w:val="auto"/>
              </w:rPr>
              <w:t>9/6/2023</w:t>
            </w:r>
          </w:p>
        </w:tc>
        <w:tc>
          <w:tcPr>
            <w:tcW w:w="100" w:type="dxa"/>
            <w:vAlign w:val="bottom"/>
            <w:tcBorders>
              <w:bottom w:val="single" w:sz="8" w:color="95B3D7"/>
            </w:tcBorders>
          </w:tcPr>
          <w:p>
            <w:pPr>
              <w:spacing w:after="0"/>
              <w:rPr>
                <w:sz w:val="14"/>
                <w:szCs w:val="14"/>
                <w:color w:val="auto"/>
              </w:rPr>
            </w:pPr>
          </w:p>
        </w:tc>
        <w:tc>
          <w:tcPr>
            <w:tcW w:w="960" w:type="dxa"/>
            <w:vAlign w:val="bottom"/>
            <w:tcBorders>
              <w:bottom w:val="single" w:sz="8" w:color="95B3D7"/>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95B3D7"/>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95B3D7"/>
              <w:right w:val="single" w:sz="8" w:color="95B3D7"/>
            </w:tcBorders>
          </w:tcPr>
          <w:p>
            <w:pPr>
              <w:ind w:left="76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95B3D7"/>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95B3D7"/>
              <w:right w:val="single" w:sz="8" w:color="95B3D7"/>
            </w:tcBorders>
          </w:tcPr>
          <w:p>
            <w:pPr>
              <w:jc w:val="right"/>
              <w:ind w:right="26"/>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95B3D7"/>
              <w:right w:val="single" w:sz="8" w:color="95B3D7"/>
            </w:tcBorders>
            <w:gridSpan w:val="2"/>
          </w:tcPr>
          <w:p>
            <w:pPr>
              <w:jc w:val="right"/>
              <w:spacing w:after="0"/>
              <w:rPr>
                <w:sz w:val="20"/>
                <w:szCs w:val="20"/>
                <w:color w:val="auto"/>
              </w:rPr>
            </w:pPr>
            <w:r>
              <w:rPr>
                <w:rFonts w:ascii="Arial" w:cs="Arial" w:eastAsia="Arial" w:hAnsi="Arial"/>
                <w:sz w:val="11"/>
                <w:szCs w:val="11"/>
                <w:color w:val="auto"/>
              </w:rPr>
              <w:t>122,511</w:t>
            </w:r>
            <w:r>
              <w:rPr>
                <w:rFonts w:ascii="Arial" w:cs="Arial" w:eastAsia="Arial" w:hAnsi="Arial"/>
                <w:sz w:val="14"/>
                <w:szCs w:val="14"/>
                <w:color w:val="auto"/>
                <w:vertAlign w:val="superscript"/>
              </w:rPr>
              <w:t>(4)</w:t>
            </w:r>
          </w:p>
        </w:tc>
        <w:tc>
          <w:tcPr>
            <w:tcW w:w="1000" w:type="dxa"/>
            <w:vAlign w:val="bottom"/>
            <w:tcBorders>
              <w:bottom w:val="single" w:sz="8" w:color="95B3D7"/>
              <w:right w:val="single" w:sz="8" w:color="95B3D7"/>
            </w:tcBorders>
          </w:tcPr>
          <w:p>
            <w:pPr>
              <w:jc w:val="right"/>
              <w:ind w:right="27"/>
              <w:spacing w:after="0"/>
              <w:rPr>
                <w:sz w:val="20"/>
                <w:szCs w:val="20"/>
                <w:color w:val="auto"/>
              </w:rPr>
            </w:pPr>
            <w:r>
              <w:rPr>
                <w:rFonts w:ascii="Arial" w:cs="Arial" w:eastAsia="Arial" w:hAnsi="Arial"/>
                <w:sz w:val="11"/>
                <w:szCs w:val="11"/>
                <w:color w:val="auto"/>
              </w:rPr>
              <w:t>2,419,592</w:t>
            </w:r>
          </w:p>
        </w:tc>
        <w:tc>
          <w:tcPr>
            <w:tcW w:w="1020" w:type="dxa"/>
            <w:vAlign w:val="bottom"/>
            <w:tcBorders>
              <w:bottom w:val="single" w:sz="8" w:color="95B3D7"/>
              <w:right w:val="single" w:sz="8" w:color="95B3D7"/>
            </w:tcBorders>
          </w:tcPr>
          <w:p>
            <w:pPr>
              <w:jc w:val="right"/>
              <w:ind w:right="47"/>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95B3D7"/>
              <w:right w:val="single" w:sz="8" w:color="95B3D7"/>
            </w:tcBorders>
          </w:tcPr>
          <w:p>
            <w:pPr>
              <w:jc w:val="right"/>
              <w:ind w:right="2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62" w:name="page63"/>
    <w:bookmarkEnd w:id="62"/>
    <w:p>
      <w:pPr>
        <w:ind w:left="660" w:hanging="328"/>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Represents unvested options, which vest 25% on each of the first four anniversaries of the applicable grant date.</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the last trading day of 2025, which was $19.75.</w:t>
      </w:r>
    </w:p>
    <w:p>
      <w:pPr>
        <w:spacing w:after="0" w:line="68" w:lineRule="exact"/>
        <w:rPr>
          <w:rFonts w:ascii="Arial" w:cs="Arial" w:eastAsia="Arial" w:hAnsi="Arial"/>
          <w:sz w:val="14"/>
          <w:szCs w:val="14"/>
          <w:color w:val="auto"/>
        </w:rPr>
      </w:pPr>
    </w:p>
    <w:p>
      <w:pPr>
        <w:ind w:left="660" w:right="60" w:hanging="328"/>
        <w:spacing w:after="0" w:line="285"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RSU award is scheduled to vest with respect to 33.33% on each of the first three anniversaries of the grant date (except with respect to Mr. Head, whose grant is scheduled to vest 33.33% on each of March 13, 2026, 2027 and 2028).</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RSU award is scheduled to vest with respect to 25.0% on each of the first four anniversaries of the grant date.</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remaining portion of this RSU award is scheduled to vest on September 7, 2026.</w:t>
      </w:r>
    </w:p>
    <w:p>
      <w:pPr>
        <w:spacing w:after="0" w:line="68" w:lineRule="exact"/>
        <w:rPr>
          <w:rFonts w:ascii="Arial" w:cs="Arial" w:eastAsia="Arial" w:hAnsi="Arial"/>
          <w:sz w:val="14"/>
          <w:szCs w:val="14"/>
          <w:color w:val="auto"/>
        </w:rPr>
      </w:pPr>
    </w:p>
    <w:p>
      <w:pPr>
        <w:ind w:left="660" w:hanging="328"/>
        <w:spacing w:after="0" w:line="291"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PSU award is scheduled to vest on or about March 1, 2028, subject to achievement of performance metrics. Amount shown assumes achievement at target level. Actual shares delivered under PSU awards are subject to performance conditions and therefore may vary from the target units reported here.</w:t>
      </w:r>
    </w:p>
    <w:p>
      <w:pPr>
        <w:spacing w:after="0" w:line="1" w:lineRule="exact"/>
        <w:rPr>
          <w:rFonts w:ascii="Arial" w:cs="Arial" w:eastAsia="Arial" w:hAnsi="Arial"/>
          <w:sz w:val="14"/>
          <w:szCs w:val="14"/>
          <w:color w:val="auto"/>
        </w:rPr>
      </w:pPr>
    </w:p>
    <w:p>
      <w:pPr>
        <w:ind w:left="660" w:right="380" w:hanging="328"/>
        <w:spacing w:after="0" w:line="305" w:lineRule="auto"/>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This PSU award is scheduled to vest on or about March 1, 2027, subject to achievement of performance metrics. Amount shown assumes achievement at target level. Actual shares delivered under PSU awards are subject to performance conditions and therefore may vary from the target units reported here.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Exercises and Stock Vested During Fiscal Year 2025</w:t>
      </w:r>
    </w:p>
    <w:p>
      <w:pPr>
        <w:spacing w:after="0" w:line="117" w:lineRule="exact"/>
        <w:rPr>
          <w:sz w:val="20"/>
          <w:szCs w:val="20"/>
          <w:color w:val="auto"/>
        </w:rPr>
      </w:pPr>
    </w:p>
    <w:p>
      <w:pPr>
        <w:ind w:right="200" w:firstLine="486"/>
        <w:spacing w:after="0" w:line="287" w:lineRule="auto"/>
        <w:rPr>
          <w:sz w:val="20"/>
          <w:szCs w:val="20"/>
          <w:color w:val="auto"/>
        </w:rPr>
      </w:pPr>
      <w:r>
        <w:rPr>
          <w:rFonts w:ascii="Arial" w:cs="Arial" w:eastAsia="Arial" w:hAnsi="Arial"/>
          <w:sz w:val="18"/>
          <w:szCs w:val="18"/>
          <w:color w:val="auto"/>
        </w:rPr>
        <w:t>The following table shows information about exercises and vesting of stock options and stock awards (RSUs and PSUs) during fiscal year 2025.</w:t>
      </w:r>
    </w:p>
    <w:p>
      <w:pPr>
        <w:spacing w:after="0" w:line="55" w:lineRule="exact"/>
        <w:rPr>
          <w:sz w:val="20"/>
          <w:szCs w:val="20"/>
          <w:color w:val="auto"/>
        </w:rPr>
      </w:pPr>
    </w:p>
    <w:tbl>
      <w:tblPr>
        <w:tblLayout w:type="fixed"/>
        <w:tblInd w:w="1540" w:type="dxa"/>
        <w:tblCellMar>
          <w:top w:w="0" w:type="dxa"/>
          <w:left w:w="0" w:type="dxa"/>
          <w:bottom w:w="0" w:type="dxa"/>
          <w:right w:w="0" w:type="dxa"/>
        </w:tblCellMar>
      </w:tblPr>
      <w:tr>
        <w:trPr>
          <w:trHeight w:val="197"/>
        </w:trPr>
        <w:tc>
          <w:tcPr>
            <w:tcW w:w="1760" w:type="dxa"/>
            <w:vAlign w:val="bottom"/>
            <w:tcBorders>
              <w:bottom w:val="single" w:sz="8" w:color="95B3D7"/>
            </w:tcBorders>
          </w:tcPr>
          <w:p>
            <w:pPr>
              <w:spacing w:after="0"/>
              <w:rPr>
                <w:sz w:val="17"/>
                <w:szCs w:val="17"/>
                <w:color w:val="auto"/>
              </w:rPr>
            </w:pPr>
          </w:p>
        </w:tc>
        <w:tc>
          <w:tcPr>
            <w:tcW w:w="3180" w:type="dxa"/>
            <w:vAlign w:val="bottom"/>
            <w:tcBorders>
              <w:bottom w:val="single" w:sz="8" w:color="95B3D7"/>
            </w:tcBorders>
            <w:gridSpan w:val="2"/>
          </w:tcPr>
          <w:p>
            <w:pPr>
              <w:ind w:left="1060"/>
              <w:spacing w:after="0"/>
              <w:rPr>
                <w:sz w:val="20"/>
                <w:szCs w:val="20"/>
                <w:color w:val="auto"/>
              </w:rPr>
            </w:pPr>
            <w:r>
              <w:rPr>
                <w:rFonts w:ascii="Arial" w:cs="Arial" w:eastAsia="Arial" w:hAnsi="Arial"/>
                <w:sz w:val="14"/>
                <w:szCs w:val="14"/>
                <w:b w:val="1"/>
                <w:bCs w:val="1"/>
                <w:color w:val="auto"/>
              </w:rPr>
              <w:t>Option Awards</w:t>
            </w:r>
          </w:p>
        </w:tc>
        <w:tc>
          <w:tcPr>
            <w:tcW w:w="3240" w:type="dxa"/>
            <w:vAlign w:val="bottom"/>
            <w:tcBorders>
              <w:bottom w:val="single" w:sz="8" w:color="95B3D7"/>
            </w:tcBorders>
            <w:gridSpan w:val="2"/>
          </w:tcPr>
          <w:p>
            <w:pPr>
              <w:jc w:val="right"/>
              <w:ind w:right="1088"/>
              <w:spacing w:after="0"/>
              <w:rPr>
                <w:sz w:val="20"/>
                <w:szCs w:val="20"/>
                <w:color w:val="auto"/>
              </w:rPr>
            </w:pPr>
            <w:r>
              <w:rPr>
                <w:rFonts w:ascii="Arial" w:cs="Arial" w:eastAsia="Arial" w:hAnsi="Arial"/>
                <w:sz w:val="14"/>
                <w:szCs w:val="14"/>
                <w:b w:val="1"/>
                <w:bCs w:val="1"/>
                <w:color w:val="auto"/>
              </w:rPr>
              <w:t>Stock Awards</w:t>
            </w:r>
          </w:p>
        </w:tc>
      </w:tr>
      <w:tr>
        <w:trPr>
          <w:trHeight w:val="157"/>
        </w:trPr>
        <w:tc>
          <w:tcPr>
            <w:tcW w:w="1760" w:type="dxa"/>
            <w:vAlign w:val="bottom"/>
            <w:tcBorders>
              <w:right w:val="single" w:sz="8" w:color="95B3D7"/>
            </w:tcBorders>
            <w:shd w:val="clear" w:color="auto" w:fill="DBE5F1"/>
          </w:tcPr>
          <w:p>
            <w:pPr>
              <w:ind w:left="60"/>
              <w:spacing w:after="0" w:line="157" w:lineRule="exact"/>
              <w:rPr>
                <w:sz w:val="20"/>
                <w:szCs w:val="20"/>
                <w:color w:val="auto"/>
              </w:rPr>
            </w:pPr>
            <w:r>
              <w:rPr>
                <w:rFonts w:ascii="Arial" w:cs="Arial" w:eastAsia="Arial" w:hAnsi="Arial"/>
                <w:sz w:val="14"/>
                <w:szCs w:val="14"/>
                <w:b w:val="1"/>
                <w:bCs w:val="1"/>
                <w:color w:val="auto"/>
              </w:rPr>
              <w:t>Name</w:t>
            </w:r>
          </w:p>
        </w:tc>
        <w:tc>
          <w:tcPr>
            <w:tcW w:w="1640" w:type="dxa"/>
            <w:vAlign w:val="bottom"/>
            <w:tcBorders>
              <w:right w:val="single" w:sz="8" w:color="95B3D7"/>
            </w:tcBorders>
            <w:shd w:val="clear" w:color="auto" w:fill="DBE5F1"/>
          </w:tcPr>
          <w:p>
            <w:pPr>
              <w:jc w:val="center"/>
              <w:spacing w:after="0" w:line="157" w:lineRule="exact"/>
              <w:rPr>
                <w:sz w:val="20"/>
                <w:szCs w:val="20"/>
                <w:color w:val="auto"/>
              </w:rPr>
            </w:pPr>
            <w:r>
              <w:rPr>
                <w:rFonts w:ascii="Arial" w:cs="Arial" w:eastAsia="Arial" w:hAnsi="Arial"/>
                <w:sz w:val="14"/>
                <w:szCs w:val="14"/>
                <w:b w:val="1"/>
                <w:bCs w:val="1"/>
                <w:color w:val="auto"/>
              </w:rPr>
              <w:t>Number of Shares</w:t>
            </w:r>
          </w:p>
        </w:tc>
        <w:tc>
          <w:tcPr>
            <w:tcW w:w="1540" w:type="dxa"/>
            <w:vAlign w:val="bottom"/>
            <w:tcBorders>
              <w:right w:val="single" w:sz="8" w:color="95B3D7"/>
            </w:tcBorders>
            <w:shd w:val="clear" w:color="auto" w:fill="DBE5F1"/>
          </w:tcPr>
          <w:p>
            <w:pPr>
              <w:jc w:val="center"/>
              <w:spacing w:after="0" w:line="157" w:lineRule="exact"/>
              <w:rPr>
                <w:sz w:val="20"/>
                <w:szCs w:val="20"/>
                <w:color w:val="auto"/>
              </w:rPr>
            </w:pPr>
            <w:r>
              <w:rPr>
                <w:rFonts w:ascii="Arial" w:cs="Arial" w:eastAsia="Arial" w:hAnsi="Arial"/>
                <w:sz w:val="14"/>
                <w:szCs w:val="14"/>
                <w:b w:val="1"/>
                <w:bCs w:val="1"/>
                <w:color w:val="auto"/>
              </w:rPr>
              <w:t>Value Realized on</w:t>
            </w:r>
          </w:p>
        </w:tc>
        <w:tc>
          <w:tcPr>
            <w:tcW w:w="1640" w:type="dxa"/>
            <w:vAlign w:val="bottom"/>
            <w:tcBorders>
              <w:right w:val="single" w:sz="8" w:color="95B3D7"/>
            </w:tcBorders>
            <w:shd w:val="clear" w:color="auto" w:fill="DBE5F1"/>
          </w:tcPr>
          <w:p>
            <w:pPr>
              <w:jc w:val="right"/>
              <w:ind w:right="148"/>
              <w:spacing w:after="0" w:line="157" w:lineRule="exact"/>
              <w:rPr>
                <w:sz w:val="20"/>
                <w:szCs w:val="20"/>
                <w:color w:val="auto"/>
              </w:rPr>
            </w:pPr>
            <w:r>
              <w:rPr>
                <w:rFonts w:ascii="Arial" w:cs="Arial" w:eastAsia="Arial" w:hAnsi="Arial"/>
                <w:sz w:val="14"/>
                <w:szCs w:val="14"/>
                <w:b w:val="1"/>
                <w:bCs w:val="1"/>
                <w:color w:val="auto"/>
              </w:rPr>
              <w:t>Number of Shares</w:t>
            </w:r>
          </w:p>
        </w:tc>
        <w:tc>
          <w:tcPr>
            <w:tcW w:w="1600" w:type="dxa"/>
            <w:vAlign w:val="bottom"/>
            <w:shd w:val="clear" w:color="auto" w:fill="DBE5F1"/>
          </w:tcPr>
          <w:p>
            <w:pPr>
              <w:jc w:val="right"/>
              <w:ind w:right="148"/>
              <w:spacing w:after="0" w:line="157" w:lineRule="exact"/>
              <w:rPr>
                <w:sz w:val="20"/>
                <w:szCs w:val="20"/>
                <w:color w:val="auto"/>
              </w:rPr>
            </w:pPr>
            <w:r>
              <w:rPr>
                <w:rFonts w:ascii="Arial" w:cs="Arial" w:eastAsia="Arial" w:hAnsi="Arial"/>
                <w:sz w:val="14"/>
                <w:szCs w:val="14"/>
                <w:b w:val="1"/>
                <w:bCs w:val="1"/>
                <w:color w:val="auto"/>
              </w:rPr>
              <w:t>Value Realized on</w:t>
            </w:r>
          </w:p>
        </w:tc>
      </w:tr>
      <w:tr>
        <w:trPr>
          <w:trHeight w:val="176"/>
        </w:trPr>
        <w:tc>
          <w:tcPr>
            <w:tcW w:w="1760" w:type="dxa"/>
            <w:vAlign w:val="bottom"/>
            <w:tcBorders>
              <w:right w:val="single" w:sz="8" w:color="95B3D7"/>
            </w:tcBorders>
            <w:shd w:val="clear" w:color="auto" w:fill="DBE5F1"/>
          </w:tcPr>
          <w:p>
            <w:pPr>
              <w:spacing w:after="0"/>
              <w:rPr>
                <w:sz w:val="15"/>
                <w:szCs w:val="15"/>
                <w:color w:val="auto"/>
              </w:rPr>
            </w:pPr>
          </w:p>
        </w:tc>
        <w:tc>
          <w:tcPr>
            <w:tcW w:w="16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Acquired on Exercise</w:t>
            </w:r>
          </w:p>
        </w:tc>
        <w:tc>
          <w:tcPr>
            <w:tcW w:w="1540" w:type="dxa"/>
            <w:vAlign w:val="bottom"/>
            <w:tcBorders>
              <w:right w:val="single" w:sz="8" w:color="95B3D7"/>
            </w:tcBorders>
            <w:shd w:val="clear" w:color="auto" w:fill="DBE5F1"/>
          </w:tcPr>
          <w:p>
            <w:pPr>
              <w:jc w:val="center"/>
              <w:spacing w:after="0" w:line="176" w:lineRule="exact"/>
              <w:rPr>
                <w:sz w:val="20"/>
                <w:szCs w:val="20"/>
                <w:color w:val="auto"/>
              </w:rPr>
            </w:pPr>
            <w:r>
              <w:rPr>
                <w:rFonts w:ascii="Arial" w:cs="Arial" w:eastAsia="Arial" w:hAnsi="Arial"/>
                <w:sz w:val="14"/>
                <w:szCs w:val="14"/>
                <w:b w:val="1"/>
                <w:bCs w:val="1"/>
                <w:color w:val="auto"/>
                <w:w w:val="98"/>
              </w:rPr>
              <w:t>Exercise ($)</w:t>
            </w:r>
            <w:r>
              <w:rPr>
                <w:rFonts w:ascii="Arial" w:cs="Arial" w:eastAsia="Arial" w:hAnsi="Arial"/>
                <w:sz w:val="18"/>
                <w:szCs w:val="18"/>
                <w:b w:val="1"/>
                <w:bCs w:val="1"/>
                <w:color w:val="auto"/>
                <w:w w:val="98"/>
                <w:vertAlign w:val="superscript"/>
              </w:rPr>
              <w:t>(1)</w:t>
            </w:r>
          </w:p>
        </w:tc>
        <w:tc>
          <w:tcPr>
            <w:tcW w:w="1640" w:type="dxa"/>
            <w:vAlign w:val="bottom"/>
            <w:tcBorders>
              <w:right w:val="single" w:sz="8" w:color="95B3D7"/>
            </w:tcBorders>
            <w:shd w:val="clear" w:color="auto" w:fill="DBE5F1"/>
          </w:tcPr>
          <w:p>
            <w:pPr>
              <w:jc w:val="right"/>
              <w:ind w:right="68"/>
              <w:spacing w:after="0"/>
              <w:rPr>
                <w:sz w:val="20"/>
                <w:szCs w:val="20"/>
                <w:color w:val="auto"/>
              </w:rPr>
            </w:pPr>
            <w:r>
              <w:rPr>
                <w:rFonts w:ascii="Arial" w:cs="Arial" w:eastAsia="Arial" w:hAnsi="Arial"/>
                <w:sz w:val="14"/>
                <w:szCs w:val="14"/>
                <w:b w:val="1"/>
                <w:bCs w:val="1"/>
                <w:color w:val="auto"/>
              </w:rPr>
              <w:t>Acquired on Vesting</w:t>
            </w:r>
          </w:p>
        </w:tc>
        <w:tc>
          <w:tcPr>
            <w:tcW w:w="1600" w:type="dxa"/>
            <w:vAlign w:val="bottom"/>
            <w:shd w:val="clear" w:color="auto" w:fill="DBE5F1"/>
          </w:tcPr>
          <w:p>
            <w:pPr>
              <w:jc w:val="right"/>
              <w:ind w:right="428"/>
              <w:spacing w:after="0" w:line="176" w:lineRule="exact"/>
              <w:rPr>
                <w:sz w:val="20"/>
                <w:szCs w:val="20"/>
                <w:color w:val="auto"/>
              </w:rPr>
            </w:pPr>
            <w:r>
              <w:rPr>
                <w:rFonts w:ascii="Arial" w:cs="Arial" w:eastAsia="Arial" w:hAnsi="Arial"/>
                <w:sz w:val="14"/>
                <w:szCs w:val="14"/>
                <w:b w:val="1"/>
                <w:bCs w:val="1"/>
                <w:color w:val="auto"/>
              </w:rPr>
              <w:t>Vesting</w:t>
            </w:r>
            <w:r>
              <w:rPr>
                <w:rFonts w:ascii="Arial" w:cs="Arial" w:eastAsia="Arial" w:hAnsi="Arial"/>
                <w:sz w:val="18"/>
                <w:szCs w:val="18"/>
                <w:b w:val="1"/>
                <w:bCs w:val="1"/>
                <w:color w:val="auto"/>
                <w:vertAlign w:val="superscript"/>
              </w:rPr>
              <w:t>(1)</w:t>
            </w:r>
          </w:p>
        </w:tc>
      </w:tr>
      <w:tr>
        <w:trPr>
          <w:trHeight w:val="233"/>
        </w:trPr>
        <w:tc>
          <w:tcPr>
            <w:tcW w:w="1760" w:type="dxa"/>
            <w:vAlign w:val="bottom"/>
            <w:tcBorders>
              <w:bottom w:val="single" w:sz="8" w:color="DBE5F1"/>
              <w:right w:val="single" w:sz="8" w:color="95B3D7"/>
            </w:tcBorders>
            <w:shd w:val="clear" w:color="auto" w:fill="DBE5F1"/>
          </w:tcPr>
          <w:p>
            <w:pPr>
              <w:spacing w:after="0"/>
              <w:rPr>
                <w:sz w:val="19"/>
                <w:szCs w:val="19"/>
                <w:color w:val="auto"/>
              </w:rPr>
            </w:pPr>
          </w:p>
        </w:tc>
        <w:tc>
          <w:tcPr>
            <w:tcW w:w="16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DBE5F1"/>
              <w:right w:val="single" w:sz="8" w:color="95B3D7"/>
            </w:tcBorders>
            <w:shd w:val="clear" w:color="auto" w:fill="DBE5F1"/>
          </w:tcPr>
          <w:p>
            <w:pPr>
              <w:spacing w:after="0"/>
              <w:rPr>
                <w:sz w:val="19"/>
                <w:szCs w:val="19"/>
                <w:color w:val="auto"/>
              </w:rPr>
            </w:pPr>
          </w:p>
        </w:tc>
        <w:tc>
          <w:tcPr>
            <w:tcW w:w="1640" w:type="dxa"/>
            <w:vAlign w:val="bottom"/>
            <w:tcBorders>
              <w:bottom w:val="single" w:sz="8" w:color="DBE5F1"/>
              <w:right w:val="single" w:sz="8" w:color="95B3D7"/>
            </w:tcBorders>
            <w:shd w:val="clear" w:color="auto" w:fill="DBE5F1"/>
          </w:tcPr>
          <w:p>
            <w:pPr>
              <w:jc w:val="right"/>
              <w:ind w:right="688"/>
              <w:spacing w:after="0"/>
              <w:rPr>
                <w:sz w:val="20"/>
                <w:szCs w:val="20"/>
                <w:color w:val="auto"/>
              </w:rPr>
            </w:pPr>
            <w:r>
              <w:rPr>
                <w:rFonts w:ascii="Arial" w:cs="Arial" w:eastAsia="Arial" w:hAnsi="Arial"/>
                <w:sz w:val="14"/>
                <w:szCs w:val="14"/>
                <w:b w:val="1"/>
                <w:bCs w:val="1"/>
                <w:color w:val="auto"/>
              </w:rPr>
              <w:t>(#)</w:t>
            </w:r>
          </w:p>
        </w:tc>
        <w:tc>
          <w:tcPr>
            <w:tcW w:w="1600" w:type="dxa"/>
            <w:vAlign w:val="bottom"/>
            <w:tcBorders>
              <w:bottom w:val="single" w:sz="8" w:color="DBE5F1"/>
            </w:tcBorders>
            <w:shd w:val="clear" w:color="auto" w:fill="DBE5F1"/>
          </w:tcPr>
          <w:p>
            <w:pPr>
              <w:jc w:val="right"/>
              <w:ind w:right="648"/>
              <w:spacing w:after="0"/>
              <w:rPr>
                <w:sz w:val="20"/>
                <w:szCs w:val="20"/>
                <w:color w:val="auto"/>
              </w:rPr>
            </w:pPr>
            <w:r>
              <w:rPr>
                <w:rFonts w:ascii="Arial" w:cs="Arial" w:eastAsia="Arial" w:hAnsi="Arial"/>
                <w:sz w:val="14"/>
                <w:szCs w:val="14"/>
                <w:b w:val="1"/>
                <w:bCs w:val="1"/>
                <w:color w:val="auto"/>
              </w:rPr>
              <w:t>($)</w:t>
            </w:r>
          </w:p>
        </w:tc>
      </w:tr>
      <w:tr>
        <w:trPr>
          <w:trHeight w:val="203"/>
        </w:trPr>
        <w:tc>
          <w:tcPr>
            <w:tcW w:w="1760" w:type="dxa"/>
            <w:vAlign w:val="bottom"/>
            <w:tcBorders>
              <w:top w:val="single" w:sz="8" w:color="auto"/>
              <w:right w:val="single" w:sz="8" w:color="95B3D7"/>
            </w:tcBorders>
          </w:tcPr>
          <w:p>
            <w:pPr>
              <w:ind w:left="60"/>
              <w:spacing w:after="0"/>
              <w:rPr>
                <w:sz w:val="20"/>
                <w:szCs w:val="20"/>
                <w:color w:val="auto"/>
              </w:rPr>
            </w:pPr>
            <w:r>
              <w:rPr>
                <w:rFonts w:ascii="Arial" w:cs="Arial" w:eastAsia="Arial" w:hAnsi="Arial"/>
                <w:sz w:val="14"/>
                <w:szCs w:val="14"/>
                <w:color w:val="auto"/>
              </w:rPr>
              <w:t>John Kao</w:t>
            </w:r>
          </w:p>
        </w:tc>
        <w:tc>
          <w:tcPr>
            <w:tcW w:w="1640" w:type="dxa"/>
            <w:vAlign w:val="bottom"/>
            <w:tcBorders>
              <w:top w:val="single" w:sz="8" w:color="auto"/>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top w:val="single" w:sz="8" w:color="auto"/>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top w:val="single" w:sz="8" w:color="auto"/>
              <w:right w:val="single" w:sz="8" w:color="95B3D7"/>
            </w:tcBorders>
          </w:tcPr>
          <w:p>
            <w:pPr>
              <w:jc w:val="right"/>
              <w:ind w:right="28"/>
              <w:spacing w:after="0"/>
              <w:rPr>
                <w:sz w:val="20"/>
                <w:szCs w:val="20"/>
                <w:color w:val="auto"/>
              </w:rPr>
            </w:pPr>
            <w:r>
              <w:rPr>
                <w:rFonts w:ascii="Arial" w:cs="Arial" w:eastAsia="Arial" w:hAnsi="Arial"/>
                <w:sz w:val="14"/>
                <w:szCs w:val="14"/>
                <w:color w:val="auto"/>
              </w:rPr>
              <w:t>3,711,583</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64,192,849</w:t>
            </w:r>
          </w:p>
        </w:tc>
      </w:tr>
      <w:tr>
        <w:trPr>
          <w:trHeight w:val="22"/>
        </w:trPr>
        <w:tc>
          <w:tcPr>
            <w:tcW w:w="1760" w:type="dxa"/>
            <w:vAlign w:val="bottom"/>
            <w:tcBorders>
              <w:right w:val="single" w:sz="8" w:color="95B3D7"/>
            </w:tcBorders>
          </w:tcPr>
          <w:p>
            <w:pPr>
              <w:spacing w:after="0" w:line="20" w:lineRule="exact"/>
              <w:rPr>
                <w:sz w:val="1"/>
                <w:szCs w:val="1"/>
                <w:color w:val="auto"/>
              </w:rPr>
            </w:pPr>
          </w:p>
        </w:tc>
        <w:tc>
          <w:tcPr>
            <w:tcW w:w="1640" w:type="dxa"/>
            <w:vAlign w:val="bottom"/>
            <w:tcBorders>
              <w:right w:val="single" w:sz="8" w:color="95B3D7"/>
            </w:tcBorders>
          </w:tcPr>
          <w:p>
            <w:pPr>
              <w:spacing w:after="0" w:line="20" w:lineRule="exact"/>
              <w:rPr>
                <w:sz w:val="1"/>
                <w:szCs w:val="1"/>
                <w:color w:val="auto"/>
              </w:rPr>
            </w:pPr>
          </w:p>
        </w:tc>
        <w:tc>
          <w:tcPr>
            <w:tcW w:w="1540" w:type="dxa"/>
            <w:vAlign w:val="bottom"/>
            <w:tcBorders>
              <w:right w:val="single" w:sz="8" w:color="95B3D7"/>
            </w:tcBorders>
          </w:tcPr>
          <w:p>
            <w:pPr>
              <w:spacing w:after="0" w:line="20" w:lineRule="exact"/>
              <w:rPr>
                <w:sz w:val="1"/>
                <w:szCs w:val="1"/>
                <w:color w:val="auto"/>
              </w:rPr>
            </w:pPr>
          </w:p>
        </w:tc>
        <w:tc>
          <w:tcPr>
            <w:tcW w:w="1640" w:type="dxa"/>
            <w:vAlign w:val="bottom"/>
            <w:tcBorders>
              <w:right w:val="single" w:sz="8" w:color="95B3D7"/>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176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Dawn Maroney</w:t>
            </w:r>
          </w:p>
        </w:tc>
        <w:tc>
          <w:tcPr>
            <w:tcW w:w="16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DBE5F1"/>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1,392,417</w:t>
            </w:r>
          </w:p>
        </w:tc>
        <w:tc>
          <w:tcPr>
            <w:tcW w:w="16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24,191,803</w:t>
            </w:r>
          </w:p>
        </w:tc>
      </w:tr>
      <w:tr>
        <w:trPr>
          <w:trHeight w:val="195"/>
        </w:trPr>
        <w:tc>
          <w:tcPr>
            <w:tcW w:w="1760" w:type="dxa"/>
            <w:vAlign w:val="bottom"/>
            <w:tcBorders>
              <w:right w:val="single" w:sz="8" w:color="95B3D7"/>
            </w:tcBorders>
          </w:tcPr>
          <w:p>
            <w:pPr>
              <w:ind w:left="60"/>
              <w:spacing w:after="0"/>
              <w:rPr>
                <w:sz w:val="20"/>
                <w:szCs w:val="20"/>
                <w:color w:val="auto"/>
              </w:rPr>
            </w:pPr>
            <w:r>
              <w:rPr>
                <w:rFonts w:ascii="Arial" w:cs="Arial" w:eastAsia="Arial" w:hAnsi="Arial"/>
                <w:sz w:val="14"/>
                <w:szCs w:val="14"/>
                <w:color w:val="auto"/>
              </w:rPr>
              <w:t>James M. Head</w:t>
            </w:r>
          </w:p>
        </w:tc>
        <w:tc>
          <w:tcPr>
            <w:tcW w:w="164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6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2"/>
        </w:trPr>
        <w:tc>
          <w:tcPr>
            <w:tcW w:w="1760" w:type="dxa"/>
            <w:vAlign w:val="bottom"/>
            <w:tcBorders>
              <w:right w:val="single" w:sz="8" w:color="95B3D7"/>
            </w:tcBorders>
          </w:tcPr>
          <w:p>
            <w:pPr>
              <w:spacing w:after="0" w:line="20" w:lineRule="exact"/>
              <w:rPr>
                <w:sz w:val="1"/>
                <w:szCs w:val="1"/>
                <w:color w:val="auto"/>
              </w:rPr>
            </w:pPr>
          </w:p>
        </w:tc>
        <w:tc>
          <w:tcPr>
            <w:tcW w:w="1640" w:type="dxa"/>
            <w:vAlign w:val="bottom"/>
            <w:tcBorders>
              <w:right w:val="single" w:sz="8" w:color="95B3D7"/>
            </w:tcBorders>
          </w:tcPr>
          <w:p>
            <w:pPr>
              <w:spacing w:after="0" w:line="20" w:lineRule="exact"/>
              <w:rPr>
                <w:sz w:val="1"/>
                <w:szCs w:val="1"/>
                <w:color w:val="auto"/>
              </w:rPr>
            </w:pPr>
          </w:p>
        </w:tc>
        <w:tc>
          <w:tcPr>
            <w:tcW w:w="1540" w:type="dxa"/>
            <w:vAlign w:val="bottom"/>
            <w:tcBorders>
              <w:right w:val="single" w:sz="8" w:color="95B3D7"/>
            </w:tcBorders>
          </w:tcPr>
          <w:p>
            <w:pPr>
              <w:spacing w:after="0" w:line="20" w:lineRule="exact"/>
              <w:rPr>
                <w:sz w:val="1"/>
                <w:szCs w:val="1"/>
                <w:color w:val="auto"/>
              </w:rPr>
            </w:pPr>
          </w:p>
        </w:tc>
        <w:tc>
          <w:tcPr>
            <w:tcW w:w="1640" w:type="dxa"/>
            <w:vAlign w:val="bottom"/>
            <w:tcBorders>
              <w:right w:val="single" w:sz="8" w:color="95B3D7"/>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9"/>
        </w:trPr>
        <w:tc>
          <w:tcPr>
            <w:tcW w:w="176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Thomas Freeman</w:t>
            </w:r>
          </w:p>
        </w:tc>
        <w:tc>
          <w:tcPr>
            <w:tcW w:w="16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837,994</w:t>
            </w:r>
          </w:p>
        </w:tc>
        <w:tc>
          <w:tcPr>
            <w:tcW w:w="15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1,056,975</w:t>
            </w:r>
          </w:p>
        </w:tc>
        <w:tc>
          <w:tcPr>
            <w:tcW w:w="1640" w:type="dxa"/>
            <w:vAlign w:val="bottom"/>
            <w:tcBorders>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1,530,744</w:t>
            </w:r>
            <w:r>
              <w:rPr>
                <w:rFonts w:ascii="Arial" w:cs="Arial" w:eastAsia="Arial" w:hAnsi="Arial"/>
                <w:sz w:val="18"/>
                <w:szCs w:val="18"/>
                <w:color w:val="auto"/>
                <w:vertAlign w:val="superscript"/>
              </w:rPr>
              <w:t>(2)</w:t>
            </w:r>
          </w:p>
        </w:tc>
        <w:tc>
          <w:tcPr>
            <w:tcW w:w="160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27,342,376</w:t>
            </w:r>
          </w:p>
        </w:tc>
      </w:tr>
      <w:tr>
        <w:trPr>
          <w:trHeight w:val="208"/>
        </w:trPr>
        <w:tc>
          <w:tcPr>
            <w:tcW w:w="1760" w:type="dxa"/>
            <w:vAlign w:val="bottom"/>
            <w:tcBorders>
              <w:right w:val="single" w:sz="8" w:color="95B3D7"/>
            </w:tcBorders>
          </w:tcPr>
          <w:p>
            <w:pPr>
              <w:ind w:left="60"/>
              <w:spacing w:after="0"/>
              <w:rPr>
                <w:sz w:val="20"/>
                <w:szCs w:val="20"/>
                <w:color w:val="auto"/>
              </w:rPr>
            </w:pPr>
            <w:r>
              <w:rPr>
                <w:rFonts w:ascii="Arial" w:cs="Arial" w:eastAsia="Arial" w:hAnsi="Arial"/>
                <w:sz w:val="14"/>
                <w:szCs w:val="14"/>
                <w:color w:val="auto"/>
              </w:rPr>
              <w:t>Hyong (Ken) Kim, M.D.</w:t>
            </w:r>
          </w:p>
        </w:tc>
        <w:tc>
          <w:tcPr>
            <w:tcW w:w="164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right w:val="single" w:sz="8" w:color="95B3D7"/>
            </w:tcBorders>
          </w:tcPr>
          <w:p>
            <w:pPr>
              <w:jc w:val="right"/>
              <w:ind w:right="28"/>
              <w:spacing w:after="0"/>
              <w:rPr>
                <w:sz w:val="20"/>
                <w:szCs w:val="20"/>
                <w:color w:val="auto"/>
              </w:rPr>
            </w:pPr>
            <w:r>
              <w:rPr>
                <w:rFonts w:ascii="Arial" w:cs="Arial" w:eastAsia="Arial" w:hAnsi="Arial"/>
                <w:sz w:val="14"/>
                <w:szCs w:val="14"/>
                <w:color w:val="auto"/>
              </w:rPr>
              <w:t>178,434</w:t>
            </w:r>
          </w:p>
        </w:tc>
        <w:tc>
          <w:tcPr>
            <w:tcW w:w="1600" w:type="dxa"/>
            <w:vAlign w:val="bottom"/>
          </w:tcPr>
          <w:p>
            <w:pPr>
              <w:jc w:val="right"/>
              <w:spacing w:after="0"/>
              <w:rPr>
                <w:sz w:val="20"/>
                <w:szCs w:val="20"/>
                <w:color w:val="auto"/>
              </w:rPr>
            </w:pPr>
            <w:r>
              <w:rPr>
                <w:rFonts w:ascii="Arial" w:cs="Arial" w:eastAsia="Arial" w:hAnsi="Arial"/>
                <w:sz w:val="14"/>
                <w:szCs w:val="14"/>
                <w:color w:val="auto"/>
              </w:rPr>
              <w:t>3,005,213</w:t>
            </w:r>
          </w:p>
        </w:tc>
      </w:tr>
      <w:tr>
        <w:trPr>
          <w:trHeight w:val="22"/>
        </w:trPr>
        <w:tc>
          <w:tcPr>
            <w:tcW w:w="1760" w:type="dxa"/>
            <w:vAlign w:val="bottom"/>
            <w:tcBorders>
              <w:right w:val="single" w:sz="8" w:color="95B3D7"/>
            </w:tcBorders>
          </w:tcPr>
          <w:p>
            <w:pPr>
              <w:spacing w:after="0" w:line="20" w:lineRule="exact"/>
              <w:rPr>
                <w:sz w:val="1"/>
                <w:szCs w:val="1"/>
                <w:color w:val="auto"/>
              </w:rPr>
            </w:pPr>
          </w:p>
        </w:tc>
        <w:tc>
          <w:tcPr>
            <w:tcW w:w="1640" w:type="dxa"/>
            <w:vAlign w:val="bottom"/>
            <w:tcBorders>
              <w:right w:val="single" w:sz="8" w:color="95B3D7"/>
            </w:tcBorders>
          </w:tcPr>
          <w:p>
            <w:pPr>
              <w:spacing w:after="0" w:line="20" w:lineRule="exact"/>
              <w:rPr>
                <w:sz w:val="1"/>
                <w:szCs w:val="1"/>
                <w:color w:val="auto"/>
              </w:rPr>
            </w:pPr>
          </w:p>
        </w:tc>
        <w:tc>
          <w:tcPr>
            <w:tcW w:w="1540" w:type="dxa"/>
            <w:vAlign w:val="bottom"/>
            <w:tcBorders>
              <w:right w:val="single" w:sz="8" w:color="95B3D7"/>
            </w:tcBorders>
          </w:tcPr>
          <w:p>
            <w:pPr>
              <w:spacing w:after="0" w:line="20" w:lineRule="exact"/>
              <w:rPr>
                <w:sz w:val="1"/>
                <w:szCs w:val="1"/>
                <w:color w:val="auto"/>
              </w:rPr>
            </w:pPr>
          </w:p>
        </w:tc>
        <w:tc>
          <w:tcPr>
            <w:tcW w:w="1640" w:type="dxa"/>
            <w:vAlign w:val="bottom"/>
            <w:tcBorders>
              <w:right w:val="single" w:sz="8" w:color="95B3D7"/>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0"/>
        </w:trPr>
        <w:tc>
          <w:tcPr>
            <w:tcW w:w="176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Christopher Joyce</w:t>
            </w:r>
          </w:p>
        </w:tc>
        <w:tc>
          <w:tcPr>
            <w:tcW w:w="16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54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640" w:type="dxa"/>
            <w:vAlign w:val="bottom"/>
            <w:tcBorders>
              <w:bottom w:val="single" w:sz="8" w:color="DBE5F1"/>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166,493</w:t>
            </w:r>
          </w:p>
        </w:tc>
        <w:tc>
          <w:tcPr>
            <w:tcW w:w="160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rPr>
              <w:t>2,746,942</w:t>
            </w:r>
          </w:p>
        </w:tc>
      </w:tr>
      <w:tr>
        <w:trPr>
          <w:trHeight w:val="20"/>
        </w:trPr>
        <w:tc>
          <w:tcPr>
            <w:tcW w:w="1760" w:type="dxa"/>
            <w:vAlign w:val="bottom"/>
            <w:tcBorders>
              <w:right w:val="single" w:sz="8" w:color="95B3D7"/>
            </w:tcBorders>
            <w:shd w:val="clear" w:color="auto" w:fill="95B3D7"/>
          </w:tcPr>
          <w:p>
            <w:pPr>
              <w:spacing w:after="0" w:line="20" w:lineRule="exact"/>
              <w:rPr>
                <w:sz w:val="1"/>
                <w:szCs w:val="1"/>
                <w:color w:val="auto"/>
              </w:rPr>
            </w:pPr>
          </w:p>
        </w:tc>
        <w:tc>
          <w:tcPr>
            <w:tcW w:w="1640" w:type="dxa"/>
            <w:vAlign w:val="bottom"/>
            <w:tcBorders>
              <w:right w:val="single" w:sz="8" w:color="95B3D7"/>
            </w:tcBorders>
            <w:shd w:val="clear" w:color="auto" w:fill="95B3D7"/>
          </w:tcPr>
          <w:p>
            <w:pPr>
              <w:spacing w:after="0" w:line="20" w:lineRule="exact"/>
              <w:rPr>
                <w:sz w:val="1"/>
                <w:szCs w:val="1"/>
                <w:color w:val="auto"/>
              </w:rPr>
            </w:pPr>
          </w:p>
        </w:tc>
        <w:tc>
          <w:tcPr>
            <w:tcW w:w="1540" w:type="dxa"/>
            <w:vAlign w:val="bottom"/>
            <w:tcBorders>
              <w:right w:val="single" w:sz="8" w:color="95B3D7"/>
            </w:tcBorders>
            <w:shd w:val="clear" w:color="auto" w:fill="95B3D7"/>
          </w:tcPr>
          <w:p>
            <w:pPr>
              <w:spacing w:after="0" w:line="20" w:lineRule="exact"/>
              <w:rPr>
                <w:sz w:val="1"/>
                <w:szCs w:val="1"/>
                <w:color w:val="auto"/>
              </w:rPr>
            </w:pPr>
          </w:p>
        </w:tc>
        <w:tc>
          <w:tcPr>
            <w:tcW w:w="1640" w:type="dxa"/>
            <w:vAlign w:val="bottom"/>
            <w:tcBorders>
              <w:right w:val="single" w:sz="8" w:color="95B3D7"/>
            </w:tcBorders>
            <w:shd w:val="clear" w:color="auto" w:fill="95B3D7"/>
          </w:tcPr>
          <w:p>
            <w:pPr>
              <w:spacing w:after="0" w:line="20" w:lineRule="exact"/>
              <w:rPr>
                <w:sz w:val="1"/>
                <w:szCs w:val="1"/>
                <w:color w:val="auto"/>
              </w:rPr>
            </w:pPr>
          </w:p>
        </w:tc>
        <w:tc>
          <w:tcPr>
            <w:tcW w:w="1600" w:type="dxa"/>
            <w:vAlign w:val="bottom"/>
            <w:shd w:val="clear" w:color="auto" w:fill="95B3D7"/>
          </w:tcPr>
          <w:p>
            <w:pPr>
              <w:spacing w:after="0" w:line="20" w:lineRule="exact"/>
              <w:rPr>
                <w:sz w:val="1"/>
                <w:szCs w:val="1"/>
                <w:color w:val="auto"/>
              </w:rPr>
            </w:pPr>
          </w:p>
        </w:tc>
      </w:tr>
    </w:tbl>
    <w:p>
      <w:pPr>
        <w:spacing w:after="0" w:line="261" w:lineRule="exact"/>
        <w:rPr>
          <w:sz w:val="20"/>
          <w:szCs w:val="20"/>
          <w:color w:val="auto"/>
        </w:rPr>
      </w:pPr>
    </w:p>
    <w:p>
      <w:pPr>
        <w:ind w:left="660" w:right="60" w:hanging="328"/>
        <w:spacing w:after="0" w:line="283" w:lineRule="auto"/>
        <w:tabs>
          <w:tab w:leader="none" w:pos="674" w:val="left"/>
        </w:tabs>
        <w:numPr>
          <w:ilvl w:val="0"/>
          <w:numId w:val="59"/>
        </w:numPr>
        <w:rPr>
          <w:rFonts w:ascii="Arial" w:cs="Arial" w:eastAsia="Arial" w:hAnsi="Arial"/>
          <w:sz w:val="14"/>
          <w:szCs w:val="14"/>
          <w:color w:val="auto"/>
        </w:rPr>
      </w:pPr>
      <w:r>
        <w:rPr>
          <w:rFonts w:ascii="Arial" w:cs="Arial" w:eastAsia="Arial" w:hAnsi="Arial"/>
          <w:sz w:val="14"/>
          <w:szCs w:val="14"/>
          <w:color w:val="auto"/>
        </w:rPr>
        <w:t>Value realized upon exercise of option awards is calculated by multiplying the number of shares acquired upon exercise by the difference between the market price at the time of the transaction and the option’s exercise price. For stock awards, the value realized upon vesting is calculated by multiplying the number of shares acquired upon vesting by the per-share closing market price of our common stock on the vesting date.</w:t>
      </w:r>
    </w:p>
    <w:p>
      <w:pPr>
        <w:spacing w:after="0" w:line="51" w:lineRule="exact"/>
        <w:rPr>
          <w:rFonts w:ascii="Arial" w:cs="Arial" w:eastAsia="Arial" w:hAnsi="Arial"/>
          <w:sz w:val="14"/>
          <w:szCs w:val="14"/>
          <w:color w:val="auto"/>
        </w:rPr>
      </w:pPr>
    </w:p>
    <w:p>
      <w:pPr>
        <w:ind w:left="660" w:right="60" w:hanging="328"/>
        <w:spacing w:after="0" w:line="283"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(a) 1,020,442 shares acquired on the achievement and vesting of performance share units; (b) 268,636 shares acquired upon the time-based vesting of restricted stock units; and (c) 241,666 shares acquired upon the acceleration of vesting of certain restricted stock units in connection with Mr. Freeman's transition out of the Chief Financial Officer role during 2025.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Potential Payments Upon Termination or Change in Control</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Severance Payments and Benefits</w:t>
      </w:r>
    </w:p>
    <w:p>
      <w:pPr>
        <w:spacing w:after="0" w:line="223" w:lineRule="exact"/>
        <w:rPr>
          <w:sz w:val="20"/>
          <w:szCs w:val="20"/>
          <w:color w:val="auto"/>
        </w:rPr>
      </w:pPr>
    </w:p>
    <w:p>
      <w:pPr>
        <w:ind w:right="480" w:firstLine="405"/>
        <w:spacing w:after="0" w:line="262" w:lineRule="auto"/>
        <w:rPr>
          <w:sz w:val="20"/>
          <w:szCs w:val="20"/>
          <w:color w:val="auto"/>
        </w:rPr>
      </w:pPr>
      <w:r>
        <w:rPr>
          <w:rFonts w:ascii="Arial" w:cs="Arial" w:eastAsia="Arial" w:hAnsi="Arial"/>
          <w:sz w:val="18"/>
          <w:szCs w:val="18"/>
          <w:color w:val="auto"/>
        </w:rPr>
        <w:t>Under each of the NEO Employment Agreements, upon a termination of employment for any reason, the Named Executive Officer would receive (i) the unpaid portion of any accrued base salary and paid-time-off through the termination date, (ii) reimbursement of expenses not previously reimbursed and (iii) continuation of health insurance coverage as required under applicable law (“Accrued Benefits”).</w:t>
      </w:r>
    </w:p>
    <w:p>
      <w:pPr>
        <w:spacing w:after="0" w:line="176" w:lineRule="exact"/>
        <w:rPr>
          <w:sz w:val="20"/>
          <w:szCs w:val="20"/>
          <w:color w:val="auto"/>
        </w:rPr>
      </w:pPr>
    </w:p>
    <w:p>
      <w:pPr>
        <w:ind w:right="80" w:firstLine="405"/>
        <w:spacing w:after="0" w:line="268" w:lineRule="auto"/>
        <w:rPr>
          <w:sz w:val="20"/>
          <w:szCs w:val="20"/>
          <w:color w:val="auto"/>
        </w:rPr>
      </w:pPr>
      <w:r>
        <w:rPr>
          <w:rFonts w:ascii="Arial" w:cs="Arial" w:eastAsia="Arial" w:hAnsi="Arial"/>
          <w:sz w:val="18"/>
          <w:szCs w:val="18"/>
          <w:color w:val="auto"/>
        </w:rPr>
        <w:t>In the event of the Named Executive Officer’s death, disability, or delivery by the Named Executive Officer of a notice of non-renewal, in addition to the Accrued Benefits, the Named Executive Officer would receive his or her accrued but unpaid bonus for the calendar year preceding the year of termination, payable at the time bonuses for such calendar year are otherwise payable to other senior executives.</w:t>
      </w:r>
    </w:p>
    <w:p>
      <w:pPr>
        <w:spacing w:after="0" w:line="171" w:lineRule="exact"/>
        <w:rPr>
          <w:sz w:val="20"/>
          <w:szCs w:val="20"/>
          <w:color w:val="auto"/>
        </w:rPr>
      </w:pPr>
    </w:p>
    <w:p>
      <w:pPr>
        <w:ind w:right="40" w:firstLine="405"/>
        <w:spacing w:after="0" w:line="268" w:lineRule="auto"/>
        <w:rPr>
          <w:sz w:val="20"/>
          <w:szCs w:val="20"/>
          <w:color w:val="auto"/>
        </w:rPr>
      </w:pPr>
      <w:r>
        <w:rPr>
          <w:rFonts w:ascii="Arial" w:cs="Arial" w:eastAsia="Arial" w:hAnsi="Arial"/>
          <w:sz w:val="18"/>
          <w:szCs w:val="18"/>
          <w:color w:val="auto"/>
        </w:rPr>
        <w:t>Upon a termination of employment by the Company without “cause,” a resignation by the Named Executive Officer for “good reason,” or a termination of employment due to the delivery of a notice of non-renewal by the Company to the Named Executive Officer, subject to the execution and delivery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sectPr>
      </w:pPr>
    </w:p>
    <w:bookmarkStart w:id="63" w:name="page64"/>
    <w:bookmarkEnd w:id="63"/>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release of claims and the Named Executive Officer’s continued compliance with restrictive covenants (as described below), each of our Named Executive Officers would receive the following severance payments and benefits (in addition to the Accrued Benefits): (i) cash payment equal to one times (two times for Mr. Kao and, in the event the termination or resignation is effective within 12 months of a change in control, 1.5 times for Ms. Maroney) the sum of the Named Executive Officer’s (A) base salary and (B) target annual cash incentive bonus, paid in substantially equal installments over the 12-month (24-month for Mr. Kao or, if within 12 months of a change of control, 18-month for Ms. Maroney) period following termination in accordance with the Company’s normal payroll practices; (ii) prorated portion of the Named Executive Officer’s annual cash incentive bonus for the year of termination (except for Mr. Kao, whose annual cash incentive bonus for the year of termination would not be prorated), determined after the end of the year of termination and based on the amount the Named Executive Officer would have been paid had his or her employment not been terminated; and (iii) if the Named Executive Officer timely elects for COBRA benefits, payment or reimbursement of the Named Executive Officer’s share of COBRA premiums until the earlier of (A) the first annual anniversary of termination (or for Ms. Maroney, in the event the termination or resignation is effective within 12 months of a change in control, the date that is 18 months from the effective date) or (B) the date that the Named Executive Officer is eligible to receive health benefits through a new employer. The foregoing severance benefits are payable in lieu of any other benefits the Named Executive Officer may be entitled to under a separate severance agreement or executive severance plan.</w:t>
      </w:r>
    </w:p>
    <w:p>
      <w:pPr>
        <w:spacing w:after="0" w:line="185" w:lineRule="exact"/>
        <w:rPr>
          <w:sz w:val="20"/>
          <w:szCs w:val="20"/>
          <w:color w:val="auto"/>
        </w:rPr>
      </w:pPr>
    </w:p>
    <w:p>
      <w:pPr>
        <w:ind w:right="120" w:firstLine="405"/>
        <w:spacing w:after="0" w:line="268" w:lineRule="auto"/>
        <w:rPr>
          <w:sz w:val="20"/>
          <w:szCs w:val="20"/>
          <w:color w:val="auto"/>
        </w:rPr>
      </w:pPr>
      <w:r>
        <w:rPr>
          <w:rFonts w:ascii="Arial" w:cs="Arial" w:eastAsia="Arial" w:hAnsi="Arial"/>
          <w:sz w:val="18"/>
          <w:szCs w:val="18"/>
          <w:color w:val="auto"/>
        </w:rPr>
        <w:t>Each Named Executive Officer is subject to the following restrictive covenants: (i) non-competition during employment, (ii) non-solicitation of employees or customers during employment and for one year following termination, (iii) perpetual non-disparagement and (iv) perpetual confidentiality.</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“Cause” for purposes of the NEO Employment Agreements generally means the employee’s: (i) failure to devote substantially all of the employee’s working time to the business of the employer and its affiliates; (ii) willful disregard of the employee’s duties, or the employee’s intentional failure to act where the taking of such action would be in the ordinary course of the employee’s duties, provided that the employee is first given 30 days prior written notice of such conduct in order for the employee to cure such alleged conduct during such period of time;</w:t>
      </w:r>
    </w:p>
    <w:p>
      <w:pPr>
        <w:spacing w:after="0" w:line="2" w:lineRule="exact"/>
        <w:rPr>
          <w:sz w:val="20"/>
          <w:szCs w:val="20"/>
          <w:color w:val="auto"/>
        </w:rPr>
      </w:pPr>
    </w:p>
    <w:p>
      <w:pPr>
        <w:ind w:firstLine="8"/>
        <w:spacing w:after="0" w:line="254" w:lineRule="auto"/>
        <w:tabs>
          <w:tab w:leader="none" w:pos="29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violation or breach of certain provisions, representations or covenants provided in the NEO Employment Agreements; (iv) gross negligence or willful misconduct in the performance of the employee’s duties; (v) commission of any act of fraud, theft or financial dishonesty, or any felony or criminal act involving moral turpitude; or (vi) unlawful use (including being under the influence) of alcohol or drugs or possession of illegal drugs on the premises of the employer or any of its affiliates or while performing duties and responsibilities to the employer and its affiliates.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 reason” for purposes of the NEO Employment Agreements means:</w:t>
      </w:r>
    </w:p>
    <w:p>
      <w:pPr>
        <w:spacing w:after="0" w:line="252" w:lineRule="exact"/>
        <w:rPr>
          <w:sz w:val="20"/>
          <w:szCs w:val="20"/>
          <w:color w:val="auto"/>
        </w:rPr>
      </w:pPr>
    </w:p>
    <w:p>
      <w:pPr>
        <w:ind w:left="660" w:right="160" w:hanging="328"/>
        <w:spacing w:after="0" w:line="282" w:lineRule="auto"/>
        <w:tabs>
          <w:tab w:leader="none" w:pos="642"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For Mr. Kao: The occurrence of any of the following events without his express written consent: (i) a reduction in his annual base salary or annual target bonus opportunity; (ii) a diminution in his status, authority, title, duties or responsibilities (including a change which results in the Company's no longer being a publicly traded entity or Mr. Kao's no longer being the chief executive officer of a publicly traded entity) or (iii) a failure of the Company's successor to assume and perform this Agreement as contemplated hereof.</w:t>
      </w:r>
    </w:p>
    <w:p>
      <w:pPr>
        <w:spacing w:after="0" w:line="107" w:lineRule="exact"/>
        <w:rPr>
          <w:rFonts w:ascii="Arial" w:cs="Arial" w:eastAsia="Arial" w:hAnsi="Arial"/>
          <w:sz w:val="17"/>
          <w:szCs w:val="17"/>
          <w:color w:val="auto"/>
        </w:rPr>
      </w:pPr>
    </w:p>
    <w:p>
      <w:pPr>
        <w:ind w:left="660" w:right="80" w:hanging="328"/>
        <w:spacing w:after="0" w:line="259" w:lineRule="auto"/>
        <w:tabs>
          <w:tab w:leader="none" w:pos="6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Ms. Maroney: (i) A material reduction during any 24 consecutive month period in base salary or in the employee’s annual total cash compensation opportunity (</w:t>
      </w:r>
      <w:r>
        <w:rPr>
          <w:rFonts w:ascii="Arial" w:cs="Arial" w:eastAsia="Arial" w:hAnsi="Arial"/>
          <w:sz w:val="18"/>
          <w:szCs w:val="18"/>
          <w:i w:val="1"/>
          <w:iCs w:val="1"/>
          <w:color w:val="auto"/>
        </w:rPr>
        <w:t>i.e.</w:t>
      </w:r>
      <w:r>
        <w:rPr>
          <w:rFonts w:ascii="Arial" w:cs="Arial" w:eastAsia="Arial" w:hAnsi="Arial"/>
          <w:sz w:val="18"/>
          <w:szCs w:val="18"/>
          <w:color w:val="auto"/>
        </w:rPr>
        <w:t>, base salary and target bonus), but excluding any reduction applicable to management employees generally; (ii) a material breach of the NEO Employment Agreement by the Company; or (iii) a change in the employee’s principal work location to a location more than 50 miles from the employee’s prior work location and more than 50 miles from the employee’s principal residence as of the date of such change in work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ind w:left="660" w:right="600" w:hanging="328"/>
        <w:spacing w:after="0" w:line="287" w:lineRule="auto"/>
        <w:tabs>
          <w:tab w:leader="none" w:pos="6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all other NEOs: If, without the NEO's written or oral consent, the Company materially breaches a financial obligation of the applicable NEO Employment Agreement.</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Notwithstanding the foregoing, “good reason” will not exist (A) if the employee has in his or her sole discretion agreed in writing that such event will not constitute “good reason,” or (B) unless, (I) within 60 days of the occurrence of the events claimed to be “good reason” the employee notifies the employer in writing of the reasons why the employee believes that “good reason” exists, (II) the employer has failed to correct the circumstance that would otherwise be “good reason” within 30 days of receipt of such notice and (III) the employee terminates his or her employment within 60 days of such 30-day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Treatment of Equity Incentive Awards</w:t>
      </w:r>
    </w:p>
    <w:p>
      <w:pPr>
        <w:spacing w:after="0" w:line="22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Pursuant to the terms of our 2021 Plan, generally, upon a termination of employment for any reason, all unvested equity awards would terminate and be forfeited for no consideration. In the event of a termination for “cause,” vested options also terminate for no consideration. Upon a termination of employment due to death or disability, vested options may be exercised by the participant at any time within the one-year period following termination, but in no event beyond the expiration of the stated term of the options. Upon an involuntary termination without “cause” or voluntary resignation, vested options may be exercised by the participant at any time within the 90-day period following termination, but in no event beyond the expiration of the stated term of the options.</w:t>
      </w:r>
    </w:p>
    <w:p>
      <w:pPr>
        <w:spacing w:after="0" w:line="182" w:lineRule="exact"/>
        <w:rPr>
          <w:sz w:val="20"/>
          <w:szCs w:val="20"/>
          <w:color w:val="auto"/>
        </w:rPr>
      </w:pPr>
    </w:p>
    <w:p>
      <w:pPr>
        <w:jc w:val="both"/>
        <w:ind w:right="220" w:firstLine="405"/>
        <w:spacing w:after="0" w:line="257" w:lineRule="auto"/>
        <w:rPr>
          <w:sz w:val="20"/>
          <w:szCs w:val="20"/>
          <w:color w:val="auto"/>
        </w:rPr>
      </w:pPr>
      <w:r>
        <w:rPr>
          <w:rFonts w:ascii="Arial" w:cs="Arial" w:eastAsia="Arial" w:hAnsi="Arial"/>
          <w:sz w:val="18"/>
          <w:szCs w:val="18"/>
          <w:color w:val="auto"/>
        </w:rPr>
        <w:t>Under the 2021 Plan, upon a termination by the Company without “cause” (other than as a result of death or disability) on or within 12 months following a “change in control,” any outstanding, unvested awards held by the participant would accelerate and vest on the date of such termination. Notwithstanding the foregoing, the 2021 Plan provides that the Board (or designated committee) may provide for</w:t>
      </w:r>
    </w:p>
    <w:p>
      <w:pPr>
        <w:spacing w:after="0" w:line="1" w:lineRule="exact"/>
        <w:rPr>
          <w:sz w:val="20"/>
          <w:szCs w:val="20"/>
          <w:color w:val="auto"/>
        </w:rPr>
      </w:pPr>
    </w:p>
    <w:p>
      <w:pPr>
        <w:ind w:right="300" w:firstLine="8"/>
        <w:spacing w:after="0" w:line="258" w:lineRule="auto"/>
        <w:tabs>
          <w:tab w:leader="none" w:pos="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continuation, assumption or substitution for awards with substantially the same terms and value, (ii) acceleration of vesting immediately prior to or as of the date of such “change in control,” or (iii) in the case of an option, cancellation in consideration of a payment in cash or other consideration equal to the excess (if any) of the applicable stock price over the applicable exercise price.</w:t>
      </w:r>
    </w:p>
    <w:p>
      <w:pPr>
        <w:spacing w:after="0" w:line="178"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Pursuant the terms of each NEO’s option and restricted stock unit award agreements under the 2021 Plan, upon a termination by the Company without “cause” (other than as a result of death or disability) or a resignation by the participant for “good reason,” in each case, on or following a “change in control,” any outstanding, unvested options or restricted stock units held by the executive would accelerate and vest on the date of such termination.</w:t>
      </w:r>
    </w:p>
    <w:p>
      <w:pPr>
        <w:spacing w:after="0" w:line="176"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Under each NEO’s PSU award agreements, upon a change in control, all outstanding PSUs would be deemed earned on the date of such change in control based on actual performance through (x) the date of the change in control if the change in control occurs prior to the end of the measurement period (subject to any pro rata or other adjustments determined by the Board (or designated committee)), or</w:t>
      </w:r>
    </w:p>
    <w:p>
      <w:pPr>
        <w:spacing w:after="0" w:line="1" w:lineRule="exact"/>
        <w:rPr>
          <w:sz w:val="20"/>
          <w:szCs w:val="20"/>
          <w:color w:val="auto"/>
        </w:rPr>
      </w:pPr>
    </w:p>
    <w:p>
      <w:pPr>
        <w:ind w:firstLine="8"/>
        <w:spacing w:after="0" w:line="253"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through the last day of the measurement period if the change in control occurs on or following such date; provided, in each case, that in no event will the PSUs be deemed earned at less than target; provided further that the Board (or designated committee) may in its discretion determine that the PSUs are deemed earned at maximum performance (irrespective of the applicable performance metrics). Any earned PSUs as a result of such change in control will vest on the applicable vesting date, subject to the NEO’s continued service through such date; provided that upon a termination by the Company without cause (other than as a result of death or disability) or a resignation by the NEO for good reason on or following a change in control, any earned PSUs that have not yet vested will accelerate and vest as of the date of such termination or resignation.</w:t>
      </w:r>
    </w:p>
    <w:p>
      <w:pPr>
        <w:spacing w:after="0" w:line="183" w:lineRule="exact"/>
        <w:rPr>
          <w:sz w:val="20"/>
          <w:szCs w:val="20"/>
          <w:color w:val="auto"/>
        </w:rPr>
      </w:pPr>
    </w:p>
    <w:p>
      <w:pPr>
        <w:ind w:right="420" w:firstLine="405"/>
        <w:spacing w:after="0" w:line="291" w:lineRule="auto"/>
        <w:rPr>
          <w:sz w:val="20"/>
          <w:szCs w:val="20"/>
          <w:color w:val="auto"/>
        </w:rPr>
      </w:pPr>
      <w:r>
        <w:rPr>
          <w:rFonts w:ascii="Arial" w:cs="Arial" w:eastAsia="Arial" w:hAnsi="Arial"/>
          <w:sz w:val="17"/>
          <w:szCs w:val="17"/>
          <w:color w:val="auto"/>
        </w:rPr>
        <w:t>"Good reason” for purposes of the award agreements under the 2021 Plan generally means the following, without the executive’s express written consent: (i) a reduction in annual base salary or annual target bonus opportunity; (ii) for certain executive officers, a diminution in status, authority, title, duties or responsibilities (including a change which results in the Company no longer being a publicly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5" w:name="page66"/>
    <w:bookmarkEnd w:id="65"/>
    <w:p>
      <w:pPr>
        <w:spacing w:after="0" w:line="193" w:lineRule="exact"/>
        <w:rPr>
          <w:sz w:val="20"/>
          <w:szCs w:val="20"/>
          <w:color w:val="auto"/>
        </w:rPr>
      </w:pPr>
    </w:p>
    <w:p>
      <w:pPr>
        <w:jc w:val="both"/>
        <w:ind w:right="80"/>
        <w:spacing w:after="0" w:line="275" w:lineRule="auto"/>
        <w:rPr>
          <w:sz w:val="20"/>
          <w:szCs w:val="20"/>
          <w:color w:val="auto"/>
        </w:rPr>
      </w:pPr>
      <w:r>
        <w:rPr>
          <w:rFonts w:ascii="Arial" w:cs="Arial" w:eastAsia="Arial" w:hAnsi="Arial"/>
          <w:sz w:val="17"/>
          <w:szCs w:val="17"/>
          <w:color w:val="auto"/>
        </w:rPr>
        <w:t>traded entity or the executive no longer being the Chief Executive Officer of a publicly traded entity) or (iii) for certain executive officers, a failure of the Company’s successor to assume and perform the award agreement; provided that any such termination by the executive will only be deemed “good reason” if: (1) the executive gives the Company written notice within 30 days (60 days for certain executive officers) following initial awareness of the occurrence of the condition constituting “good reason,” which notice will describe 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“Cause” for purposes of the 2021 Plan has the same meaning as provided under the NEO Employment Agreements.</w:t>
      </w:r>
    </w:p>
    <w:p>
      <w:pPr>
        <w:spacing w:after="0" w:line="22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“Change in Control” for purposes of the 2021 Plan generally means: (a) any “person,” as that term is used in Sections 13(d) and 14(d) of the Securities Exchange Act of 1934 (the “Exchange Act”) (other than the Company, any trustee or other fiduciary holding securities under any employee benefit plan of the Company, or any company owned, directly or indirectly, by the stockholders in substantially the same proportions as their ownership of common stock), becomes the beneficial owner (as defined in Rule 13d-3 under the Exchange Act), directly or indirectly, of securities of the Company representing 50% or more of the combined voting power of the Company’s then outstanding securities; (b) during any period of 12 consecutive calendar months, individuals who were directors serving on the Board on the first day of such period (the “Incumbent Directors”) cease for any reason to constitute a majority of the Board; provided, however, that any individual becoming a director after the first day of such period whose election, or nomination for election, by the stockholders was approved by a vote of at least 2/3 of the Incumbent Directors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 (c) consummation of a reorganization, merger, consolidation, or other business combination (any of the foregoing, a “Business Combination”) of the Company or any direct or indirect subsidiary of the Company with any other corporation, in any case with respect to which the Company voting securities outstanding immediately before such Business Combination do not, immediately after such Business Combination, continue to represent (either by remaining outstanding or being converted into voting securities of the Company or any ultimate parent thereof) more than 50% of the then outstanding voting securities entitled to vote generally in the election of directors of the Company (or its successor) or any ultimate parent thereof after the Business Combination;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 Notwithstanding the foregoing terms and conditions of this definition, with respect to any award that is characterized as “nonqualified deferred compensation” within the meaning of Section 409A, an event will not be considered to be a “change in control” under the 2021 Plan for purposes of payment of such award unless such event is also a “change in control event” within the meaning of Section 409A. Notwithstanding the foregoing, a “change in control” will not be deemed to have occurred if immediately after the occurrence of any of the events described in clauses (a) – (d) above, a designated holder or designated holders are the beneficial owners, directly or indirectly, of more than 35% of the combined voting power of the Company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Table Showing Estimated Payments and Benefits</w:t>
      </w:r>
    </w:p>
    <w:p>
      <w:pPr>
        <w:spacing w:after="0" w:line="223"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 following table presents information concerning estimated payments and benefits (other than the Accrued Benefits) that would be provided in certain circumstances for each of our NEOs. Unless otherwise stated, the payments and benefits set forth below are estimated assuming that the termination of employment or change in control event occurred on the last business day of our fiscal year ending December 31, 2025, using the closing market price of $19.75 per share of our Common Stock on that date. Actual payments and benefits could be different if such events were to occur on any other date or at any other price or if any other assumptions are used to estimate potential payments and benefits.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Annual Bonus</w:t>
            </w:r>
            <w:r>
              <w:rPr>
                <w:rFonts w:ascii="Arial" w:cs="Arial" w:eastAsia="Arial" w:hAnsi="Arial"/>
                <w:sz w:val="18"/>
                <w:szCs w:val="18"/>
                <w:b w:val="1"/>
                <w:bCs w:val="1"/>
                <w:color w:val="auto"/>
                <w:vertAlign w:val="superscript"/>
              </w:rPr>
              <w:t>(1)</w:t>
            </w:r>
          </w:p>
        </w:tc>
        <w:tc>
          <w:tcPr>
            <w:tcW w:w="340" w:type="dxa"/>
            <w:vAlign w:val="bottom"/>
          </w:tcPr>
          <w:p>
            <w:pPr>
              <w:spacing w:after="0"/>
              <w:rPr>
                <w:sz w:val="14"/>
                <w:szCs w:val="14"/>
                <w:color w:val="auto"/>
              </w:rPr>
            </w:pPr>
          </w:p>
        </w:tc>
        <w:tc>
          <w:tcPr>
            <w:tcW w:w="12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Stock Award</w:t>
            </w:r>
            <w:r>
              <w:rPr>
                <w:rFonts w:ascii="Arial" w:cs="Arial" w:eastAsia="Arial" w:hAnsi="Arial"/>
                <w:sz w:val="18"/>
                <w:szCs w:val="18"/>
                <w:b w:val="1"/>
                <w:bCs w:val="1"/>
                <w:color w:val="auto"/>
                <w:vertAlign w:val="superscript"/>
              </w:rPr>
              <w:t>(2)</w:t>
            </w:r>
          </w:p>
        </w:tc>
        <w:tc>
          <w:tcPr>
            <w:tcW w:w="340" w:type="dxa"/>
            <w:vAlign w:val="bottom"/>
          </w:tcPr>
          <w:p>
            <w:pPr>
              <w:spacing w:after="0"/>
              <w:rPr>
                <w:sz w:val="14"/>
                <w:szCs w:val="14"/>
                <w:color w:val="auto"/>
              </w:rPr>
            </w:pPr>
          </w:p>
        </w:tc>
        <w:tc>
          <w:tcPr>
            <w:tcW w:w="1500" w:type="dxa"/>
            <w:vAlign w:val="bottom"/>
          </w:tcPr>
          <w:p>
            <w:pPr>
              <w:jc w:val="center"/>
              <w:ind w:right="289"/>
              <w:spacing w:after="0"/>
              <w:rPr>
                <w:sz w:val="20"/>
                <w:szCs w:val="20"/>
                <w:color w:val="auto"/>
              </w:rPr>
            </w:pPr>
            <w:r>
              <w:rPr>
                <w:rFonts w:ascii="Arial" w:cs="Arial" w:eastAsia="Arial" w:hAnsi="Arial"/>
                <w:sz w:val="13"/>
                <w:szCs w:val="13"/>
                <w:b w:val="1"/>
                <w:bCs w:val="1"/>
                <w:color w:val="auto"/>
              </w:rPr>
              <w:t>COBRA</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60" w:type="dxa"/>
            <w:vAlign w:val="bottom"/>
          </w:tcPr>
          <w:p>
            <w:pPr>
              <w:spacing w:after="0"/>
              <w:rPr>
                <w:sz w:val="14"/>
                <w:szCs w:val="14"/>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Cash Severance</w:t>
            </w:r>
          </w:p>
        </w:tc>
        <w:tc>
          <w:tcPr>
            <w:tcW w:w="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89"/>
              <w:spacing w:after="0"/>
              <w:rPr>
                <w:sz w:val="20"/>
                <w:szCs w:val="20"/>
                <w:color w:val="auto"/>
              </w:rPr>
            </w:pPr>
            <w:r>
              <w:rPr>
                <w:rFonts w:ascii="Arial" w:cs="Arial" w:eastAsia="Arial" w:hAnsi="Arial"/>
                <w:sz w:val="13"/>
                <w:szCs w:val="13"/>
                <w:b w:val="1"/>
                <w:bCs w:val="1"/>
                <w:color w:val="auto"/>
              </w:rPr>
              <w:t>Premiums</w:t>
            </w:r>
          </w:p>
        </w:tc>
        <w:tc>
          <w:tcPr>
            <w:tcW w:w="184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30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vMerge w:val="continue"/>
          </w:tcPr>
          <w:p>
            <w:pPr>
              <w:spacing w:after="0"/>
              <w:rPr>
                <w:sz w:val="2"/>
                <w:szCs w:val="2"/>
                <w:color w:val="auto"/>
              </w:rPr>
            </w:pPr>
          </w:p>
        </w:tc>
        <w:tc>
          <w:tcPr>
            <w:tcW w:w="162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06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gridSpan w:val="2"/>
            <w:vMerge w:val="continue"/>
          </w:tcPr>
          <w:p>
            <w:pPr>
              <w:spacing w:after="0"/>
              <w:rPr>
                <w:sz w:val="16"/>
                <w:szCs w:val="16"/>
                <w:color w:val="auto"/>
              </w:rPr>
            </w:pPr>
          </w:p>
        </w:tc>
        <w:tc>
          <w:tcPr>
            <w:tcW w:w="162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gridSpan w:val="2"/>
            <w:vMerge w:val="continue"/>
          </w:tcPr>
          <w:p>
            <w:pPr>
              <w:spacing w:after="0"/>
              <w:rPr>
                <w:sz w:val="16"/>
                <w:szCs w:val="16"/>
                <w:color w:val="auto"/>
              </w:rPr>
            </w:pPr>
          </w:p>
        </w:tc>
        <w:tc>
          <w:tcPr>
            <w:tcW w:w="18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8"/>
        </w:trPr>
        <w:tc>
          <w:tcPr>
            <w:tcW w:w="30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4"/>
                <w:szCs w:val="14"/>
                <w:b w:val="1"/>
                <w:bCs w:val="1"/>
                <w:color w:val="auto"/>
              </w:rPr>
              <w:t>John Kao</w:t>
            </w:r>
          </w:p>
        </w:tc>
        <w:tc>
          <w:tcPr>
            <w:tcW w:w="1260" w:type="dxa"/>
            <w:vAlign w:val="bottom"/>
            <w:shd w:val="clear" w:color="auto" w:fill="DBE5F1"/>
          </w:tcPr>
          <w:p>
            <w:pPr>
              <w:spacing w:after="0"/>
              <w:rPr>
                <w:sz w:val="24"/>
                <w:szCs w:val="24"/>
                <w:color w:val="auto"/>
              </w:rPr>
            </w:pPr>
          </w:p>
        </w:tc>
        <w:tc>
          <w:tcPr>
            <w:tcW w:w="360" w:type="dxa"/>
            <w:vAlign w:val="bottom"/>
            <w:tcBorders>
              <w:right w:val="single" w:sz="8" w:color="95B3D7"/>
            </w:tcBorders>
            <w:shd w:val="clear" w:color="auto" w:fill="DBE5F1"/>
          </w:tcPr>
          <w:p>
            <w:pPr>
              <w:spacing w:after="0"/>
              <w:rPr>
                <w:sz w:val="24"/>
                <w:szCs w:val="24"/>
                <w:color w:val="auto"/>
              </w:rPr>
            </w:pPr>
          </w:p>
        </w:tc>
        <w:tc>
          <w:tcPr>
            <w:tcW w:w="126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28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500" w:type="dxa"/>
            <w:vAlign w:val="bottom"/>
            <w:tcBorders>
              <w:right w:val="single" w:sz="8" w:color="95B3D7"/>
            </w:tcBorders>
            <w:shd w:val="clear" w:color="auto" w:fill="DBE5F1"/>
          </w:tcPr>
          <w:p>
            <w:pPr>
              <w:spacing w:after="0"/>
              <w:rPr>
                <w:sz w:val="24"/>
                <w:szCs w:val="24"/>
                <w:color w:val="auto"/>
              </w:rPr>
            </w:pPr>
          </w:p>
        </w:tc>
        <w:tc>
          <w:tcPr>
            <w:tcW w:w="184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3,825,000</w:t>
            </w: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1,062,500</w:t>
            </w: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30,356</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4,917,856</w:t>
            </w:r>
          </w:p>
        </w:tc>
        <w:tc>
          <w:tcPr>
            <w:tcW w:w="0" w:type="dxa"/>
            <w:vAlign w:val="bottom"/>
          </w:tcPr>
          <w:p>
            <w:pPr>
              <w:spacing w:after="0"/>
              <w:rPr>
                <w:sz w:val="1"/>
                <w:szCs w:val="1"/>
                <w:color w:val="auto"/>
              </w:rPr>
            </w:pPr>
          </w:p>
        </w:tc>
      </w:tr>
      <w:tr>
        <w:trPr>
          <w:trHeight w:val="176"/>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for Good Reason / Non-Renewal by</w:t>
            </w:r>
          </w:p>
        </w:tc>
        <w:tc>
          <w:tcPr>
            <w:tcW w:w="1260" w:type="dxa"/>
            <w:vAlign w:val="bottom"/>
            <w:shd w:val="clear" w:color="auto" w:fill="DBE5F1"/>
          </w:tcPr>
          <w:p>
            <w:pPr>
              <w:spacing w:after="0"/>
              <w:rPr>
                <w:sz w:val="15"/>
                <w:szCs w:val="15"/>
                <w:color w:val="auto"/>
              </w:rPr>
            </w:pPr>
          </w:p>
        </w:tc>
        <w:tc>
          <w:tcPr>
            <w:tcW w:w="36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28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500" w:type="dxa"/>
            <w:vAlign w:val="bottom"/>
            <w:tcBorders>
              <w:right w:val="single" w:sz="8" w:color="95B3D7"/>
            </w:tcBorders>
            <w:shd w:val="clear" w:color="auto" w:fill="DBE5F1"/>
          </w:tcPr>
          <w:p>
            <w:pPr>
              <w:spacing w:after="0"/>
              <w:rPr>
                <w:sz w:val="15"/>
                <w:szCs w:val="15"/>
                <w:color w:val="auto"/>
              </w:rPr>
            </w:pPr>
          </w:p>
        </w:tc>
        <w:tc>
          <w:tcPr>
            <w:tcW w:w="18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the Company</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9"/>
                <w:szCs w:val="19"/>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9"/>
                <w:szCs w:val="19"/>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9"/>
                <w:szCs w:val="19"/>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3,825,000</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1,062,500</w:t>
            </w:r>
          </w:p>
        </w:tc>
        <w:tc>
          <w:tcPr>
            <w:tcW w:w="340" w:type="dxa"/>
            <w:vAlign w:val="bottom"/>
            <w:tcBorders>
              <w:right w:val="single" w:sz="8" w:color="95B3D7"/>
            </w:tcBorders>
            <w:shd w:val="clear" w:color="auto" w:fill="DBE5F1"/>
          </w:tcPr>
          <w:p>
            <w:pPr>
              <w:spacing w:after="0"/>
              <w:rPr>
                <w:sz w:val="18"/>
                <w:szCs w:val="18"/>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43,800,166</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30,356</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48,718,021</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8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28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60" w:type="dxa"/>
            <w:vAlign w:val="bottom"/>
            <w:tcBorders>
              <w:bottom w:val="single" w:sz="8" w:color="DBE5F1"/>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NEO</w:t>
            </w:r>
          </w:p>
        </w:tc>
        <w:tc>
          <w:tcPr>
            <w:tcW w:w="1260" w:type="dxa"/>
            <w:vAlign w:val="bottom"/>
            <w:tcBorders>
              <w:bottom w:val="single" w:sz="8" w:color="DBE5F1"/>
            </w:tcBorders>
            <w:shd w:val="clear" w:color="auto" w:fill="DBE5F1"/>
          </w:tcPr>
          <w:p>
            <w:pPr>
              <w:spacing w:after="0"/>
              <w:rPr>
                <w:sz w:val="16"/>
                <w:szCs w:val="16"/>
                <w:color w:val="auto"/>
              </w:rPr>
            </w:pPr>
          </w:p>
        </w:tc>
        <w:tc>
          <w:tcPr>
            <w:tcW w:w="360" w:type="dxa"/>
            <w:vAlign w:val="bottom"/>
            <w:tcBorders>
              <w:bottom w:val="single" w:sz="8" w:color="DBE5F1"/>
              <w:right w:val="single" w:sz="8" w:color="95B3D7"/>
            </w:tcBorders>
            <w:shd w:val="clear" w:color="auto" w:fill="DBE5F1"/>
          </w:tcPr>
          <w:p>
            <w:pPr>
              <w:spacing w:after="0"/>
              <w:rPr>
                <w:sz w:val="16"/>
                <w:szCs w:val="16"/>
                <w:color w:val="auto"/>
              </w:rPr>
            </w:pPr>
          </w:p>
        </w:tc>
        <w:tc>
          <w:tcPr>
            <w:tcW w:w="1260" w:type="dxa"/>
            <w:vAlign w:val="bottom"/>
            <w:tcBorders>
              <w:bottom w:val="single" w:sz="8" w:color="DBE5F1"/>
            </w:tcBorders>
            <w:shd w:val="clear" w:color="auto" w:fill="DBE5F1"/>
          </w:tcPr>
          <w:p>
            <w:pPr>
              <w:spacing w:after="0"/>
              <w:rPr>
                <w:sz w:val="16"/>
                <w:szCs w:val="16"/>
                <w:color w:val="auto"/>
              </w:rPr>
            </w:pPr>
          </w:p>
        </w:tc>
        <w:tc>
          <w:tcPr>
            <w:tcW w:w="340" w:type="dxa"/>
            <w:vAlign w:val="bottom"/>
            <w:tcBorders>
              <w:bottom w:val="single" w:sz="8" w:color="DBE5F1"/>
              <w:right w:val="single" w:sz="8" w:color="95B3D7"/>
            </w:tcBorders>
            <w:shd w:val="clear" w:color="auto" w:fill="DBE5F1"/>
          </w:tcPr>
          <w:p>
            <w:pPr>
              <w:spacing w:after="0"/>
              <w:rPr>
                <w:sz w:val="16"/>
                <w:szCs w:val="16"/>
                <w:color w:val="auto"/>
              </w:rPr>
            </w:pPr>
          </w:p>
        </w:tc>
        <w:tc>
          <w:tcPr>
            <w:tcW w:w="1280" w:type="dxa"/>
            <w:vAlign w:val="bottom"/>
            <w:tcBorders>
              <w:bottom w:val="single" w:sz="8" w:color="DBE5F1"/>
            </w:tcBorders>
            <w:shd w:val="clear" w:color="auto" w:fill="DBE5F1"/>
          </w:tcPr>
          <w:p>
            <w:pPr>
              <w:spacing w:after="0"/>
              <w:rPr>
                <w:sz w:val="16"/>
                <w:szCs w:val="16"/>
                <w:color w:val="auto"/>
              </w:rPr>
            </w:pPr>
          </w:p>
        </w:tc>
        <w:tc>
          <w:tcPr>
            <w:tcW w:w="340" w:type="dxa"/>
            <w:vAlign w:val="bottom"/>
            <w:tcBorders>
              <w:bottom w:val="single" w:sz="8" w:color="DBE5F1"/>
              <w:right w:val="single" w:sz="8" w:color="95B3D7"/>
            </w:tcBorders>
            <w:shd w:val="clear" w:color="auto" w:fill="DBE5F1"/>
          </w:tcPr>
          <w:p>
            <w:pPr>
              <w:spacing w:after="0"/>
              <w:rPr>
                <w:sz w:val="16"/>
                <w:szCs w:val="16"/>
                <w:color w:val="auto"/>
              </w:rPr>
            </w:pPr>
          </w:p>
        </w:tc>
        <w:tc>
          <w:tcPr>
            <w:tcW w:w="1500" w:type="dxa"/>
            <w:vAlign w:val="bottom"/>
            <w:tcBorders>
              <w:bottom w:val="single" w:sz="8" w:color="DBE5F1"/>
              <w:right w:val="single" w:sz="8" w:color="95B3D7"/>
            </w:tcBorders>
            <w:shd w:val="clear" w:color="auto" w:fill="DBE5F1"/>
          </w:tcPr>
          <w:p>
            <w:pPr>
              <w:spacing w:after="0"/>
              <w:rPr>
                <w:sz w:val="16"/>
                <w:szCs w:val="16"/>
                <w:color w:val="auto"/>
              </w:rPr>
            </w:pPr>
          </w:p>
        </w:tc>
        <w:tc>
          <w:tcPr>
            <w:tcW w:w="1840" w:type="dxa"/>
            <w:vAlign w:val="bottom"/>
            <w:tcBorders>
              <w:bottom w:val="single" w:sz="8" w:color="DBE5F1"/>
            </w:tcBorders>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3060" w:type="dxa"/>
            <w:vAlign w:val="bottom"/>
            <w:tcBorders>
              <w:right w:val="single" w:sz="8" w:color="95B3D7"/>
            </w:tcBorders>
          </w:tcPr>
          <w:p>
            <w:pPr>
              <w:ind w:left="80"/>
              <w:spacing w:after="0"/>
              <w:rPr>
                <w:sz w:val="20"/>
                <w:szCs w:val="20"/>
                <w:color w:val="auto"/>
              </w:rPr>
            </w:pPr>
            <w:r>
              <w:rPr>
                <w:rFonts w:ascii="Arial" w:cs="Arial" w:eastAsia="Arial" w:hAnsi="Arial"/>
                <w:sz w:val="14"/>
                <w:szCs w:val="14"/>
                <w:b w:val="1"/>
                <w:bCs w:val="1"/>
                <w:color w:val="auto"/>
              </w:rPr>
              <w:t>Dawn Maroney</w:t>
            </w:r>
          </w:p>
        </w:tc>
        <w:tc>
          <w:tcPr>
            <w:tcW w:w="1260" w:type="dxa"/>
            <w:vAlign w:val="bottom"/>
          </w:tcPr>
          <w:p>
            <w:pPr>
              <w:spacing w:after="0"/>
              <w:rPr>
                <w:sz w:val="24"/>
                <w:szCs w:val="24"/>
                <w:color w:val="auto"/>
              </w:rPr>
            </w:pPr>
          </w:p>
        </w:tc>
        <w:tc>
          <w:tcPr>
            <w:tcW w:w="360" w:type="dxa"/>
            <w:vAlign w:val="bottom"/>
            <w:tcBorders>
              <w:right w:val="single" w:sz="8" w:color="95B3D7"/>
            </w:tcBorders>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Borders>
              <w:right w:val="single" w:sz="8" w:color="95B3D7"/>
            </w:tcBorders>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Borders>
              <w:right w:val="single" w:sz="8" w:color="95B3D7"/>
            </w:tcBorders>
          </w:tcPr>
          <w:p>
            <w:pPr>
              <w:spacing w:after="0"/>
              <w:rPr>
                <w:sz w:val="24"/>
                <w:szCs w:val="24"/>
                <w:color w:val="auto"/>
              </w:rPr>
            </w:pPr>
          </w:p>
        </w:tc>
        <w:tc>
          <w:tcPr>
            <w:tcW w:w="1500" w:type="dxa"/>
            <w:vAlign w:val="bottom"/>
            <w:tcBorders>
              <w:right w:val="single" w:sz="8" w:color="95B3D7"/>
            </w:tcBorders>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1,295,000</w:t>
            </w:r>
          </w:p>
        </w:tc>
        <w:tc>
          <w:tcPr>
            <w:tcW w:w="360" w:type="dxa"/>
            <w:vAlign w:val="bottom"/>
            <w:tcBorders>
              <w:right w:val="single" w:sz="8" w:color="95B3D7"/>
            </w:tcBorders>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595,000</w:t>
            </w:r>
          </w:p>
        </w:tc>
        <w:tc>
          <w:tcPr>
            <w:tcW w:w="340" w:type="dxa"/>
            <w:vAlign w:val="bottom"/>
            <w:tcBorders>
              <w:right w:val="single" w:sz="8" w:color="95B3D7"/>
            </w:tcBorders>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jc w:val="right"/>
              <w:ind w:right="349"/>
              <w:spacing w:after="0"/>
              <w:rPr>
                <w:sz w:val="20"/>
                <w:szCs w:val="20"/>
                <w:color w:val="auto"/>
              </w:rPr>
            </w:pPr>
            <w:r>
              <w:rPr>
                <w:rFonts w:ascii="Arial" w:cs="Arial" w:eastAsia="Arial" w:hAnsi="Arial"/>
                <w:sz w:val="14"/>
                <w:szCs w:val="14"/>
                <w:color w:val="auto"/>
              </w:rPr>
              <w:t>22,522</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1,912,522</w:t>
            </w:r>
          </w:p>
        </w:tc>
        <w:tc>
          <w:tcPr>
            <w:tcW w:w="0" w:type="dxa"/>
            <w:vAlign w:val="bottom"/>
          </w:tcPr>
          <w:p>
            <w:pPr>
              <w:spacing w:after="0"/>
              <w:rPr>
                <w:sz w:val="1"/>
                <w:szCs w:val="1"/>
                <w:color w:val="auto"/>
              </w:rPr>
            </w:pPr>
          </w:p>
        </w:tc>
      </w:tr>
      <w:tr>
        <w:trPr>
          <w:trHeight w:val="175"/>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for Good Reason / Non-Renewal by</w:t>
            </w:r>
          </w:p>
        </w:tc>
        <w:tc>
          <w:tcPr>
            <w:tcW w:w="1260" w:type="dxa"/>
            <w:vAlign w:val="bottom"/>
          </w:tcPr>
          <w:p>
            <w:pPr>
              <w:spacing w:after="0"/>
              <w:rPr>
                <w:sz w:val="15"/>
                <w:szCs w:val="15"/>
                <w:color w:val="auto"/>
              </w:rPr>
            </w:pPr>
          </w:p>
        </w:tc>
        <w:tc>
          <w:tcPr>
            <w:tcW w:w="360" w:type="dxa"/>
            <w:vAlign w:val="bottom"/>
            <w:tcBorders>
              <w:right w:val="single" w:sz="8" w:color="95B3D7"/>
            </w:tcBorders>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Borders>
              <w:right w:val="single" w:sz="8" w:color="95B3D7"/>
            </w:tcBorders>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Borders>
              <w:right w:val="single" w:sz="8" w:color="95B3D7"/>
            </w:tcBorders>
          </w:tcPr>
          <w:p>
            <w:pPr>
              <w:spacing w:after="0"/>
              <w:rPr>
                <w:sz w:val="15"/>
                <w:szCs w:val="15"/>
                <w:color w:val="auto"/>
              </w:rPr>
            </w:pPr>
          </w:p>
        </w:tc>
        <w:tc>
          <w:tcPr>
            <w:tcW w:w="1500" w:type="dxa"/>
            <w:vAlign w:val="bottom"/>
            <w:tcBorders>
              <w:right w:val="single" w:sz="8" w:color="95B3D7"/>
            </w:tcBorders>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the Company</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7"/>
                <w:szCs w:val="17"/>
                <w:color w:val="auto"/>
              </w:rPr>
            </w:pPr>
          </w:p>
        </w:tc>
        <w:tc>
          <w:tcPr>
            <w:tcW w:w="1500" w:type="dxa"/>
            <w:vAlign w:val="bottom"/>
            <w:tcBorders>
              <w:right w:val="single" w:sz="8" w:color="95B3D7"/>
            </w:tcBorders>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9"/>
                <w:szCs w:val="19"/>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9"/>
                <w:szCs w:val="19"/>
                <w:color w:val="auto"/>
              </w:rPr>
            </w:pPr>
          </w:p>
        </w:tc>
        <w:tc>
          <w:tcPr>
            <w:tcW w:w="1500" w:type="dxa"/>
            <w:vAlign w:val="bottom"/>
            <w:tcBorders>
              <w:right w:val="single" w:sz="8" w:color="95B3D7"/>
            </w:tcBorders>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tcPr>
          <w:p>
            <w:pPr>
              <w:jc w:val="right"/>
              <w:spacing w:after="0"/>
              <w:rPr>
                <w:sz w:val="20"/>
                <w:szCs w:val="20"/>
                <w:color w:val="auto"/>
              </w:rPr>
            </w:pPr>
            <w:r>
              <w:rPr>
                <w:rFonts w:ascii="Arial" w:cs="Arial" w:eastAsia="Arial" w:hAnsi="Arial"/>
                <w:sz w:val="14"/>
                <w:szCs w:val="14"/>
                <w:color w:val="auto"/>
              </w:rPr>
              <w:t>1,295,000</w:t>
            </w:r>
          </w:p>
        </w:tc>
        <w:tc>
          <w:tcPr>
            <w:tcW w:w="360" w:type="dxa"/>
            <w:vAlign w:val="bottom"/>
            <w:tcBorders>
              <w:right w:val="single" w:sz="8" w:color="95B3D7"/>
            </w:tcBorders>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595,000</w:t>
            </w:r>
          </w:p>
        </w:tc>
        <w:tc>
          <w:tcPr>
            <w:tcW w:w="340" w:type="dxa"/>
            <w:vAlign w:val="bottom"/>
            <w:tcBorders>
              <w:right w:val="single" w:sz="8" w:color="95B3D7"/>
            </w:tcBorders>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15,707,983</w:t>
            </w:r>
          </w:p>
        </w:tc>
        <w:tc>
          <w:tcPr>
            <w:tcW w:w="340" w:type="dxa"/>
            <w:vAlign w:val="bottom"/>
            <w:tcBorders>
              <w:right w:val="single" w:sz="8" w:color="95B3D7"/>
            </w:tcBorders>
          </w:tcPr>
          <w:p>
            <w:pPr>
              <w:spacing w:after="0"/>
              <w:rPr>
                <w:sz w:val="18"/>
                <w:szCs w:val="18"/>
                <w:color w:val="auto"/>
              </w:rPr>
            </w:pPr>
          </w:p>
        </w:tc>
        <w:tc>
          <w:tcPr>
            <w:tcW w:w="1500" w:type="dxa"/>
            <w:vAlign w:val="bottom"/>
            <w:tcBorders>
              <w:right w:val="single" w:sz="8" w:color="95B3D7"/>
            </w:tcBorders>
          </w:tcPr>
          <w:p>
            <w:pPr>
              <w:jc w:val="right"/>
              <w:ind w:right="349"/>
              <w:spacing w:after="0"/>
              <w:rPr>
                <w:sz w:val="20"/>
                <w:szCs w:val="20"/>
                <w:color w:val="auto"/>
              </w:rPr>
            </w:pPr>
            <w:r>
              <w:rPr>
                <w:rFonts w:ascii="Arial" w:cs="Arial" w:eastAsia="Arial" w:hAnsi="Arial"/>
                <w:sz w:val="14"/>
                <w:szCs w:val="14"/>
                <w:color w:val="auto"/>
              </w:rPr>
              <w:t>22,522</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17,620,505</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6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8"/>
                <w:szCs w:val="18"/>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8"/>
                <w:szCs w:val="18"/>
                <w:color w:val="auto"/>
              </w:rPr>
            </w:pPr>
          </w:p>
        </w:tc>
        <w:tc>
          <w:tcPr>
            <w:tcW w:w="1500" w:type="dxa"/>
            <w:vAlign w:val="bottom"/>
            <w:tcBorders>
              <w:right w:val="single" w:sz="8" w:color="95B3D7"/>
            </w:tcBorders>
          </w:tcPr>
          <w:p>
            <w:pPr>
              <w:jc w:val="right"/>
              <w:ind w:right="349"/>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6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NEO</w:t>
            </w: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3060" w:type="dxa"/>
            <w:vAlign w:val="bottom"/>
            <w:tcBorders>
              <w:bottom w:val="single" w:sz="8" w:color="95B3D7"/>
              <w:right w:val="single" w:sz="8" w:color="95B3D7"/>
            </w:tcBorders>
          </w:tcPr>
          <w:p>
            <w:pPr>
              <w:spacing w:after="0"/>
              <w:rPr>
                <w:sz w:val="10"/>
                <w:szCs w:val="10"/>
                <w:color w:val="auto"/>
              </w:rPr>
            </w:pPr>
          </w:p>
        </w:tc>
        <w:tc>
          <w:tcPr>
            <w:tcW w:w="1260" w:type="dxa"/>
            <w:vAlign w:val="bottom"/>
            <w:tcBorders>
              <w:bottom w:val="single" w:sz="8" w:color="95B3D7"/>
            </w:tcBorders>
          </w:tcPr>
          <w:p>
            <w:pPr>
              <w:spacing w:after="0"/>
              <w:rPr>
                <w:sz w:val="10"/>
                <w:szCs w:val="10"/>
                <w:color w:val="auto"/>
              </w:rPr>
            </w:pPr>
          </w:p>
        </w:tc>
        <w:tc>
          <w:tcPr>
            <w:tcW w:w="360" w:type="dxa"/>
            <w:vAlign w:val="bottom"/>
            <w:tcBorders>
              <w:bottom w:val="single" w:sz="8" w:color="95B3D7"/>
              <w:right w:val="single" w:sz="8" w:color="95B3D7"/>
            </w:tcBorders>
          </w:tcPr>
          <w:p>
            <w:pPr>
              <w:spacing w:after="0"/>
              <w:rPr>
                <w:sz w:val="10"/>
                <w:szCs w:val="10"/>
                <w:color w:val="auto"/>
              </w:rPr>
            </w:pPr>
          </w:p>
        </w:tc>
        <w:tc>
          <w:tcPr>
            <w:tcW w:w="1260" w:type="dxa"/>
            <w:vAlign w:val="bottom"/>
            <w:tcBorders>
              <w:bottom w:val="single" w:sz="8" w:color="95B3D7"/>
            </w:tcBorders>
          </w:tcPr>
          <w:p>
            <w:pPr>
              <w:spacing w:after="0"/>
              <w:rPr>
                <w:sz w:val="10"/>
                <w:szCs w:val="10"/>
                <w:color w:val="auto"/>
              </w:rPr>
            </w:pPr>
          </w:p>
        </w:tc>
        <w:tc>
          <w:tcPr>
            <w:tcW w:w="340" w:type="dxa"/>
            <w:vAlign w:val="bottom"/>
            <w:tcBorders>
              <w:bottom w:val="single" w:sz="8" w:color="95B3D7"/>
              <w:right w:val="single" w:sz="8" w:color="95B3D7"/>
            </w:tcBorders>
          </w:tcPr>
          <w:p>
            <w:pPr>
              <w:spacing w:after="0"/>
              <w:rPr>
                <w:sz w:val="10"/>
                <w:szCs w:val="10"/>
                <w:color w:val="auto"/>
              </w:rPr>
            </w:pPr>
          </w:p>
        </w:tc>
        <w:tc>
          <w:tcPr>
            <w:tcW w:w="1280" w:type="dxa"/>
            <w:vAlign w:val="bottom"/>
            <w:tcBorders>
              <w:bottom w:val="single" w:sz="8" w:color="95B3D7"/>
            </w:tcBorders>
          </w:tcPr>
          <w:p>
            <w:pPr>
              <w:spacing w:after="0"/>
              <w:rPr>
                <w:sz w:val="10"/>
                <w:szCs w:val="10"/>
                <w:color w:val="auto"/>
              </w:rPr>
            </w:pPr>
          </w:p>
        </w:tc>
        <w:tc>
          <w:tcPr>
            <w:tcW w:w="340" w:type="dxa"/>
            <w:vAlign w:val="bottom"/>
            <w:tcBorders>
              <w:bottom w:val="single" w:sz="8" w:color="95B3D7"/>
              <w:right w:val="single" w:sz="8" w:color="95B3D7"/>
            </w:tcBorders>
          </w:tcPr>
          <w:p>
            <w:pPr>
              <w:spacing w:after="0"/>
              <w:rPr>
                <w:sz w:val="10"/>
                <w:szCs w:val="10"/>
                <w:color w:val="auto"/>
              </w:rPr>
            </w:pPr>
          </w:p>
        </w:tc>
        <w:tc>
          <w:tcPr>
            <w:tcW w:w="1500" w:type="dxa"/>
            <w:vAlign w:val="bottom"/>
            <w:tcBorders>
              <w:bottom w:val="single" w:sz="8" w:color="95B3D7"/>
              <w:right w:val="single" w:sz="8" w:color="95B3D7"/>
            </w:tcBorders>
          </w:tcPr>
          <w:p>
            <w:pPr>
              <w:spacing w:after="0"/>
              <w:rPr>
                <w:sz w:val="10"/>
                <w:szCs w:val="10"/>
                <w:color w:val="auto"/>
              </w:rPr>
            </w:pPr>
          </w:p>
        </w:tc>
        <w:tc>
          <w:tcPr>
            <w:tcW w:w="1840" w:type="dxa"/>
            <w:vAlign w:val="bottom"/>
            <w:tcBorders>
              <w:bottom w:val="single" w:sz="8" w:color="95B3D7"/>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Annual Bonus</w:t>
            </w:r>
            <w:r>
              <w:rPr>
                <w:rFonts w:ascii="Arial" w:cs="Arial" w:eastAsia="Arial" w:hAnsi="Arial"/>
                <w:sz w:val="18"/>
                <w:szCs w:val="18"/>
                <w:b w:val="1"/>
                <w:bCs w:val="1"/>
                <w:color w:val="auto"/>
                <w:vertAlign w:val="superscript"/>
              </w:rPr>
              <w:t>(1)</w:t>
            </w:r>
          </w:p>
        </w:tc>
        <w:tc>
          <w:tcPr>
            <w:tcW w:w="360" w:type="dxa"/>
            <w:vAlign w:val="bottom"/>
          </w:tcPr>
          <w:p>
            <w:pPr>
              <w:spacing w:after="0"/>
              <w:rPr>
                <w:sz w:val="14"/>
                <w:szCs w:val="14"/>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Stock Award</w:t>
            </w:r>
            <w:r>
              <w:rPr>
                <w:rFonts w:ascii="Arial" w:cs="Arial" w:eastAsia="Arial" w:hAnsi="Arial"/>
                <w:sz w:val="18"/>
                <w:szCs w:val="18"/>
                <w:b w:val="1"/>
                <w:bCs w:val="1"/>
                <w:color w:val="auto"/>
                <w:vertAlign w:val="superscript"/>
              </w:rPr>
              <w:t>(2)</w:t>
            </w:r>
          </w:p>
        </w:tc>
        <w:tc>
          <w:tcPr>
            <w:tcW w:w="340" w:type="dxa"/>
            <w:vAlign w:val="bottom"/>
          </w:tcPr>
          <w:p>
            <w:pPr>
              <w:spacing w:after="0"/>
              <w:rPr>
                <w:sz w:val="14"/>
                <w:szCs w:val="14"/>
                <w:color w:val="auto"/>
              </w:rPr>
            </w:pPr>
          </w:p>
        </w:tc>
        <w:tc>
          <w:tcPr>
            <w:tcW w:w="1500" w:type="dxa"/>
            <w:vAlign w:val="bottom"/>
          </w:tcPr>
          <w:p>
            <w:pPr>
              <w:jc w:val="center"/>
              <w:ind w:right="286"/>
              <w:spacing w:after="0"/>
              <w:rPr>
                <w:sz w:val="20"/>
                <w:szCs w:val="20"/>
                <w:color w:val="auto"/>
              </w:rPr>
            </w:pPr>
            <w:r>
              <w:rPr>
                <w:rFonts w:ascii="Arial" w:cs="Arial" w:eastAsia="Arial" w:hAnsi="Arial"/>
                <w:sz w:val="13"/>
                <w:szCs w:val="13"/>
                <w:b w:val="1"/>
                <w:bCs w:val="1"/>
                <w:color w:val="auto"/>
              </w:rPr>
              <w:t>COBRA</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80" w:type="dxa"/>
            <w:vAlign w:val="bottom"/>
          </w:tcPr>
          <w:p>
            <w:pPr>
              <w:spacing w:after="0"/>
              <w:rPr>
                <w:sz w:val="14"/>
                <w:szCs w:val="14"/>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Cash Severance</w:t>
            </w:r>
          </w:p>
        </w:tc>
        <w:tc>
          <w:tcPr>
            <w:tcW w:w="3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jc w:val="center"/>
              <w:ind w:right="286"/>
              <w:spacing w:after="0"/>
              <w:rPr>
                <w:sz w:val="20"/>
                <w:szCs w:val="20"/>
                <w:color w:val="auto"/>
              </w:rPr>
            </w:pPr>
            <w:r>
              <w:rPr>
                <w:rFonts w:ascii="Arial" w:cs="Arial" w:eastAsia="Arial" w:hAnsi="Arial"/>
                <w:sz w:val="13"/>
                <w:szCs w:val="13"/>
                <w:b w:val="1"/>
                <w:bCs w:val="1"/>
                <w:color w:val="auto"/>
              </w:rPr>
              <w:t>Premiums</w:t>
            </w:r>
          </w:p>
        </w:tc>
        <w:tc>
          <w:tcPr>
            <w:tcW w:w="184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Name</w:t>
            </w:r>
          </w:p>
        </w:tc>
        <w:tc>
          <w:tcPr>
            <w:tcW w:w="1260" w:type="dxa"/>
            <w:vAlign w:val="bottom"/>
            <w:vMerge w:val="continue"/>
          </w:tcPr>
          <w:p>
            <w:pPr>
              <w:spacing w:after="0"/>
              <w:rPr>
                <w:sz w:val="2"/>
                <w:szCs w:val="2"/>
                <w:color w:val="auto"/>
              </w:rPr>
            </w:pPr>
          </w:p>
        </w:tc>
        <w:tc>
          <w:tcPr>
            <w:tcW w:w="1600" w:type="dxa"/>
            <w:vAlign w:val="bottom"/>
            <w:gridSpan w:val="2"/>
            <w:vMerge w:val="restart"/>
          </w:tcPr>
          <w:p>
            <w:pPr>
              <w:jc w:val="right"/>
              <w:ind w:right="468"/>
              <w:spacing w:after="0"/>
              <w:rPr>
                <w:sz w:val="20"/>
                <w:szCs w:val="20"/>
                <w:color w:val="auto"/>
              </w:rPr>
            </w:pPr>
            <w:r>
              <w:rPr>
                <w:rFonts w:ascii="Arial" w:cs="Arial" w:eastAsia="Arial" w:hAnsi="Arial"/>
                <w:sz w:val="14"/>
                <w:szCs w:val="14"/>
                <w:b w:val="1"/>
                <w:bCs w:val="1"/>
                <w:color w:val="auto"/>
              </w:rPr>
              <w:t>($)</w:t>
            </w:r>
          </w:p>
        </w:tc>
        <w:tc>
          <w:tcPr>
            <w:tcW w:w="162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w:t>
            </w: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3080" w:type="dxa"/>
            <w:vAlign w:val="bottom"/>
            <w:vMerge w:val="continue"/>
          </w:tcPr>
          <w:p>
            <w:pPr>
              <w:spacing w:after="0"/>
              <w:rPr>
                <w:sz w:val="16"/>
                <w:szCs w:val="16"/>
                <w:color w:val="auto"/>
              </w:rPr>
            </w:pPr>
          </w:p>
        </w:tc>
        <w:tc>
          <w:tcPr>
            <w:tcW w:w="1260" w:type="dxa"/>
            <w:vAlign w:val="bottom"/>
          </w:tcPr>
          <w:p>
            <w:pPr>
              <w:jc w:val="right"/>
              <w:ind w:right="488"/>
              <w:spacing w:after="0"/>
              <w:rPr>
                <w:sz w:val="20"/>
                <w:szCs w:val="20"/>
                <w:color w:val="auto"/>
              </w:rPr>
            </w:pPr>
            <w:r>
              <w:rPr>
                <w:rFonts w:ascii="Arial" w:cs="Arial" w:eastAsia="Arial" w:hAnsi="Arial"/>
                <w:sz w:val="14"/>
                <w:szCs w:val="14"/>
                <w:b w:val="1"/>
                <w:bCs w:val="1"/>
                <w:color w:val="auto"/>
              </w:rPr>
              <w:t>($)</w:t>
            </w:r>
          </w:p>
        </w:tc>
        <w:tc>
          <w:tcPr>
            <w:tcW w:w="1600" w:type="dxa"/>
            <w:vAlign w:val="bottom"/>
            <w:gridSpan w:val="2"/>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840" w:type="dxa"/>
            <w:vAlign w:val="bottom"/>
          </w:tcPr>
          <w:p>
            <w:pPr>
              <w:jc w:val="right"/>
              <w:ind w:right="60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95"/>
        </w:trPr>
        <w:tc>
          <w:tcPr>
            <w:tcW w:w="308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4"/>
                <w:szCs w:val="14"/>
                <w:b w:val="1"/>
                <w:bCs w:val="1"/>
                <w:color w:val="auto"/>
              </w:rPr>
              <w:t>James M. Head</w:t>
            </w:r>
          </w:p>
        </w:tc>
        <w:tc>
          <w:tcPr>
            <w:tcW w:w="126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260" w:type="dxa"/>
            <w:vAlign w:val="bottom"/>
            <w:shd w:val="clear" w:color="auto" w:fill="DBE5F1"/>
          </w:tcPr>
          <w:p>
            <w:pPr>
              <w:spacing w:after="0"/>
              <w:rPr>
                <w:sz w:val="24"/>
                <w:szCs w:val="24"/>
                <w:color w:val="auto"/>
              </w:rPr>
            </w:pPr>
          </w:p>
        </w:tc>
        <w:tc>
          <w:tcPr>
            <w:tcW w:w="360" w:type="dxa"/>
            <w:vAlign w:val="bottom"/>
            <w:tcBorders>
              <w:right w:val="single" w:sz="8" w:color="95B3D7"/>
            </w:tcBorders>
            <w:shd w:val="clear" w:color="auto" w:fill="DBE5F1"/>
          </w:tcPr>
          <w:p>
            <w:pPr>
              <w:spacing w:after="0"/>
              <w:rPr>
                <w:sz w:val="24"/>
                <w:szCs w:val="24"/>
                <w:color w:val="auto"/>
              </w:rPr>
            </w:pPr>
          </w:p>
        </w:tc>
        <w:tc>
          <w:tcPr>
            <w:tcW w:w="126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500" w:type="dxa"/>
            <w:vAlign w:val="bottom"/>
            <w:tcBorders>
              <w:right w:val="single" w:sz="8" w:color="95B3D7"/>
            </w:tcBorders>
            <w:shd w:val="clear" w:color="auto" w:fill="DBE5F1"/>
          </w:tcPr>
          <w:p>
            <w:pPr>
              <w:spacing w:after="0"/>
              <w:rPr>
                <w:sz w:val="24"/>
                <w:szCs w:val="24"/>
                <w:color w:val="auto"/>
              </w:rPr>
            </w:pPr>
          </w:p>
        </w:tc>
        <w:tc>
          <w:tcPr>
            <w:tcW w:w="184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1,110,000</w:t>
            </w: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510,000</w:t>
            </w: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26,802</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1,646,802</w:t>
            </w:r>
          </w:p>
        </w:tc>
        <w:tc>
          <w:tcPr>
            <w:tcW w:w="0" w:type="dxa"/>
            <w:vAlign w:val="bottom"/>
          </w:tcPr>
          <w:p>
            <w:pPr>
              <w:spacing w:after="0"/>
              <w:rPr>
                <w:sz w:val="1"/>
                <w:szCs w:val="1"/>
                <w:color w:val="auto"/>
              </w:rPr>
            </w:pPr>
          </w:p>
        </w:tc>
      </w:tr>
      <w:tr>
        <w:trPr>
          <w:trHeight w:val="175"/>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for Good Reason / Non-Renewal by the</w:t>
            </w: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6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500" w:type="dxa"/>
            <w:vAlign w:val="bottom"/>
            <w:tcBorders>
              <w:right w:val="single" w:sz="8" w:color="95B3D7"/>
            </w:tcBorders>
            <w:shd w:val="clear" w:color="auto" w:fill="DBE5F1"/>
          </w:tcPr>
          <w:p>
            <w:pPr>
              <w:spacing w:after="0"/>
              <w:rPr>
                <w:sz w:val="15"/>
                <w:szCs w:val="15"/>
                <w:color w:val="auto"/>
              </w:rPr>
            </w:pPr>
          </w:p>
        </w:tc>
        <w:tc>
          <w:tcPr>
            <w:tcW w:w="18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Company</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9"/>
                <w:szCs w:val="19"/>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9"/>
                <w:szCs w:val="19"/>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9"/>
                <w:szCs w:val="19"/>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1,110,000</w:t>
            </w:r>
          </w:p>
        </w:tc>
        <w:tc>
          <w:tcPr>
            <w:tcW w:w="34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510,000</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3,222,924</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26,802</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4,869,725</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DBE5F1"/>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NEO</w:t>
            </w:r>
          </w:p>
        </w:tc>
        <w:tc>
          <w:tcPr>
            <w:tcW w:w="1260" w:type="dxa"/>
            <w:vAlign w:val="bottom"/>
            <w:tcBorders>
              <w:bottom w:val="single" w:sz="8" w:color="DBE5F1"/>
            </w:tcBorders>
            <w:shd w:val="clear" w:color="auto" w:fill="DBE5F1"/>
          </w:tcPr>
          <w:p>
            <w:pPr>
              <w:spacing w:after="0"/>
              <w:rPr>
                <w:sz w:val="16"/>
                <w:szCs w:val="16"/>
                <w:color w:val="auto"/>
              </w:rPr>
            </w:pPr>
          </w:p>
        </w:tc>
        <w:tc>
          <w:tcPr>
            <w:tcW w:w="340" w:type="dxa"/>
            <w:vAlign w:val="bottom"/>
            <w:tcBorders>
              <w:bottom w:val="single" w:sz="8" w:color="DBE5F1"/>
              <w:right w:val="single" w:sz="8" w:color="95B3D7"/>
            </w:tcBorders>
            <w:shd w:val="clear" w:color="auto" w:fill="DBE5F1"/>
          </w:tcPr>
          <w:p>
            <w:pPr>
              <w:spacing w:after="0"/>
              <w:rPr>
                <w:sz w:val="16"/>
                <w:szCs w:val="16"/>
                <w:color w:val="auto"/>
              </w:rPr>
            </w:pPr>
          </w:p>
        </w:tc>
        <w:tc>
          <w:tcPr>
            <w:tcW w:w="1260" w:type="dxa"/>
            <w:vAlign w:val="bottom"/>
            <w:tcBorders>
              <w:bottom w:val="single" w:sz="8" w:color="DBE5F1"/>
            </w:tcBorders>
            <w:shd w:val="clear" w:color="auto" w:fill="DBE5F1"/>
          </w:tcPr>
          <w:p>
            <w:pPr>
              <w:spacing w:after="0"/>
              <w:rPr>
                <w:sz w:val="16"/>
                <w:szCs w:val="16"/>
                <w:color w:val="auto"/>
              </w:rPr>
            </w:pPr>
          </w:p>
        </w:tc>
        <w:tc>
          <w:tcPr>
            <w:tcW w:w="360" w:type="dxa"/>
            <w:vAlign w:val="bottom"/>
            <w:tcBorders>
              <w:bottom w:val="single" w:sz="8" w:color="DBE5F1"/>
              <w:right w:val="single" w:sz="8" w:color="95B3D7"/>
            </w:tcBorders>
            <w:shd w:val="clear" w:color="auto" w:fill="DBE5F1"/>
          </w:tcPr>
          <w:p>
            <w:pPr>
              <w:spacing w:after="0"/>
              <w:rPr>
                <w:sz w:val="16"/>
                <w:szCs w:val="16"/>
                <w:color w:val="auto"/>
              </w:rPr>
            </w:pPr>
          </w:p>
        </w:tc>
        <w:tc>
          <w:tcPr>
            <w:tcW w:w="1260" w:type="dxa"/>
            <w:vAlign w:val="bottom"/>
            <w:tcBorders>
              <w:bottom w:val="single" w:sz="8" w:color="DBE5F1"/>
            </w:tcBorders>
            <w:shd w:val="clear" w:color="auto" w:fill="DBE5F1"/>
          </w:tcPr>
          <w:p>
            <w:pPr>
              <w:spacing w:after="0"/>
              <w:rPr>
                <w:sz w:val="16"/>
                <w:szCs w:val="16"/>
                <w:color w:val="auto"/>
              </w:rPr>
            </w:pPr>
          </w:p>
        </w:tc>
        <w:tc>
          <w:tcPr>
            <w:tcW w:w="340" w:type="dxa"/>
            <w:vAlign w:val="bottom"/>
            <w:tcBorders>
              <w:bottom w:val="single" w:sz="8" w:color="DBE5F1"/>
              <w:right w:val="single" w:sz="8" w:color="95B3D7"/>
            </w:tcBorders>
            <w:shd w:val="clear" w:color="auto" w:fill="DBE5F1"/>
          </w:tcPr>
          <w:p>
            <w:pPr>
              <w:spacing w:after="0"/>
              <w:rPr>
                <w:sz w:val="16"/>
                <w:szCs w:val="16"/>
                <w:color w:val="auto"/>
              </w:rPr>
            </w:pPr>
          </w:p>
        </w:tc>
        <w:tc>
          <w:tcPr>
            <w:tcW w:w="1500" w:type="dxa"/>
            <w:vAlign w:val="bottom"/>
            <w:tcBorders>
              <w:bottom w:val="single" w:sz="8" w:color="DBE5F1"/>
              <w:right w:val="single" w:sz="8" w:color="95B3D7"/>
            </w:tcBorders>
            <w:shd w:val="clear" w:color="auto" w:fill="DBE5F1"/>
          </w:tcPr>
          <w:p>
            <w:pPr>
              <w:spacing w:after="0"/>
              <w:rPr>
                <w:sz w:val="16"/>
                <w:szCs w:val="16"/>
                <w:color w:val="auto"/>
              </w:rPr>
            </w:pPr>
          </w:p>
        </w:tc>
        <w:tc>
          <w:tcPr>
            <w:tcW w:w="1840" w:type="dxa"/>
            <w:vAlign w:val="bottom"/>
            <w:tcBorders>
              <w:bottom w:val="single" w:sz="8" w:color="DBE5F1"/>
            </w:tcBorders>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3080" w:type="dxa"/>
            <w:vAlign w:val="bottom"/>
            <w:tcBorders>
              <w:right w:val="single" w:sz="8" w:color="95B3D7"/>
            </w:tcBorders>
          </w:tcPr>
          <w:p>
            <w:pPr>
              <w:ind w:left="80"/>
              <w:spacing w:after="0"/>
              <w:rPr>
                <w:sz w:val="20"/>
                <w:szCs w:val="20"/>
                <w:color w:val="auto"/>
              </w:rPr>
            </w:pPr>
            <w:r>
              <w:rPr>
                <w:rFonts w:ascii="Arial" w:cs="Arial" w:eastAsia="Arial" w:hAnsi="Arial"/>
                <w:sz w:val="14"/>
                <w:szCs w:val="14"/>
                <w:b w:val="1"/>
                <w:bCs w:val="1"/>
                <w:color w:val="auto"/>
              </w:rPr>
              <w:t>Hyong (Ken) Kim, M.D.</w:t>
            </w:r>
          </w:p>
        </w:tc>
        <w:tc>
          <w:tcPr>
            <w:tcW w:w="1260" w:type="dxa"/>
            <w:vAlign w:val="bottom"/>
          </w:tcPr>
          <w:p>
            <w:pPr>
              <w:spacing w:after="0"/>
              <w:rPr>
                <w:sz w:val="24"/>
                <w:szCs w:val="24"/>
                <w:color w:val="auto"/>
              </w:rPr>
            </w:pPr>
          </w:p>
        </w:tc>
        <w:tc>
          <w:tcPr>
            <w:tcW w:w="340" w:type="dxa"/>
            <w:vAlign w:val="bottom"/>
            <w:tcBorders>
              <w:right w:val="single" w:sz="8" w:color="95B3D7"/>
            </w:tcBorders>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Borders>
              <w:right w:val="single" w:sz="8" w:color="95B3D7"/>
            </w:tcBorders>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Borders>
              <w:right w:val="single" w:sz="8" w:color="95B3D7"/>
            </w:tcBorders>
          </w:tcPr>
          <w:p>
            <w:pPr>
              <w:spacing w:after="0"/>
              <w:rPr>
                <w:sz w:val="24"/>
                <w:szCs w:val="24"/>
                <w:color w:val="auto"/>
              </w:rPr>
            </w:pPr>
          </w:p>
        </w:tc>
        <w:tc>
          <w:tcPr>
            <w:tcW w:w="1500" w:type="dxa"/>
            <w:vAlign w:val="bottom"/>
            <w:tcBorders>
              <w:right w:val="single" w:sz="8" w:color="95B3D7"/>
            </w:tcBorders>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8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1,036,000</w:t>
            </w:r>
          </w:p>
        </w:tc>
        <w:tc>
          <w:tcPr>
            <w:tcW w:w="340" w:type="dxa"/>
            <w:vAlign w:val="bottom"/>
            <w:tcBorders>
              <w:right w:val="single" w:sz="8" w:color="95B3D7"/>
            </w:tcBorders>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476,000</w:t>
            </w:r>
          </w:p>
        </w:tc>
        <w:tc>
          <w:tcPr>
            <w:tcW w:w="360" w:type="dxa"/>
            <w:vAlign w:val="bottom"/>
            <w:tcBorders>
              <w:right w:val="single" w:sz="8" w:color="95B3D7"/>
            </w:tcBorders>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22,522</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1,534,522</w:t>
            </w:r>
          </w:p>
        </w:tc>
        <w:tc>
          <w:tcPr>
            <w:tcW w:w="0" w:type="dxa"/>
            <w:vAlign w:val="bottom"/>
          </w:tcPr>
          <w:p>
            <w:pPr>
              <w:spacing w:after="0"/>
              <w:rPr>
                <w:sz w:val="1"/>
                <w:szCs w:val="1"/>
                <w:color w:val="auto"/>
              </w:rPr>
            </w:pPr>
          </w:p>
        </w:tc>
      </w:tr>
      <w:tr>
        <w:trPr>
          <w:trHeight w:val="175"/>
        </w:trPr>
        <w:tc>
          <w:tcPr>
            <w:tcW w:w="308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for Good Reason / Non-Renewal by the</w:t>
            </w:r>
          </w:p>
        </w:tc>
        <w:tc>
          <w:tcPr>
            <w:tcW w:w="1260" w:type="dxa"/>
            <w:vAlign w:val="bottom"/>
          </w:tcPr>
          <w:p>
            <w:pPr>
              <w:spacing w:after="0"/>
              <w:rPr>
                <w:sz w:val="15"/>
                <w:szCs w:val="15"/>
                <w:color w:val="auto"/>
              </w:rPr>
            </w:pPr>
          </w:p>
        </w:tc>
        <w:tc>
          <w:tcPr>
            <w:tcW w:w="340" w:type="dxa"/>
            <w:vAlign w:val="bottom"/>
            <w:tcBorders>
              <w:right w:val="single" w:sz="8" w:color="95B3D7"/>
            </w:tcBorders>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Borders>
              <w:right w:val="single" w:sz="8" w:color="95B3D7"/>
            </w:tcBorders>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Borders>
              <w:right w:val="single" w:sz="8" w:color="95B3D7"/>
            </w:tcBorders>
          </w:tcPr>
          <w:p>
            <w:pPr>
              <w:spacing w:after="0"/>
              <w:rPr>
                <w:sz w:val="15"/>
                <w:szCs w:val="15"/>
                <w:color w:val="auto"/>
              </w:rPr>
            </w:pPr>
          </w:p>
        </w:tc>
        <w:tc>
          <w:tcPr>
            <w:tcW w:w="1500" w:type="dxa"/>
            <w:vAlign w:val="bottom"/>
            <w:tcBorders>
              <w:right w:val="single" w:sz="8" w:color="95B3D7"/>
            </w:tcBorders>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Company</w:t>
            </w: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7"/>
                <w:szCs w:val="17"/>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8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9"/>
                <w:szCs w:val="19"/>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9"/>
                <w:szCs w:val="19"/>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5"/>
        </w:trPr>
        <w:tc>
          <w:tcPr>
            <w:tcW w:w="308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1,036,000</w:t>
            </w:r>
          </w:p>
        </w:tc>
        <w:tc>
          <w:tcPr>
            <w:tcW w:w="340" w:type="dxa"/>
            <w:vAlign w:val="bottom"/>
            <w:tcBorders>
              <w:right w:val="single" w:sz="8" w:color="95B3D7"/>
            </w:tcBorders>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476,000</w:t>
            </w:r>
          </w:p>
        </w:tc>
        <w:tc>
          <w:tcPr>
            <w:tcW w:w="360" w:type="dxa"/>
            <w:vAlign w:val="bottom"/>
            <w:tcBorders>
              <w:right w:val="single" w:sz="8" w:color="95B3D7"/>
            </w:tcBorders>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8,417,411</w:t>
            </w:r>
          </w:p>
        </w:tc>
        <w:tc>
          <w:tcPr>
            <w:tcW w:w="340" w:type="dxa"/>
            <w:vAlign w:val="bottom"/>
            <w:tcBorders>
              <w:right w:val="single" w:sz="8" w:color="95B3D7"/>
            </w:tcBorders>
          </w:tcPr>
          <w:p>
            <w:pPr>
              <w:spacing w:after="0"/>
              <w:rPr>
                <w:sz w:val="18"/>
                <w:szCs w:val="18"/>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22,522</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9,951,932</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80" w:type="dxa"/>
            <w:vAlign w:val="bottom"/>
            <w:tcBorders>
              <w:right w:val="single" w:sz="8" w:color="95B3D7"/>
            </w:tcBorders>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tcPr>
          <w:p>
            <w:pPr>
              <w:spacing w:after="0"/>
              <w:rPr>
                <w:sz w:val="18"/>
                <w:szCs w:val="18"/>
                <w:color w:val="auto"/>
              </w:rPr>
            </w:pPr>
          </w:p>
        </w:tc>
        <w:tc>
          <w:tcPr>
            <w:tcW w:w="1500" w:type="dxa"/>
            <w:vAlign w:val="bottom"/>
            <w:tcBorders>
              <w:right w:val="single" w:sz="8" w:color="95B3D7"/>
            </w:tcBorders>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tcPr>
          <w:p>
            <w:pPr>
              <w:ind w:left="460"/>
              <w:spacing w:after="0"/>
              <w:rPr>
                <w:sz w:val="20"/>
                <w:szCs w:val="20"/>
                <w:color w:val="auto"/>
              </w:rPr>
            </w:pPr>
            <w:r>
              <w:rPr>
                <w:rFonts w:ascii="Arial" w:cs="Arial" w:eastAsia="Arial" w:hAnsi="Arial"/>
                <w:sz w:val="14"/>
                <w:szCs w:val="14"/>
                <w:color w:val="auto"/>
              </w:rPr>
              <w:t>NEO</w:t>
            </w: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60" w:type="dxa"/>
            <w:vAlign w:val="bottom"/>
            <w:tcBorders>
              <w:right w:val="single" w:sz="8" w:color="95B3D7"/>
            </w:tcBorders>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Borders>
              <w:right w:val="single" w:sz="8" w:color="95B3D7"/>
            </w:tcBorders>
          </w:tcPr>
          <w:p>
            <w:pPr>
              <w:spacing w:after="0"/>
              <w:rPr>
                <w:sz w:val="16"/>
                <w:szCs w:val="16"/>
                <w:color w:val="auto"/>
              </w:rPr>
            </w:pPr>
          </w:p>
        </w:tc>
        <w:tc>
          <w:tcPr>
            <w:tcW w:w="1500" w:type="dxa"/>
            <w:vAlign w:val="bottom"/>
            <w:tcBorders>
              <w:right w:val="single" w:sz="8" w:color="95B3D7"/>
            </w:tcBorders>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80" w:type="dxa"/>
            <w:vAlign w:val="bottom"/>
            <w:tcBorders>
              <w:right w:val="single" w:sz="8" w:color="95B3D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right w:val="single" w:sz="8" w:color="95B3D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60" w:type="dxa"/>
            <w:vAlign w:val="bottom"/>
            <w:tcBorders>
              <w:right w:val="single" w:sz="8" w:color="95B3D7"/>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right w:val="single" w:sz="8" w:color="95B3D7"/>
            </w:tcBorders>
          </w:tcPr>
          <w:p>
            <w:pPr>
              <w:spacing w:after="0" w:line="20" w:lineRule="exact"/>
              <w:rPr>
                <w:sz w:val="1"/>
                <w:szCs w:val="1"/>
                <w:color w:val="auto"/>
              </w:rPr>
            </w:pPr>
          </w:p>
        </w:tc>
        <w:tc>
          <w:tcPr>
            <w:tcW w:w="1500" w:type="dxa"/>
            <w:vAlign w:val="bottom"/>
            <w:tcBorders>
              <w:right w:val="single" w:sz="8" w:color="95B3D7"/>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08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4"/>
                <w:szCs w:val="14"/>
                <w:b w:val="1"/>
                <w:bCs w:val="1"/>
                <w:color w:val="auto"/>
              </w:rPr>
              <w:t>Christopher Joyce</w:t>
            </w:r>
          </w:p>
        </w:tc>
        <w:tc>
          <w:tcPr>
            <w:tcW w:w="126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260" w:type="dxa"/>
            <w:vAlign w:val="bottom"/>
            <w:shd w:val="clear" w:color="auto" w:fill="DBE5F1"/>
          </w:tcPr>
          <w:p>
            <w:pPr>
              <w:spacing w:after="0"/>
              <w:rPr>
                <w:sz w:val="24"/>
                <w:szCs w:val="24"/>
                <w:color w:val="auto"/>
              </w:rPr>
            </w:pPr>
          </w:p>
        </w:tc>
        <w:tc>
          <w:tcPr>
            <w:tcW w:w="360" w:type="dxa"/>
            <w:vAlign w:val="bottom"/>
            <w:tcBorders>
              <w:right w:val="single" w:sz="8" w:color="95B3D7"/>
            </w:tcBorders>
            <w:shd w:val="clear" w:color="auto" w:fill="DBE5F1"/>
          </w:tcPr>
          <w:p>
            <w:pPr>
              <w:spacing w:after="0"/>
              <w:rPr>
                <w:sz w:val="24"/>
                <w:szCs w:val="24"/>
                <w:color w:val="auto"/>
              </w:rPr>
            </w:pPr>
          </w:p>
        </w:tc>
        <w:tc>
          <w:tcPr>
            <w:tcW w:w="1260" w:type="dxa"/>
            <w:vAlign w:val="bottom"/>
            <w:shd w:val="clear" w:color="auto" w:fill="DBE5F1"/>
          </w:tcPr>
          <w:p>
            <w:pPr>
              <w:spacing w:after="0"/>
              <w:rPr>
                <w:sz w:val="24"/>
                <w:szCs w:val="24"/>
                <w:color w:val="auto"/>
              </w:rPr>
            </w:pPr>
          </w:p>
        </w:tc>
        <w:tc>
          <w:tcPr>
            <w:tcW w:w="340" w:type="dxa"/>
            <w:vAlign w:val="bottom"/>
            <w:tcBorders>
              <w:right w:val="single" w:sz="8" w:color="95B3D7"/>
            </w:tcBorders>
            <w:shd w:val="clear" w:color="auto" w:fill="DBE5F1"/>
          </w:tcPr>
          <w:p>
            <w:pPr>
              <w:spacing w:after="0"/>
              <w:rPr>
                <w:sz w:val="24"/>
                <w:szCs w:val="24"/>
                <w:color w:val="auto"/>
              </w:rPr>
            </w:pPr>
          </w:p>
        </w:tc>
        <w:tc>
          <w:tcPr>
            <w:tcW w:w="1500" w:type="dxa"/>
            <w:vAlign w:val="bottom"/>
            <w:tcBorders>
              <w:right w:val="single" w:sz="8" w:color="95B3D7"/>
            </w:tcBorders>
            <w:shd w:val="clear" w:color="auto" w:fill="DBE5F1"/>
          </w:tcPr>
          <w:p>
            <w:pPr>
              <w:spacing w:after="0"/>
              <w:rPr>
                <w:sz w:val="24"/>
                <w:szCs w:val="24"/>
                <w:color w:val="auto"/>
              </w:rPr>
            </w:pPr>
          </w:p>
        </w:tc>
        <w:tc>
          <w:tcPr>
            <w:tcW w:w="184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without Cause / Resignation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971,250</w:t>
            </w: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446,250</w:t>
            </w: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30,356</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1,447,856</w:t>
            </w:r>
          </w:p>
        </w:tc>
        <w:tc>
          <w:tcPr>
            <w:tcW w:w="0" w:type="dxa"/>
            <w:vAlign w:val="bottom"/>
          </w:tcPr>
          <w:p>
            <w:pPr>
              <w:spacing w:after="0"/>
              <w:rPr>
                <w:sz w:val="1"/>
                <w:szCs w:val="1"/>
                <w:color w:val="auto"/>
              </w:rPr>
            </w:pPr>
          </w:p>
        </w:tc>
      </w:tr>
      <w:tr>
        <w:trPr>
          <w:trHeight w:val="175"/>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for Good Reason / Non-Renewal by the</w:t>
            </w: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60" w:type="dxa"/>
            <w:vAlign w:val="bottom"/>
            <w:tcBorders>
              <w:right w:val="single" w:sz="8" w:color="95B3D7"/>
            </w:tcBorders>
            <w:shd w:val="clear" w:color="auto" w:fill="DBE5F1"/>
          </w:tcPr>
          <w:p>
            <w:pPr>
              <w:spacing w:after="0"/>
              <w:rPr>
                <w:sz w:val="15"/>
                <w:szCs w:val="15"/>
                <w:color w:val="auto"/>
              </w:rPr>
            </w:pPr>
          </w:p>
        </w:tc>
        <w:tc>
          <w:tcPr>
            <w:tcW w:w="1260" w:type="dxa"/>
            <w:vAlign w:val="bottom"/>
            <w:shd w:val="clear" w:color="auto" w:fill="DBE5F1"/>
          </w:tcPr>
          <w:p>
            <w:pPr>
              <w:spacing w:after="0"/>
              <w:rPr>
                <w:sz w:val="15"/>
                <w:szCs w:val="15"/>
                <w:color w:val="auto"/>
              </w:rPr>
            </w:pPr>
          </w:p>
        </w:tc>
        <w:tc>
          <w:tcPr>
            <w:tcW w:w="340" w:type="dxa"/>
            <w:vAlign w:val="bottom"/>
            <w:tcBorders>
              <w:right w:val="single" w:sz="8" w:color="95B3D7"/>
            </w:tcBorders>
            <w:shd w:val="clear" w:color="auto" w:fill="DBE5F1"/>
          </w:tcPr>
          <w:p>
            <w:pPr>
              <w:spacing w:after="0"/>
              <w:rPr>
                <w:sz w:val="15"/>
                <w:szCs w:val="15"/>
                <w:color w:val="auto"/>
              </w:rPr>
            </w:pPr>
          </w:p>
        </w:tc>
        <w:tc>
          <w:tcPr>
            <w:tcW w:w="1500" w:type="dxa"/>
            <w:vAlign w:val="bottom"/>
            <w:tcBorders>
              <w:right w:val="single" w:sz="8" w:color="95B3D7"/>
            </w:tcBorders>
            <w:shd w:val="clear" w:color="auto" w:fill="DBE5F1"/>
          </w:tcPr>
          <w:p>
            <w:pPr>
              <w:spacing w:after="0"/>
              <w:rPr>
                <w:sz w:val="15"/>
                <w:szCs w:val="15"/>
                <w:color w:val="auto"/>
              </w:rPr>
            </w:pPr>
          </w:p>
        </w:tc>
        <w:tc>
          <w:tcPr>
            <w:tcW w:w="1840" w:type="dxa"/>
            <w:vAlign w:val="bottom"/>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Company</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Termination with Cause / Resignation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7"/>
                <w:szCs w:val="17"/>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7"/>
                <w:szCs w:val="17"/>
                <w:color w:val="auto"/>
              </w:rPr>
            </w:pPr>
          </w:p>
        </w:tc>
        <w:tc>
          <w:tcPr>
            <w:tcW w:w="1500" w:type="dxa"/>
            <w:vAlign w:val="bottom"/>
            <w:tcBorders>
              <w:right w:val="single" w:sz="8" w:color="95B3D7"/>
            </w:tcBorders>
            <w:shd w:val="clear" w:color="auto" w:fill="DBE5F1"/>
          </w:tcPr>
          <w:p>
            <w:pPr>
              <w:jc w:val="right"/>
              <w:ind w:right="346"/>
              <w:spacing w:after="0" w:line="20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without Good Reason</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without Termination</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21"/>
                <w:szCs w:val="21"/>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21"/>
                <w:szCs w:val="21"/>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21"/>
                <w:szCs w:val="21"/>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Change in Control with Qualifying</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971,250</w:t>
            </w: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446,250</w:t>
            </w: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9,142,571</w:t>
            </w: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30,356</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10,590,427</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Termination</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80" w:type="dxa"/>
            <w:vAlign w:val="bottom"/>
            <w:tcBorders>
              <w:right w:val="single" w:sz="8" w:color="95B3D7"/>
            </w:tcBorders>
            <w:shd w:val="clear" w:color="auto" w:fill="DBE5F1"/>
          </w:tcPr>
          <w:p>
            <w:pPr>
              <w:ind w:left="240"/>
              <w:spacing w:after="0"/>
              <w:rPr>
                <w:sz w:val="20"/>
                <w:szCs w:val="20"/>
                <w:color w:val="auto"/>
              </w:rPr>
            </w:pPr>
            <w:r>
              <w:rPr>
                <w:rFonts w:ascii="Arial" w:cs="Arial" w:eastAsia="Arial" w:hAnsi="Arial"/>
                <w:sz w:val="14"/>
                <w:szCs w:val="14"/>
                <w:color w:val="auto"/>
              </w:rPr>
              <w:t>Death, Disability or Non-Renewal by the</w:t>
            </w: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right w:val="single" w:sz="8" w:color="95B3D7"/>
            </w:tcBorders>
            <w:shd w:val="clear" w:color="auto" w:fill="DBE5F1"/>
          </w:tcPr>
          <w:p>
            <w:pPr>
              <w:spacing w:after="0"/>
              <w:rPr>
                <w:sz w:val="18"/>
                <w:szCs w:val="18"/>
                <w:color w:val="auto"/>
              </w:rPr>
            </w:pPr>
          </w:p>
        </w:tc>
        <w:tc>
          <w:tcPr>
            <w:tcW w:w="126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95B3D7"/>
            </w:tcBorders>
            <w:shd w:val="clear" w:color="auto" w:fill="DBE5F1"/>
          </w:tcPr>
          <w:p>
            <w:pPr>
              <w:spacing w:after="0"/>
              <w:rPr>
                <w:sz w:val="18"/>
                <w:szCs w:val="18"/>
                <w:color w:val="auto"/>
              </w:rPr>
            </w:pPr>
          </w:p>
        </w:tc>
        <w:tc>
          <w:tcPr>
            <w:tcW w:w="1500" w:type="dxa"/>
            <w:vAlign w:val="bottom"/>
            <w:tcBorders>
              <w:right w:val="single" w:sz="8" w:color="95B3D7"/>
            </w:tcBorders>
            <w:shd w:val="clear" w:color="auto" w:fill="DBE5F1"/>
          </w:tcPr>
          <w:p>
            <w:pPr>
              <w:jc w:val="right"/>
              <w:ind w:right="346"/>
              <w:spacing w:after="0"/>
              <w:rPr>
                <w:sz w:val="20"/>
                <w:szCs w:val="20"/>
                <w:color w:val="auto"/>
              </w:rPr>
            </w:pPr>
            <w:r>
              <w:rPr>
                <w:rFonts w:ascii="Arial" w:cs="Arial" w:eastAsia="Arial" w:hAnsi="Arial"/>
                <w:sz w:val="14"/>
                <w:szCs w:val="14"/>
                <w:color w:val="auto"/>
              </w:rPr>
              <w:t>—</w:t>
            </w:r>
          </w:p>
        </w:tc>
        <w:tc>
          <w:tcPr>
            <w:tcW w:w="184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08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4"/>
                <w:szCs w:val="14"/>
                <w:color w:val="auto"/>
              </w:rPr>
              <w:t>NEO</w:t>
            </w: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60" w:type="dxa"/>
            <w:vAlign w:val="bottom"/>
            <w:tcBorders>
              <w:right w:val="single" w:sz="8" w:color="95B3D7"/>
            </w:tcBorders>
            <w:shd w:val="clear" w:color="auto" w:fill="DBE5F1"/>
          </w:tcPr>
          <w:p>
            <w:pPr>
              <w:spacing w:after="0"/>
              <w:rPr>
                <w:sz w:val="16"/>
                <w:szCs w:val="16"/>
                <w:color w:val="auto"/>
              </w:rPr>
            </w:pPr>
          </w:p>
        </w:tc>
        <w:tc>
          <w:tcPr>
            <w:tcW w:w="1260" w:type="dxa"/>
            <w:vAlign w:val="bottom"/>
            <w:shd w:val="clear" w:color="auto" w:fill="DBE5F1"/>
          </w:tcPr>
          <w:p>
            <w:pPr>
              <w:spacing w:after="0"/>
              <w:rPr>
                <w:sz w:val="16"/>
                <w:szCs w:val="16"/>
                <w:color w:val="auto"/>
              </w:rPr>
            </w:pPr>
          </w:p>
        </w:tc>
        <w:tc>
          <w:tcPr>
            <w:tcW w:w="340" w:type="dxa"/>
            <w:vAlign w:val="bottom"/>
            <w:tcBorders>
              <w:right w:val="single" w:sz="8" w:color="95B3D7"/>
            </w:tcBorders>
            <w:shd w:val="clear" w:color="auto" w:fill="DBE5F1"/>
          </w:tcPr>
          <w:p>
            <w:pPr>
              <w:spacing w:after="0"/>
              <w:rPr>
                <w:sz w:val="16"/>
                <w:szCs w:val="16"/>
                <w:color w:val="auto"/>
              </w:rPr>
            </w:pPr>
          </w:p>
        </w:tc>
        <w:tc>
          <w:tcPr>
            <w:tcW w:w="1500" w:type="dxa"/>
            <w:vAlign w:val="bottom"/>
            <w:tcBorders>
              <w:right w:val="single" w:sz="8" w:color="95B3D7"/>
            </w:tcBorders>
            <w:shd w:val="clear" w:color="auto" w:fill="DBE5F1"/>
          </w:tcPr>
          <w:p>
            <w:pPr>
              <w:spacing w:after="0"/>
              <w:rPr>
                <w:sz w:val="16"/>
                <w:szCs w:val="16"/>
                <w:color w:val="auto"/>
              </w:rPr>
            </w:pPr>
          </w:p>
        </w:tc>
        <w:tc>
          <w:tcPr>
            <w:tcW w:w="1840" w:type="dxa"/>
            <w:vAlign w:val="bottom"/>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3080" w:type="dxa"/>
            <w:vAlign w:val="bottom"/>
            <w:tcBorders>
              <w:bottom w:val="single" w:sz="8" w:color="95B3D7"/>
              <w:right w:val="single" w:sz="8" w:color="95B3D7"/>
            </w:tcBorders>
            <w:shd w:val="clear" w:color="auto" w:fill="DBE5F1"/>
          </w:tcPr>
          <w:p>
            <w:pPr>
              <w:spacing w:after="0"/>
              <w:rPr>
                <w:sz w:val="24"/>
                <w:szCs w:val="24"/>
                <w:color w:val="auto"/>
              </w:rPr>
            </w:pPr>
          </w:p>
        </w:tc>
        <w:tc>
          <w:tcPr>
            <w:tcW w:w="1260" w:type="dxa"/>
            <w:vAlign w:val="bottom"/>
            <w:tcBorders>
              <w:bottom w:val="single" w:sz="8" w:color="95B3D7"/>
            </w:tcBorders>
            <w:shd w:val="clear" w:color="auto" w:fill="DBE5F1"/>
          </w:tcPr>
          <w:p>
            <w:pPr>
              <w:spacing w:after="0"/>
              <w:rPr>
                <w:sz w:val="24"/>
                <w:szCs w:val="24"/>
                <w:color w:val="auto"/>
              </w:rPr>
            </w:pPr>
          </w:p>
        </w:tc>
        <w:tc>
          <w:tcPr>
            <w:tcW w:w="340" w:type="dxa"/>
            <w:vAlign w:val="bottom"/>
            <w:tcBorders>
              <w:bottom w:val="single" w:sz="8" w:color="95B3D7"/>
              <w:right w:val="single" w:sz="8" w:color="95B3D7"/>
            </w:tcBorders>
            <w:shd w:val="clear" w:color="auto" w:fill="DBE5F1"/>
          </w:tcPr>
          <w:p>
            <w:pPr>
              <w:spacing w:after="0"/>
              <w:rPr>
                <w:sz w:val="24"/>
                <w:szCs w:val="24"/>
                <w:color w:val="auto"/>
              </w:rPr>
            </w:pPr>
          </w:p>
        </w:tc>
        <w:tc>
          <w:tcPr>
            <w:tcW w:w="1260" w:type="dxa"/>
            <w:vAlign w:val="bottom"/>
            <w:tcBorders>
              <w:bottom w:val="single" w:sz="8" w:color="95B3D7"/>
            </w:tcBorders>
            <w:shd w:val="clear" w:color="auto" w:fill="DBE5F1"/>
          </w:tcPr>
          <w:p>
            <w:pPr>
              <w:spacing w:after="0"/>
              <w:rPr>
                <w:sz w:val="24"/>
                <w:szCs w:val="24"/>
                <w:color w:val="auto"/>
              </w:rPr>
            </w:pPr>
          </w:p>
        </w:tc>
        <w:tc>
          <w:tcPr>
            <w:tcW w:w="360" w:type="dxa"/>
            <w:vAlign w:val="bottom"/>
            <w:tcBorders>
              <w:bottom w:val="single" w:sz="8" w:color="95B3D7"/>
              <w:right w:val="single" w:sz="8" w:color="95B3D7"/>
            </w:tcBorders>
            <w:shd w:val="clear" w:color="auto" w:fill="DBE5F1"/>
          </w:tcPr>
          <w:p>
            <w:pPr>
              <w:spacing w:after="0"/>
              <w:rPr>
                <w:sz w:val="24"/>
                <w:szCs w:val="24"/>
                <w:color w:val="auto"/>
              </w:rPr>
            </w:pPr>
          </w:p>
        </w:tc>
        <w:tc>
          <w:tcPr>
            <w:tcW w:w="1260" w:type="dxa"/>
            <w:vAlign w:val="bottom"/>
            <w:tcBorders>
              <w:bottom w:val="single" w:sz="8" w:color="95B3D7"/>
            </w:tcBorders>
            <w:shd w:val="clear" w:color="auto" w:fill="DBE5F1"/>
          </w:tcPr>
          <w:p>
            <w:pPr>
              <w:spacing w:after="0"/>
              <w:rPr>
                <w:sz w:val="24"/>
                <w:szCs w:val="24"/>
                <w:color w:val="auto"/>
              </w:rPr>
            </w:pPr>
          </w:p>
        </w:tc>
        <w:tc>
          <w:tcPr>
            <w:tcW w:w="340" w:type="dxa"/>
            <w:vAlign w:val="bottom"/>
            <w:tcBorders>
              <w:bottom w:val="single" w:sz="8" w:color="95B3D7"/>
              <w:right w:val="single" w:sz="8" w:color="95B3D7"/>
            </w:tcBorders>
            <w:shd w:val="clear" w:color="auto" w:fill="DBE5F1"/>
          </w:tcPr>
          <w:p>
            <w:pPr>
              <w:spacing w:after="0"/>
              <w:rPr>
                <w:sz w:val="24"/>
                <w:szCs w:val="24"/>
                <w:color w:val="auto"/>
              </w:rPr>
            </w:pPr>
          </w:p>
        </w:tc>
        <w:tc>
          <w:tcPr>
            <w:tcW w:w="1500" w:type="dxa"/>
            <w:vAlign w:val="bottom"/>
            <w:tcBorders>
              <w:bottom w:val="single" w:sz="8" w:color="95B3D7"/>
              <w:right w:val="single" w:sz="8" w:color="95B3D7"/>
            </w:tcBorders>
            <w:shd w:val="clear" w:color="auto" w:fill="DBE5F1"/>
          </w:tcPr>
          <w:p>
            <w:pPr>
              <w:spacing w:after="0"/>
              <w:rPr>
                <w:sz w:val="24"/>
                <w:szCs w:val="24"/>
                <w:color w:val="auto"/>
              </w:rPr>
            </w:pPr>
          </w:p>
        </w:tc>
        <w:tc>
          <w:tcPr>
            <w:tcW w:w="1840" w:type="dxa"/>
            <w:vAlign w:val="bottom"/>
            <w:tcBorders>
              <w:bottom w:val="single" w:sz="8" w:color="95B3D7"/>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assume an annual bonus that is earned at 100% achievement, based on target bonus percentages in effect as of December 31, 2025.</w:t>
      </w:r>
    </w:p>
    <w:p>
      <w:pPr>
        <w:spacing w:after="0" w:line="109" w:lineRule="exact"/>
        <w:rPr>
          <w:rFonts w:ascii="Arial" w:cs="Arial" w:eastAsia="Arial" w:hAnsi="Arial"/>
          <w:sz w:val="14"/>
          <w:szCs w:val="14"/>
          <w:color w:val="auto"/>
        </w:rPr>
      </w:pPr>
    </w:p>
    <w:p>
      <w:pPr>
        <w:ind w:left="660" w:hanging="328"/>
        <w:spacing w:after="0"/>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assume PSUs are deemed earned at target.</w:t>
      </w:r>
    </w:p>
    <w:p>
      <w:pPr>
        <w:spacing w:after="0" w:line="122" w:lineRule="exact"/>
        <w:rPr>
          <w:rFonts w:ascii="Arial" w:cs="Arial" w:eastAsia="Arial" w:hAnsi="Arial"/>
          <w:sz w:val="14"/>
          <w:szCs w:val="14"/>
          <w:color w:val="auto"/>
        </w:rPr>
      </w:pPr>
    </w:p>
    <w:p>
      <w:pPr>
        <w:ind w:left="660" w:hanging="328"/>
        <w:spacing w:after="0"/>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Amounts reflect the amendment to Mr. Freeman's employment agreement in connection with his transition out of the Chief Financial Officer role as of May 2, 2025.</w:t>
      </w:r>
    </w:p>
    <w:p>
      <w:pPr>
        <w:spacing w:after="0" w:line="221" w:lineRule="exact"/>
        <w:rPr>
          <w:sz w:val="20"/>
          <w:szCs w:val="20"/>
          <w:color w:val="auto"/>
        </w:rPr>
      </w:pPr>
    </w:p>
    <w:p>
      <w:pPr>
        <w:ind w:right="620" w:firstLine="405"/>
        <w:spacing w:after="0" w:line="287" w:lineRule="auto"/>
        <w:rPr>
          <w:sz w:val="20"/>
          <w:szCs w:val="20"/>
          <w:color w:val="auto"/>
        </w:rPr>
      </w:pPr>
      <w:r>
        <w:rPr>
          <w:rFonts w:ascii="Arial" w:cs="Arial" w:eastAsia="Arial" w:hAnsi="Arial"/>
          <w:sz w:val="18"/>
          <w:szCs w:val="18"/>
          <w:color w:val="auto"/>
        </w:rPr>
        <w:t>The severance payments and benefits described above are subject to the executive’s execution and non-revocation of a general release of claims in favor of the Company and continued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with customary confidentiality and non-solicitation requirements, then, in addition to any accrued amounts.</w:t>
      </w:r>
    </w:p>
    <w:p>
      <w:pPr>
        <w:spacing w:after="0" w:line="252"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In connection with Mr. Freeman's transition out of the CFO role and his departure from the Company in February 2026, he was entitled to receive (i) a pro rata portion, based on service from January 1 to May 31, 2025, of the annual cash bonus payable under the Company’s annual incentive plan for calendar year 2025; (ii) accelerated vesting of 241,666 restricted stock units; and (iii) continued eligibility to participate in the Company’s medical, dental and life insurance benefit plans.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Non-Employee Director Compensation</w:t>
      </w:r>
    </w:p>
    <w:p>
      <w:pPr>
        <w:spacing w:after="0" w:line="225" w:lineRule="exact"/>
        <w:rPr>
          <w:sz w:val="20"/>
          <w:szCs w:val="20"/>
          <w:color w:val="auto"/>
        </w:rPr>
      </w:pPr>
    </w:p>
    <w:p>
      <w:pPr>
        <w:ind w:right="160" w:firstLine="405"/>
        <w:spacing w:after="0" w:line="262" w:lineRule="auto"/>
        <w:rPr>
          <w:sz w:val="20"/>
          <w:szCs w:val="20"/>
          <w:color w:val="auto"/>
        </w:rPr>
      </w:pPr>
      <w:r>
        <w:rPr>
          <w:rFonts w:ascii="Arial" w:cs="Arial" w:eastAsia="Arial" w:hAnsi="Arial"/>
          <w:sz w:val="18"/>
          <w:szCs w:val="18"/>
          <w:color w:val="auto"/>
        </w:rPr>
        <w:t>Each of our non-employee directors receives an annual director fee and equity awards in connection with their services. In addition, each director is reimbursed for out-of-pocket expenses in connection with his or her services. While Mr. Kao serves as a director on the Board, he does not receive any compensation for his services as a director and information on his compensation as Chief Executive Officer of the Company is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7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Board has adopted a non-employee director compensation policy (as amended from time to time, the “Policy”). Under the Policy, newly elected non-employee directors will receive a one-time commencement award of restricted shares or restricted stock units equal to $200,000, vesting annually over three years. For 2025, non-employee directors received annual compensation with an aggregate value of $290,000, consisting of a cash retainer in an amount elected by each director from $0 to $100,000, with the balance of the aggregate compensation value paid as an equity grant of restricted shares or restricted stock units, vesting on the first anniversary of the grant date. For 2026, the aggregate annual value of the retainer was increased to $322,500. Directors are permitted to defer receipt of their RSU awards until the earlier of (i) three years from the grant date (or, if earlier, separation from service or change of control), (ii) five years from the grant date (or, if earlier, separation from service or change of control), or (iii) separation from service (or, if earlier, change of control).</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Under the Policy in effect for 2025, in addition to the base annual compensation payable to each board member:</w:t>
      </w:r>
    </w:p>
    <w:p>
      <w:pPr>
        <w:spacing w:after="0" w:line="185" w:lineRule="exact"/>
        <w:rPr>
          <w:sz w:val="20"/>
          <w:szCs w:val="20"/>
          <w:color w:val="auto"/>
        </w:rPr>
      </w:pPr>
    </w:p>
    <w:p>
      <w:pPr>
        <w:ind w:left="1060" w:right="460" w:hanging="327"/>
        <w:spacing w:after="0" w:line="287" w:lineRule="auto"/>
        <w:tabs>
          <w:tab w:leader="none" w:pos="10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independent chairman of the Board received an annual retainer of $200,000 in restricted stock units or other long-term equity incentives, with vesting occurring on the first anniversary of the grant date;</w:t>
      </w:r>
    </w:p>
    <w:p>
      <w:pPr>
        <w:spacing w:after="0" w:line="125" w:lineRule="exact"/>
        <w:rPr>
          <w:rFonts w:ascii="Arial" w:cs="Arial" w:eastAsia="Arial" w:hAnsi="Arial"/>
          <w:sz w:val="18"/>
          <w:szCs w:val="18"/>
          <w:color w:val="auto"/>
        </w:rPr>
      </w:pPr>
    </w:p>
    <w:p>
      <w:pPr>
        <w:ind w:left="1060" w:hanging="327"/>
        <w:spacing w:after="0" w:line="287" w:lineRule="auto"/>
        <w:tabs>
          <w:tab w:leader="none" w:pos="10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Lead Independent Director received an annual retainer of $40,000, payable 50% in cash and 50% in restricted stock units or other long-term equity incentives, with vesting occurring on the first anniversary of the grant date;</w:t>
      </w:r>
    </w:p>
    <w:p>
      <w:pPr>
        <w:spacing w:after="0" w:line="112" w:lineRule="exact"/>
        <w:rPr>
          <w:rFonts w:ascii="Arial" w:cs="Arial" w:eastAsia="Arial" w:hAnsi="Arial"/>
          <w:sz w:val="18"/>
          <w:szCs w:val="18"/>
          <w:color w:val="auto"/>
        </w:rPr>
      </w:pPr>
    </w:p>
    <w:p>
      <w:pPr>
        <w:ind w:left="1040" w:hanging="307"/>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chair of the Audit committee received an annual cash retainer of $30,000;</w:t>
      </w:r>
    </w:p>
    <w:p>
      <w:pPr>
        <w:spacing w:after="0" w:line="184" w:lineRule="exact"/>
        <w:rPr>
          <w:rFonts w:ascii="Arial" w:cs="Arial" w:eastAsia="Arial" w:hAnsi="Arial"/>
          <w:sz w:val="18"/>
          <w:szCs w:val="18"/>
          <w:color w:val="auto"/>
        </w:rPr>
      </w:pPr>
    </w:p>
    <w:p>
      <w:pPr>
        <w:ind w:left="1040" w:hanging="307"/>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members of the Audit Committee will receive an annual cash retainer of $15,000;</w:t>
      </w:r>
    </w:p>
    <w:p>
      <w:pPr>
        <w:spacing w:after="0" w:line="198" w:lineRule="exact"/>
        <w:rPr>
          <w:rFonts w:ascii="Arial" w:cs="Arial" w:eastAsia="Arial" w:hAnsi="Arial"/>
          <w:sz w:val="18"/>
          <w:szCs w:val="18"/>
          <w:color w:val="auto"/>
        </w:rPr>
      </w:pPr>
    </w:p>
    <w:p>
      <w:pPr>
        <w:ind w:left="1040" w:hanging="307"/>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chair of the Compensation Committee received an annual cash retainer of $25,000;</w:t>
      </w:r>
    </w:p>
    <w:p>
      <w:pPr>
        <w:spacing w:after="0" w:line="184" w:lineRule="exact"/>
        <w:rPr>
          <w:rFonts w:ascii="Arial" w:cs="Arial" w:eastAsia="Arial" w:hAnsi="Arial"/>
          <w:sz w:val="18"/>
          <w:szCs w:val="18"/>
          <w:color w:val="auto"/>
        </w:rPr>
      </w:pPr>
    </w:p>
    <w:p>
      <w:pPr>
        <w:ind w:left="1040" w:hanging="307"/>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member of the Compensation Committee received an annual cash retainer of $10,000;</w:t>
      </w:r>
    </w:p>
    <w:p>
      <w:pPr>
        <w:spacing w:after="0" w:line="103" w:lineRule="exact"/>
        <w:rPr>
          <w:rFonts w:ascii="Arial" w:cs="Arial" w:eastAsia="Arial" w:hAnsi="Arial"/>
          <w:sz w:val="18"/>
          <w:szCs w:val="18"/>
          <w:color w:val="auto"/>
        </w:rPr>
      </w:pPr>
    </w:p>
    <w:p>
      <w:pPr>
        <w:ind w:left="1040" w:hanging="307"/>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chair of the NCGCC received an annual cash retainer of $20,000; and</w:t>
      </w:r>
    </w:p>
    <w:p>
      <w:pPr>
        <w:spacing w:after="0" w:line="171" w:lineRule="exact"/>
        <w:rPr>
          <w:rFonts w:ascii="Arial" w:cs="Arial" w:eastAsia="Arial" w:hAnsi="Arial"/>
          <w:sz w:val="18"/>
          <w:szCs w:val="18"/>
          <w:color w:val="auto"/>
        </w:rPr>
      </w:pPr>
    </w:p>
    <w:p>
      <w:pPr>
        <w:ind w:left="1040" w:hanging="307"/>
        <w:spacing w:after="0"/>
        <w:tabs>
          <w:tab w:leader="none" w:pos="10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each member of the NCGCC received an annual cash retainer of $7,500.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cash retainers are paid in quarterly installments in arrears.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93"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The following table summarizes, for each of our non-employee directors, the compensation received by such director for the year ended December 31, 2025.</w:t>
      </w:r>
    </w:p>
    <w:p>
      <w:pPr>
        <w:spacing w:after="0" w:line="136" w:lineRule="exact"/>
        <w:rPr>
          <w:sz w:val="20"/>
          <w:szCs w:val="20"/>
          <w:color w:val="auto"/>
        </w:rPr>
      </w:pPr>
    </w:p>
    <w:tbl>
      <w:tblPr>
        <w:tblLayout w:type="fixed"/>
        <w:tblInd w:w="2080" w:type="dxa"/>
        <w:tblCellMar>
          <w:top w:w="0" w:type="dxa"/>
          <w:left w:w="0" w:type="dxa"/>
          <w:bottom w:w="0" w:type="dxa"/>
          <w:right w:w="0" w:type="dxa"/>
        </w:tblCellMar>
      </w:tblPr>
      <w:tr>
        <w:trPr>
          <w:trHeight w:val="173"/>
        </w:trPr>
        <w:tc>
          <w:tcPr>
            <w:tcW w:w="17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Fees Earned or</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8"/>
                <w:szCs w:val="18"/>
                <w:b w:val="1"/>
                <w:bCs w:val="1"/>
                <w:color w:val="auto"/>
                <w:vertAlign w:val="superscript"/>
              </w:rPr>
              <w:t>(2)</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
        </w:trPr>
        <w:tc>
          <w:tcPr>
            <w:tcW w:w="1780" w:type="dxa"/>
            <w:vAlign w:val="bottom"/>
          </w:tcPr>
          <w:p>
            <w:pPr>
              <w:spacing w:after="0"/>
              <w:rPr>
                <w:sz w:val="3"/>
                <w:szCs w:val="3"/>
                <w:color w:val="auto"/>
              </w:rPr>
            </w:pPr>
          </w:p>
        </w:tc>
        <w:tc>
          <w:tcPr>
            <w:tcW w:w="1420" w:type="dxa"/>
            <w:vAlign w:val="bottom"/>
            <w:vMerge w:val="restart"/>
          </w:tcPr>
          <w:p>
            <w:pPr>
              <w:jc w:val="center"/>
              <w:spacing w:after="0" w:line="188" w:lineRule="exact"/>
              <w:rPr>
                <w:sz w:val="20"/>
                <w:szCs w:val="20"/>
                <w:color w:val="auto"/>
              </w:rPr>
            </w:pPr>
            <w:r>
              <w:rPr>
                <w:rFonts w:ascii="Arial" w:cs="Arial" w:eastAsia="Arial" w:hAnsi="Arial"/>
                <w:sz w:val="14"/>
                <w:szCs w:val="14"/>
                <w:b w:val="1"/>
                <w:bCs w:val="1"/>
                <w:color w:val="auto"/>
                <w:w w:val="99"/>
              </w:rPr>
              <w:t>Paid in Cash</w:t>
            </w:r>
            <w:r>
              <w:rPr>
                <w:rFonts w:ascii="Arial" w:cs="Arial" w:eastAsia="Arial" w:hAnsi="Arial"/>
                <w:sz w:val="18"/>
                <w:szCs w:val="18"/>
                <w:b w:val="1"/>
                <w:bCs w:val="1"/>
                <w:color w:val="auto"/>
                <w:w w:val="99"/>
                <w:vertAlign w:val="superscript"/>
              </w:rPr>
              <w:t>(1)</w:t>
            </w:r>
          </w:p>
        </w:tc>
        <w:tc>
          <w:tcPr>
            <w:tcW w:w="1260" w:type="dxa"/>
            <w:vAlign w:val="bottom"/>
            <w:vMerge w:val="continue"/>
          </w:tcPr>
          <w:p>
            <w:pPr>
              <w:spacing w:after="0"/>
              <w:rPr>
                <w:sz w:val="3"/>
                <w:szCs w:val="3"/>
                <w:color w:val="auto"/>
              </w:rPr>
            </w:pPr>
          </w:p>
        </w:tc>
        <w:tc>
          <w:tcPr>
            <w:tcW w:w="142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178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Compensation</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4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17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Jody Bilney</w:t>
            </w:r>
          </w:p>
        </w:tc>
        <w:tc>
          <w:tcPr>
            <w:tcW w:w="142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65,000</w:t>
            </w:r>
          </w:p>
        </w:tc>
        <w:tc>
          <w:tcPr>
            <w:tcW w:w="1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240,000</w:t>
            </w:r>
          </w:p>
        </w:tc>
        <w:tc>
          <w:tcPr>
            <w:tcW w:w="142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305,000</w:t>
            </w:r>
          </w:p>
        </w:tc>
        <w:tc>
          <w:tcPr>
            <w:tcW w:w="0" w:type="dxa"/>
            <w:vAlign w:val="bottom"/>
          </w:tcPr>
          <w:p>
            <w:pPr>
              <w:spacing w:after="0"/>
              <w:rPr>
                <w:sz w:val="1"/>
                <w:szCs w:val="1"/>
                <w:color w:val="auto"/>
              </w:rPr>
            </w:pPr>
          </w:p>
        </w:tc>
      </w:tr>
      <w:tr>
        <w:trPr>
          <w:trHeight w:val="194"/>
        </w:trPr>
        <w:tc>
          <w:tcPr>
            <w:tcW w:w="1780" w:type="dxa"/>
            <w:vAlign w:val="bottom"/>
            <w:tcBorders>
              <w:right w:val="single" w:sz="8" w:color="95B3D7"/>
            </w:tcBorders>
          </w:tcPr>
          <w:p>
            <w:pPr>
              <w:ind w:left="140"/>
              <w:spacing w:after="0"/>
              <w:rPr>
                <w:sz w:val="20"/>
                <w:szCs w:val="20"/>
                <w:color w:val="auto"/>
              </w:rPr>
            </w:pPr>
            <w:r>
              <w:rPr>
                <w:rFonts w:ascii="Arial" w:cs="Arial" w:eastAsia="Arial" w:hAnsi="Arial"/>
                <w:sz w:val="14"/>
                <w:szCs w:val="14"/>
                <w:color w:val="auto"/>
              </w:rPr>
              <w:t>David Hodgson</w:t>
            </w:r>
          </w:p>
        </w:tc>
        <w:tc>
          <w:tcPr>
            <w:tcW w:w="142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rPr>
              <w:t>20,000</w:t>
            </w:r>
          </w:p>
        </w:tc>
        <w:tc>
          <w:tcPr>
            <w:tcW w:w="126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rPr>
              <w:t>290,000</w:t>
            </w:r>
          </w:p>
        </w:tc>
        <w:tc>
          <w:tcPr>
            <w:tcW w:w="142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310,000</w:t>
            </w:r>
          </w:p>
        </w:tc>
        <w:tc>
          <w:tcPr>
            <w:tcW w:w="0" w:type="dxa"/>
            <w:vAlign w:val="bottom"/>
          </w:tcPr>
          <w:p>
            <w:pPr>
              <w:spacing w:after="0"/>
              <w:rPr>
                <w:sz w:val="1"/>
                <w:szCs w:val="1"/>
                <w:color w:val="auto"/>
              </w:rPr>
            </w:pPr>
          </w:p>
        </w:tc>
      </w:tr>
      <w:tr>
        <w:trPr>
          <w:trHeight w:val="22"/>
        </w:trPr>
        <w:tc>
          <w:tcPr>
            <w:tcW w:w="1780" w:type="dxa"/>
            <w:vAlign w:val="bottom"/>
            <w:tcBorders>
              <w:right w:val="single" w:sz="8" w:color="95B3D7"/>
            </w:tcBorders>
          </w:tcPr>
          <w:p>
            <w:pPr>
              <w:spacing w:after="0" w:line="20" w:lineRule="exact"/>
              <w:rPr>
                <w:sz w:val="1"/>
                <w:szCs w:val="1"/>
                <w:color w:val="auto"/>
              </w:rPr>
            </w:pPr>
          </w:p>
        </w:tc>
        <w:tc>
          <w:tcPr>
            <w:tcW w:w="1420" w:type="dxa"/>
            <w:vAlign w:val="bottom"/>
            <w:tcBorders>
              <w:right w:val="single" w:sz="8" w:color="95B3D7"/>
            </w:tcBorders>
          </w:tcPr>
          <w:p>
            <w:pPr>
              <w:spacing w:after="0" w:line="20" w:lineRule="exact"/>
              <w:rPr>
                <w:sz w:val="1"/>
                <w:szCs w:val="1"/>
                <w:color w:val="auto"/>
              </w:rPr>
            </w:pPr>
          </w:p>
        </w:tc>
        <w:tc>
          <w:tcPr>
            <w:tcW w:w="1260" w:type="dxa"/>
            <w:vAlign w:val="bottom"/>
            <w:tcBorders>
              <w:right w:val="single" w:sz="8" w:color="95B3D7"/>
            </w:tcBorders>
          </w:tcPr>
          <w:p>
            <w:pPr>
              <w:spacing w:after="0" w:line="20" w:lineRule="exact"/>
              <w:rPr>
                <w:sz w:val="1"/>
                <w:szCs w:val="1"/>
                <w:color w:val="auto"/>
              </w:rPr>
            </w:pPr>
          </w:p>
        </w:tc>
        <w:tc>
          <w:tcPr>
            <w:tcW w:w="1420" w:type="dxa"/>
            <w:vAlign w:val="bottom"/>
            <w:tcBorders>
              <w:right w:val="single" w:sz="8" w:color="95B3D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bottom w:val="single" w:sz="8" w:color="DBE5F1"/>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Yon Jorden</w:t>
            </w:r>
          </w:p>
        </w:tc>
        <w:tc>
          <w:tcPr>
            <w:tcW w:w="14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130,000</w:t>
            </w:r>
          </w:p>
        </w:tc>
        <w:tc>
          <w:tcPr>
            <w:tcW w:w="12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190,000</w:t>
            </w:r>
          </w:p>
        </w:tc>
        <w:tc>
          <w:tcPr>
            <w:tcW w:w="14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rPr>
              <w:t>320,000</w:t>
            </w:r>
          </w:p>
        </w:tc>
        <w:tc>
          <w:tcPr>
            <w:tcW w:w="0" w:type="dxa"/>
            <w:vAlign w:val="bottom"/>
          </w:tcPr>
          <w:p>
            <w:pPr>
              <w:spacing w:after="0"/>
              <w:rPr>
                <w:sz w:val="1"/>
                <w:szCs w:val="1"/>
                <w:color w:val="auto"/>
              </w:rPr>
            </w:pPr>
          </w:p>
        </w:tc>
      </w:tr>
      <w:tr>
        <w:trPr>
          <w:trHeight w:val="194"/>
        </w:trPr>
        <w:tc>
          <w:tcPr>
            <w:tcW w:w="1780" w:type="dxa"/>
            <w:vAlign w:val="bottom"/>
            <w:tcBorders>
              <w:right w:val="single" w:sz="8" w:color="95B3D7"/>
            </w:tcBorders>
          </w:tcPr>
          <w:p>
            <w:pPr>
              <w:ind w:left="140"/>
              <w:spacing w:after="0"/>
              <w:rPr>
                <w:sz w:val="20"/>
                <w:szCs w:val="20"/>
                <w:color w:val="auto"/>
              </w:rPr>
            </w:pPr>
            <w:r>
              <w:rPr>
                <w:rFonts w:ascii="Arial" w:cs="Arial" w:eastAsia="Arial" w:hAnsi="Arial"/>
                <w:sz w:val="14"/>
                <w:szCs w:val="14"/>
                <w:color w:val="auto"/>
              </w:rPr>
              <w:t>Joseph Konowiecki</w:t>
            </w:r>
          </w:p>
        </w:tc>
        <w:tc>
          <w:tcPr>
            <w:tcW w:w="142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rPr>
              <w:t>100,000</w:t>
            </w:r>
          </w:p>
        </w:tc>
        <w:tc>
          <w:tcPr>
            <w:tcW w:w="126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rPr>
              <w:t>390,000</w:t>
            </w:r>
          </w:p>
        </w:tc>
        <w:tc>
          <w:tcPr>
            <w:tcW w:w="142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490,000</w:t>
            </w:r>
          </w:p>
        </w:tc>
        <w:tc>
          <w:tcPr>
            <w:tcW w:w="0" w:type="dxa"/>
            <w:vAlign w:val="bottom"/>
          </w:tcPr>
          <w:p>
            <w:pPr>
              <w:spacing w:after="0"/>
              <w:rPr>
                <w:sz w:val="1"/>
                <w:szCs w:val="1"/>
                <w:color w:val="auto"/>
              </w:rPr>
            </w:pPr>
          </w:p>
        </w:tc>
      </w:tr>
      <w:tr>
        <w:trPr>
          <w:trHeight w:val="22"/>
        </w:trPr>
        <w:tc>
          <w:tcPr>
            <w:tcW w:w="1780" w:type="dxa"/>
            <w:vAlign w:val="bottom"/>
            <w:tcBorders>
              <w:right w:val="single" w:sz="8" w:color="95B3D7"/>
            </w:tcBorders>
          </w:tcPr>
          <w:p>
            <w:pPr>
              <w:spacing w:after="0" w:line="20" w:lineRule="exact"/>
              <w:rPr>
                <w:sz w:val="1"/>
                <w:szCs w:val="1"/>
                <w:color w:val="auto"/>
              </w:rPr>
            </w:pPr>
          </w:p>
        </w:tc>
        <w:tc>
          <w:tcPr>
            <w:tcW w:w="1420" w:type="dxa"/>
            <w:vAlign w:val="bottom"/>
            <w:tcBorders>
              <w:right w:val="single" w:sz="8" w:color="95B3D7"/>
            </w:tcBorders>
          </w:tcPr>
          <w:p>
            <w:pPr>
              <w:spacing w:after="0" w:line="20" w:lineRule="exact"/>
              <w:rPr>
                <w:sz w:val="1"/>
                <w:szCs w:val="1"/>
                <w:color w:val="auto"/>
              </w:rPr>
            </w:pPr>
          </w:p>
        </w:tc>
        <w:tc>
          <w:tcPr>
            <w:tcW w:w="1260" w:type="dxa"/>
            <w:vAlign w:val="bottom"/>
            <w:tcBorders>
              <w:right w:val="single" w:sz="8" w:color="95B3D7"/>
            </w:tcBorders>
          </w:tcPr>
          <w:p>
            <w:pPr>
              <w:spacing w:after="0" w:line="20" w:lineRule="exact"/>
              <w:rPr>
                <w:sz w:val="1"/>
                <w:szCs w:val="1"/>
                <w:color w:val="auto"/>
              </w:rPr>
            </w:pPr>
          </w:p>
        </w:tc>
        <w:tc>
          <w:tcPr>
            <w:tcW w:w="1420" w:type="dxa"/>
            <w:vAlign w:val="bottom"/>
            <w:tcBorders>
              <w:right w:val="single" w:sz="8" w:color="95B3D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bottom w:val="single" w:sz="8" w:color="DBE5F1"/>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Jacqueline Kosecoff</w:t>
            </w:r>
          </w:p>
        </w:tc>
        <w:tc>
          <w:tcPr>
            <w:tcW w:w="14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132,500</w:t>
            </w:r>
          </w:p>
        </w:tc>
        <w:tc>
          <w:tcPr>
            <w:tcW w:w="12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190,000</w:t>
            </w:r>
          </w:p>
        </w:tc>
        <w:tc>
          <w:tcPr>
            <w:tcW w:w="14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rPr>
              <w:t>322,500</w:t>
            </w:r>
          </w:p>
        </w:tc>
        <w:tc>
          <w:tcPr>
            <w:tcW w:w="0" w:type="dxa"/>
            <w:vAlign w:val="bottom"/>
          </w:tcPr>
          <w:p>
            <w:pPr>
              <w:spacing w:after="0"/>
              <w:rPr>
                <w:sz w:val="1"/>
                <w:szCs w:val="1"/>
                <w:color w:val="auto"/>
              </w:rPr>
            </w:pPr>
          </w:p>
        </w:tc>
      </w:tr>
      <w:tr>
        <w:trPr>
          <w:trHeight w:val="195"/>
        </w:trPr>
        <w:tc>
          <w:tcPr>
            <w:tcW w:w="1780" w:type="dxa"/>
            <w:vAlign w:val="bottom"/>
            <w:tcBorders>
              <w:right w:val="single" w:sz="8" w:color="95B3D7"/>
            </w:tcBorders>
          </w:tcPr>
          <w:p>
            <w:pPr>
              <w:ind w:left="140"/>
              <w:spacing w:after="0"/>
              <w:rPr>
                <w:sz w:val="20"/>
                <w:szCs w:val="20"/>
                <w:color w:val="auto"/>
              </w:rPr>
            </w:pPr>
            <w:r>
              <w:rPr>
                <w:rFonts w:ascii="Arial" w:cs="Arial" w:eastAsia="Arial" w:hAnsi="Arial"/>
                <w:sz w:val="14"/>
                <w:szCs w:val="14"/>
                <w:color w:val="auto"/>
              </w:rPr>
              <w:t>Margaret McCarthy</w:t>
            </w:r>
          </w:p>
        </w:tc>
        <w:tc>
          <w:tcPr>
            <w:tcW w:w="142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rPr>
              <w:t>145,000</w:t>
            </w:r>
          </w:p>
        </w:tc>
        <w:tc>
          <w:tcPr>
            <w:tcW w:w="126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rPr>
              <w:t>210,000</w:t>
            </w:r>
          </w:p>
        </w:tc>
        <w:tc>
          <w:tcPr>
            <w:tcW w:w="142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355,000</w:t>
            </w:r>
          </w:p>
        </w:tc>
        <w:tc>
          <w:tcPr>
            <w:tcW w:w="0" w:type="dxa"/>
            <w:vAlign w:val="bottom"/>
          </w:tcPr>
          <w:p>
            <w:pPr>
              <w:spacing w:after="0"/>
              <w:rPr>
                <w:sz w:val="1"/>
                <w:szCs w:val="1"/>
                <w:color w:val="auto"/>
              </w:rPr>
            </w:pPr>
          </w:p>
        </w:tc>
      </w:tr>
      <w:tr>
        <w:trPr>
          <w:trHeight w:val="22"/>
        </w:trPr>
        <w:tc>
          <w:tcPr>
            <w:tcW w:w="1780" w:type="dxa"/>
            <w:vAlign w:val="bottom"/>
            <w:tcBorders>
              <w:right w:val="single" w:sz="8" w:color="95B3D7"/>
            </w:tcBorders>
          </w:tcPr>
          <w:p>
            <w:pPr>
              <w:spacing w:after="0" w:line="20" w:lineRule="exact"/>
              <w:rPr>
                <w:sz w:val="1"/>
                <w:szCs w:val="1"/>
                <w:color w:val="auto"/>
              </w:rPr>
            </w:pPr>
          </w:p>
        </w:tc>
        <w:tc>
          <w:tcPr>
            <w:tcW w:w="1420" w:type="dxa"/>
            <w:vAlign w:val="bottom"/>
            <w:tcBorders>
              <w:right w:val="single" w:sz="8" w:color="95B3D7"/>
            </w:tcBorders>
          </w:tcPr>
          <w:p>
            <w:pPr>
              <w:spacing w:after="0" w:line="20" w:lineRule="exact"/>
              <w:rPr>
                <w:sz w:val="1"/>
                <w:szCs w:val="1"/>
                <w:color w:val="auto"/>
              </w:rPr>
            </w:pPr>
          </w:p>
        </w:tc>
        <w:tc>
          <w:tcPr>
            <w:tcW w:w="1260" w:type="dxa"/>
            <w:vAlign w:val="bottom"/>
            <w:tcBorders>
              <w:right w:val="single" w:sz="8" w:color="95B3D7"/>
            </w:tcBorders>
          </w:tcPr>
          <w:p>
            <w:pPr>
              <w:spacing w:after="0" w:line="20" w:lineRule="exact"/>
              <w:rPr>
                <w:sz w:val="1"/>
                <w:szCs w:val="1"/>
                <w:color w:val="auto"/>
              </w:rPr>
            </w:pPr>
          </w:p>
        </w:tc>
        <w:tc>
          <w:tcPr>
            <w:tcW w:w="1420" w:type="dxa"/>
            <w:vAlign w:val="bottom"/>
            <w:tcBorders>
              <w:right w:val="single" w:sz="8" w:color="95B3D7"/>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80" w:type="dxa"/>
            <w:vAlign w:val="bottom"/>
            <w:tcBorders>
              <w:bottom w:val="single" w:sz="8" w:color="DBE5F1"/>
              <w:right w:val="single" w:sz="8" w:color="95B3D7"/>
            </w:tcBorders>
            <w:shd w:val="clear" w:color="auto" w:fill="DBE5F1"/>
          </w:tcPr>
          <w:p>
            <w:pPr>
              <w:ind w:left="140"/>
              <w:spacing w:after="0"/>
              <w:rPr>
                <w:sz w:val="20"/>
                <w:szCs w:val="20"/>
                <w:color w:val="auto"/>
              </w:rPr>
            </w:pPr>
            <w:r>
              <w:rPr>
                <w:rFonts w:ascii="Arial" w:cs="Arial" w:eastAsia="Arial" w:hAnsi="Arial"/>
                <w:sz w:val="14"/>
                <w:szCs w:val="14"/>
                <w:color w:val="auto"/>
              </w:rPr>
              <w:t>Mark McClellan</w:t>
            </w:r>
          </w:p>
        </w:tc>
        <w:tc>
          <w:tcPr>
            <w:tcW w:w="14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107,500</w:t>
            </w:r>
          </w:p>
        </w:tc>
        <w:tc>
          <w:tcPr>
            <w:tcW w:w="126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190,000</w:t>
            </w:r>
          </w:p>
        </w:tc>
        <w:tc>
          <w:tcPr>
            <w:tcW w:w="1420" w:type="dxa"/>
            <w:vAlign w:val="bottom"/>
            <w:tcBorders>
              <w:bottom w:val="single" w:sz="8" w:color="DBE5F1"/>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rPr>
              <w:t>297,500</w:t>
            </w:r>
          </w:p>
        </w:tc>
        <w:tc>
          <w:tcPr>
            <w:tcW w:w="0" w:type="dxa"/>
            <w:vAlign w:val="bottom"/>
          </w:tcPr>
          <w:p>
            <w:pPr>
              <w:spacing w:after="0"/>
              <w:rPr>
                <w:sz w:val="1"/>
                <w:szCs w:val="1"/>
                <w:color w:val="auto"/>
              </w:rPr>
            </w:pPr>
          </w:p>
        </w:tc>
      </w:tr>
      <w:tr>
        <w:trPr>
          <w:trHeight w:val="194"/>
        </w:trPr>
        <w:tc>
          <w:tcPr>
            <w:tcW w:w="1780" w:type="dxa"/>
            <w:vAlign w:val="bottom"/>
            <w:tcBorders>
              <w:right w:val="single" w:sz="8" w:color="95B3D7"/>
            </w:tcBorders>
          </w:tcPr>
          <w:p>
            <w:pPr>
              <w:ind w:left="140"/>
              <w:spacing w:after="0"/>
              <w:rPr>
                <w:sz w:val="20"/>
                <w:szCs w:val="20"/>
                <w:color w:val="auto"/>
              </w:rPr>
            </w:pPr>
            <w:r>
              <w:rPr>
                <w:rFonts w:ascii="Arial" w:cs="Arial" w:eastAsia="Arial" w:hAnsi="Arial"/>
                <w:sz w:val="14"/>
                <w:szCs w:val="14"/>
                <w:color w:val="auto"/>
              </w:rPr>
              <w:t>Robbert Vorhoff</w:t>
            </w:r>
          </w:p>
        </w:tc>
        <w:tc>
          <w:tcPr>
            <w:tcW w:w="142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rPr>
              <w:t>10,000</w:t>
            </w:r>
          </w:p>
        </w:tc>
        <w:tc>
          <w:tcPr>
            <w:tcW w:w="126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rPr>
              <w:t>290,000</w:t>
            </w:r>
          </w:p>
        </w:tc>
        <w:tc>
          <w:tcPr>
            <w:tcW w:w="1420" w:type="dxa"/>
            <w:vAlign w:val="bottom"/>
            <w:tcBorders>
              <w:right w:val="single" w:sz="8" w:color="95B3D7"/>
            </w:tcBorders>
          </w:tcPr>
          <w:p>
            <w:pPr>
              <w:jc w:val="center"/>
              <w:spacing w:after="0"/>
              <w:rPr>
                <w:sz w:val="20"/>
                <w:szCs w:val="20"/>
                <w:color w:val="auto"/>
              </w:rPr>
            </w:pPr>
            <w:r>
              <w:rPr>
                <w:rFonts w:ascii="Arial" w:cs="Arial" w:eastAsia="Arial" w:hAnsi="Arial"/>
                <w:sz w:val="14"/>
                <w:szCs w:val="14"/>
                <w:color w:val="auto"/>
                <w:w w:val="99"/>
              </w:rPr>
              <w:t>—</w:t>
            </w:r>
          </w:p>
        </w:tc>
        <w:tc>
          <w:tcPr>
            <w:tcW w:w="1220" w:type="dxa"/>
            <w:vAlign w:val="bottom"/>
          </w:tcPr>
          <w:p>
            <w:pPr>
              <w:jc w:val="center"/>
              <w:spacing w:after="0"/>
              <w:rPr>
                <w:sz w:val="20"/>
                <w:szCs w:val="20"/>
                <w:color w:val="auto"/>
              </w:rPr>
            </w:pPr>
            <w:r>
              <w:rPr>
                <w:rFonts w:ascii="Arial" w:cs="Arial" w:eastAsia="Arial" w:hAnsi="Arial"/>
                <w:sz w:val="14"/>
                <w:szCs w:val="14"/>
                <w:color w:val="auto"/>
              </w:rPr>
              <w:t>300,000</w:t>
            </w:r>
          </w:p>
        </w:tc>
        <w:tc>
          <w:tcPr>
            <w:tcW w:w="0" w:type="dxa"/>
            <w:vAlign w:val="bottom"/>
          </w:tcPr>
          <w:p>
            <w:pPr>
              <w:spacing w:after="0"/>
              <w:rPr>
                <w:sz w:val="1"/>
                <w:szCs w:val="1"/>
                <w:color w:val="auto"/>
              </w:rPr>
            </w:pPr>
          </w:p>
        </w:tc>
      </w:tr>
      <w:tr>
        <w:trPr>
          <w:trHeight w:val="22"/>
        </w:trPr>
        <w:tc>
          <w:tcPr>
            <w:tcW w:w="1780" w:type="dxa"/>
            <w:vAlign w:val="bottom"/>
            <w:tcBorders>
              <w:bottom w:val="single" w:sz="8" w:color="95B3D7"/>
              <w:right w:val="single" w:sz="8" w:color="95B3D7"/>
            </w:tcBorders>
          </w:tcPr>
          <w:p>
            <w:pPr>
              <w:spacing w:after="0" w:line="20" w:lineRule="exact"/>
              <w:rPr>
                <w:sz w:val="1"/>
                <w:szCs w:val="1"/>
                <w:color w:val="auto"/>
              </w:rPr>
            </w:pPr>
          </w:p>
        </w:tc>
        <w:tc>
          <w:tcPr>
            <w:tcW w:w="1420" w:type="dxa"/>
            <w:vAlign w:val="bottom"/>
            <w:tcBorders>
              <w:bottom w:val="single" w:sz="8" w:color="95B3D7"/>
              <w:right w:val="single" w:sz="8" w:color="95B3D7"/>
            </w:tcBorders>
          </w:tcPr>
          <w:p>
            <w:pPr>
              <w:spacing w:after="0" w:line="20" w:lineRule="exact"/>
              <w:rPr>
                <w:sz w:val="1"/>
                <w:szCs w:val="1"/>
                <w:color w:val="auto"/>
              </w:rPr>
            </w:pPr>
          </w:p>
        </w:tc>
        <w:tc>
          <w:tcPr>
            <w:tcW w:w="1260" w:type="dxa"/>
            <w:vAlign w:val="bottom"/>
            <w:tcBorders>
              <w:bottom w:val="single" w:sz="8" w:color="95B3D7"/>
              <w:right w:val="single" w:sz="8" w:color="95B3D7"/>
            </w:tcBorders>
          </w:tcPr>
          <w:p>
            <w:pPr>
              <w:spacing w:after="0" w:line="20" w:lineRule="exact"/>
              <w:rPr>
                <w:sz w:val="1"/>
                <w:szCs w:val="1"/>
                <w:color w:val="auto"/>
              </w:rPr>
            </w:pPr>
          </w:p>
        </w:tc>
        <w:tc>
          <w:tcPr>
            <w:tcW w:w="1420" w:type="dxa"/>
            <w:vAlign w:val="bottom"/>
            <w:tcBorders>
              <w:bottom w:val="single" w:sz="8" w:color="95B3D7"/>
              <w:right w:val="single" w:sz="8" w:color="95B3D7"/>
            </w:tcBorders>
          </w:tcPr>
          <w:p>
            <w:pPr>
              <w:spacing w:after="0" w:line="20" w:lineRule="exact"/>
              <w:rPr>
                <w:sz w:val="1"/>
                <w:szCs w:val="1"/>
                <w:color w:val="auto"/>
              </w:rPr>
            </w:pPr>
          </w:p>
        </w:tc>
        <w:tc>
          <w:tcPr>
            <w:tcW w:w="1220" w:type="dxa"/>
            <w:vAlign w:val="bottom"/>
            <w:tcBorders>
              <w:bottom w:val="single" w:sz="8" w:color="95B3D7"/>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right="120" w:hanging="328"/>
        <w:spacing w:after="0" w:line="276" w:lineRule="auto"/>
        <w:tabs>
          <w:tab w:leader="none" w:pos="6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Includes fees earned with respect to Board and committee service during calendar year 2025. For 2025, non-employee directors received annual compensation with an aggregate annual value of $290,000, consisting of a cash retainer in an amount elected by each director from $0 to $100,000, with the balance of the aggregate compensation value paid as an equity grant of restricted shares or restricted stock units. Committee fees ranged from $7,500 to $15,000 annually, with committee chairs receiving $20,000 to $30,000 annually, in each case, payable in cash. Certain amounts are prorated for partial-year service.</w:t>
      </w:r>
    </w:p>
    <w:p>
      <w:pPr>
        <w:spacing w:after="0" w:line="96" w:lineRule="exact"/>
        <w:rPr>
          <w:rFonts w:ascii="Arial" w:cs="Arial" w:eastAsia="Arial" w:hAnsi="Arial"/>
          <w:sz w:val="14"/>
          <w:szCs w:val="14"/>
          <w:color w:val="auto"/>
        </w:rPr>
      </w:pPr>
    </w:p>
    <w:p>
      <w:pPr>
        <w:ind w:left="660" w:right="60" w:hanging="328"/>
        <w:spacing w:after="0" w:line="276" w:lineRule="auto"/>
        <w:tabs>
          <w:tab w:leader="none" w:pos="647" w:val="left"/>
        </w:tabs>
        <w:numPr>
          <w:ilvl w:val="0"/>
          <w:numId w:val="67"/>
        </w:numPr>
        <w:rPr>
          <w:rFonts w:ascii="Arial" w:cs="Arial" w:eastAsia="Arial" w:hAnsi="Arial"/>
          <w:sz w:val="14"/>
          <w:szCs w:val="14"/>
          <w:color w:val="auto"/>
        </w:rPr>
      </w:pPr>
      <w:r>
        <w:rPr>
          <w:rFonts w:ascii="Arial" w:cs="Arial" w:eastAsia="Arial" w:hAnsi="Arial"/>
          <w:sz w:val="14"/>
          <w:szCs w:val="14"/>
          <w:color w:val="auto"/>
        </w:rPr>
        <w:t>Represents the grant date fair values associated with the grant of RSUs of Alignment made under the Policy, computed in accordance with FASB ASC Topic 718. For additional information on the assumptions used in computing the amounts reported herein, see Note 10 to the Consolidated Financial Statements included in the Company's Annual Report on Form 10-K for the year ended December 31, 2025. As of December 31, 2025, each of the directors held unvested, outstanding stock awards and unexercised stock options as follows:</w:t>
      </w:r>
    </w:p>
    <w:p>
      <w:pPr>
        <w:spacing w:after="0" w:line="273" w:lineRule="exact"/>
        <w:rPr>
          <w:sz w:val="20"/>
          <w:szCs w:val="20"/>
          <w:color w:val="auto"/>
        </w:rPr>
      </w:pPr>
    </w:p>
    <w:tbl>
      <w:tblPr>
        <w:tblLayout w:type="fixed"/>
        <w:tblInd w:w="270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340" w:type="dxa"/>
            <w:vAlign w:val="bottom"/>
          </w:tcPr>
          <w:p>
            <w:pPr>
              <w:ind w:left="40"/>
              <w:spacing w:after="0"/>
              <w:rPr>
                <w:sz w:val="20"/>
                <w:szCs w:val="20"/>
                <w:color w:val="auto"/>
              </w:rPr>
            </w:pPr>
            <w:r>
              <w:rPr>
                <w:rFonts w:ascii="Arial" w:cs="Arial" w:eastAsia="Arial" w:hAnsi="Arial"/>
                <w:sz w:val="14"/>
                <w:szCs w:val="14"/>
                <w:b w:val="1"/>
                <w:bCs w:val="1"/>
                <w:color w:val="auto"/>
              </w:rPr>
              <w:t>Restricted Shares</w:t>
            </w:r>
          </w:p>
        </w:tc>
        <w:tc>
          <w:tcPr>
            <w:tcW w:w="1400" w:type="dxa"/>
            <w:vAlign w:val="bottom"/>
          </w:tcPr>
          <w:p>
            <w:pPr>
              <w:jc w:val="right"/>
              <w:ind w:right="488"/>
              <w:spacing w:after="0"/>
              <w:rPr>
                <w:sz w:val="20"/>
                <w:szCs w:val="20"/>
                <w:color w:val="auto"/>
              </w:rPr>
            </w:pPr>
            <w:r>
              <w:rPr>
                <w:rFonts w:ascii="Arial" w:cs="Arial" w:eastAsia="Arial" w:hAnsi="Arial"/>
                <w:sz w:val="14"/>
                <w:szCs w:val="14"/>
                <w:b w:val="1"/>
                <w:bCs w:val="1"/>
                <w:color w:val="auto"/>
              </w:rPr>
              <w:t>RSUs</w:t>
            </w:r>
          </w:p>
        </w:tc>
        <w:tc>
          <w:tcPr>
            <w:tcW w:w="1440" w:type="dxa"/>
            <w:vAlign w:val="bottom"/>
          </w:tcPr>
          <w:p>
            <w:pPr>
              <w:ind w:left="440"/>
              <w:spacing w:after="0"/>
              <w:rPr>
                <w:sz w:val="20"/>
                <w:szCs w:val="20"/>
                <w:color w:val="auto"/>
              </w:rPr>
            </w:pPr>
            <w:r>
              <w:rPr>
                <w:rFonts w:ascii="Arial" w:cs="Arial" w:eastAsia="Arial" w:hAnsi="Arial"/>
                <w:sz w:val="14"/>
                <w:szCs w:val="14"/>
                <w:b w:val="1"/>
                <w:bCs w:val="1"/>
                <w:color w:val="auto"/>
              </w:rPr>
              <w:t>Options</w:t>
            </w:r>
          </w:p>
        </w:tc>
      </w:tr>
      <w:tr>
        <w:trPr>
          <w:trHeight w:val="185"/>
        </w:trPr>
        <w:tc>
          <w:tcPr>
            <w:tcW w:w="16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w:t>
            </w:r>
          </w:p>
        </w:tc>
      </w:tr>
      <w:tr>
        <w:trPr>
          <w:trHeight w:val="196"/>
        </w:trPr>
        <w:tc>
          <w:tcPr>
            <w:tcW w:w="1680" w:type="dxa"/>
            <w:vAlign w:val="bottom"/>
            <w:tcBorders>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Jody Bilney</w:t>
            </w:r>
          </w:p>
        </w:tc>
        <w:tc>
          <w:tcPr>
            <w:tcW w:w="1340" w:type="dxa"/>
            <w:vAlign w:val="bottom"/>
            <w:tcBorders>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15,484</w:t>
            </w:r>
          </w:p>
        </w:tc>
        <w:tc>
          <w:tcPr>
            <w:tcW w:w="1440" w:type="dxa"/>
            <w:vAlign w:val="bottom"/>
            <w:shd w:val="clear" w:color="auto" w:fill="DBE5F1"/>
          </w:tcPr>
          <w:p>
            <w:pPr>
              <w:ind w:left="1220"/>
              <w:spacing w:after="0"/>
              <w:rPr>
                <w:sz w:val="20"/>
                <w:szCs w:val="20"/>
                <w:color w:val="auto"/>
              </w:rPr>
            </w:pPr>
            <w:r>
              <w:rPr>
                <w:rFonts w:ascii="Arial" w:cs="Arial" w:eastAsia="Arial" w:hAnsi="Arial"/>
                <w:sz w:val="14"/>
                <w:szCs w:val="14"/>
                <w:color w:val="auto"/>
              </w:rPr>
              <w:t>—</w:t>
            </w:r>
          </w:p>
        </w:tc>
      </w:tr>
      <w:tr>
        <w:trPr>
          <w:trHeight w:val="194"/>
        </w:trPr>
        <w:tc>
          <w:tcPr>
            <w:tcW w:w="1680" w:type="dxa"/>
            <w:vAlign w:val="bottom"/>
            <w:tcBorders>
              <w:right w:val="single" w:sz="8" w:color="95B3D7"/>
            </w:tcBorders>
          </w:tcPr>
          <w:p>
            <w:pPr>
              <w:ind w:left="60"/>
              <w:spacing w:after="0"/>
              <w:rPr>
                <w:sz w:val="20"/>
                <w:szCs w:val="20"/>
                <w:color w:val="auto"/>
              </w:rPr>
            </w:pPr>
            <w:r>
              <w:rPr>
                <w:rFonts w:ascii="Arial" w:cs="Arial" w:eastAsia="Arial" w:hAnsi="Arial"/>
                <w:sz w:val="14"/>
                <w:szCs w:val="14"/>
                <w:color w:val="auto"/>
              </w:rPr>
              <w:t>David Hodgson</w:t>
            </w:r>
          </w:p>
        </w:tc>
        <w:tc>
          <w:tcPr>
            <w:tcW w:w="1340" w:type="dxa"/>
            <w:vAlign w:val="bottom"/>
            <w:tcBorders>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95B3D7"/>
            </w:tcBorders>
          </w:tcPr>
          <w:p>
            <w:pPr>
              <w:jc w:val="right"/>
              <w:ind w:right="28"/>
              <w:spacing w:after="0"/>
              <w:rPr>
                <w:sz w:val="20"/>
                <w:szCs w:val="20"/>
                <w:color w:val="auto"/>
              </w:rPr>
            </w:pPr>
            <w:r>
              <w:rPr>
                <w:rFonts w:ascii="Arial" w:cs="Arial" w:eastAsia="Arial" w:hAnsi="Arial"/>
                <w:sz w:val="14"/>
                <w:szCs w:val="14"/>
                <w:color w:val="auto"/>
              </w:rPr>
              <w:t>18,710</w:t>
            </w:r>
          </w:p>
        </w:tc>
        <w:tc>
          <w:tcPr>
            <w:tcW w:w="1440" w:type="dxa"/>
            <w:vAlign w:val="bottom"/>
          </w:tcPr>
          <w:p>
            <w:pPr>
              <w:ind w:left="1220"/>
              <w:spacing w:after="0"/>
              <w:rPr>
                <w:sz w:val="20"/>
                <w:szCs w:val="20"/>
                <w:color w:val="auto"/>
              </w:rPr>
            </w:pPr>
            <w:r>
              <w:rPr>
                <w:rFonts w:ascii="Arial" w:cs="Arial" w:eastAsia="Arial" w:hAnsi="Arial"/>
                <w:sz w:val="14"/>
                <w:szCs w:val="14"/>
                <w:color w:val="auto"/>
              </w:rPr>
              <w:t>—</w:t>
            </w:r>
          </w:p>
        </w:tc>
      </w:tr>
      <w:tr>
        <w:trPr>
          <w:trHeight w:val="22"/>
        </w:trPr>
        <w:tc>
          <w:tcPr>
            <w:tcW w:w="1680" w:type="dxa"/>
            <w:vAlign w:val="bottom"/>
            <w:tcBorders>
              <w:right w:val="single" w:sz="8" w:color="95B3D7"/>
            </w:tcBorders>
          </w:tcPr>
          <w:p>
            <w:pPr>
              <w:spacing w:after="0" w:line="20" w:lineRule="exact"/>
              <w:rPr>
                <w:sz w:val="1"/>
                <w:szCs w:val="1"/>
                <w:color w:val="auto"/>
              </w:rPr>
            </w:pPr>
          </w:p>
        </w:tc>
        <w:tc>
          <w:tcPr>
            <w:tcW w:w="1340" w:type="dxa"/>
            <w:vAlign w:val="bottom"/>
            <w:tcBorders>
              <w:right w:val="single" w:sz="8" w:color="95B3D7"/>
            </w:tcBorders>
          </w:tcPr>
          <w:p>
            <w:pPr>
              <w:spacing w:after="0" w:line="20" w:lineRule="exact"/>
              <w:rPr>
                <w:sz w:val="1"/>
                <w:szCs w:val="1"/>
                <w:color w:val="auto"/>
              </w:rPr>
            </w:pPr>
          </w:p>
        </w:tc>
        <w:tc>
          <w:tcPr>
            <w:tcW w:w="1400" w:type="dxa"/>
            <w:vAlign w:val="bottom"/>
            <w:tcBorders>
              <w:right w:val="single" w:sz="8" w:color="95B3D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68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Yon Jorden</w:t>
            </w:r>
          </w:p>
        </w:tc>
        <w:tc>
          <w:tcPr>
            <w:tcW w:w="1340" w:type="dxa"/>
            <w:vAlign w:val="bottom"/>
            <w:tcBorders>
              <w:bottom w:val="single" w:sz="8" w:color="DBE5F1"/>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E5F1"/>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12,258</w:t>
            </w:r>
          </w:p>
        </w:tc>
        <w:tc>
          <w:tcPr>
            <w:tcW w:w="1440" w:type="dxa"/>
            <w:vAlign w:val="bottom"/>
            <w:tcBorders>
              <w:bottom w:val="single" w:sz="8" w:color="DBE5F1"/>
            </w:tcBorders>
            <w:shd w:val="clear" w:color="auto" w:fill="DBE5F1"/>
          </w:tcPr>
          <w:p>
            <w:pPr>
              <w:ind w:left="1220"/>
              <w:spacing w:after="0"/>
              <w:rPr>
                <w:sz w:val="20"/>
                <w:szCs w:val="20"/>
                <w:color w:val="auto"/>
              </w:rPr>
            </w:pPr>
            <w:r>
              <w:rPr>
                <w:rFonts w:ascii="Arial" w:cs="Arial" w:eastAsia="Arial" w:hAnsi="Arial"/>
                <w:sz w:val="14"/>
                <w:szCs w:val="14"/>
                <w:color w:val="auto"/>
              </w:rPr>
              <w:t>—</w:t>
            </w:r>
          </w:p>
        </w:tc>
      </w:tr>
      <w:tr>
        <w:trPr>
          <w:trHeight w:val="229"/>
        </w:trPr>
        <w:tc>
          <w:tcPr>
            <w:tcW w:w="1680" w:type="dxa"/>
            <w:vAlign w:val="bottom"/>
            <w:tcBorders>
              <w:right w:val="single" w:sz="8" w:color="95B3D7"/>
            </w:tcBorders>
          </w:tcPr>
          <w:p>
            <w:pPr>
              <w:ind w:left="60"/>
              <w:spacing w:after="0"/>
              <w:rPr>
                <w:sz w:val="20"/>
                <w:szCs w:val="20"/>
                <w:color w:val="auto"/>
              </w:rPr>
            </w:pPr>
            <w:r>
              <w:rPr>
                <w:rFonts w:ascii="Arial" w:cs="Arial" w:eastAsia="Arial" w:hAnsi="Arial"/>
                <w:sz w:val="14"/>
                <w:szCs w:val="14"/>
                <w:color w:val="auto"/>
              </w:rPr>
              <w:t>Joseph Konowiecki</w:t>
            </w:r>
          </w:p>
        </w:tc>
        <w:tc>
          <w:tcPr>
            <w:tcW w:w="1340" w:type="dxa"/>
            <w:vAlign w:val="bottom"/>
            <w:tcBorders>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95B3D7"/>
            </w:tcBorders>
          </w:tcPr>
          <w:p>
            <w:pPr>
              <w:jc w:val="right"/>
              <w:ind w:right="28"/>
              <w:spacing w:after="0"/>
              <w:rPr>
                <w:sz w:val="20"/>
                <w:szCs w:val="20"/>
                <w:color w:val="auto"/>
              </w:rPr>
            </w:pPr>
            <w:r>
              <w:rPr>
                <w:rFonts w:ascii="Arial" w:cs="Arial" w:eastAsia="Arial" w:hAnsi="Arial"/>
                <w:sz w:val="14"/>
                <w:szCs w:val="14"/>
                <w:color w:val="auto"/>
              </w:rPr>
              <w:t>125,745</w:t>
            </w:r>
          </w:p>
        </w:tc>
        <w:tc>
          <w:tcPr>
            <w:tcW w:w="1440" w:type="dxa"/>
            <w:vAlign w:val="bottom"/>
          </w:tcPr>
          <w:p>
            <w:pPr>
              <w:ind w:left="860"/>
              <w:spacing w:after="0"/>
              <w:rPr>
                <w:sz w:val="20"/>
                <w:szCs w:val="20"/>
                <w:color w:val="auto"/>
              </w:rPr>
            </w:pPr>
            <w:r>
              <w:rPr>
                <w:rFonts w:ascii="Arial" w:cs="Arial" w:eastAsia="Arial" w:hAnsi="Arial"/>
                <w:sz w:val="14"/>
                <w:szCs w:val="14"/>
                <w:color w:val="auto"/>
                <w:w w:val="97"/>
              </w:rPr>
              <w:t>35,817</w:t>
            </w:r>
            <w:r>
              <w:rPr>
                <w:rFonts w:ascii="Arial" w:cs="Arial" w:eastAsia="Arial" w:hAnsi="Arial"/>
                <w:sz w:val="18"/>
                <w:szCs w:val="18"/>
                <w:color w:val="auto"/>
                <w:w w:val="97"/>
                <w:vertAlign w:val="superscript"/>
              </w:rPr>
              <w:t>(1)</w:t>
            </w:r>
          </w:p>
        </w:tc>
      </w:tr>
      <w:tr>
        <w:trPr>
          <w:trHeight w:val="196"/>
        </w:trPr>
        <w:tc>
          <w:tcPr>
            <w:tcW w:w="168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Jacqueline Kosecoff</w:t>
            </w:r>
          </w:p>
        </w:tc>
        <w:tc>
          <w:tcPr>
            <w:tcW w:w="1340" w:type="dxa"/>
            <w:vAlign w:val="bottom"/>
            <w:tcBorders>
              <w:bottom w:val="single" w:sz="8" w:color="DBE5F1"/>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E5F1"/>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12,258</w:t>
            </w:r>
          </w:p>
        </w:tc>
        <w:tc>
          <w:tcPr>
            <w:tcW w:w="1440" w:type="dxa"/>
            <w:vAlign w:val="bottom"/>
            <w:tcBorders>
              <w:bottom w:val="single" w:sz="8" w:color="DBE5F1"/>
            </w:tcBorders>
            <w:shd w:val="clear" w:color="auto" w:fill="DBE5F1"/>
          </w:tcPr>
          <w:p>
            <w:pPr>
              <w:ind w:left="1220"/>
              <w:spacing w:after="0"/>
              <w:rPr>
                <w:sz w:val="20"/>
                <w:szCs w:val="20"/>
                <w:color w:val="auto"/>
              </w:rPr>
            </w:pPr>
            <w:r>
              <w:rPr>
                <w:rFonts w:ascii="Arial" w:cs="Arial" w:eastAsia="Arial" w:hAnsi="Arial"/>
                <w:sz w:val="14"/>
                <w:szCs w:val="14"/>
                <w:color w:val="auto"/>
              </w:rPr>
              <w:t>—</w:t>
            </w:r>
          </w:p>
        </w:tc>
      </w:tr>
      <w:tr>
        <w:trPr>
          <w:trHeight w:val="194"/>
        </w:trPr>
        <w:tc>
          <w:tcPr>
            <w:tcW w:w="1680" w:type="dxa"/>
            <w:vAlign w:val="bottom"/>
            <w:tcBorders>
              <w:right w:val="single" w:sz="8" w:color="95B3D7"/>
            </w:tcBorders>
          </w:tcPr>
          <w:p>
            <w:pPr>
              <w:ind w:left="60"/>
              <w:spacing w:after="0"/>
              <w:rPr>
                <w:sz w:val="20"/>
                <w:szCs w:val="20"/>
                <w:color w:val="auto"/>
              </w:rPr>
            </w:pPr>
            <w:r>
              <w:rPr>
                <w:rFonts w:ascii="Arial" w:cs="Arial" w:eastAsia="Arial" w:hAnsi="Arial"/>
                <w:sz w:val="14"/>
                <w:szCs w:val="14"/>
                <w:color w:val="auto"/>
              </w:rPr>
              <w:t>Margaret McCarthy</w:t>
            </w:r>
          </w:p>
        </w:tc>
        <w:tc>
          <w:tcPr>
            <w:tcW w:w="1340" w:type="dxa"/>
            <w:vAlign w:val="bottom"/>
            <w:tcBorders>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95B3D7"/>
            </w:tcBorders>
          </w:tcPr>
          <w:p>
            <w:pPr>
              <w:jc w:val="right"/>
              <w:ind w:right="28"/>
              <w:spacing w:after="0"/>
              <w:rPr>
                <w:sz w:val="20"/>
                <w:szCs w:val="20"/>
                <w:color w:val="auto"/>
              </w:rPr>
            </w:pPr>
            <w:r>
              <w:rPr>
                <w:rFonts w:ascii="Arial" w:cs="Arial" w:eastAsia="Arial" w:hAnsi="Arial"/>
                <w:sz w:val="14"/>
                <w:szCs w:val="14"/>
                <w:color w:val="auto"/>
              </w:rPr>
              <w:t>13,548</w:t>
            </w:r>
          </w:p>
        </w:tc>
        <w:tc>
          <w:tcPr>
            <w:tcW w:w="1440" w:type="dxa"/>
            <w:vAlign w:val="bottom"/>
          </w:tcPr>
          <w:p>
            <w:pPr>
              <w:ind w:left="1220"/>
              <w:spacing w:after="0"/>
              <w:rPr>
                <w:sz w:val="20"/>
                <w:szCs w:val="20"/>
                <w:color w:val="auto"/>
              </w:rPr>
            </w:pPr>
            <w:r>
              <w:rPr>
                <w:rFonts w:ascii="Arial" w:cs="Arial" w:eastAsia="Arial" w:hAnsi="Arial"/>
                <w:sz w:val="14"/>
                <w:szCs w:val="14"/>
                <w:color w:val="auto"/>
              </w:rPr>
              <w:t>—</w:t>
            </w:r>
          </w:p>
        </w:tc>
      </w:tr>
      <w:tr>
        <w:trPr>
          <w:trHeight w:val="22"/>
        </w:trPr>
        <w:tc>
          <w:tcPr>
            <w:tcW w:w="1680" w:type="dxa"/>
            <w:vAlign w:val="bottom"/>
            <w:tcBorders>
              <w:right w:val="single" w:sz="8" w:color="95B3D7"/>
            </w:tcBorders>
          </w:tcPr>
          <w:p>
            <w:pPr>
              <w:spacing w:after="0" w:line="20" w:lineRule="exact"/>
              <w:rPr>
                <w:sz w:val="1"/>
                <w:szCs w:val="1"/>
                <w:color w:val="auto"/>
              </w:rPr>
            </w:pPr>
          </w:p>
        </w:tc>
        <w:tc>
          <w:tcPr>
            <w:tcW w:w="1340" w:type="dxa"/>
            <w:vAlign w:val="bottom"/>
            <w:tcBorders>
              <w:right w:val="single" w:sz="8" w:color="95B3D7"/>
            </w:tcBorders>
          </w:tcPr>
          <w:p>
            <w:pPr>
              <w:spacing w:after="0" w:line="20" w:lineRule="exact"/>
              <w:rPr>
                <w:sz w:val="1"/>
                <w:szCs w:val="1"/>
                <w:color w:val="auto"/>
              </w:rPr>
            </w:pPr>
          </w:p>
        </w:tc>
        <w:tc>
          <w:tcPr>
            <w:tcW w:w="1400" w:type="dxa"/>
            <w:vAlign w:val="bottom"/>
            <w:tcBorders>
              <w:right w:val="single" w:sz="8" w:color="95B3D7"/>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680" w:type="dxa"/>
            <w:vAlign w:val="bottom"/>
            <w:tcBorders>
              <w:bottom w:val="single" w:sz="8" w:color="DBE5F1"/>
              <w:right w:val="single" w:sz="8" w:color="95B3D7"/>
            </w:tcBorders>
            <w:shd w:val="clear" w:color="auto" w:fill="DBE5F1"/>
          </w:tcPr>
          <w:p>
            <w:pPr>
              <w:ind w:left="60"/>
              <w:spacing w:after="0"/>
              <w:rPr>
                <w:sz w:val="20"/>
                <w:szCs w:val="20"/>
                <w:color w:val="auto"/>
              </w:rPr>
            </w:pPr>
            <w:r>
              <w:rPr>
                <w:rFonts w:ascii="Arial" w:cs="Arial" w:eastAsia="Arial" w:hAnsi="Arial"/>
                <w:sz w:val="14"/>
                <w:szCs w:val="14"/>
                <w:color w:val="auto"/>
              </w:rPr>
              <w:t>Mark McClellan</w:t>
            </w:r>
          </w:p>
        </w:tc>
        <w:tc>
          <w:tcPr>
            <w:tcW w:w="1340" w:type="dxa"/>
            <w:vAlign w:val="bottom"/>
            <w:tcBorders>
              <w:bottom w:val="single" w:sz="8" w:color="DBE5F1"/>
              <w:right w:val="single" w:sz="8" w:color="95B3D7"/>
            </w:tcBorders>
            <w:shd w:val="clear" w:color="auto" w:fill="DBE5F1"/>
          </w:tcPr>
          <w:p>
            <w:pPr>
              <w:ind w:left="110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E5F1"/>
              <w:right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12,258</w:t>
            </w:r>
          </w:p>
        </w:tc>
        <w:tc>
          <w:tcPr>
            <w:tcW w:w="1440" w:type="dxa"/>
            <w:vAlign w:val="bottom"/>
            <w:tcBorders>
              <w:bottom w:val="single" w:sz="8" w:color="DBE5F1"/>
            </w:tcBorders>
            <w:shd w:val="clear" w:color="auto" w:fill="DBE5F1"/>
          </w:tcPr>
          <w:p>
            <w:pPr>
              <w:ind w:left="1220"/>
              <w:spacing w:after="0"/>
              <w:rPr>
                <w:sz w:val="20"/>
                <w:szCs w:val="20"/>
                <w:color w:val="auto"/>
              </w:rPr>
            </w:pPr>
            <w:r>
              <w:rPr>
                <w:rFonts w:ascii="Arial" w:cs="Arial" w:eastAsia="Arial" w:hAnsi="Arial"/>
                <w:sz w:val="14"/>
                <w:szCs w:val="14"/>
                <w:color w:val="auto"/>
              </w:rPr>
              <w:t>—</w:t>
            </w:r>
          </w:p>
        </w:tc>
      </w:tr>
      <w:tr>
        <w:trPr>
          <w:trHeight w:val="195"/>
        </w:trPr>
        <w:tc>
          <w:tcPr>
            <w:tcW w:w="1680" w:type="dxa"/>
            <w:vAlign w:val="bottom"/>
            <w:tcBorders>
              <w:right w:val="single" w:sz="8" w:color="95B3D7"/>
            </w:tcBorders>
          </w:tcPr>
          <w:p>
            <w:pPr>
              <w:ind w:left="60"/>
              <w:spacing w:after="0"/>
              <w:rPr>
                <w:sz w:val="20"/>
                <w:szCs w:val="20"/>
                <w:color w:val="auto"/>
              </w:rPr>
            </w:pPr>
            <w:r>
              <w:rPr>
                <w:rFonts w:ascii="Arial" w:cs="Arial" w:eastAsia="Arial" w:hAnsi="Arial"/>
                <w:sz w:val="14"/>
                <w:szCs w:val="14"/>
                <w:color w:val="auto"/>
              </w:rPr>
              <w:t>Robbert Vorhoff</w:t>
            </w:r>
          </w:p>
        </w:tc>
        <w:tc>
          <w:tcPr>
            <w:tcW w:w="1340" w:type="dxa"/>
            <w:vAlign w:val="bottom"/>
            <w:tcBorders>
              <w:right w:val="single" w:sz="8" w:color="95B3D7"/>
            </w:tcBorders>
          </w:tcPr>
          <w:p>
            <w:pPr>
              <w:ind w:left="1100"/>
              <w:spacing w:after="0"/>
              <w:rPr>
                <w:sz w:val="20"/>
                <w:szCs w:val="20"/>
                <w:color w:val="auto"/>
              </w:rPr>
            </w:pPr>
            <w:r>
              <w:rPr>
                <w:rFonts w:ascii="Arial" w:cs="Arial" w:eastAsia="Arial" w:hAnsi="Arial"/>
                <w:sz w:val="14"/>
                <w:szCs w:val="14"/>
                <w:color w:val="auto"/>
              </w:rPr>
              <w:t>—</w:t>
            </w:r>
          </w:p>
        </w:tc>
        <w:tc>
          <w:tcPr>
            <w:tcW w:w="1400" w:type="dxa"/>
            <w:vAlign w:val="bottom"/>
            <w:tcBorders>
              <w:right w:val="single" w:sz="8" w:color="95B3D7"/>
            </w:tcBorders>
          </w:tcPr>
          <w:p>
            <w:pPr>
              <w:jc w:val="right"/>
              <w:ind w:right="28"/>
              <w:spacing w:after="0"/>
              <w:rPr>
                <w:sz w:val="20"/>
                <w:szCs w:val="20"/>
                <w:color w:val="auto"/>
              </w:rPr>
            </w:pPr>
            <w:r>
              <w:rPr>
                <w:rFonts w:ascii="Arial" w:cs="Arial" w:eastAsia="Arial" w:hAnsi="Arial"/>
                <w:sz w:val="14"/>
                <w:szCs w:val="14"/>
                <w:color w:val="auto"/>
              </w:rPr>
              <w:t>18,710</w:t>
            </w:r>
          </w:p>
        </w:tc>
        <w:tc>
          <w:tcPr>
            <w:tcW w:w="1440" w:type="dxa"/>
            <w:vAlign w:val="bottom"/>
          </w:tcPr>
          <w:p>
            <w:pPr>
              <w:ind w:left="1220"/>
              <w:spacing w:after="0"/>
              <w:rPr>
                <w:sz w:val="20"/>
                <w:szCs w:val="20"/>
                <w:color w:val="auto"/>
              </w:rPr>
            </w:pPr>
            <w:r>
              <w:rPr>
                <w:rFonts w:ascii="Arial" w:cs="Arial" w:eastAsia="Arial" w:hAnsi="Arial"/>
                <w:sz w:val="14"/>
                <w:szCs w:val="14"/>
                <w:color w:val="auto"/>
              </w:rPr>
              <w:t>—</w:t>
            </w:r>
          </w:p>
        </w:tc>
      </w:tr>
      <w:tr>
        <w:trPr>
          <w:trHeight w:val="22"/>
        </w:trPr>
        <w:tc>
          <w:tcPr>
            <w:tcW w:w="1680" w:type="dxa"/>
            <w:vAlign w:val="bottom"/>
            <w:tcBorders>
              <w:bottom w:val="single" w:sz="8" w:color="95B3D7"/>
              <w:right w:val="single" w:sz="8" w:color="95B3D7"/>
            </w:tcBorders>
          </w:tcPr>
          <w:p>
            <w:pPr>
              <w:spacing w:after="0" w:line="20" w:lineRule="exact"/>
              <w:rPr>
                <w:sz w:val="1"/>
                <w:szCs w:val="1"/>
                <w:color w:val="auto"/>
              </w:rPr>
            </w:pPr>
          </w:p>
        </w:tc>
        <w:tc>
          <w:tcPr>
            <w:tcW w:w="1340" w:type="dxa"/>
            <w:vAlign w:val="bottom"/>
            <w:tcBorders>
              <w:bottom w:val="single" w:sz="8" w:color="95B3D7"/>
              <w:right w:val="single" w:sz="8" w:color="95B3D7"/>
            </w:tcBorders>
          </w:tcPr>
          <w:p>
            <w:pPr>
              <w:spacing w:after="0" w:line="20" w:lineRule="exact"/>
              <w:rPr>
                <w:sz w:val="1"/>
                <w:szCs w:val="1"/>
                <w:color w:val="auto"/>
              </w:rPr>
            </w:pPr>
          </w:p>
        </w:tc>
        <w:tc>
          <w:tcPr>
            <w:tcW w:w="1400" w:type="dxa"/>
            <w:vAlign w:val="bottom"/>
            <w:tcBorders>
              <w:bottom w:val="single" w:sz="8" w:color="95B3D7"/>
              <w:right w:val="single" w:sz="8" w:color="95B3D7"/>
            </w:tcBorders>
          </w:tcPr>
          <w:p>
            <w:pPr>
              <w:spacing w:after="0" w:line="20" w:lineRule="exact"/>
              <w:rPr>
                <w:sz w:val="1"/>
                <w:szCs w:val="1"/>
                <w:color w:val="auto"/>
              </w:rPr>
            </w:pPr>
          </w:p>
        </w:tc>
        <w:tc>
          <w:tcPr>
            <w:tcW w:w="1440" w:type="dxa"/>
            <w:vAlign w:val="bottom"/>
            <w:tcBorders>
              <w:bottom w:val="single" w:sz="8" w:color="95B3D7"/>
            </w:tcBorders>
          </w:tcPr>
          <w:p>
            <w:pPr>
              <w:spacing w:after="0" w:line="20" w:lineRule="exact"/>
              <w:rPr>
                <w:sz w:val="1"/>
                <w:szCs w:val="1"/>
                <w:color w:val="auto"/>
              </w:rPr>
            </w:pPr>
          </w:p>
        </w:tc>
      </w:tr>
    </w:tbl>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 Represents 26,863 exercisable options and 8,954 unvested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0" w:name="page71"/>
    <w:bookmarkEnd w:id="70"/>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Pay Versus Performance</w:t>
      </w:r>
    </w:p>
    <w:p>
      <w:pPr>
        <w:spacing w:after="0" w:line="25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following table and supporting graphics below set out information regarding the Company's last five completed fiscal years, in satisfaction of Item 402(v) of Regulation S-K, which requires disclosure regarding executive “Compensation Actually Paid” or “CAP” (as calculated in accordance with SEC rules) as compared to certain Company performance measures. You should refer to the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w:t>
      </w:r>
      <w:r>
        <w:rPr>
          <w:rFonts w:ascii="Arial" w:cs="Arial" w:eastAsia="Arial" w:hAnsi="Arial"/>
          <w:sz w:val="18"/>
          <w:szCs w:val="18"/>
          <w:color w:val="auto"/>
        </w:rPr>
        <w:t>” in this proxy statement for a complete description of how executive compensation relates to Company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how the Compensation Committee makes its decisions.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Arial" w:cs="Arial" w:eastAsia="Arial" w:hAnsi="Arial"/>
          <w:sz w:val="13"/>
          <w:szCs w:val="13"/>
          <w:b w:val="1"/>
          <w:bCs w:val="1"/>
          <w:color w:val="auto"/>
        </w:rPr>
        <w:t>Summary Comp.</w:t>
      </w:r>
    </w:p>
    <w:p>
      <w:pPr>
        <w:ind w:left="1020"/>
        <w:spacing w:after="0" w:line="234" w:lineRule="auto"/>
        <w:tabs>
          <w:tab w:leader="none" w:pos="2380" w:val="left"/>
        </w:tabs>
        <w:rPr>
          <w:sz w:val="20"/>
          <w:szCs w:val="20"/>
          <w:color w:val="auto"/>
        </w:rPr>
      </w:pPr>
      <w:r>
        <w:rPr>
          <w:rFonts w:ascii="Arial" w:cs="Arial" w:eastAsia="Arial" w:hAnsi="Arial"/>
          <w:sz w:val="13"/>
          <w:szCs w:val="13"/>
          <w:b w:val="1"/>
          <w:bCs w:val="1"/>
          <w:color w:val="auto"/>
        </w:rPr>
        <w:t>Table Total for John</w:t>
      </w:r>
      <w:r>
        <w:rPr>
          <w:sz w:val="20"/>
          <w:szCs w:val="20"/>
          <w:color w:val="auto"/>
        </w:rPr>
        <w:tab/>
      </w:r>
      <w:r>
        <w:rPr>
          <w:rFonts w:ascii="Arial" w:cs="Arial" w:eastAsia="Arial" w:hAnsi="Arial"/>
          <w:sz w:val="12"/>
          <w:szCs w:val="12"/>
          <w:b w:val="1"/>
          <w:bCs w:val="1"/>
          <w:color w:val="auto"/>
        </w:rPr>
        <w:t>Comp. Actually Paid</w:t>
      </w:r>
    </w:p>
    <w:p>
      <w:pPr>
        <w:ind w:left="1440"/>
        <w:spacing w:after="0"/>
        <w:tabs>
          <w:tab w:leader="none" w:pos="2560" w:val="left"/>
        </w:tabs>
        <w:rPr>
          <w:sz w:val="20"/>
          <w:szCs w:val="20"/>
          <w:color w:val="auto"/>
        </w:rPr>
      </w:pPr>
      <w:r>
        <w:rPr>
          <w:rFonts w:ascii="Arial" w:cs="Arial" w:eastAsia="Arial" w:hAnsi="Arial"/>
          <w:sz w:val="13"/>
          <w:szCs w:val="13"/>
          <w:b w:val="1"/>
          <w:bCs w:val="1"/>
          <w:color w:val="auto"/>
        </w:rPr>
        <w:t>Kao</w:t>
      </w:r>
      <w:r>
        <w:rPr>
          <w:rFonts w:ascii="Arial" w:cs="Arial" w:eastAsia="Arial" w:hAnsi="Arial"/>
          <w:sz w:val="18"/>
          <w:szCs w:val="18"/>
          <w:b w:val="1"/>
          <w:bCs w:val="1"/>
          <w:color w:val="auto"/>
          <w:vertAlign w:val="superscript"/>
        </w:rPr>
        <w:t>(1)</w:t>
      </w:r>
      <w:r>
        <w:rPr>
          <w:sz w:val="20"/>
          <w:szCs w:val="20"/>
          <w:color w:val="auto"/>
        </w:rPr>
        <w:tab/>
      </w:r>
      <w:r>
        <w:rPr>
          <w:rFonts w:ascii="Arial" w:cs="Arial" w:eastAsia="Arial" w:hAnsi="Arial"/>
          <w:sz w:val="11"/>
          <w:szCs w:val="11"/>
          <w:b w:val="1"/>
          <w:bCs w:val="1"/>
          <w:color w:val="auto"/>
        </w:rPr>
        <w:t xml:space="preserve">to John Kao </w:t>
      </w:r>
      <w:r>
        <w:rPr>
          <w:rFonts w:ascii="Arial" w:cs="Arial" w:eastAsia="Arial" w:hAnsi="Arial"/>
          <w:sz w:val="16"/>
          <w:szCs w:val="16"/>
          <w:b w:val="1"/>
          <w:bCs w:val="1"/>
          <w:color w:val="auto"/>
          <w:vertAlign w:val="superscript"/>
        </w:rPr>
        <w:t>(2)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Year-end value of $100 invested 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3/26/2021 in: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200" w:type="dxa"/>
            <w:vAlign w:val="bottom"/>
          </w:tcPr>
          <w:p>
            <w:pPr>
              <w:jc w:val="center"/>
              <w:ind w:right="37"/>
              <w:spacing w:after="0"/>
              <w:rPr>
                <w:sz w:val="20"/>
                <w:szCs w:val="20"/>
                <w:color w:val="auto"/>
              </w:rPr>
            </w:pPr>
            <w:r>
              <w:rPr>
                <w:rFonts w:ascii="Arial" w:cs="Arial" w:eastAsia="Arial" w:hAnsi="Arial"/>
                <w:sz w:val="13"/>
                <w:szCs w:val="13"/>
                <w:b w:val="1"/>
                <w:bCs w:val="1"/>
                <w:color w:val="auto"/>
                <w:w w:val="96"/>
              </w:rPr>
              <w:t>Average Summary</w:t>
            </w:r>
          </w:p>
        </w:tc>
        <w:tc>
          <w:tcPr>
            <w:tcW w:w="1240" w:type="dxa"/>
            <w:vAlign w:val="bottom"/>
          </w:tcPr>
          <w:p>
            <w:pPr>
              <w:jc w:val="center"/>
              <w:ind w:right="63"/>
              <w:spacing w:after="0"/>
              <w:rPr>
                <w:sz w:val="20"/>
                <w:szCs w:val="20"/>
                <w:color w:val="auto"/>
              </w:rPr>
            </w:pPr>
            <w:r>
              <w:rPr>
                <w:rFonts w:ascii="Arial" w:cs="Arial" w:eastAsia="Arial" w:hAnsi="Arial"/>
                <w:sz w:val="13"/>
                <w:szCs w:val="13"/>
                <w:b w:val="1"/>
                <w:bCs w:val="1"/>
                <w:color w:val="auto"/>
                <w:w w:val="96"/>
              </w:rPr>
              <w:t>Average Comp.</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jc w:val="center"/>
              <w:ind w:right="17"/>
              <w:spacing w:after="0"/>
              <w:rPr>
                <w:sz w:val="20"/>
                <w:szCs w:val="20"/>
                <w:color w:val="auto"/>
              </w:rPr>
            </w:pPr>
            <w:r>
              <w:rPr>
                <w:rFonts w:ascii="Arial" w:cs="Arial" w:eastAsia="Arial" w:hAnsi="Arial"/>
                <w:sz w:val="13"/>
                <w:szCs w:val="13"/>
                <w:b w:val="1"/>
                <w:bCs w:val="1"/>
                <w:color w:val="auto"/>
                <w:w w:val="95"/>
              </w:rPr>
              <w:t>Comp. Table Total</w:t>
            </w:r>
          </w:p>
        </w:tc>
        <w:tc>
          <w:tcPr>
            <w:tcW w:w="1240" w:type="dxa"/>
            <w:vAlign w:val="bottom"/>
          </w:tcPr>
          <w:p>
            <w:pPr>
              <w:jc w:val="center"/>
              <w:ind w:right="43"/>
              <w:spacing w:after="0"/>
              <w:rPr>
                <w:sz w:val="20"/>
                <w:szCs w:val="20"/>
                <w:color w:val="auto"/>
              </w:rPr>
            </w:pPr>
            <w:r>
              <w:rPr>
                <w:rFonts w:ascii="Arial" w:cs="Arial" w:eastAsia="Arial" w:hAnsi="Arial"/>
                <w:sz w:val="13"/>
                <w:szCs w:val="13"/>
                <w:b w:val="1"/>
                <w:bCs w:val="1"/>
                <w:color w:val="auto"/>
                <w:w w:val="96"/>
              </w:rPr>
              <w:t>Actually Paid to</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ALHC Total</w:t>
            </w:r>
          </w:p>
        </w:tc>
        <w:tc>
          <w:tcPr>
            <w:tcW w:w="1620" w:type="dxa"/>
            <w:vAlign w:val="bottom"/>
          </w:tcPr>
          <w:p>
            <w:pPr>
              <w:jc w:val="center"/>
              <w:spacing w:after="0"/>
              <w:rPr>
                <w:sz w:val="20"/>
                <w:szCs w:val="20"/>
                <w:color w:val="auto"/>
              </w:rPr>
            </w:pPr>
            <w:r>
              <w:rPr>
                <w:rFonts w:ascii="Arial" w:cs="Arial" w:eastAsia="Arial" w:hAnsi="Arial"/>
                <w:sz w:val="13"/>
                <w:szCs w:val="13"/>
                <w:b w:val="1"/>
                <w:bCs w:val="1"/>
                <w:color w:val="auto"/>
                <w:w w:val="96"/>
              </w:rPr>
              <w:t>NASDAQ Health Care</w:t>
            </w:r>
          </w:p>
        </w:tc>
        <w:tc>
          <w:tcPr>
            <w:tcW w:w="1080" w:type="dxa"/>
            <w:vAlign w:val="bottom"/>
            <w:vMerge w:val="restart"/>
          </w:tcPr>
          <w:p>
            <w:pPr>
              <w:jc w:val="center"/>
              <w:ind w:right="22"/>
              <w:spacing w:after="0"/>
              <w:rPr>
                <w:sz w:val="20"/>
                <w:szCs w:val="20"/>
                <w:color w:val="auto"/>
              </w:rPr>
            </w:pPr>
            <w:r>
              <w:rPr>
                <w:rFonts w:ascii="Arial" w:cs="Arial" w:eastAsia="Arial" w:hAnsi="Arial"/>
                <w:sz w:val="13"/>
                <w:szCs w:val="13"/>
                <w:b w:val="1"/>
                <w:bCs w:val="1"/>
                <w:color w:val="auto"/>
                <w:w w:val="96"/>
              </w:rPr>
              <w:t>Net Income</w:t>
            </w:r>
          </w:p>
        </w:tc>
        <w:tc>
          <w:tcPr>
            <w:tcW w:w="960" w:type="dxa"/>
            <w:vAlign w:val="bottom"/>
            <w:vMerge w:val="restart"/>
          </w:tcPr>
          <w:p>
            <w:pPr>
              <w:ind w:left="220"/>
              <w:spacing w:after="0"/>
              <w:rPr>
                <w:sz w:val="20"/>
                <w:szCs w:val="20"/>
                <w:color w:val="auto"/>
              </w:rPr>
            </w:pPr>
            <w:r>
              <w:rPr>
                <w:rFonts w:ascii="Arial" w:cs="Arial" w:eastAsia="Arial" w:hAnsi="Arial"/>
                <w:sz w:val="13"/>
                <w:szCs w:val="13"/>
                <w:b w:val="1"/>
                <w:bCs w:val="1"/>
                <w:color w:val="auto"/>
                <w:w w:val="93"/>
              </w:rPr>
              <w:t>Adj. EBITDA</w:t>
            </w:r>
          </w:p>
        </w:tc>
        <w:tc>
          <w:tcPr>
            <w:tcW w:w="0" w:type="dxa"/>
            <w:vAlign w:val="bottom"/>
          </w:tcPr>
          <w:p>
            <w:pPr>
              <w:spacing w:after="0"/>
              <w:rPr>
                <w:sz w:val="1"/>
                <w:szCs w:val="1"/>
                <w:color w:val="auto"/>
              </w:rPr>
            </w:pPr>
          </w:p>
        </w:tc>
      </w:tr>
      <w:tr>
        <w:trPr>
          <w:trHeight w:val="135"/>
        </w:trPr>
        <w:tc>
          <w:tcPr>
            <w:tcW w:w="12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for Non-PEO</w:t>
            </w:r>
          </w:p>
        </w:tc>
        <w:tc>
          <w:tcPr>
            <w:tcW w:w="1240" w:type="dxa"/>
            <w:vAlign w:val="bottom"/>
          </w:tcPr>
          <w:p>
            <w:pPr>
              <w:jc w:val="center"/>
              <w:ind w:right="63"/>
              <w:spacing w:after="0" w:line="135" w:lineRule="exact"/>
              <w:rPr>
                <w:sz w:val="20"/>
                <w:szCs w:val="20"/>
                <w:color w:val="auto"/>
              </w:rPr>
            </w:pPr>
            <w:r>
              <w:rPr>
                <w:rFonts w:ascii="Arial" w:cs="Arial" w:eastAsia="Arial" w:hAnsi="Arial"/>
                <w:sz w:val="13"/>
                <w:szCs w:val="13"/>
                <w:b w:val="1"/>
                <w:bCs w:val="1"/>
                <w:color w:val="auto"/>
                <w:w w:val="95"/>
              </w:rPr>
              <w:t>Non-PEO NEOs</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Shareholder</w:t>
            </w:r>
          </w:p>
        </w:tc>
        <w:tc>
          <w:tcPr>
            <w:tcW w:w="1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Index Total</w:t>
            </w:r>
          </w:p>
        </w:tc>
        <w:tc>
          <w:tcPr>
            <w:tcW w:w="108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200" w:type="dxa"/>
            <w:vAlign w:val="bottom"/>
          </w:tcPr>
          <w:p>
            <w:pPr>
              <w:jc w:val="center"/>
              <w:ind w:right="17"/>
              <w:spacing w:after="0" w:line="181" w:lineRule="exact"/>
              <w:rPr>
                <w:sz w:val="20"/>
                <w:szCs w:val="20"/>
                <w:color w:val="auto"/>
              </w:rPr>
            </w:pPr>
            <w:r>
              <w:rPr>
                <w:rFonts w:ascii="Arial" w:cs="Arial" w:eastAsia="Arial" w:hAnsi="Arial"/>
                <w:sz w:val="13"/>
                <w:szCs w:val="13"/>
                <w:b w:val="1"/>
                <w:bCs w:val="1"/>
                <w:color w:val="auto"/>
                <w:w w:val="89"/>
              </w:rPr>
              <w:t xml:space="preserve">NEOs </w:t>
            </w:r>
            <w:r>
              <w:rPr>
                <w:rFonts w:ascii="Arial" w:cs="Arial" w:eastAsia="Arial" w:hAnsi="Arial"/>
                <w:sz w:val="18"/>
                <w:szCs w:val="18"/>
                <w:b w:val="1"/>
                <w:bCs w:val="1"/>
                <w:color w:val="auto"/>
                <w:w w:val="89"/>
                <w:vertAlign w:val="superscript"/>
              </w:rPr>
              <w:t>(3)</w:t>
            </w:r>
          </w:p>
        </w:tc>
        <w:tc>
          <w:tcPr>
            <w:tcW w:w="1240" w:type="dxa"/>
            <w:vAlign w:val="bottom"/>
          </w:tcPr>
          <w:p>
            <w:pPr>
              <w:jc w:val="center"/>
              <w:ind w:right="63"/>
              <w:spacing w:after="0"/>
              <w:rPr>
                <w:sz w:val="20"/>
                <w:szCs w:val="20"/>
                <w:color w:val="auto"/>
              </w:rPr>
            </w:pPr>
            <w:r>
              <w:rPr>
                <w:rFonts w:ascii="Arial" w:cs="Arial" w:eastAsia="Arial" w:hAnsi="Arial"/>
                <w:sz w:val="8"/>
                <w:szCs w:val="8"/>
                <w:b w:val="1"/>
                <w:bCs w:val="1"/>
                <w:color w:val="auto"/>
              </w:rPr>
              <w:t>(</w:t>
            </w:r>
            <w:r>
              <w:rPr>
                <w:rFonts w:ascii="Arial" w:cs="Arial" w:eastAsia="Arial" w:hAnsi="Arial"/>
                <w:sz w:val="9"/>
                <w:szCs w:val="9"/>
                <w:b w:val="1"/>
                <w:bCs w:val="1"/>
                <w:color w:val="auto"/>
              </w:rPr>
              <w:t>4)</w:t>
            </w:r>
          </w:p>
        </w:tc>
        <w:tc>
          <w:tcPr>
            <w:tcW w:w="1140" w:type="dxa"/>
            <w:vAlign w:val="bottom"/>
          </w:tcPr>
          <w:p>
            <w:pPr>
              <w:jc w:val="center"/>
              <w:spacing w:after="0" w:line="181" w:lineRule="exact"/>
              <w:rPr>
                <w:sz w:val="20"/>
                <w:szCs w:val="20"/>
                <w:color w:val="auto"/>
              </w:rPr>
            </w:pPr>
            <w:r>
              <w:rPr>
                <w:rFonts w:ascii="Arial" w:cs="Arial" w:eastAsia="Arial" w:hAnsi="Arial"/>
                <w:sz w:val="13"/>
                <w:szCs w:val="13"/>
                <w:b w:val="1"/>
                <w:bCs w:val="1"/>
                <w:color w:val="auto"/>
                <w:w w:val="91"/>
              </w:rPr>
              <w:t>Return</w:t>
            </w:r>
            <w:r>
              <w:rPr>
                <w:rFonts w:ascii="Arial" w:cs="Arial" w:eastAsia="Arial" w:hAnsi="Arial"/>
                <w:sz w:val="18"/>
                <w:szCs w:val="18"/>
                <w:b w:val="1"/>
                <w:bCs w:val="1"/>
                <w:color w:val="auto"/>
                <w:w w:val="91"/>
                <w:vertAlign w:val="superscript"/>
              </w:rPr>
              <w:t>(5)</w:t>
            </w:r>
          </w:p>
        </w:tc>
        <w:tc>
          <w:tcPr>
            <w:tcW w:w="1620" w:type="dxa"/>
            <w:vAlign w:val="bottom"/>
          </w:tcPr>
          <w:p>
            <w:pPr>
              <w:jc w:val="center"/>
              <w:spacing w:after="0" w:line="181" w:lineRule="exact"/>
              <w:rPr>
                <w:sz w:val="20"/>
                <w:szCs w:val="20"/>
                <w:color w:val="auto"/>
              </w:rPr>
            </w:pPr>
            <w:r>
              <w:rPr>
                <w:rFonts w:ascii="Arial" w:cs="Arial" w:eastAsia="Arial" w:hAnsi="Arial"/>
                <w:sz w:val="13"/>
                <w:szCs w:val="13"/>
                <w:b w:val="1"/>
                <w:bCs w:val="1"/>
                <w:color w:val="auto"/>
                <w:w w:val="94"/>
              </w:rPr>
              <w:t>Shareholder Return</w:t>
            </w:r>
            <w:r>
              <w:rPr>
                <w:rFonts w:ascii="Arial" w:cs="Arial" w:eastAsia="Arial" w:hAnsi="Arial"/>
                <w:sz w:val="18"/>
                <w:szCs w:val="18"/>
                <w:b w:val="1"/>
                <w:bCs w:val="1"/>
                <w:color w:val="auto"/>
                <w:w w:val="94"/>
                <w:vertAlign w:val="superscript"/>
              </w:rPr>
              <w:t>(6)</w:t>
            </w:r>
          </w:p>
        </w:tc>
        <w:tc>
          <w:tcPr>
            <w:tcW w:w="1080" w:type="dxa"/>
            <w:vAlign w:val="bottom"/>
          </w:tcPr>
          <w:p>
            <w:pPr>
              <w:jc w:val="center"/>
              <w:ind w:right="22"/>
              <w:spacing w:after="0" w:line="181" w:lineRule="exact"/>
              <w:rPr>
                <w:sz w:val="20"/>
                <w:szCs w:val="20"/>
                <w:color w:val="auto"/>
              </w:rPr>
            </w:pPr>
            <w:r>
              <w:rPr>
                <w:rFonts w:ascii="Arial" w:cs="Arial" w:eastAsia="Arial" w:hAnsi="Arial"/>
                <w:sz w:val="11"/>
                <w:szCs w:val="11"/>
                <w:b w:val="1"/>
                <w:bCs w:val="1"/>
                <w:color w:val="auto"/>
                <w:w w:val="95"/>
              </w:rPr>
              <w:t xml:space="preserve">(in millions) </w:t>
            </w:r>
            <w:r>
              <w:rPr>
                <w:rFonts w:ascii="Arial" w:cs="Arial" w:eastAsia="Arial" w:hAnsi="Arial"/>
                <w:sz w:val="18"/>
                <w:szCs w:val="18"/>
                <w:b w:val="1"/>
                <w:bCs w:val="1"/>
                <w:color w:val="auto"/>
                <w:w w:val="95"/>
                <w:vertAlign w:val="superscript"/>
              </w:rPr>
              <w:t>(7)</w:t>
            </w:r>
          </w:p>
        </w:tc>
        <w:tc>
          <w:tcPr>
            <w:tcW w:w="960" w:type="dxa"/>
            <w:vAlign w:val="bottom"/>
          </w:tcPr>
          <w:p>
            <w:pPr>
              <w:ind w:left="220"/>
              <w:spacing w:after="0" w:line="181" w:lineRule="exact"/>
              <w:rPr>
                <w:sz w:val="20"/>
                <w:szCs w:val="20"/>
                <w:color w:val="auto"/>
              </w:rPr>
            </w:pPr>
            <w:r>
              <w:rPr>
                <w:rFonts w:ascii="Arial" w:cs="Arial" w:eastAsia="Arial" w:hAnsi="Arial"/>
                <w:sz w:val="11"/>
                <w:szCs w:val="11"/>
                <w:b w:val="1"/>
                <w:bCs w:val="1"/>
                <w:color w:val="auto"/>
                <w:w w:val="90"/>
              </w:rPr>
              <w:t xml:space="preserve">(in millions) </w:t>
            </w:r>
            <w:r>
              <w:rPr>
                <w:rFonts w:ascii="Arial" w:cs="Arial" w:eastAsia="Arial" w:hAnsi="Arial"/>
                <w:sz w:val="18"/>
                <w:szCs w:val="18"/>
                <w:b w:val="1"/>
                <w:bCs w:val="1"/>
                <w:color w:val="auto"/>
                <w:w w:val="90"/>
                <w:vertAlign w:val="superscript"/>
              </w:rPr>
              <w:t>(8)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620" w:space="140"/>
            <w:col w:w="74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Year</w:t>
            </w:r>
          </w:p>
        </w:tc>
        <w:tc>
          <w:tcPr>
            <w:tcW w:w="168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w:t>
            </w:r>
          </w:p>
        </w:tc>
        <w:tc>
          <w:tcPr>
            <w:tcW w:w="1640" w:type="dxa"/>
            <w:vAlign w:val="bottom"/>
          </w:tcPr>
          <w:p>
            <w:pPr>
              <w:jc w:val="center"/>
              <w:ind w:right="148"/>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54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ind w:right="4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227"/>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w:t>
            </w:r>
          </w:p>
        </w:tc>
        <w:tc>
          <w:tcPr>
            <w:tcW w:w="168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(b)</w:t>
            </w:r>
          </w:p>
        </w:tc>
        <w:tc>
          <w:tcPr>
            <w:tcW w:w="16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(c)</w:t>
            </w:r>
          </w:p>
        </w:tc>
        <w:tc>
          <w:tcPr>
            <w:tcW w:w="7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(d)</w:t>
            </w:r>
          </w:p>
        </w:tc>
        <w:tc>
          <w:tcPr>
            <w:tcW w:w="154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(e)</w:t>
            </w:r>
          </w:p>
        </w:tc>
        <w:tc>
          <w:tcPr>
            <w:tcW w:w="12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(f)</w:t>
            </w:r>
          </w:p>
        </w:tc>
        <w:tc>
          <w:tcPr>
            <w:tcW w:w="13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(g)</w:t>
            </w:r>
          </w:p>
        </w:tc>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(h)</w:t>
            </w:r>
          </w:p>
        </w:tc>
        <w:tc>
          <w:tcPr>
            <w:tcW w:w="11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(i)</w:t>
            </w:r>
          </w:p>
        </w:tc>
      </w:tr>
      <w:tr>
        <w:trPr>
          <w:trHeight w:val="200"/>
        </w:trPr>
        <w:tc>
          <w:tcPr>
            <w:tcW w:w="6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2025</w:t>
            </w:r>
          </w:p>
        </w:tc>
        <w:tc>
          <w:tcPr>
            <w:tcW w:w="1680" w:type="dxa"/>
            <w:vAlign w:val="bottom"/>
            <w:shd w:val="clear" w:color="auto" w:fill="DBE5F1"/>
          </w:tcPr>
          <w:p>
            <w:pPr>
              <w:jc w:val="center"/>
              <w:ind w:left="248"/>
              <w:spacing w:after="0"/>
              <w:rPr>
                <w:sz w:val="20"/>
                <w:szCs w:val="20"/>
                <w:color w:val="auto"/>
              </w:rPr>
            </w:pPr>
            <w:r>
              <w:rPr>
                <w:rFonts w:ascii="Arial" w:cs="Arial" w:eastAsia="Arial" w:hAnsi="Arial"/>
                <w:sz w:val="14"/>
                <w:szCs w:val="14"/>
                <w:color w:val="auto"/>
              </w:rPr>
              <w:t>11,278,569</w:t>
            </w:r>
          </w:p>
        </w:tc>
        <w:tc>
          <w:tcPr>
            <w:tcW w:w="1640" w:type="dxa"/>
            <w:vAlign w:val="bottom"/>
            <w:shd w:val="clear" w:color="auto" w:fill="DBE5F1"/>
          </w:tcPr>
          <w:p>
            <w:pPr>
              <w:jc w:val="center"/>
              <w:ind w:right="168"/>
              <w:spacing w:after="0"/>
              <w:rPr>
                <w:sz w:val="20"/>
                <w:szCs w:val="20"/>
                <w:color w:val="auto"/>
              </w:rPr>
            </w:pPr>
            <w:r>
              <w:rPr>
                <w:rFonts w:ascii="Arial" w:cs="Arial" w:eastAsia="Arial" w:hAnsi="Arial"/>
                <w:sz w:val="14"/>
                <w:szCs w:val="14"/>
                <w:color w:val="auto"/>
              </w:rPr>
              <w:t>52,285,309</w:t>
            </w:r>
          </w:p>
        </w:tc>
        <w:tc>
          <w:tcPr>
            <w:tcW w:w="74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3,567,181</w:t>
            </w:r>
          </w:p>
        </w:tc>
        <w:tc>
          <w:tcPr>
            <w:tcW w:w="1540" w:type="dxa"/>
            <w:vAlign w:val="bottom"/>
            <w:shd w:val="clear" w:color="auto" w:fill="DBE5F1"/>
          </w:tcPr>
          <w:p>
            <w:pPr>
              <w:jc w:val="center"/>
              <w:ind w:left="68"/>
              <w:spacing w:after="0"/>
              <w:rPr>
                <w:sz w:val="20"/>
                <w:szCs w:val="20"/>
                <w:color w:val="auto"/>
              </w:rPr>
            </w:pPr>
            <w:r>
              <w:rPr>
                <w:rFonts w:ascii="Arial" w:cs="Arial" w:eastAsia="Arial" w:hAnsi="Arial"/>
                <w:sz w:val="14"/>
                <w:szCs w:val="14"/>
                <w:color w:val="auto"/>
              </w:rPr>
              <w:t>11,082,021</w:t>
            </w:r>
          </w:p>
        </w:tc>
        <w:tc>
          <w:tcPr>
            <w:tcW w:w="1260" w:type="dxa"/>
            <w:vAlign w:val="bottom"/>
            <w:shd w:val="clear" w:color="auto" w:fill="DBE5F1"/>
          </w:tcPr>
          <w:p>
            <w:pPr>
              <w:jc w:val="center"/>
              <w:ind w:right="48"/>
              <w:spacing w:after="0"/>
              <w:rPr>
                <w:sz w:val="20"/>
                <w:szCs w:val="20"/>
                <w:color w:val="auto"/>
              </w:rPr>
            </w:pPr>
            <w:r>
              <w:rPr>
                <w:rFonts w:ascii="Arial" w:cs="Arial" w:eastAsia="Arial" w:hAnsi="Arial"/>
                <w:sz w:val="14"/>
                <w:szCs w:val="14"/>
                <w:color w:val="auto"/>
                <w:w w:val="97"/>
              </w:rPr>
              <w:t>114.10</w:t>
            </w:r>
          </w:p>
        </w:tc>
        <w:tc>
          <w:tcPr>
            <w:tcW w:w="1320" w:type="dxa"/>
            <w:vAlign w:val="bottom"/>
            <w:shd w:val="clear" w:color="auto" w:fill="DBE5F1"/>
          </w:tcPr>
          <w:p>
            <w:pPr>
              <w:jc w:val="center"/>
              <w:ind w:left="8"/>
              <w:spacing w:after="0"/>
              <w:rPr>
                <w:sz w:val="20"/>
                <w:szCs w:val="20"/>
                <w:color w:val="auto"/>
              </w:rPr>
            </w:pPr>
            <w:r>
              <w:rPr>
                <w:rFonts w:ascii="Arial" w:cs="Arial" w:eastAsia="Arial" w:hAnsi="Arial"/>
                <w:sz w:val="14"/>
                <w:szCs w:val="14"/>
                <w:color w:val="auto"/>
              </w:rPr>
              <w:t>100.74</w:t>
            </w:r>
          </w:p>
        </w:tc>
        <w:tc>
          <w:tcPr>
            <w:tcW w:w="126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8"/>
              </w:rPr>
              <w:t>(1.00)</w:t>
            </w:r>
          </w:p>
        </w:tc>
        <w:tc>
          <w:tcPr>
            <w:tcW w:w="118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109.90</w:t>
            </w:r>
          </w:p>
        </w:tc>
      </w:tr>
      <w:tr>
        <w:trPr>
          <w:trHeight w:val="198"/>
        </w:trPr>
        <w:tc>
          <w:tcPr>
            <w:tcW w:w="620" w:type="dxa"/>
            <w:vAlign w:val="bottom"/>
          </w:tcPr>
          <w:p>
            <w:pPr>
              <w:jc w:val="right"/>
              <w:spacing w:after="0"/>
              <w:rPr>
                <w:sz w:val="20"/>
                <w:szCs w:val="20"/>
                <w:color w:val="auto"/>
              </w:rPr>
            </w:pPr>
            <w:r>
              <w:rPr>
                <w:rFonts w:ascii="Arial" w:cs="Arial" w:eastAsia="Arial" w:hAnsi="Arial"/>
                <w:sz w:val="14"/>
                <w:szCs w:val="14"/>
                <w:color w:val="auto"/>
              </w:rPr>
              <w:t>2024</w:t>
            </w:r>
          </w:p>
        </w:tc>
        <w:tc>
          <w:tcPr>
            <w:tcW w:w="1680" w:type="dxa"/>
            <w:vAlign w:val="bottom"/>
          </w:tcPr>
          <w:p>
            <w:pPr>
              <w:jc w:val="center"/>
              <w:ind w:left="248"/>
              <w:spacing w:after="0"/>
              <w:rPr>
                <w:sz w:val="20"/>
                <w:szCs w:val="20"/>
                <w:color w:val="auto"/>
              </w:rPr>
            </w:pPr>
            <w:r>
              <w:rPr>
                <w:rFonts w:ascii="Arial" w:cs="Arial" w:eastAsia="Arial" w:hAnsi="Arial"/>
                <w:sz w:val="14"/>
                <w:szCs w:val="14"/>
                <w:color w:val="auto"/>
              </w:rPr>
              <w:t>6,369,165</w:t>
            </w:r>
          </w:p>
        </w:tc>
        <w:tc>
          <w:tcPr>
            <w:tcW w:w="1640" w:type="dxa"/>
            <w:vAlign w:val="bottom"/>
          </w:tcPr>
          <w:p>
            <w:pPr>
              <w:jc w:val="center"/>
              <w:ind w:right="168"/>
              <w:spacing w:after="0"/>
              <w:rPr>
                <w:sz w:val="20"/>
                <w:szCs w:val="20"/>
                <w:color w:val="auto"/>
              </w:rPr>
            </w:pPr>
            <w:r>
              <w:rPr>
                <w:rFonts w:ascii="Arial" w:cs="Arial" w:eastAsia="Arial" w:hAnsi="Arial"/>
                <w:sz w:val="14"/>
                <w:szCs w:val="14"/>
                <w:color w:val="auto"/>
              </w:rPr>
              <w:t>25,237,077</w:t>
            </w:r>
          </w:p>
        </w:tc>
        <w:tc>
          <w:tcPr>
            <w:tcW w:w="740" w:type="dxa"/>
            <w:vAlign w:val="bottom"/>
          </w:tcPr>
          <w:p>
            <w:pPr>
              <w:jc w:val="center"/>
              <w:spacing w:after="0"/>
              <w:rPr>
                <w:sz w:val="20"/>
                <w:szCs w:val="20"/>
                <w:color w:val="auto"/>
              </w:rPr>
            </w:pPr>
            <w:r>
              <w:rPr>
                <w:rFonts w:ascii="Arial" w:cs="Arial" w:eastAsia="Arial" w:hAnsi="Arial"/>
                <w:sz w:val="14"/>
                <w:szCs w:val="14"/>
                <w:color w:val="auto"/>
              </w:rPr>
              <w:t>2,715,002</w:t>
            </w:r>
          </w:p>
        </w:tc>
        <w:tc>
          <w:tcPr>
            <w:tcW w:w="1540" w:type="dxa"/>
            <w:vAlign w:val="bottom"/>
          </w:tcPr>
          <w:p>
            <w:pPr>
              <w:jc w:val="center"/>
              <w:ind w:left="68"/>
              <w:spacing w:after="0"/>
              <w:rPr>
                <w:sz w:val="20"/>
                <w:szCs w:val="20"/>
                <w:color w:val="auto"/>
              </w:rPr>
            </w:pPr>
            <w:r>
              <w:rPr>
                <w:rFonts w:ascii="Arial" w:cs="Arial" w:eastAsia="Arial" w:hAnsi="Arial"/>
                <w:sz w:val="14"/>
                <w:szCs w:val="14"/>
                <w:color w:val="auto"/>
              </w:rPr>
              <w:t>7,114,604</w:t>
            </w:r>
          </w:p>
        </w:tc>
        <w:tc>
          <w:tcPr>
            <w:tcW w:w="1260" w:type="dxa"/>
            <w:vAlign w:val="bottom"/>
          </w:tcPr>
          <w:p>
            <w:pPr>
              <w:jc w:val="center"/>
              <w:ind w:right="68"/>
              <w:spacing w:after="0"/>
              <w:rPr>
                <w:sz w:val="20"/>
                <w:szCs w:val="20"/>
                <w:color w:val="auto"/>
              </w:rPr>
            </w:pPr>
            <w:r>
              <w:rPr>
                <w:rFonts w:ascii="Arial" w:cs="Arial" w:eastAsia="Arial" w:hAnsi="Arial"/>
                <w:sz w:val="14"/>
                <w:szCs w:val="14"/>
                <w:color w:val="auto"/>
              </w:rPr>
              <w:t>64.99</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82.17</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(128.07)</w:t>
            </w:r>
          </w:p>
        </w:tc>
        <w:tc>
          <w:tcPr>
            <w:tcW w:w="1180" w:type="dxa"/>
            <w:vAlign w:val="bottom"/>
          </w:tcPr>
          <w:p>
            <w:pPr>
              <w:jc w:val="center"/>
              <w:spacing w:after="0"/>
              <w:rPr>
                <w:sz w:val="20"/>
                <w:szCs w:val="20"/>
                <w:color w:val="auto"/>
              </w:rPr>
            </w:pPr>
            <w:r>
              <w:rPr>
                <w:rFonts w:ascii="Arial" w:cs="Arial" w:eastAsia="Arial" w:hAnsi="Arial"/>
                <w:sz w:val="14"/>
                <w:szCs w:val="14"/>
                <w:color w:val="auto"/>
              </w:rPr>
              <w:t>1.34</w:t>
            </w:r>
          </w:p>
        </w:tc>
      </w:tr>
      <w:tr>
        <w:trPr>
          <w:trHeight w:val="207"/>
        </w:trPr>
        <w:tc>
          <w:tcPr>
            <w:tcW w:w="620" w:type="dxa"/>
            <w:vAlign w:val="bottom"/>
            <w:shd w:val="clear" w:color="auto" w:fill="DBE5F1"/>
          </w:tcPr>
          <w:p>
            <w:pPr>
              <w:jc w:val="right"/>
              <w:spacing w:after="0"/>
              <w:rPr>
                <w:sz w:val="20"/>
                <w:szCs w:val="20"/>
                <w:color w:val="auto"/>
              </w:rPr>
            </w:pPr>
            <w:r>
              <w:rPr>
                <w:rFonts w:ascii="Arial" w:cs="Arial" w:eastAsia="Arial" w:hAnsi="Arial"/>
                <w:sz w:val="14"/>
                <w:szCs w:val="14"/>
                <w:color w:val="auto"/>
              </w:rPr>
              <w:t>2023</w:t>
            </w:r>
          </w:p>
        </w:tc>
        <w:tc>
          <w:tcPr>
            <w:tcW w:w="1680" w:type="dxa"/>
            <w:vAlign w:val="bottom"/>
            <w:shd w:val="clear" w:color="auto" w:fill="DBE5F1"/>
          </w:tcPr>
          <w:p>
            <w:pPr>
              <w:jc w:val="center"/>
              <w:ind w:left="248"/>
              <w:spacing w:after="0"/>
              <w:rPr>
                <w:sz w:val="20"/>
                <w:szCs w:val="20"/>
                <w:color w:val="auto"/>
              </w:rPr>
            </w:pPr>
            <w:r>
              <w:rPr>
                <w:rFonts w:ascii="Arial" w:cs="Arial" w:eastAsia="Arial" w:hAnsi="Arial"/>
                <w:sz w:val="14"/>
                <w:szCs w:val="14"/>
                <w:color w:val="auto"/>
              </w:rPr>
              <w:t>14,296,476</w:t>
            </w:r>
          </w:p>
        </w:tc>
        <w:tc>
          <w:tcPr>
            <w:tcW w:w="1640" w:type="dxa"/>
            <w:vAlign w:val="bottom"/>
            <w:shd w:val="clear" w:color="auto" w:fill="DBE5F1"/>
          </w:tcPr>
          <w:p>
            <w:pPr>
              <w:jc w:val="center"/>
              <w:ind w:right="148"/>
              <w:spacing w:after="0"/>
              <w:rPr>
                <w:sz w:val="20"/>
                <w:szCs w:val="20"/>
                <w:color w:val="auto"/>
              </w:rPr>
            </w:pPr>
            <w:r>
              <w:rPr>
                <w:rFonts w:ascii="Arial" w:cs="Arial" w:eastAsia="Arial" w:hAnsi="Arial"/>
                <w:sz w:val="14"/>
                <w:szCs w:val="14"/>
                <w:color w:val="auto"/>
              </w:rPr>
              <w:t>(2,674,822)</w:t>
            </w:r>
          </w:p>
        </w:tc>
        <w:tc>
          <w:tcPr>
            <w:tcW w:w="74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4,760,449</w:t>
            </w:r>
          </w:p>
        </w:tc>
        <w:tc>
          <w:tcPr>
            <w:tcW w:w="1540" w:type="dxa"/>
            <w:vAlign w:val="bottom"/>
            <w:shd w:val="clear" w:color="auto" w:fill="DBE5F1"/>
          </w:tcPr>
          <w:p>
            <w:pPr>
              <w:jc w:val="center"/>
              <w:ind w:left="68"/>
              <w:spacing w:after="0"/>
              <w:rPr>
                <w:sz w:val="20"/>
                <w:szCs w:val="20"/>
                <w:color w:val="auto"/>
              </w:rPr>
            </w:pPr>
            <w:r>
              <w:rPr>
                <w:rFonts w:ascii="Arial" w:cs="Arial" w:eastAsia="Arial" w:hAnsi="Arial"/>
                <w:sz w:val="14"/>
                <w:szCs w:val="14"/>
                <w:color w:val="auto"/>
              </w:rPr>
              <w:t>1,769,823</w:t>
            </w:r>
          </w:p>
        </w:tc>
        <w:tc>
          <w:tcPr>
            <w:tcW w:w="1260" w:type="dxa"/>
            <w:vAlign w:val="bottom"/>
            <w:shd w:val="clear" w:color="auto" w:fill="DBE5F1"/>
          </w:tcPr>
          <w:p>
            <w:pPr>
              <w:jc w:val="center"/>
              <w:ind w:right="68"/>
              <w:spacing w:after="0"/>
              <w:rPr>
                <w:sz w:val="20"/>
                <w:szCs w:val="20"/>
                <w:color w:val="auto"/>
              </w:rPr>
            </w:pPr>
            <w:r>
              <w:rPr>
                <w:rFonts w:ascii="Arial" w:cs="Arial" w:eastAsia="Arial" w:hAnsi="Arial"/>
                <w:sz w:val="14"/>
                <w:szCs w:val="14"/>
                <w:color w:val="auto"/>
              </w:rPr>
              <w:t>49.74</w:t>
            </w:r>
          </w:p>
        </w:tc>
        <w:tc>
          <w:tcPr>
            <w:tcW w:w="1320" w:type="dxa"/>
            <w:vAlign w:val="bottom"/>
            <w:shd w:val="clear" w:color="auto" w:fill="DBE5F1"/>
          </w:tcPr>
          <w:p>
            <w:pPr>
              <w:jc w:val="center"/>
              <w:ind w:left="8"/>
              <w:spacing w:after="0"/>
              <w:rPr>
                <w:sz w:val="20"/>
                <w:szCs w:val="20"/>
                <w:color w:val="auto"/>
              </w:rPr>
            </w:pPr>
            <w:r>
              <w:rPr>
                <w:rFonts w:ascii="Arial" w:cs="Arial" w:eastAsia="Arial" w:hAnsi="Arial"/>
                <w:sz w:val="14"/>
                <w:szCs w:val="14"/>
                <w:color w:val="auto"/>
              </w:rPr>
              <w:t>82.87</w:t>
            </w:r>
          </w:p>
        </w:tc>
        <w:tc>
          <w:tcPr>
            <w:tcW w:w="1260" w:type="dxa"/>
            <w:vAlign w:val="bottom"/>
            <w:shd w:val="clear" w:color="auto" w:fill="DBE5F1"/>
          </w:tcPr>
          <w:p>
            <w:pPr>
              <w:jc w:val="center"/>
              <w:spacing w:after="0"/>
              <w:rPr>
                <w:sz w:val="20"/>
                <w:szCs w:val="20"/>
                <w:color w:val="auto"/>
              </w:rPr>
            </w:pPr>
            <w:r>
              <w:rPr>
                <w:rFonts w:ascii="Arial" w:cs="Arial" w:eastAsia="Arial" w:hAnsi="Arial"/>
                <w:sz w:val="14"/>
                <w:szCs w:val="14"/>
                <w:color w:val="auto"/>
                <w:w w:val="99"/>
              </w:rPr>
              <w:t>(148.17)</w:t>
            </w:r>
          </w:p>
        </w:tc>
        <w:tc>
          <w:tcPr>
            <w:tcW w:w="118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(35.3)</w:t>
            </w:r>
          </w:p>
        </w:tc>
      </w:tr>
      <w:tr>
        <w:trPr>
          <w:trHeight w:val="198"/>
        </w:trPr>
        <w:tc>
          <w:tcPr>
            <w:tcW w:w="620" w:type="dxa"/>
            <w:vAlign w:val="bottom"/>
          </w:tcPr>
          <w:p>
            <w:pPr>
              <w:jc w:val="right"/>
              <w:spacing w:after="0"/>
              <w:rPr>
                <w:sz w:val="20"/>
                <w:szCs w:val="20"/>
                <w:color w:val="auto"/>
              </w:rPr>
            </w:pPr>
            <w:r>
              <w:rPr>
                <w:rFonts w:ascii="Arial" w:cs="Arial" w:eastAsia="Arial" w:hAnsi="Arial"/>
                <w:sz w:val="14"/>
                <w:szCs w:val="14"/>
                <w:color w:val="auto"/>
              </w:rPr>
              <w:t>2022</w:t>
            </w:r>
          </w:p>
        </w:tc>
        <w:tc>
          <w:tcPr>
            <w:tcW w:w="1680" w:type="dxa"/>
            <w:vAlign w:val="bottom"/>
          </w:tcPr>
          <w:p>
            <w:pPr>
              <w:jc w:val="center"/>
              <w:ind w:left="248"/>
              <w:spacing w:after="0"/>
              <w:rPr>
                <w:sz w:val="20"/>
                <w:szCs w:val="20"/>
                <w:color w:val="auto"/>
              </w:rPr>
            </w:pPr>
            <w:r>
              <w:rPr>
                <w:rFonts w:ascii="Arial" w:cs="Arial" w:eastAsia="Arial" w:hAnsi="Arial"/>
                <w:sz w:val="14"/>
                <w:szCs w:val="14"/>
                <w:color w:val="auto"/>
              </w:rPr>
              <w:t>34,070,592</w:t>
            </w:r>
          </w:p>
        </w:tc>
        <w:tc>
          <w:tcPr>
            <w:tcW w:w="1640" w:type="dxa"/>
            <w:vAlign w:val="bottom"/>
          </w:tcPr>
          <w:p>
            <w:pPr>
              <w:jc w:val="center"/>
              <w:ind w:right="168"/>
              <w:spacing w:after="0"/>
              <w:rPr>
                <w:sz w:val="20"/>
                <w:szCs w:val="20"/>
                <w:color w:val="auto"/>
              </w:rPr>
            </w:pPr>
            <w:r>
              <w:rPr>
                <w:rFonts w:ascii="Arial" w:cs="Arial" w:eastAsia="Arial" w:hAnsi="Arial"/>
                <w:sz w:val="14"/>
                <w:szCs w:val="14"/>
                <w:color w:val="auto"/>
              </w:rPr>
              <w:t>25,813,278</w:t>
            </w:r>
          </w:p>
        </w:tc>
        <w:tc>
          <w:tcPr>
            <w:tcW w:w="740" w:type="dxa"/>
            <w:vAlign w:val="bottom"/>
          </w:tcPr>
          <w:p>
            <w:pPr>
              <w:jc w:val="center"/>
              <w:spacing w:after="0"/>
              <w:rPr>
                <w:sz w:val="20"/>
                <w:szCs w:val="20"/>
                <w:color w:val="auto"/>
              </w:rPr>
            </w:pPr>
            <w:r>
              <w:rPr>
                <w:rFonts w:ascii="Arial" w:cs="Arial" w:eastAsia="Arial" w:hAnsi="Arial"/>
                <w:sz w:val="14"/>
                <w:szCs w:val="14"/>
                <w:color w:val="auto"/>
              </w:rPr>
              <w:t>7,327,470</w:t>
            </w:r>
          </w:p>
        </w:tc>
        <w:tc>
          <w:tcPr>
            <w:tcW w:w="1540" w:type="dxa"/>
            <w:vAlign w:val="bottom"/>
          </w:tcPr>
          <w:p>
            <w:pPr>
              <w:jc w:val="center"/>
              <w:ind w:left="68"/>
              <w:spacing w:after="0"/>
              <w:rPr>
                <w:sz w:val="20"/>
                <w:szCs w:val="20"/>
                <w:color w:val="auto"/>
              </w:rPr>
            </w:pPr>
            <w:r>
              <w:rPr>
                <w:rFonts w:ascii="Arial" w:cs="Arial" w:eastAsia="Arial" w:hAnsi="Arial"/>
                <w:sz w:val="14"/>
                <w:szCs w:val="14"/>
                <w:color w:val="auto"/>
              </w:rPr>
              <w:t>5,661,779</w:t>
            </w:r>
          </w:p>
        </w:tc>
        <w:tc>
          <w:tcPr>
            <w:tcW w:w="1260" w:type="dxa"/>
            <w:vAlign w:val="bottom"/>
          </w:tcPr>
          <w:p>
            <w:pPr>
              <w:jc w:val="center"/>
              <w:ind w:right="68"/>
              <w:spacing w:after="0"/>
              <w:rPr>
                <w:sz w:val="20"/>
                <w:szCs w:val="20"/>
                <w:color w:val="auto"/>
              </w:rPr>
            </w:pPr>
            <w:r>
              <w:rPr>
                <w:rFonts w:ascii="Arial" w:cs="Arial" w:eastAsia="Arial" w:hAnsi="Arial"/>
                <w:sz w:val="14"/>
                <w:szCs w:val="14"/>
                <w:color w:val="auto"/>
              </w:rPr>
              <w:t>67.94</w:t>
            </w:r>
          </w:p>
        </w:tc>
        <w:tc>
          <w:tcPr>
            <w:tcW w:w="1320" w:type="dxa"/>
            <w:vAlign w:val="bottom"/>
          </w:tcPr>
          <w:p>
            <w:pPr>
              <w:jc w:val="center"/>
              <w:ind w:left="8"/>
              <w:spacing w:after="0"/>
              <w:rPr>
                <w:sz w:val="20"/>
                <w:szCs w:val="20"/>
                <w:color w:val="auto"/>
              </w:rPr>
            </w:pPr>
            <w:r>
              <w:rPr>
                <w:rFonts w:ascii="Arial" w:cs="Arial" w:eastAsia="Arial" w:hAnsi="Arial"/>
                <w:sz w:val="14"/>
                <w:szCs w:val="14"/>
                <w:color w:val="auto"/>
              </w:rPr>
              <w:t>77.79</w:t>
            </w:r>
          </w:p>
        </w:tc>
        <w:tc>
          <w:tcPr>
            <w:tcW w:w="1260" w:type="dxa"/>
            <w:vAlign w:val="bottom"/>
          </w:tcPr>
          <w:p>
            <w:pPr>
              <w:jc w:val="center"/>
              <w:spacing w:after="0"/>
              <w:rPr>
                <w:sz w:val="20"/>
                <w:szCs w:val="20"/>
                <w:color w:val="auto"/>
              </w:rPr>
            </w:pPr>
            <w:r>
              <w:rPr>
                <w:rFonts w:ascii="Arial" w:cs="Arial" w:eastAsia="Arial" w:hAnsi="Arial"/>
                <w:sz w:val="14"/>
                <w:szCs w:val="14"/>
                <w:color w:val="auto"/>
                <w:w w:val="99"/>
              </w:rPr>
              <w:t>(149.6)</w:t>
            </w:r>
          </w:p>
        </w:tc>
        <w:tc>
          <w:tcPr>
            <w:tcW w:w="1180" w:type="dxa"/>
            <w:vAlign w:val="bottom"/>
          </w:tcPr>
          <w:p>
            <w:pPr>
              <w:jc w:val="center"/>
              <w:spacing w:after="0"/>
              <w:rPr>
                <w:sz w:val="20"/>
                <w:szCs w:val="20"/>
                <w:color w:val="auto"/>
              </w:rPr>
            </w:pPr>
            <w:r>
              <w:rPr>
                <w:rFonts w:ascii="Arial" w:cs="Arial" w:eastAsia="Arial" w:hAnsi="Arial"/>
                <w:sz w:val="14"/>
                <w:szCs w:val="14"/>
                <w:color w:val="auto"/>
              </w:rPr>
              <w:t>(26.7)</w:t>
            </w:r>
          </w:p>
        </w:tc>
      </w:tr>
      <w:tr>
        <w:trPr>
          <w:trHeight w:val="213"/>
        </w:trPr>
        <w:tc>
          <w:tcPr>
            <w:tcW w:w="620" w:type="dxa"/>
            <w:vAlign w:val="bottom"/>
            <w:tcBorders>
              <w:bottom w:val="single" w:sz="8" w:color="DBE5F1"/>
            </w:tcBorders>
            <w:shd w:val="clear" w:color="auto" w:fill="DBE5F1"/>
          </w:tcPr>
          <w:p>
            <w:pPr>
              <w:jc w:val="right"/>
              <w:spacing w:after="0"/>
              <w:rPr>
                <w:sz w:val="20"/>
                <w:szCs w:val="20"/>
                <w:color w:val="auto"/>
              </w:rPr>
            </w:pPr>
            <w:r>
              <w:rPr>
                <w:rFonts w:ascii="Arial" w:cs="Arial" w:eastAsia="Arial" w:hAnsi="Arial"/>
                <w:sz w:val="14"/>
                <w:szCs w:val="14"/>
                <w:color w:val="auto"/>
                <w:shd w:val="clear" w:color="auto" w:fill="DBE5F1"/>
              </w:rPr>
              <w:t>2021</w:t>
            </w:r>
          </w:p>
        </w:tc>
        <w:tc>
          <w:tcPr>
            <w:tcW w:w="1680" w:type="dxa"/>
            <w:vAlign w:val="bottom"/>
            <w:tcBorders>
              <w:bottom w:val="single" w:sz="8" w:color="DBE5F1"/>
            </w:tcBorders>
            <w:shd w:val="clear" w:color="auto" w:fill="DBE5F1"/>
          </w:tcPr>
          <w:p>
            <w:pPr>
              <w:jc w:val="center"/>
              <w:ind w:left="248"/>
              <w:spacing w:after="0"/>
              <w:rPr>
                <w:sz w:val="20"/>
                <w:szCs w:val="20"/>
                <w:color w:val="auto"/>
              </w:rPr>
            </w:pPr>
            <w:r>
              <w:rPr>
                <w:rFonts w:ascii="Arial" w:cs="Arial" w:eastAsia="Arial" w:hAnsi="Arial"/>
                <w:sz w:val="14"/>
                <w:szCs w:val="14"/>
                <w:color w:val="auto"/>
                <w:shd w:val="clear" w:color="auto" w:fill="DBE5F1"/>
              </w:rPr>
              <w:t>45,998,851</w:t>
            </w:r>
          </w:p>
        </w:tc>
        <w:tc>
          <w:tcPr>
            <w:tcW w:w="1640" w:type="dxa"/>
            <w:vAlign w:val="bottom"/>
            <w:tcBorders>
              <w:bottom w:val="single" w:sz="8" w:color="DBE5F1"/>
            </w:tcBorders>
            <w:shd w:val="clear" w:color="auto" w:fill="DBE5F1"/>
          </w:tcPr>
          <w:p>
            <w:pPr>
              <w:jc w:val="center"/>
              <w:ind w:right="168"/>
              <w:spacing w:after="0"/>
              <w:rPr>
                <w:sz w:val="20"/>
                <w:szCs w:val="20"/>
                <w:color w:val="auto"/>
              </w:rPr>
            </w:pPr>
            <w:r>
              <w:rPr>
                <w:rFonts w:ascii="Arial" w:cs="Arial" w:eastAsia="Arial" w:hAnsi="Arial"/>
                <w:sz w:val="14"/>
                <w:szCs w:val="14"/>
                <w:color w:val="auto"/>
                <w:shd w:val="clear" w:color="auto" w:fill="DBE5F1"/>
              </w:rPr>
              <w:t>37,304,187</w:t>
            </w:r>
          </w:p>
        </w:tc>
        <w:tc>
          <w:tcPr>
            <w:tcW w:w="74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shd w:val="clear" w:color="auto" w:fill="DBE5F1"/>
              </w:rPr>
              <w:t>10,891,546</w:t>
            </w:r>
          </w:p>
        </w:tc>
        <w:tc>
          <w:tcPr>
            <w:tcW w:w="1540" w:type="dxa"/>
            <w:vAlign w:val="bottom"/>
            <w:tcBorders>
              <w:bottom w:val="single" w:sz="8" w:color="DBE5F1"/>
            </w:tcBorders>
            <w:shd w:val="clear" w:color="auto" w:fill="DBE5F1"/>
          </w:tcPr>
          <w:p>
            <w:pPr>
              <w:jc w:val="center"/>
              <w:ind w:left="68"/>
              <w:spacing w:after="0"/>
              <w:rPr>
                <w:sz w:val="20"/>
                <w:szCs w:val="20"/>
                <w:color w:val="auto"/>
              </w:rPr>
            </w:pPr>
            <w:r>
              <w:rPr>
                <w:rFonts w:ascii="Arial" w:cs="Arial" w:eastAsia="Arial" w:hAnsi="Arial"/>
                <w:sz w:val="14"/>
                <w:szCs w:val="14"/>
                <w:color w:val="auto"/>
                <w:shd w:val="clear" w:color="auto" w:fill="DBE5F1"/>
              </w:rPr>
              <w:t>10,053,244</w:t>
            </w:r>
          </w:p>
        </w:tc>
        <w:tc>
          <w:tcPr>
            <w:tcW w:w="1260" w:type="dxa"/>
            <w:vAlign w:val="bottom"/>
            <w:tcBorders>
              <w:bottom w:val="single" w:sz="8" w:color="DBE5F1"/>
            </w:tcBorders>
            <w:shd w:val="clear" w:color="auto" w:fill="DBE5F1"/>
          </w:tcPr>
          <w:p>
            <w:pPr>
              <w:jc w:val="center"/>
              <w:ind w:right="68"/>
              <w:spacing w:after="0"/>
              <w:rPr>
                <w:sz w:val="20"/>
                <w:szCs w:val="20"/>
                <w:color w:val="auto"/>
              </w:rPr>
            </w:pPr>
            <w:r>
              <w:rPr>
                <w:rFonts w:ascii="Arial" w:cs="Arial" w:eastAsia="Arial" w:hAnsi="Arial"/>
                <w:sz w:val="14"/>
                <w:szCs w:val="14"/>
                <w:color w:val="auto"/>
                <w:shd w:val="clear" w:color="auto" w:fill="DBE5F1"/>
              </w:rPr>
              <w:t>81.22</w:t>
            </w:r>
          </w:p>
        </w:tc>
        <w:tc>
          <w:tcPr>
            <w:tcW w:w="1320" w:type="dxa"/>
            <w:vAlign w:val="bottom"/>
            <w:tcBorders>
              <w:bottom w:val="single" w:sz="8" w:color="DBE5F1"/>
            </w:tcBorders>
            <w:shd w:val="clear" w:color="auto" w:fill="DBE5F1"/>
          </w:tcPr>
          <w:p>
            <w:pPr>
              <w:jc w:val="center"/>
              <w:ind w:left="8"/>
              <w:spacing w:after="0"/>
              <w:rPr>
                <w:sz w:val="20"/>
                <w:szCs w:val="20"/>
                <w:color w:val="auto"/>
              </w:rPr>
            </w:pPr>
            <w:r>
              <w:rPr>
                <w:rFonts w:ascii="Arial" w:cs="Arial" w:eastAsia="Arial" w:hAnsi="Arial"/>
                <w:sz w:val="14"/>
                <w:szCs w:val="14"/>
                <w:color w:val="auto"/>
                <w:shd w:val="clear" w:color="auto" w:fill="DBE5F1"/>
              </w:rPr>
              <w:t>97.76</w:t>
            </w:r>
          </w:p>
        </w:tc>
        <w:tc>
          <w:tcPr>
            <w:tcW w:w="126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w w:val="99"/>
                <w:shd w:val="clear" w:color="auto" w:fill="DBE5F1"/>
              </w:rPr>
              <w:t>(195.3)</w:t>
            </w:r>
          </w:p>
        </w:tc>
        <w:tc>
          <w:tcPr>
            <w:tcW w:w="11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4"/>
                <w:szCs w:val="14"/>
                <w:color w:val="auto"/>
                <w:shd w:val="clear" w:color="auto" w:fill="DBE5F1"/>
              </w:rPr>
              <w:t>(33.1)</w:t>
            </w:r>
          </w:p>
        </w:tc>
      </w:tr>
      <w:tr>
        <w:trPr>
          <w:trHeight w:val="20"/>
        </w:trPr>
        <w:tc>
          <w:tcPr>
            <w:tcW w:w="620" w:type="dxa"/>
            <w:vAlign w:val="bottom"/>
            <w:shd w:val="clear" w:color="auto" w:fill="95B3D7"/>
          </w:tcPr>
          <w:p>
            <w:pPr>
              <w:spacing w:after="0" w:line="20" w:lineRule="exact"/>
              <w:rPr>
                <w:sz w:val="1"/>
                <w:szCs w:val="1"/>
                <w:color w:val="auto"/>
              </w:rPr>
            </w:pPr>
          </w:p>
        </w:tc>
        <w:tc>
          <w:tcPr>
            <w:tcW w:w="1680" w:type="dxa"/>
            <w:vAlign w:val="bottom"/>
            <w:shd w:val="clear" w:color="auto" w:fill="95B3D7"/>
          </w:tcPr>
          <w:p>
            <w:pPr>
              <w:spacing w:after="0" w:line="20" w:lineRule="exact"/>
              <w:rPr>
                <w:sz w:val="1"/>
                <w:szCs w:val="1"/>
                <w:color w:val="auto"/>
              </w:rPr>
            </w:pPr>
          </w:p>
        </w:tc>
        <w:tc>
          <w:tcPr>
            <w:tcW w:w="1640" w:type="dxa"/>
            <w:vAlign w:val="bottom"/>
            <w:shd w:val="clear" w:color="auto" w:fill="95B3D7"/>
          </w:tcPr>
          <w:p>
            <w:pPr>
              <w:spacing w:after="0" w:line="20" w:lineRule="exact"/>
              <w:rPr>
                <w:sz w:val="1"/>
                <w:szCs w:val="1"/>
                <w:color w:val="auto"/>
              </w:rPr>
            </w:pPr>
          </w:p>
        </w:tc>
        <w:tc>
          <w:tcPr>
            <w:tcW w:w="740" w:type="dxa"/>
            <w:vAlign w:val="bottom"/>
            <w:shd w:val="clear" w:color="auto" w:fill="95B3D7"/>
          </w:tcPr>
          <w:p>
            <w:pPr>
              <w:spacing w:after="0" w:line="20" w:lineRule="exact"/>
              <w:rPr>
                <w:sz w:val="1"/>
                <w:szCs w:val="1"/>
                <w:color w:val="auto"/>
              </w:rPr>
            </w:pPr>
          </w:p>
        </w:tc>
        <w:tc>
          <w:tcPr>
            <w:tcW w:w="1540" w:type="dxa"/>
            <w:vAlign w:val="bottom"/>
            <w:shd w:val="clear" w:color="auto" w:fill="95B3D7"/>
          </w:tcPr>
          <w:p>
            <w:pPr>
              <w:spacing w:after="0" w:line="20" w:lineRule="exact"/>
              <w:rPr>
                <w:sz w:val="1"/>
                <w:szCs w:val="1"/>
                <w:color w:val="auto"/>
              </w:rPr>
            </w:pPr>
          </w:p>
        </w:tc>
        <w:tc>
          <w:tcPr>
            <w:tcW w:w="1260" w:type="dxa"/>
            <w:vAlign w:val="bottom"/>
            <w:shd w:val="clear" w:color="auto" w:fill="95B3D7"/>
          </w:tcPr>
          <w:p>
            <w:pPr>
              <w:spacing w:after="0" w:line="20" w:lineRule="exact"/>
              <w:rPr>
                <w:sz w:val="1"/>
                <w:szCs w:val="1"/>
                <w:color w:val="auto"/>
              </w:rPr>
            </w:pPr>
          </w:p>
        </w:tc>
        <w:tc>
          <w:tcPr>
            <w:tcW w:w="1320" w:type="dxa"/>
            <w:vAlign w:val="bottom"/>
            <w:shd w:val="clear" w:color="auto" w:fill="95B3D7"/>
          </w:tcPr>
          <w:p>
            <w:pPr>
              <w:spacing w:after="0" w:line="20" w:lineRule="exact"/>
              <w:rPr>
                <w:sz w:val="1"/>
                <w:szCs w:val="1"/>
                <w:color w:val="auto"/>
              </w:rPr>
            </w:pPr>
          </w:p>
        </w:tc>
        <w:tc>
          <w:tcPr>
            <w:tcW w:w="1260" w:type="dxa"/>
            <w:vAlign w:val="bottom"/>
            <w:shd w:val="clear" w:color="auto" w:fill="95B3D7"/>
          </w:tcPr>
          <w:p>
            <w:pPr>
              <w:spacing w:after="0" w:line="20" w:lineRule="exact"/>
              <w:rPr>
                <w:sz w:val="1"/>
                <w:szCs w:val="1"/>
                <w:color w:val="auto"/>
              </w:rPr>
            </w:pPr>
          </w:p>
        </w:tc>
        <w:tc>
          <w:tcPr>
            <w:tcW w:w="1180" w:type="dxa"/>
            <w:vAlign w:val="bottom"/>
            <w:shd w:val="clear" w:color="auto" w:fill="95B3D7"/>
          </w:tcPr>
          <w:p>
            <w:pPr>
              <w:spacing w:after="0" w:line="20" w:lineRule="exact"/>
              <w:rPr>
                <w:sz w:val="1"/>
                <w:szCs w:val="1"/>
                <w:color w:val="auto"/>
              </w:rPr>
            </w:pPr>
          </w:p>
        </w:tc>
      </w:tr>
    </w:tbl>
    <w:p>
      <w:pPr>
        <w:spacing w:after="0" w:line="328" w:lineRule="exact"/>
        <w:rPr>
          <w:sz w:val="20"/>
          <w:szCs w:val="20"/>
          <w:color w:val="auto"/>
        </w:rPr>
      </w:pPr>
    </w:p>
    <w:p>
      <w:pPr>
        <w:ind w:left="340" w:right="100" w:hanging="332"/>
        <w:spacing w:after="0" w:line="285"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dollar amounts reported in column (b) are the amounts of total compensation reported for Mr. Kao (the “PEO”) for each corresponding year in the “Total” column of the Summary Compensation Table (“SCT”) in this proxy statement.</w:t>
      </w:r>
    </w:p>
    <w:p>
      <w:pPr>
        <w:spacing w:after="0" w:line="198" w:lineRule="exact"/>
        <w:rPr>
          <w:rFonts w:ascii="Arial" w:cs="Arial" w:eastAsia="Arial" w:hAnsi="Arial"/>
          <w:sz w:val="14"/>
          <w:szCs w:val="14"/>
          <w:color w:val="auto"/>
        </w:rPr>
      </w:pPr>
    </w:p>
    <w:p>
      <w:pPr>
        <w:ind w:left="340" w:right="380" w:hanging="332"/>
        <w:spacing w:after="0" w:line="283"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dollar amounts reported in column (c) represent the amount of “compensation actually paid” (“CAP”) to the PEO computed in accordance with Item 402(v) of Regulation S-K. The dollar amounts do not reflect the actual amount of compensation earned by or paid to the PEO during the applicable year. In accordance with the requirements of Item 402(v) of Regulation S-K, the following adjustments were made to the PEO’s total compensation for each year to determine the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1" w:name="page72"/>
    <w:bookmarkEnd w:id="71"/>
    <w:p>
      <w:pPr>
        <w:spacing w:after="0" w:line="54" w:lineRule="exact"/>
        <w:rPr>
          <w:sz w:val="20"/>
          <w:szCs w:val="20"/>
          <w:color w:val="auto"/>
        </w:rPr>
      </w:pPr>
    </w:p>
    <w:tbl>
      <w:tblPr>
        <w:tblLayout w:type="fixed"/>
        <w:tblInd w:w="1192" w:type="dxa"/>
        <w:tblCellMar>
          <w:top w:w="0" w:type="dxa"/>
          <w:left w:w="0" w:type="dxa"/>
          <w:bottom w:w="0" w:type="dxa"/>
          <w:right w:w="0" w:type="dxa"/>
        </w:tblCellMar>
      </w:tblPr>
      <w:tr>
        <w:trPr>
          <w:trHeight w:val="211"/>
        </w:trPr>
        <w:tc>
          <w:tcPr>
            <w:tcW w:w="2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8"/>
                <w:szCs w:val="18"/>
                <w:color w:val="auto"/>
              </w:rPr>
            </w:pPr>
          </w:p>
        </w:tc>
      </w:tr>
      <w:tr>
        <w:trPr>
          <w:trHeight w:val="197"/>
        </w:trPr>
        <w:tc>
          <w:tcPr>
            <w:tcW w:w="244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4"/>
                <w:szCs w:val="14"/>
                <w:color w:val="auto"/>
              </w:rPr>
              <w:t>Total Compensation from SCT</w:t>
            </w:r>
          </w:p>
        </w:tc>
        <w:tc>
          <w:tcPr>
            <w:tcW w:w="1040" w:type="dxa"/>
            <w:vAlign w:val="bottom"/>
            <w:gridSpan w:val="2"/>
            <w:shd w:val="clear" w:color="auto" w:fill="DBE5F1"/>
          </w:tcPr>
          <w:p>
            <w:pPr>
              <w:jc w:val="center"/>
              <w:ind w:left="168"/>
              <w:spacing w:after="0"/>
              <w:rPr>
                <w:sz w:val="20"/>
                <w:szCs w:val="20"/>
                <w:color w:val="auto"/>
              </w:rPr>
            </w:pPr>
            <w:r>
              <w:rPr>
                <w:rFonts w:ascii="Arial" w:cs="Arial" w:eastAsia="Arial" w:hAnsi="Arial"/>
                <w:sz w:val="14"/>
                <w:szCs w:val="14"/>
                <w:color w:val="auto"/>
              </w:rPr>
              <w:t>$11,278,569</w:t>
            </w:r>
          </w:p>
        </w:tc>
        <w:tc>
          <w:tcPr>
            <w:tcW w:w="280" w:type="dxa"/>
            <w:vAlign w:val="bottom"/>
            <w:tcBorders>
              <w:right w:val="single" w:sz="8" w:color="95B3D7"/>
            </w:tcBorders>
            <w:shd w:val="clear" w:color="auto" w:fill="DBE5F1"/>
          </w:tcPr>
          <w:p>
            <w:pPr>
              <w:spacing w:after="0"/>
              <w:rPr>
                <w:sz w:val="17"/>
                <w:szCs w:val="17"/>
                <w:color w:val="auto"/>
              </w:rPr>
            </w:pPr>
          </w:p>
        </w:tc>
        <w:tc>
          <w:tcPr>
            <w:tcW w:w="1020" w:type="dxa"/>
            <w:vAlign w:val="bottom"/>
            <w:gridSpan w:val="2"/>
            <w:shd w:val="clear" w:color="auto" w:fill="DBE5F1"/>
          </w:tcPr>
          <w:p>
            <w:pPr>
              <w:jc w:val="center"/>
              <w:ind w:left="148"/>
              <w:spacing w:after="0"/>
              <w:rPr>
                <w:sz w:val="20"/>
                <w:szCs w:val="20"/>
                <w:color w:val="auto"/>
              </w:rPr>
            </w:pPr>
            <w:r>
              <w:rPr>
                <w:rFonts w:ascii="Arial" w:cs="Arial" w:eastAsia="Arial" w:hAnsi="Arial"/>
                <w:sz w:val="14"/>
                <w:szCs w:val="14"/>
                <w:color w:val="auto"/>
              </w:rPr>
              <w:t>$6,369,165</w:t>
            </w:r>
          </w:p>
        </w:tc>
        <w:tc>
          <w:tcPr>
            <w:tcW w:w="260" w:type="dxa"/>
            <w:vAlign w:val="bottom"/>
            <w:tcBorders>
              <w:right w:val="single" w:sz="8" w:color="95B3D7"/>
            </w:tcBorders>
            <w:shd w:val="clear" w:color="auto" w:fill="DBE5F1"/>
          </w:tcPr>
          <w:p>
            <w:pPr>
              <w:spacing w:after="0"/>
              <w:rPr>
                <w:sz w:val="17"/>
                <w:szCs w:val="17"/>
                <w:color w:val="auto"/>
              </w:rPr>
            </w:pPr>
          </w:p>
        </w:tc>
        <w:tc>
          <w:tcPr>
            <w:tcW w:w="1020" w:type="dxa"/>
            <w:vAlign w:val="bottom"/>
            <w:gridSpan w:val="2"/>
            <w:shd w:val="clear" w:color="auto" w:fill="DBE5F1"/>
          </w:tcPr>
          <w:p>
            <w:pPr>
              <w:jc w:val="center"/>
              <w:ind w:left="148"/>
              <w:spacing w:after="0"/>
              <w:rPr>
                <w:sz w:val="20"/>
                <w:szCs w:val="20"/>
                <w:color w:val="auto"/>
              </w:rPr>
            </w:pPr>
            <w:r>
              <w:rPr>
                <w:rFonts w:ascii="Arial" w:cs="Arial" w:eastAsia="Arial" w:hAnsi="Arial"/>
                <w:sz w:val="14"/>
                <w:szCs w:val="14"/>
                <w:color w:val="auto"/>
              </w:rPr>
              <w:t>$14,296,476</w:t>
            </w:r>
          </w:p>
        </w:tc>
        <w:tc>
          <w:tcPr>
            <w:tcW w:w="260" w:type="dxa"/>
            <w:vAlign w:val="bottom"/>
            <w:tcBorders>
              <w:right w:val="single" w:sz="8" w:color="95B3D7"/>
            </w:tcBorders>
            <w:shd w:val="clear" w:color="auto" w:fill="DBE5F1"/>
          </w:tcPr>
          <w:p>
            <w:pPr>
              <w:spacing w:after="0"/>
              <w:rPr>
                <w:sz w:val="17"/>
                <w:szCs w:val="17"/>
                <w:color w:val="auto"/>
              </w:rPr>
            </w:pPr>
          </w:p>
        </w:tc>
        <w:tc>
          <w:tcPr>
            <w:tcW w:w="128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color w:val="auto"/>
              </w:rPr>
              <w:t>$34,070,592</w:t>
            </w:r>
          </w:p>
        </w:tc>
        <w:tc>
          <w:tcPr>
            <w:tcW w:w="1260" w:type="dxa"/>
            <w:vAlign w:val="bottom"/>
            <w:gridSpan w:val="3"/>
            <w:shd w:val="clear" w:color="auto" w:fill="DBE5F1"/>
          </w:tcPr>
          <w:p>
            <w:pPr>
              <w:jc w:val="center"/>
              <w:ind w:right="20"/>
              <w:spacing w:after="0"/>
              <w:rPr>
                <w:sz w:val="20"/>
                <w:szCs w:val="20"/>
                <w:color w:val="auto"/>
              </w:rPr>
            </w:pPr>
            <w:r>
              <w:rPr>
                <w:rFonts w:ascii="Arial" w:cs="Arial" w:eastAsia="Arial" w:hAnsi="Arial"/>
                <w:sz w:val="14"/>
                <w:szCs w:val="14"/>
                <w:color w:val="auto"/>
              </w:rPr>
              <w:t>$45,998,851</w:t>
            </w:r>
          </w:p>
        </w:tc>
      </w:tr>
      <w:tr>
        <w:trPr>
          <w:trHeight w:val="153"/>
        </w:trPr>
        <w:tc>
          <w:tcPr>
            <w:tcW w:w="2440" w:type="dxa"/>
            <w:vAlign w:val="bottom"/>
            <w:tcBorders>
              <w:right w:val="single" w:sz="8" w:color="95B3D7"/>
            </w:tcBorders>
          </w:tcPr>
          <w:p>
            <w:pPr>
              <w:ind w:left="160"/>
              <w:spacing w:after="0" w:line="153" w:lineRule="exact"/>
              <w:rPr>
                <w:sz w:val="20"/>
                <w:szCs w:val="20"/>
                <w:color w:val="auto"/>
              </w:rPr>
            </w:pPr>
            <w:r>
              <w:rPr>
                <w:rFonts w:ascii="Arial" w:cs="Arial" w:eastAsia="Arial" w:hAnsi="Arial"/>
                <w:sz w:val="14"/>
                <w:szCs w:val="14"/>
                <w:color w:val="auto"/>
              </w:rPr>
              <w:t>Less Reported Value of Equity</w:t>
            </w:r>
          </w:p>
        </w:tc>
        <w:tc>
          <w:tcPr>
            <w:tcW w:w="132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$(8,500,000)</w:t>
            </w:r>
          </w:p>
        </w:tc>
        <w:tc>
          <w:tcPr>
            <w:tcW w:w="1280" w:type="dxa"/>
            <w:vAlign w:val="bottom"/>
            <w:tcBorders>
              <w:right w:val="single" w:sz="8" w:color="95B3D7"/>
            </w:tcBorders>
            <w:gridSpan w:val="3"/>
          </w:tcPr>
          <w:p>
            <w:pPr>
              <w:jc w:val="center"/>
              <w:ind w:right="60"/>
              <w:spacing w:after="0" w:line="153" w:lineRule="exact"/>
              <w:rPr>
                <w:sz w:val="20"/>
                <w:szCs w:val="20"/>
                <w:color w:val="auto"/>
              </w:rPr>
            </w:pPr>
            <w:r>
              <w:rPr>
                <w:rFonts w:ascii="Arial" w:cs="Arial" w:eastAsia="Arial" w:hAnsi="Arial"/>
                <w:sz w:val="14"/>
                <w:szCs w:val="14"/>
                <w:color w:val="auto"/>
              </w:rPr>
              <w:t>$(3,300,000)</w:t>
            </w:r>
          </w:p>
        </w:tc>
        <w:tc>
          <w:tcPr>
            <w:tcW w:w="128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$(12,497,891)</w:t>
            </w:r>
          </w:p>
        </w:tc>
        <w:tc>
          <w:tcPr>
            <w:tcW w:w="128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$(32,437,510)</w:t>
            </w:r>
          </w:p>
        </w:tc>
        <w:tc>
          <w:tcPr>
            <w:tcW w:w="1260" w:type="dxa"/>
            <w:vAlign w:val="bottom"/>
            <w:gridSpan w:val="3"/>
          </w:tcPr>
          <w:p>
            <w:pPr>
              <w:jc w:val="center"/>
              <w:spacing w:after="0" w:line="153" w:lineRule="exact"/>
              <w:rPr>
                <w:sz w:val="20"/>
                <w:szCs w:val="20"/>
                <w:color w:val="auto"/>
              </w:rPr>
            </w:pPr>
            <w:r>
              <w:rPr>
                <w:rFonts w:ascii="Arial" w:cs="Arial" w:eastAsia="Arial" w:hAnsi="Arial"/>
                <w:sz w:val="14"/>
                <w:szCs w:val="14"/>
                <w:color w:val="auto"/>
              </w:rPr>
              <w:t>$(44,406,749)</w:t>
            </w:r>
          </w:p>
        </w:tc>
      </w:tr>
      <w:tr>
        <w:trPr>
          <w:trHeight w:val="185"/>
        </w:trPr>
        <w:tc>
          <w:tcPr>
            <w:tcW w:w="2440" w:type="dxa"/>
            <w:vAlign w:val="bottom"/>
            <w:tcBorders>
              <w:right w:val="single" w:sz="8" w:color="95B3D7"/>
            </w:tcBorders>
          </w:tcPr>
          <w:p>
            <w:pPr>
              <w:ind w:left="160"/>
              <w:spacing w:after="0"/>
              <w:rPr>
                <w:sz w:val="20"/>
                <w:szCs w:val="20"/>
                <w:color w:val="auto"/>
              </w:rPr>
            </w:pPr>
            <w:r>
              <w:rPr>
                <w:rFonts w:ascii="Arial" w:cs="Arial" w:eastAsia="Arial" w:hAnsi="Arial"/>
                <w:sz w:val="14"/>
                <w:szCs w:val="14"/>
                <w:color w:val="auto"/>
              </w:rPr>
              <w:t>Awards from SCT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244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4"/>
                <w:szCs w:val="14"/>
                <w:b w:val="1"/>
                <w:bCs w:val="1"/>
                <w:color w:val="auto"/>
              </w:rPr>
              <w:t>Subtotal</w:t>
            </w:r>
          </w:p>
        </w:tc>
        <w:tc>
          <w:tcPr>
            <w:tcW w:w="1040" w:type="dxa"/>
            <w:vAlign w:val="bottom"/>
            <w:gridSpan w:val="2"/>
            <w:shd w:val="clear" w:color="auto" w:fill="DBE5F1"/>
          </w:tcPr>
          <w:p>
            <w:pPr>
              <w:jc w:val="center"/>
              <w:ind w:left="168"/>
              <w:spacing w:after="0"/>
              <w:rPr>
                <w:sz w:val="20"/>
                <w:szCs w:val="20"/>
                <w:color w:val="auto"/>
              </w:rPr>
            </w:pPr>
            <w:r>
              <w:rPr>
                <w:rFonts w:ascii="Arial" w:cs="Arial" w:eastAsia="Arial" w:hAnsi="Arial"/>
                <w:sz w:val="14"/>
                <w:szCs w:val="14"/>
                <w:b w:val="1"/>
                <w:bCs w:val="1"/>
                <w:color w:val="auto"/>
              </w:rPr>
              <w:t>$2,778,569</w:t>
            </w:r>
          </w:p>
        </w:tc>
        <w:tc>
          <w:tcPr>
            <w:tcW w:w="280" w:type="dxa"/>
            <w:vAlign w:val="bottom"/>
            <w:tcBorders>
              <w:right w:val="single" w:sz="8" w:color="95B3D7"/>
            </w:tcBorders>
            <w:shd w:val="clear" w:color="auto" w:fill="DBE5F1"/>
          </w:tcPr>
          <w:p>
            <w:pPr>
              <w:spacing w:after="0"/>
              <w:rPr>
                <w:sz w:val="17"/>
                <w:szCs w:val="17"/>
                <w:color w:val="auto"/>
              </w:rPr>
            </w:pPr>
          </w:p>
        </w:tc>
        <w:tc>
          <w:tcPr>
            <w:tcW w:w="1020" w:type="dxa"/>
            <w:vAlign w:val="bottom"/>
            <w:gridSpan w:val="2"/>
            <w:shd w:val="clear" w:color="auto" w:fill="DBE5F1"/>
          </w:tcPr>
          <w:p>
            <w:pPr>
              <w:jc w:val="center"/>
              <w:ind w:left="148"/>
              <w:spacing w:after="0"/>
              <w:rPr>
                <w:sz w:val="20"/>
                <w:szCs w:val="20"/>
                <w:color w:val="auto"/>
              </w:rPr>
            </w:pPr>
            <w:r>
              <w:rPr>
                <w:rFonts w:ascii="Arial" w:cs="Arial" w:eastAsia="Arial" w:hAnsi="Arial"/>
                <w:sz w:val="14"/>
                <w:szCs w:val="14"/>
                <w:b w:val="1"/>
                <w:bCs w:val="1"/>
                <w:color w:val="auto"/>
              </w:rPr>
              <w:t>$3,069,165</w:t>
            </w:r>
          </w:p>
        </w:tc>
        <w:tc>
          <w:tcPr>
            <w:tcW w:w="260" w:type="dxa"/>
            <w:vAlign w:val="bottom"/>
            <w:tcBorders>
              <w:right w:val="single" w:sz="8" w:color="95B3D7"/>
            </w:tcBorders>
            <w:shd w:val="clear" w:color="auto" w:fill="DBE5F1"/>
          </w:tcPr>
          <w:p>
            <w:pPr>
              <w:spacing w:after="0"/>
              <w:rPr>
                <w:sz w:val="17"/>
                <w:szCs w:val="17"/>
                <w:color w:val="auto"/>
              </w:rPr>
            </w:pPr>
          </w:p>
        </w:tc>
        <w:tc>
          <w:tcPr>
            <w:tcW w:w="1020" w:type="dxa"/>
            <w:vAlign w:val="bottom"/>
            <w:gridSpan w:val="2"/>
            <w:shd w:val="clear" w:color="auto" w:fill="DBE5F1"/>
          </w:tcPr>
          <w:p>
            <w:pPr>
              <w:jc w:val="center"/>
              <w:ind w:left="148"/>
              <w:spacing w:after="0"/>
              <w:rPr>
                <w:sz w:val="20"/>
                <w:szCs w:val="20"/>
                <w:color w:val="auto"/>
              </w:rPr>
            </w:pPr>
            <w:r>
              <w:rPr>
                <w:rFonts w:ascii="Arial" w:cs="Arial" w:eastAsia="Arial" w:hAnsi="Arial"/>
                <w:sz w:val="14"/>
                <w:szCs w:val="14"/>
                <w:b w:val="1"/>
                <w:bCs w:val="1"/>
                <w:color w:val="auto"/>
              </w:rPr>
              <w:t>$1,798,585</w:t>
            </w:r>
          </w:p>
        </w:tc>
        <w:tc>
          <w:tcPr>
            <w:tcW w:w="260" w:type="dxa"/>
            <w:vAlign w:val="bottom"/>
            <w:tcBorders>
              <w:right w:val="single" w:sz="8" w:color="95B3D7"/>
            </w:tcBorders>
            <w:shd w:val="clear" w:color="auto" w:fill="DBE5F1"/>
          </w:tcPr>
          <w:p>
            <w:pPr>
              <w:spacing w:after="0"/>
              <w:rPr>
                <w:sz w:val="17"/>
                <w:szCs w:val="17"/>
                <w:color w:val="auto"/>
              </w:rPr>
            </w:pPr>
          </w:p>
        </w:tc>
        <w:tc>
          <w:tcPr>
            <w:tcW w:w="1020" w:type="dxa"/>
            <w:vAlign w:val="bottom"/>
            <w:gridSpan w:val="2"/>
            <w:shd w:val="clear" w:color="auto" w:fill="DBE5F1"/>
          </w:tcPr>
          <w:p>
            <w:pPr>
              <w:jc w:val="center"/>
              <w:ind w:left="148"/>
              <w:spacing w:after="0"/>
              <w:rPr>
                <w:sz w:val="20"/>
                <w:szCs w:val="20"/>
                <w:color w:val="auto"/>
              </w:rPr>
            </w:pPr>
            <w:r>
              <w:rPr>
                <w:rFonts w:ascii="Arial" w:cs="Arial" w:eastAsia="Arial" w:hAnsi="Arial"/>
                <w:sz w:val="14"/>
                <w:szCs w:val="14"/>
                <w:b w:val="1"/>
                <w:bCs w:val="1"/>
                <w:color w:val="auto"/>
              </w:rPr>
              <w:t>$1,633,082</w:t>
            </w:r>
          </w:p>
        </w:tc>
        <w:tc>
          <w:tcPr>
            <w:tcW w:w="260" w:type="dxa"/>
            <w:vAlign w:val="bottom"/>
            <w:tcBorders>
              <w:right w:val="single" w:sz="8" w:color="95B3D7"/>
            </w:tcBorders>
            <w:shd w:val="clear" w:color="auto" w:fill="DBE5F1"/>
          </w:tcPr>
          <w:p>
            <w:pPr>
              <w:spacing w:after="0"/>
              <w:rPr>
                <w:sz w:val="17"/>
                <w:szCs w:val="17"/>
                <w:color w:val="auto"/>
              </w:rPr>
            </w:pPr>
          </w:p>
        </w:tc>
        <w:tc>
          <w:tcPr>
            <w:tcW w:w="1020" w:type="dxa"/>
            <w:vAlign w:val="bottom"/>
            <w:gridSpan w:val="2"/>
            <w:shd w:val="clear" w:color="auto" w:fill="DBE5F1"/>
          </w:tcPr>
          <w:p>
            <w:pPr>
              <w:jc w:val="center"/>
              <w:ind w:left="148"/>
              <w:spacing w:after="0"/>
              <w:rPr>
                <w:sz w:val="20"/>
                <w:szCs w:val="20"/>
                <w:color w:val="auto"/>
              </w:rPr>
            </w:pPr>
            <w:r>
              <w:rPr>
                <w:rFonts w:ascii="Arial" w:cs="Arial" w:eastAsia="Arial" w:hAnsi="Arial"/>
                <w:sz w:val="14"/>
                <w:szCs w:val="14"/>
                <w:b w:val="1"/>
                <w:bCs w:val="1"/>
                <w:color w:val="auto"/>
              </w:rPr>
              <w:t>$1,592,102</w:t>
            </w:r>
          </w:p>
        </w:tc>
        <w:tc>
          <w:tcPr>
            <w:tcW w:w="240" w:type="dxa"/>
            <w:vAlign w:val="bottom"/>
            <w:shd w:val="clear" w:color="auto" w:fill="DBE5F1"/>
          </w:tcPr>
          <w:p>
            <w:pPr>
              <w:spacing w:after="0"/>
              <w:rPr>
                <w:sz w:val="17"/>
                <w:szCs w:val="17"/>
                <w:color w:val="auto"/>
              </w:rPr>
            </w:pPr>
          </w:p>
        </w:tc>
      </w:tr>
      <w:tr>
        <w:trPr>
          <w:trHeight w:val="153"/>
        </w:trPr>
        <w:tc>
          <w:tcPr>
            <w:tcW w:w="2440" w:type="dxa"/>
            <w:vAlign w:val="bottom"/>
            <w:tcBorders>
              <w:right w:val="single" w:sz="8" w:color="95B3D7"/>
            </w:tcBorders>
          </w:tcPr>
          <w:p>
            <w:pPr>
              <w:ind w:left="160"/>
              <w:spacing w:after="0" w:line="153" w:lineRule="exact"/>
              <w:rPr>
                <w:sz w:val="20"/>
                <w:szCs w:val="20"/>
                <w:color w:val="auto"/>
              </w:rPr>
            </w:pPr>
            <w:r>
              <w:rPr>
                <w:rFonts w:ascii="Arial" w:cs="Arial" w:eastAsia="Arial" w:hAnsi="Arial"/>
                <w:sz w:val="14"/>
                <w:szCs w:val="14"/>
                <w:color w:val="auto"/>
              </w:rPr>
              <w:t>Year-end fair value of any equity</w:t>
            </w:r>
          </w:p>
        </w:tc>
        <w:tc>
          <w:tcPr>
            <w:tcW w:w="132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$10,830,663</w:t>
            </w:r>
          </w:p>
        </w:tc>
        <w:tc>
          <w:tcPr>
            <w:tcW w:w="1020" w:type="dxa"/>
            <w:vAlign w:val="bottom"/>
            <w:gridSpan w:val="2"/>
          </w:tcPr>
          <w:p>
            <w:pPr>
              <w:jc w:val="center"/>
              <w:ind w:left="148"/>
              <w:spacing w:after="0" w:line="153" w:lineRule="exact"/>
              <w:rPr>
                <w:sz w:val="20"/>
                <w:szCs w:val="20"/>
                <w:color w:val="auto"/>
              </w:rPr>
            </w:pPr>
            <w:r>
              <w:rPr>
                <w:rFonts w:ascii="Arial" w:cs="Arial" w:eastAsia="Arial" w:hAnsi="Arial"/>
                <w:sz w:val="14"/>
                <w:szCs w:val="14"/>
                <w:color w:val="auto"/>
              </w:rPr>
              <w:t>$7,425,000</w:t>
            </w:r>
          </w:p>
        </w:tc>
        <w:tc>
          <w:tcPr>
            <w:tcW w:w="260" w:type="dxa"/>
            <w:vAlign w:val="bottom"/>
            <w:tcBorders>
              <w:right w:val="single" w:sz="8" w:color="95B3D7"/>
            </w:tcBorders>
          </w:tcPr>
          <w:p>
            <w:pPr>
              <w:spacing w:after="0"/>
              <w:rPr>
                <w:sz w:val="13"/>
                <w:szCs w:val="13"/>
                <w:color w:val="auto"/>
              </w:rPr>
            </w:pPr>
          </w:p>
        </w:tc>
        <w:tc>
          <w:tcPr>
            <w:tcW w:w="1020" w:type="dxa"/>
            <w:vAlign w:val="bottom"/>
            <w:gridSpan w:val="2"/>
          </w:tcPr>
          <w:p>
            <w:pPr>
              <w:jc w:val="center"/>
              <w:ind w:left="148"/>
              <w:spacing w:after="0" w:line="153" w:lineRule="exact"/>
              <w:rPr>
                <w:sz w:val="20"/>
                <w:szCs w:val="20"/>
                <w:color w:val="auto"/>
              </w:rPr>
            </w:pPr>
            <w:r>
              <w:rPr>
                <w:rFonts w:ascii="Arial" w:cs="Arial" w:eastAsia="Arial" w:hAnsi="Arial"/>
                <w:sz w:val="14"/>
                <w:szCs w:val="14"/>
                <w:color w:val="auto"/>
              </w:rPr>
              <w:t>$16,247,259</w:t>
            </w:r>
          </w:p>
        </w:tc>
        <w:tc>
          <w:tcPr>
            <w:tcW w:w="260" w:type="dxa"/>
            <w:vAlign w:val="bottom"/>
            <w:tcBorders>
              <w:right w:val="single" w:sz="8" w:color="95B3D7"/>
            </w:tcBorders>
          </w:tcPr>
          <w:p>
            <w:pPr>
              <w:spacing w:after="0"/>
              <w:rPr>
                <w:sz w:val="13"/>
                <w:szCs w:val="13"/>
                <w:color w:val="auto"/>
              </w:rPr>
            </w:pPr>
          </w:p>
        </w:tc>
        <w:tc>
          <w:tcPr>
            <w:tcW w:w="128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$27,710,914</w:t>
            </w:r>
          </w:p>
        </w:tc>
        <w:tc>
          <w:tcPr>
            <w:tcW w:w="1260" w:type="dxa"/>
            <w:vAlign w:val="bottom"/>
            <w:gridSpan w:val="3"/>
          </w:tcPr>
          <w:p>
            <w:pPr>
              <w:jc w:val="center"/>
              <w:ind w:right="20"/>
              <w:spacing w:after="0" w:line="153" w:lineRule="exact"/>
              <w:rPr>
                <w:sz w:val="20"/>
                <w:szCs w:val="20"/>
                <w:color w:val="auto"/>
              </w:rPr>
            </w:pPr>
            <w:r>
              <w:rPr>
                <w:rFonts w:ascii="Arial" w:cs="Arial" w:eastAsia="Arial" w:hAnsi="Arial"/>
                <w:sz w:val="14"/>
                <w:szCs w:val="14"/>
                <w:color w:val="auto"/>
              </w:rPr>
              <w:t>$20,804,877</w:t>
            </w:r>
          </w:p>
        </w:tc>
      </w:tr>
      <w:tr>
        <w:trPr>
          <w:trHeight w:val="144"/>
        </w:trPr>
        <w:tc>
          <w:tcPr>
            <w:tcW w:w="2440" w:type="dxa"/>
            <w:vAlign w:val="bottom"/>
            <w:tcBorders>
              <w:right w:val="single" w:sz="8" w:color="95B3D7"/>
            </w:tcBorders>
          </w:tcPr>
          <w:p>
            <w:pPr>
              <w:ind w:left="160"/>
              <w:spacing w:after="0" w:line="145" w:lineRule="exact"/>
              <w:rPr>
                <w:sz w:val="20"/>
                <w:szCs w:val="20"/>
                <w:color w:val="auto"/>
              </w:rPr>
            </w:pPr>
            <w:r>
              <w:rPr>
                <w:rFonts w:ascii="Arial" w:cs="Arial" w:eastAsia="Arial" w:hAnsi="Arial"/>
                <w:sz w:val="14"/>
                <w:szCs w:val="14"/>
                <w:color w:val="auto"/>
              </w:rPr>
              <w:t>awards granted in applicable year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39"/>
        </w:trPr>
        <w:tc>
          <w:tcPr>
            <w:tcW w:w="2440" w:type="dxa"/>
            <w:vAlign w:val="bottom"/>
            <w:tcBorders>
              <w:right w:val="single" w:sz="8" w:color="95B3D7"/>
            </w:tcBorders>
          </w:tcPr>
          <w:p>
            <w:pPr>
              <w:ind w:left="160"/>
              <w:spacing w:after="0" w:line="139" w:lineRule="exact"/>
              <w:rPr>
                <w:sz w:val="20"/>
                <w:szCs w:val="20"/>
                <w:color w:val="auto"/>
              </w:rPr>
            </w:pPr>
            <w:r>
              <w:rPr>
                <w:rFonts w:ascii="Arial" w:cs="Arial" w:eastAsia="Arial" w:hAnsi="Arial"/>
                <w:sz w:val="14"/>
                <w:szCs w:val="14"/>
                <w:color w:val="auto"/>
              </w:rPr>
              <w:t>that are outstanding and unvested</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94"/>
        </w:trPr>
        <w:tc>
          <w:tcPr>
            <w:tcW w:w="2440" w:type="dxa"/>
            <w:vAlign w:val="bottom"/>
            <w:tcBorders>
              <w:right w:val="single" w:sz="8" w:color="95B3D7"/>
            </w:tcBorders>
          </w:tcPr>
          <w:p>
            <w:pPr>
              <w:ind w:left="160"/>
              <w:spacing w:after="0"/>
              <w:rPr>
                <w:sz w:val="20"/>
                <w:szCs w:val="20"/>
                <w:color w:val="auto"/>
              </w:rPr>
            </w:pPr>
            <w:r>
              <w:rPr>
                <w:rFonts w:ascii="Arial" w:cs="Arial" w:eastAsia="Arial" w:hAnsi="Arial"/>
                <w:sz w:val="14"/>
                <w:szCs w:val="14"/>
                <w:color w:val="auto"/>
              </w:rPr>
              <w:t>as of the end of the year</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57"/>
        </w:trPr>
        <w:tc>
          <w:tcPr>
            <w:tcW w:w="2440" w:type="dxa"/>
            <w:vAlign w:val="bottom"/>
            <w:tcBorders>
              <w:right w:val="single" w:sz="8" w:color="95B3D7"/>
            </w:tcBorders>
            <w:shd w:val="clear" w:color="auto" w:fill="DBE5F1"/>
          </w:tcPr>
          <w:p>
            <w:pPr>
              <w:ind w:left="160"/>
              <w:spacing w:after="0" w:line="157" w:lineRule="exact"/>
              <w:rPr>
                <w:sz w:val="20"/>
                <w:szCs w:val="20"/>
                <w:color w:val="auto"/>
              </w:rPr>
            </w:pPr>
            <w:r>
              <w:rPr>
                <w:rFonts w:ascii="Arial" w:cs="Arial" w:eastAsia="Arial" w:hAnsi="Arial"/>
                <w:sz w:val="14"/>
                <w:szCs w:val="14"/>
                <w:color w:val="auto"/>
              </w:rPr>
              <w:t>The amount of change as of the</w:t>
            </w:r>
          </w:p>
        </w:tc>
        <w:tc>
          <w:tcPr>
            <w:tcW w:w="1320" w:type="dxa"/>
            <w:vAlign w:val="bottom"/>
            <w:tcBorders>
              <w:right w:val="single" w:sz="8" w:color="95B3D7"/>
            </w:tcBorders>
            <w:gridSpan w:val="3"/>
            <w:shd w:val="clear" w:color="auto" w:fill="DBE5F1"/>
          </w:tcPr>
          <w:p>
            <w:pPr>
              <w:jc w:val="center"/>
              <w:ind w:right="40"/>
              <w:spacing w:after="0" w:line="157" w:lineRule="exact"/>
              <w:rPr>
                <w:sz w:val="20"/>
                <w:szCs w:val="20"/>
                <w:color w:val="auto"/>
              </w:rPr>
            </w:pPr>
            <w:r>
              <w:rPr>
                <w:rFonts w:ascii="Arial" w:cs="Arial" w:eastAsia="Arial" w:hAnsi="Arial"/>
                <w:sz w:val="14"/>
                <w:szCs w:val="14"/>
                <w:color w:val="auto"/>
              </w:rPr>
              <w:t>$13,493,655</w:t>
            </w:r>
          </w:p>
        </w:tc>
        <w:tc>
          <w:tcPr>
            <w:tcW w:w="1280" w:type="dxa"/>
            <w:vAlign w:val="bottom"/>
            <w:tcBorders>
              <w:right w:val="single" w:sz="8" w:color="95B3D7"/>
            </w:tcBorders>
            <w:gridSpan w:val="3"/>
            <w:shd w:val="clear" w:color="auto" w:fill="DBE5F1"/>
          </w:tcPr>
          <w:p>
            <w:pPr>
              <w:jc w:val="center"/>
              <w:ind w:right="40"/>
              <w:spacing w:after="0" w:line="157" w:lineRule="exact"/>
              <w:rPr>
                <w:sz w:val="20"/>
                <w:szCs w:val="20"/>
                <w:color w:val="auto"/>
              </w:rPr>
            </w:pPr>
            <w:r>
              <w:rPr>
                <w:rFonts w:ascii="Arial" w:cs="Arial" w:eastAsia="Arial" w:hAnsi="Arial"/>
                <w:sz w:val="14"/>
                <w:szCs w:val="14"/>
                <w:color w:val="auto"/>
              </w:rPr>
              <w:t>$17,121,231</w:t>
            </w:r>
          </w:p>
        </w:tc>
        <w:tc>
          <w:tcPr>
            <w:tcW w:w="1280" w:type="dxa"/>
            <w:vAlign w:val="bottom"/>
            <w:tcBorders>
              <w:right w:val="single" w:sz="8" w:color="95B3D7"/>
            </w:tcBorders>
            <w:gridSpan w:val="3"/>
            <w:shd w:val="clear" w:color="auto" w:fill="DBE5F1"/>
          </w:tcPr>
          <w:p>
            <w:pPr>
              <w:jc w:val="center"/>
              <w:ind w:right="40"/>
              <w:spacing w:after="0" w:line="157" w:lineRule="exact"/>
              <w:rPr>
                <w:sz w:val="20"/>
                <w:szCs w:val="20"/>
                <w:color w:val="auto"/>
              </w:rPr>
            </w:pPr>
            <w:r>
              <w:rPr>
                <w:rFonts w:ascii="Arial" w:cs="Arial" w:eastAsia="Arial" w:hAnsi="Arial"/>
                <w:sz w:val="14"/>
                <w:szCs w:val="14"/>
                <w:color w:val="auto"/>
              </w:rPr>
              <w:t>$(12,858,959)</w:t>
            </w:r>
          </w:p>
        </w:tc>
        <w:tc>
          <w:tcPr>
            <w:tcW w:w="1280" w:type="dxa"/>
            <w:vAlign w:val="bottom"/>
            <w:tcBorders>
              <w:right w:val="single" w:sz="8" w:color="95B3D7"/>
            </w:tcBorders>
            <w:gridSpan w:val="3"/>
            <w:shd w:val="clear" w:color="auto" w:fill="DBE5F1"/>
          </w:tcPr>
          <w:p>
            <w:pPr>
              <w:jc w:val="center"/>
              <w:ind w:right="40"/>
              <w:spacing w:after="0" w:line="157" w:lineRule="exact"/>
              <w:rPr>
                <w:sz w:val="20"/>
                <w:szCs w:val="20"/>
                <w:color w:val="auto"/>
              </w:rPr>
            </w:pPr>
            <w:r>
              <w:rPr>
                <w:rFonts w:ascii="Arial" w:cs="Arial" w:eastAsia="Arial" w:hAnsi="Arial"/>
                <w:sz w:val="14"/>
                <w:szCs w:val="14"/>
                <w:color w:val="auto"/>
              </w:rPr>
              <w:t>$(1,347,517)</w:t>
            </w:r>
          </w:p>
        </w:tc>
        <w:tc>
          <w:tcPr>
            <w:tcW w:w="1020" w:type="dxa"/>
            <w:vAlign w:val="bottom"/>
            <w:gridSpan w:val="2"/>
            <w:shd w:val="clear" w:color="auto" w:fill="DBE5F1"/>
          </w:tcPr>
          <w:p>
            <w:pPr>
              <w:jc w:val="center"/>
              <w:ind w:left="148"/>
              <w:spacing w:after="0" w:line="157" w:lineRule="exact"/>
              <w:rPr>
                <w:sz w:val="20"/>
                <w:szCs w:val="20"/>
                <w:color w:val="auto"/>
              </w:rPr>
            </w:pPr>
            <w:r>
              <w:rPr>
                <w:rFonts w:ascii="Arial" w:cs="Arial" w:eastAsia="Arial" w:hAnsi="Arial"/>
                <w:sz w:val="14"/>
                <w:szCs w:val="14"/>
                <w:color w:val="auto"/>
              </w:rPr>
              <w:t>$8,950,439</w:t>
            </w:r>
          </w:p>
        </w:tc>
        <w:tc>
          <w:tcPr>
            <w:tcW w:w="240" w:type="dxa"/>
            <w:vAlign w:val="bottom"/>
            <w:shd w:val="clear" w:color="auto" w:fill="DBE5F1"/>
          </w:tcPr>
          <w:p>
            <w:pPr>
              <w:spacing w:after="0"/>
              <w:rPr>
                <w:sz w:val="13"/>
                <w:szCs w:val="13"/>
                <w:color w:val="auto"/>
              </w:rPr>
            </w:pPr>
          </w:p>
        </w:tc>
      </w:tr>
      <w:tr>
        <w:trPr>
          <w:trHeight w:val="144"/>
        </w:trPr>
        <w:tc>
          <w:tcPr>
            <w:tcW w:w="2440" w:type="dxa"/>
            <w:vAlign w:val="bottom"/>
            <w:tcBorders>
              <w:right w:val="single" w:sz="8" w:color="95B3D7"/>
            </w:tcBorders>
            <w:shd w:val="clear" w:color="auto" w:fill="DBE5F1"/>
          </w:tcPr>
          <w:p>
            <w:pPr>
              <w:ind w:left="160"/>
              <w:spacing w:after="0" w:line="145" w:lineRule="exact"/>
              <w:rPr>
                <w:sz w:val="20"/>
                <w:szCs w:val="20"/>
                <w:color w:val="auto"/>
              </w:rPr>
            </w:pPr>
            <w:r>
              <w:rPr>
                <w:rFonts w:ascii="Arial" w:cs="Arial" w:eastAsia="Arial" w:hAnsi="Arial"/>
                <w:sz w:val="14"/>
                <w:szCs w:val="14"/>
                <w:color w:val="auto"/>
              </w:rPr>
              <w:t>end of the applicable year (from</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r>
      <w:tr>
        <w:trPr>
          <w:trHeight w:val="139"/>
        </w:trPr>
        <w:tc>
          <w:tcPr>
            <w:tcW w:w="2440" w:type="dxa"/>
            <w:vAlign w:val="bottom"/>
            <w:tcBorders>
              <w:right w:val="single" w:sz="8" w:color="95B3D7"/>
            </w:tcBorders>
            <w:shd w:val="clear" w:color="auto" w:fill="DBE5F1"/>
          </w:tcPr>
          <w:p>
            <w:pPr>
              <w:ind w:left="160"/>
              <w:spacing w:after="0" w:line="139" w:lineRule="exact"/>
              <w:rPr>
                <w:sz w:val="20"/>
                <w:szCs w:val="20"/>
                <w:color w:val="auto"/>
              </w:rPr>
            </w:pPr>
            <w:r>
              <w:rPr>
                <w:rFonts w:ascii="Arial" w:cs="Arial" w:eastAsia="Arial" w:hAnsi="Arial"/>
                <w:sz w:val="14"/>
                <w:szCs w:val="14"/>
                <w:color w:val="auto"/>
              </w:rPr>
              <w:t>the end of the prior fiscal year) in</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r>
      <w:tr>
        <w:trPr>
          <w:trHeight w:val="148"/>
        </w:trPr>
        <w:tc>
          <w:tcPr>
            <w:tcW w:w="2440" w:type="dxa"/>
            <w:vAlign w:val="bottom"/>
            <w:tcBorders>
              <w:right w:val="single" w:sz="8" w:color="95B3D7"/>
            </w:tcBorders>
            <w:shd w:val="clear" w:color="auto" w:fill="DBE5F1"/>
          </w:tcPr>
          <w:p>
            <w:pPr>
              <w:ind w:left="160"/>
              <w:spacing w:after="0" w:line="149" w:lineRule="exact"/>
              <w:rPr>
                <w:sz w:val="20"/>
                <w:szCs w:val="20"/>
                <w:color w:val="auto"/>
              </w:rPr>
            </w:pPr>
            <w:r>
              <w:rPr>
                <w:rFonts w:ascii="Arial" w:cs="Arial" w:eastAsia="Arial" w:hAnsi="Arial"/>
                <w:sz w:val="14"/>
                <w:szCs w:val="14"/>
                <w:color w:val="auto"/>
              </w:rPr>
              <w:t>fair value of any awards granted in</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r>
      <w:tr>
        <w:trPr>
          <w:trHeight w:val="144"/>
        </w:trPr>
        <w:tc>
          <w:tcPr>
            <w:tcW w:w="2440" w:type="dxa"/>
            <w:vAlign w:val="bottom"/>
            <w:tcBorders>
              <w:right w:val="single" w:sz="8" w:color="95B3D7"/>
            </w:tcBorders>
            <w:shd w:val="clear" w:color="auto" w:fill="DBE5F1"/>
          </w:tcPr>
          <w:p>
            <w:pPr>
              <w:ind w:left="160"/>
              <w:spacing w:after="0" w:line="145" w:lineRule="exact"/>
              <w:rPr>
                <w:sz w:val="20"/>
                <w:szCs w:val="20"/>
                <w:color w:val="auto"/>
              </w:rPr>
            </w:pPr>
            <w:r>
              <w:rPr>
                <w:rFonts w:ascii="Arial" w:cs="Arial" w:eastAsia="Arial" w:hAnsi="Arial"/>
                <w:sz w:val="14"/>
                <w:szCs w:val="14"/>
                <w:color w:val="auto"/>
              </w:rPr>
              <w:t>prior years that are outstanding</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r>
      <w:tr>
        <w:trPr>
          <w:trHeight w:val="139"/>
        </w:trPr>
        <w:tc>
          <w:tcPr>
            <w:tcW w:w="2440" w:type="dxa"/>
            <w:vAlign w:val="bottom"/>
            <w:tcBorders>
              <w:right w:val="single" w:sz="8" w:color="95B3D7"/>
            </w:tcBorders>
            <w:shd w:val="clear" w:color="auto" w:fill="DBE5F1"/>
          </w:tcPr>
          <w:p>
            <w:pPr>
              <w:ind w:left="160"/>
              <w:spacing w:after="0" w:line="139" w:lineRule="exact"/>
              <w:rPr>
                <w:sz w:val="20"/>
                <w:szCs w:val="20"/>
                <w:color w:val="auto"/>
              </w:rPr>
            </w:pPr>
            <w:r>
              <w:rPr>
                <w:rFonts w:ascii="Arial" w:cs="Arial" w:eastAsia="Arial" w:hAnsi="Arial"/>
                <w:sz w:val="14"/>
                <w:szCs w:val="14"/>
                <w:color w:val="auto"/>
              </w:rPr>
              <w:t>and unvested as of the end of the</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6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40" w:type="dxa"/>
            <w:vAlign w:val="bottom"/>
            <w:shd w:val="clear" w:color="auto" w:fill="DBE5F1"/>
          </w:tcPr>
          <w:p>
            <w:pPr>
              <w:spacing w:after="0"/>
              <w:rPr>
                <w:sz w:val="12"/>
                <w:szCs w:val="12"/>
                <w:color w:val="auto"/>
              </w:rPr>
            </w:pPr>
          </w:p>
        </w:tc>
      </w:tr>
      <w:tr>
        <w:trPr>
          <w:trHeight w:val="198"/>
        </w:trPr>
        <w:tc>
          <w:tcPr>
            <w:tcW w:w="2440" w:type="dxa"/>
            <w:vAlign w:val="bottom"/>
            <w:tcBorders>
              <w:right w:val="single" w:sz="8" w:color="95B3D7"/>
            </w:tcBorders>
            <w:shd w:val="clear" w:color="auto" w:fill="DBE5F1"/>
          </w:tcPr>
          <w:p>
            <w:pPr>
              <w:ind w:left="160"/>
              <w:spacing w:after="0"/>
              <w:rPr>
                <w:sz w:val="20"/>
                <w:szCs w:val="20"/>
                <w:color w:val="auto"/>
              </w:rPr>
            </w:pPr>
            <w:r>
              <w:rPr>
                <w:rFonts w:ascii="Arial" w:cs="Arial" w:eastAsia="Arial" w:hAnsi="Arial"/>
                <w:sz w:val="14"/>
                <w:szCs w:val="14"/>
                <w:color w:val="auto"/>
              </w:rPr>
              <w:t>applicable year</w:t>
            </w:r>
          </w:p>
        </w:tc>
        <w:tc>
          <w:tcPr>
            <w:tcW w:w="240" w:type="dxa"/>
            <w:vAlign w:val="bottom"/>
            <w:shd w:val="clear" w:color="auto" w:fill="DBE5F1"/>
          </w:tcPr>
          <w:p>
            <w:pPr>
              <w:spacing w:after="0"/>
              <w:rPr>
                <w:sz w:val="17"/>
                <w:szCs w:val="17"/>
                <w:color w:val="auto"/>
              </w:rPr>
            </w:pPr>
          </w:p>
        </w:tc>
        <w:tc>
          <w:tcPr>
            <w:tcW w:w="800" w:type="dxa"/>
            <w:vAlign w:val="bottom"/>
            <w:shd w:val="clear" w:color="auto" w:fill="DBE5F1"/>
          </w:tcPr>
          <w:p>
            <w:pPr>
              <w:spacing w:after="0"/>
              <w:rPr>
                <w:sz w:val="17"/>
                <w:szCs w:val="17"/>
                <w:color w:val="auto"/>
              </w:rPr>
            </w:pPr>
          </w:p>
        </w:tc>
        <w:tc>
          <w:tcPr>
            <w:tcW w:w="280" w:type="dxa"/>
            <w:vAlign w:val="bottom"/>
            <w:tcBorders>
              <w:right w:val="single" w:sz="8" w:color="95B3D7"/>
            </w:tcBorders>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800" w:type="dxa"/>
            <w:vAlign w:val="bottom"/>
            <w:shd w:val="clear" w:color="auto" w:fill="DBE5F1"/>
          </w:tcPr>
          <w:p>
            <w:pPr>
              <w:spacing w:after="0"/>
              <w:rPr>
                <w:sz w:val="17"/>
                <w:szCs w:val="17"/>
                <w:color w:val="auto"/>
              </w:rPr>
            </w:pPr>
          </w:p>
        </w:tc>
        <w:tc>
          <w:tcPr>
            <w:tcW w:w="260" w:type="dxa"/>
            <w:vAlign w:val="bottom"/>
            <w:tcBorders>
              <w:right w:val="single" w:sz="8" w:color="95B3D7"/>
            </w:tcBorders>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800" w:type="dxa"/>
            <w:vAlign w:val="bottom"/>
            <w:shd w:val="clear" w:color="auto" w:fill="DBE5F1"/>
          </w:tcPr>
          <w:p>
            <w:pPr>
              <w:spacing w:after="0"/>
              <w:rPr>
                <w:sz w:val="17"/>
                <w:szCs w:val="17"/>
                <w:color w:val="auto"/>
              </w:rPr>
            </w:pPr>
          </w:p>
        </w:tc>
        <w:tc>
          <w:tcPr>
            <w:tcW w:w="260" w:type="dxa"/>
            <w:vAlign w:val="bottom"/>
            <w:tcBorders>
              <w:right w:val="single" w:sz="8" w:color="95B3D7"/>
            </w:tcBorders>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800" w:type="dxa"/>
            <w:vAlign w:val="bottom"/>
            <w:shd w:val="clear" w:color="auto" w:fill="DBE5F1"/>
          </w:tcPr>
          <w:p>
            <w:pPr>
              <w:spacing w:after="0"/>
              <w:rPr>
                <w:sz w:val="17"/>
                <w:szCs w:val="17"/>
                <w:color w:val="auto"/>
              </w:rPr>
            </w:pPr>
          </w:p>
        </w:tc>
        <w:tc>
          <w:tcPr>
            <w:tcW w:w="260" w:type="dxa"/>
            <w:vAlign w:val="bottom"/>
            <w:tcBorders>
              <w:right w:val="single" w:sz="8" w:color="95B3D7"/>
            </w:tcBorders>
            <w:shd w:val="clear" w:color="auto" w:fill="DBE5F1"/>
          </w:tcPr>
          <w:p>
            <w:pPr>
              <w:spacing w:after="0"/>
              <w:rPr>
                <w:sz w:val="17"/>
                <w:szCs w:val="17"/>
                <w:color w:val="auto"/>
              </w:rPr>
            </w:pPr>
          </w:p>
        </w:tc>
        <w:tc>
          <w:tcPr>
            <w:tcW w:w="220" w:type="dxa"/>
            <w:vAlign w:val="bottom"/>
            <w:shd w:val="clear" w:color="auto" w:fill="DBE5F1"/>
          </w:tcPr>
          <w:p>
            <w:pPr>
              <w:spacing w:after="0"/>
              <w:rPr>
                <w:sz w:val="17"/>
                <w:szCs w:val="17"/>
                <w:color w:val="auto"/>
              </w:rPr>
            </w:pPr>
          </w:p>
        </w:tc>
        <w:tc>
          <w:tcPr>
            <w:tcW w:w="800" w:type="dxa"/>
            <w:vAlign w:val="bottom"/>
            <w:shd w:val="clear" w:color="auto" w:fill="DBE5F1"/>
          </w:tcPr>
          <w:p>
            <w:pPr>
              <w:spacing w:after="0"/>
              <w:rPr>
                <w:sz w:val="17"/>
                <w:szCs w:val="17"/>
                <w:color w:val="auto"/>
              </w:rPr>
            </w:pPr>
          </w:p>
        </w:tc>
        <w:tc>
          <w:tcPr>
            <w:tcW w:w="240" w:type="dxa"/>
            <w:vAlign w:val="bottom"/>
            <w:shd w:val="clear" w:color="auto" w:fill="DBE5F1"/>
          </w:tcPr>
          <w:p>
            <w:pPr>
              <w:spacing w:after="0"/>
              <w:rPr>
                <w:sz w:val="17"/>
                <w:szCs w:val="17"/>
                <w:color w:val="auto"/>
              </w:rPr>
            </w:pPr>
          </w:p>
        </w:tc>
      </w:tr>
      <w:tr>
        <w:trPr>
          <w:trHeight w:val="153"/>
        </w:trPr>
        <w:tc>
          <w:tcPr>
            <w:tcW w:w="2440" w:type="dxa"/>
            <w:vAlign w:val="bottom"/>
            <w:tcBorders>
              <w:right w:val="single" w:sz="8" w:color="95B3D7"/>
            </w:tcBorders>
          </w:tcPr>
          <w:p>
            <w:pPr>
              <w:ind w:left="160"/>
              <w:spacing w:after="0" w:line="153" w:lineRule="exact"/>
              <w:rPr>
                <w:sz w:val="20"/>
                <w:szCs w:val="20"/>
                <w:color w:val="auto"/>
              </w:rPr>
            </w:pPr>
            <w:r>
              <w:rPr>
                <w:rFonts w:ascii="Arial" w:cs="Arial" w:eastAsia="Arial" w:hAnsi="Arial"/>
                <w:sz w:val="14"/>
                <w:szCs w:val="14"/>
                <w:color w:val="auto"/>
              </w:rPr>
              <w:t>For awards granted in prior years</w:t>
            </w:r>
          </w:p>
        </w:tc>
        <w:tc>
          <w:tcPr>
            <w:tcW w:w="132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$25,182,422</w:t>
            </w:r>
          </w:p>
        </w:tc>
        <w:tc>
          <w:tcPr>
            <w:tcW w:w="1280" w:type="dxa"/>
            <w:vAlign w:val="bottom"/>
            <w:tcBorders>
              <w:right w:val="single" w:sz="8" w:color="95B3D7"/>
            </w:tcBorders>
            <w:gridSpan w:val="3"/>
          </w:tcPr>
          <w:p>
            <w:pPr>
              <w:jc w:val="center"/>
              <w:ind w:right="60"/>
              <w:spacing w:after="0" w:line="153" w:lineRule="exact"/>
              <w:rPr>
                <w:sz w:val="20"/>
                <w:szCs w:val="20"/>
                <w:color w:val="auto"/>
              </w:rPr>
            </w:pPr>
            <w:r>
              <w:rPr>
                <w:rFonts w:ascii="Arial" w:cs="Arial" w:eastAsia="Arial" w:hAnsi="Arial"/>
                <w:sz w:val="14"/>
                <w:szCs w:val="14"/>
                <w:color w:val="auto"/>
              </w:rPr>
              <w:t>$(2,378,320)</w:t>
            </w:r>
          </w:p>
        </w:tc>
        <w:tc>
          <w:tcPr>
            <w:tcW w:w="128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$(7,861,706)</w:t>
            </w:r>
          </w:p>
        </w:tc>
        <w:tc>
          <w:tcPr>
            <w:tcW w:w="128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$(2,183,201)</w:t>
            </w:r>
          </w:p>
        </w:tc>
        <w:tc>
          <w:tcPr>
            <w:tcW w:w="1020" w:type="dxa"/>
            <w:vAlign w:val="bottom"/>
            <w:gridSpan w:val="2"/>
          </w:tcPr>
          <w:p>
            <w:pPr>
              <w:jc w:val="center"/>
              <w:ind w:left="148"/>
              <w:spacing w:after="0" w:line="153" w:lineRule="exact"/>
              <w:rPr>
                <w:sz w:val="20"/>
                <w:szCs w:val="20"/>
                <w:color w:val="auto"/>
              </w:rPr>
            </w:pPr>
            <w:r>
              <w:rPr>
                <w:rFonts w:ascii="Arial" w:cs="Arial" w:eastAsia="Arial" w:hAnsi="Arial"/>
                <w:sz w:val="14"/>
                <w:szCs w:val="14"/>
                <w:color w:val="auto"/>
              </w:rPr>
              <w:t>$5,956,769</w:t>
            </w:r>
          </w:p>
        </w:tc>
        <w:tc>
          <w:tcPr>
            <w:tcW w:w="240" w:type="dxa"/>
            <w:vAlign w:val="bottom"/>
          </w:tcPr>
          <w:p>
            <w:pPr>
              <w:spacing w:after="0"/>
              <w:rPr>
                <w:sz w:val="13"/>
                <w:szCs w:val="13"/>
                <w:color w:val="auto"/>
              </w:rPr>
            </w:pPr>
          </w:p>
        </w:tc>
      </w:tr>
      <w:tr>
        <w:trPr>
          <w:trHeight w:val="144"/>
        </w:trPr>
        <w:tc>
          <w:tcPr>
            <w:tcW w:w="2440" w:type="dxa"/>
            <w:vAlign w:val="bottom"/>
            <w:tcBorders>
              <w:right w:val="single" w:sz="8" w:color="95B3D7"/>
            </w:tcBorders>
          </w:tcPr>
          <w:p>
            <w:pPr>
              <w:ind w:left="160"/>
              <w:spacing w:after="0" w:line="145" w:lineRule="exact"/>
              <w:rPr>
                <w:sz w:val="20"/>
                <w:szCs w:val="20"/>
                <w:color w:val="auto"/>
              </w:rPr>
            </w:pPr>
            <w:r>
              <w:rPr>
                <w:rFonts w:ascii="Arial" w:cs="Arial" w:eastAsia="Arial" w:hAnsi="Arial"/>
                <w:sz w:val="14"/>
                <w:szCs w:val="14"/>
                <w:color w:val="auto"/>
              </w:rPr>
              <w:t>that vest in the applicable year, the</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39"/>
        </w:trPr>
        <w:tc>
          <w:tcPr>
            <w:tcW w:w="2440" w:type="dxa"/>
            <w:vAlign w:val="bottom"/>
            <w:tcBorders>
              <w:right w:val="single" w:sz="8" w:color="95B3D7"/>
            </w:tcBorders>
          </w:tcPr>
          <w:p>
            <w:pPr>
              <w:ind w:left="160"/>
              <w:spacing w:after="0" w:line="139" w:lineRule="exact"/>
              <w:rPr>
                <w:sz w:val="20"/>
                <w:szCs w:val="20"/>
                <w:color w:val="auto"/>
              </w:rPr>
            </w:pPr>
            <w:r>
              <w:rPr>
                <w:rFonts w:ascii="Arial" w:cs="Arial" w:eastAsia="Arial" w:hAnsi="Arial"/>
                <w:sz w:val="14"/>
                <w:szCs w:val="14"/>
                <w:color w:val="auto"/>
              </w:rPr>
              <w:t>amount equal to the change as of</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8"/>
        </w:trPr>
        <w:tc>
          <w:tcPr>
            <w:tcW w:w="2440" w:type="dxa"/>
            <w:vAlign w:val="bottom"/>
            <w:tcBorders>
              <w:right w:val="single" w:sz="8" w:color="95B3D7"/>
            </w:tcBorders>
          </w:tcPr>
          <w:p>
            <w:pPr>
              <w:ind w:left="160"/>
              <w:spacing w:after="0" w:line="149" w:lineRule="exact"/>
              <w:rPr>
                <w:sz w:val="20"/>
                <w:szCs w:val="20"/>
                <w:color w:val="auto"/>
              </w:rPr>
            </w:pPr>
            <w:r>
              <w:rPr>
                <w:rFonts w:ascii="Arial" w:cs="Arial" w:eastAsia="Arial" w:hAnsi="Arial"/>
                <w:sz w:val="14"/>
                <w:szCs w:val="14"/>
                <w:color w:val="auto"/>
              </w:rPr>
              <w:t>the vesting date (from the end of</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85"/>
        </w:trPr>
        <w:tc>
          <w:tcPr>
            <w:tcW w:w="2440" w:type="dxa"/>
            <w:vAlign w:val="bottom"/>
            <w:tcBorders>
              <w:right w:val="single" w:sz="8" w:color="95B3D7"/>
            </w:tcBorders>
          </w:tcPr>
          <w:p>
            <w:pPr>
              <w:ind w:left="160"/>
              <w:spacing w:after="0"/>
              <w:rPr>
                <w:sz w:val="20"/>
                <w:szCs w:val="20"/>
                <w:color w:val="auto"/>
              </w:rPr>
            </w:pPr>
            <w:r>
              <w:rPr>
                <w:rFonts w:ascii="Arial" w:cs="Arial" w:eastAsia="Arial" w:hAnsi="Arial"/>
                <w:sz w:val="14"/>
                <w:szCs w:val="14"/>
                <w:color w:val="auto"/>
              </w:rPr>
              <w:t>the prior fiscal year) in fair value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3"/>
        </w:trPr>
        <w:tc>
          <w:tcPr>
            <w:tcW w:w="244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4"/>
                <w:szCs w:val="14"/>
                <w:b w:val="1"/>
                <w:bCs w:val="1"/>
                <w:color w:val="auto"/>
              </w:rPr>
              <w:t>Net Adjustment to Subtotal</w:t>
            </w:r>
          </w:p>
        </w:tc>
        <w:tc>
          <w:tcPr>
            <w:tcW w:w="132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b w:val="1"/>
                <w:bCs w:val="1"/>
                <w:color w:val="auto"/>
              </w:rPr>
              <w:t>$49,506,740</w:t>
            </w:r>
          </w:p>
        </w:tc>
        <w:tc>
          <w:tcPr>
            <w:tcW w:w="128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b w:val="1"/>
                <w:bCs w:val="1"/>
                <w:color w:val="auto"/>
              </w:rPr>
              <w:t>$22,167,912</w:t>
            </w:r>
          </w:p>
        </w:tc>
        <w:tc>
          <w:tcPr>
            <w:tcW w:w="128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b w:val="1"/>
                <w:bCs w:val="1"/>
                <w:color w:val="auto"/>
              </w:rPr>
              <w:t>$(4,473,407)</w:t>
            </w:r>
          </w:p>
        </w:tc>
        <w:tc>
          <w:tcPr>
            <w:tcW w:w="128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b w:val="1"/>
                <w:bCs w:val="1"/>
                <w:color w:val="auto"/>
              </w:rPr>
              <w:t>$24,180,196</w:t>
            </w:r>
          </w:p>
        </w:tc>
        <w:tc>
          <w:tcPr>
            <w:tcW w:w="1260" w:type="dxa"/>
            <w:vAlign w:val="bottom"/>
            <w:gridSpan w:val="3"/>
            <w:shd w:val="clear" w:color="auto" w:fill="DBE5F1"/>
          </w:tcPr>
          <w:p>
            <w:pPr>
              <w:jc w:val="center"/>
              <w:ind w:right="20"/>
              <w:spacing w:after="0"/>
              <w:rPr>
                <w:sz w:val="20"/>
                <w:szCs w:val="20"/>
                <w:color w:val="auto"/>
              </w:rPr>
            </w:pPr>
            <w:r>
              <w:rPr>
                <w:rFonts w:ascii="Arial" w:cs="Arial" w:eastAsia="Arial" w:hAnsi="Arial"/>
                <w:sz w:val="14"/>
                <w:szCs w:val="14"/>
                <w:b w:val="1"/>
                <w:bCs w:val="1"/>
                <w:color w:val="auto"/>
              </w:rPr>
              <w:t>$35,712,085</w:t>
            </w:r>
          </w:p>
        </w:tc>
      </w:tr>
      <w:tr>
        <w:trPr>
          <w:trHeight w:val="162"/>
        </w:trPr>
        <w:tc>
          <w:tcPr>
            <w:tcW w:w="2440" w:type="dxa"/>
            <w:vAlign w:val="bottom"/>
            <w:tcBorders>
              <w:right w:val="single" w:sz="8" w:color="95B3D7"/>
            </w:tcBorders>
          </w:tcPr>
          <w:p>
            <w:pPr>
              <w:spacing w:after="0"/>
              <w:rPr>
                <w:sz w:val="20"/>
                <w:szCs w:val="20"/>
                <w:color w:val="auto"/>
              </w:rPr>
            </w:pPr>
            <w:r>
              <w:rPr>
                <w:rFonts w:ascii="Arial" w:cs="Arial" w:eastAsia="Arial" w:hAnsi="Arial"/>
                <w:sz w:val="14"/>
                <w:szCs w:val="14"/>
                <w:b w:val="1"/>
                <w:bCs w:val="1"/>
                <w:color w:val="auto"/>
              </w:rPr>
              <w:t>Compensation Actually Paid</w:t>
            </w:r>
          </w:p>
        </w:tc>
        <w:tc>
          <w:tcPr>
            <w:tcW w:w="132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52,285,309</w:t>
            </w:r>
          </w:p>
        </w:tc>
        <w:tc>
          <w:tcPr>
            <w:tcW w:w="128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25,237,077</w:t>
            </w:r>
          </w:p>
        </w:tc>
        <w:tc>
          <w:tcPr>
            <w:tcW w:w="128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(2,674,822)</w:t>
            </w:r>
          </w:p>
        </w:tc>
        <w:tc>
          <w:tcPr>
            <w:tcW w:w="128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25,813,278</w:t>
            </w: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37,304,187</w:t>
            </w:r>
          </w:p>
        </w:tc>
      </w:tr>
      <w:tr>
        <w:trPr>
          <w:trHeight w:val="21"/>
        </w:trPr>
        <w:tc>
          <w:tcPr>
            <w:tcW w:w="2440" w:type="dxa"/>
            <w:vAlign w:val="bottom"/>
            <w:tcBorders>
              <w:bottom w:val="single" w:sz="8" w:color="95B3D7"/>
              <w:right w:val="single" w:sz="8" w:color="95B3D7"/>
            </w:tcBorders>
          </w:tcPr>
          <w:p>
            <w:pPr>
              <w:spacing w:after="0" w:line="20" w:lineRule="exact"/>
              <w:rPr>
                <w:sz w:val="1"/>
                <w:szCs w:val="1"/>
                <w:color w:val="auto"/>
              </w:rPr>
            </w:pPr>
          </w:p>
        </w:tc>
        <w:tc>
          <w:tcPr>
            <w:tcW w:w="24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280" w:type="dxa"/>
            <w:vAlign w:val="bottom"/>
            <w:tcBorders>
              <w:bottom w:val="single" w:sz="8" w:color="95B3D7"/>
              <w:right w:val="single" w:sz="8" w:color="95B3D7"/>
            </w:tcBorders>
          </w:tcPr>
          <w:p>
            <w:pPr>
              <w:spacing w:after="0" w:line="20" w:lineRule="exact"/>
              <w:rPr>
                <w:sz w:val="1"/>
                <w:szCs w:val="1"/>
                <w:color w:val="auto"/>
              </w:rPr>
            </w:pPr>
          </w:p>
        </w:tc>
        <w:tc>
          <w:tcPr>
            <w:tcW w:w="22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260" w:type="dxa"/>
            <w:vAlign w:val="bottom"/>
            <w:tcBorders>
              <w:bottom w:val="single" w:sz="8" w:color="95B3D7"/>
              <w:right w:val="single" w:sz="8" w:color="95B3D7"/>
            </w:tcBorders>
          </w:tcPr>
          <w:p>
            <w:pPr>
              <w:spacing w:after="0" w:line="20" w:lineRule="exact"/>
              <w:rPr>
                <w:sz w:val="1"/>
                <w:szCs w:val="1"/>
                <w:color w:val="auto"/>
              </w:rPr>
            </w:pPr>
          </w:p>
        </w:tc>
        <w:tc>
          <w:tcPr>
            <w:tcW w:w="22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260" w:type="dxa"/>
            <w:vAlign w:val="bottom"/>
            <w:tcBorders>
              <w:bottom w:val="single" w:sz="8" w:color="95B3D7"/>
              <w:right w:val="single" w:sz="8" w:color="95B3D7"/>
            </w:tcBorders>
          </w:tcPr>
          <w:p>
            <w:pPr>
              <w:spacing w:after="0" w:line="20" w:lineRule="exact"/>
              <w:rPr>
                <w:sz w:val="1"/>
                <w:szCs w:val="1"/>
                <w:color w:val="auto"/>
              </w:rPr>
            </w:pPr>
          </w:p>
        </w:tc>
        <w:tc>
          <w:tcPr>
            <w:tcW w:w="22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260" w:type="dxa"/>
            <w:vAlign w:val="bottom"/>
            <w:tcBorders>
              <w:bottom w:val="single" w:sz="8" w:color="95B3D7"/>
              <w:right w:val="single" w:sz="8" w:color="95B3D7"/>
            </w:tcBorders>
          </w:tcPr>
          <w:p>
            <w:pPr>
              <w:spacing w:after="0" w:line="20" w:lineRule="exact"/>
              <w:rPr>
                <w:sz w:val="1"/>
                <w:szCs w:val="1"/>
                <w:color w:val="auto"/>
              </w:rPr>
            </w:pPr>
          </w:p>
        </w:tc>
        <w:tc>
          <w:tcPr>
            <w:tcW w:w="22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240" w:type="dxa"/>
            <w:vAlign w:val="bottom"/>
            <w:tcBorders>
              <w:bottom w:val="single" w:sz="8" w:color="95B3D7"/>
            </w:tcBorders>
          </w:tcPr>
          <w:p>
            <w:pPr>
              <w:spacing w:after="0" w:line="20" w:lineRule="exact"/>
              <w:rPr>
                <w:sz w:val="1"/>
                <w:szCs w:val="1"/>
                <w:color w:val="auto"/>
              </w:rPr>
            </w:pPr>
          </w:p>
        </w:tc>
      </w:tr>
    </w:tbl>
    <w:p>
      <w:pPr>
        <w:spacing w:after="0" w:line="261" w:lineRule="exact"/>
        <w:rPr>
          <w:sz w:val="20"/>
          <w:szCs w:val="20"/>
          <w:color w:val="auto"/>
        </w:rPr>
      </w:pPr>
    </w:p>
    <w:p>
      <w:pPr>
        <w:ind w:left="332" w:right="20" w:hanging="332"/>
        <w:spacing w:after="0" w:line="267" w:lineRule="auto"/>
        <w:tabs>
          <w:tab w:leader="none" w:pos="31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dollar amounts reported in column (d) are the average of the amounts of total compensation reported for the non-PEO NEOs for each corresponding year in the “Total” column of the SCT. For 2025, the Non-PEO NEOs were Dawn Maroney, James M. Head, Thomas Freeman, Hyong (Ken) Kim, M.D. and Christopher Joyce. For 2024, the Non-PEO NEOs were Dawn Maroney, Thomas Freeman, Hyong (Ken) Kim, M.D. and Andreas Wagner. For 2023, the Non-PEO NEOs were Dawn Maroney, Thomas Freeman, Hakan Kardes and Hyong (Ken) Kim, M.D. For 2022, the Non-PEO NEOs were Thomas Freeman, Dawn Maroney, Dinesh Kumar and Richard Cross. For 2021, the Non-PEO NEOs were Thomas Freeman, Dawn Maroney, Dinesh Kumar and Rajesh Shrestha.</w:t>
      </w:r>
    </w:p>
    <w:p>
      <w:pPr>
        <w:spacing w:after="0" w:line="211" w:lineRule="exact"/>
        <w:rPr>
          <w:rFonts w:ascii="Arial" w:cs="Arial" w:eastAsia="Arial" w:hAnsi="Arial"/>
          <w:sz w:val="14"/>
          <w:szCs w:val="14"/>
          <w:color w:val="auto"/>
        </w:rPr>
      </w:pPr>
    </w:p>
    <w:p>
      <w:pPr>
        <w:ind w:left="332" w:hanging="332"/>
        <w:spacing w:after="0" w:line="269" w:lineRule="auto"/>
        <w:tabs>
          <w:tab w:leader="none" w:pos="319"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dollar amounts reported in column (e) represent the average amount of CAP to the non-PEO NEOs as a group computed in accordance with Item 402(v) of Regulation S-K. The dollar amounts do not reflect the actual amount of compensation earned by or paid to the Non-PEO NEOs during the applicable year. In accordance with the requirements of Item 402(v) of Regulation S-K, the following adjustments were made to average total compensation for the Non-PEO NEOs for each year to determine the CAP:</w:t>
      </w:r>
    </w:p>
    <w:p>
      <w:pPr>
        <w:spacing w:after="0" w:line="277" w:lineRule="exact"/>
        <w:rPr>
          <w:sz w:val="20"/>
          <w:szCs w:val="20"/>
          <w:color w:val="auto"/>
        </w:rPr>
      </w:pPr>
    </w:p>
    <w:tbl>
      <w:tblPr>
        <w:tblLayout w:type="fixed"/>
        <w:tblInd w:w="992" w:type="dxa"/>
        <w:tblCellMar>
          <w:top w:w="0" w:type="dxa"/>
          <w:left w:w="0" w:type="dxa"/>
          <w:bottom w:w="0" w:type="dxa"/>
          <w:right w:w="0" w:type="dxa"/>
        </w:tblCellMar>
      </w:tblPr>
      <w:tr>
        <w:trPr>
          <w:trHeight w:val="211"/>
        </w:trPr>
        <w:tc>
          <w:tcPr>
            <w:tcW w:w="29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2023</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2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r>
      <w:tr>
        <w:trPr>
          <w:trHeight w:val="197"/>
        </w:trPr>
        <w:tc>
          <w:tcPr>
            <w:tcW w:w="290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4"/>
                <w:szCs w:val="14"/>
                <w:color w:val="auto"/>
              </w:rPr>
              <w:t>Average Total Compensation from SCT</w:t>
            </w:r>
          </w:p>
        </w:tc>
        <w:tc>
          <w:tcPr>
            <w:tcW w:w="132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$3,567,181</w:t>
            </w:r>
          </w:p>
        </w:tc>
        <w:tc>
          <w:tcPr>
            <w:tcW w:w="1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$2,715,002</w:t>
            </w:r>
          </w:p>
        </w:tc>
        <w:tc>
          <w:tcPr>
            <w:tcW w:w="1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$4,760,449</w:t>
            </w:r>
          </w:p>
        </w:tc>
        <w:tc>
          <w:tcPr>
            <w:tcW w:w="12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color w:val="auto"/>
              </w:rPr>
              <w:t>$7,327,470</w:t>
            </w:r>
          </w:p>
        </w:tc>
        <w:tc>
          <w:tcPr>
            <w:tcW w:w="1240" w:type="dxa"/>
            <w:vAlign w:val="bottom"/>
            <w:shd w:val="clear" w:color="auto" w:fill="DBE5F1"/>
          </w:tcPr>
          <w:p>
            <w:pPr>
              <w:jc w:val="center"/>
              <w:spacing w:after="0"/>
              <w:rPr>
                <w:sz w:val="20"/>
                <w:szCs w:val="20"/>
                <w:color w:val="auto"/>
              </w:rPr>
            </w:pPr>
            <w:r>
              <w:rPr>
                <w:rFonts w:ascii="Arial" w:cs="Arial" w:eastAsia="Arial" w:hAnsi="Arial"/>
                <w:sz w:val="14"/>
                <w:szCs w:val="14"/>
                <w:color w:val="auto"/>
              </w:rPr>
              <w:t>$10,891,546</w:t>
            </w:r>
          </w:p>
        </w:tc>
      </w:tr>
      <w:tr>
        <w:trPr>
          <w:trHeight w:val="153"/>
        </w:trPr>
        <w:tc>
          <w:tcPr>
            <w:tcW w:w="2900" w:type="dxa"/>
            <w:vAlign w:val="bottom"/>
            <w:tcBorders>
              <w:right w:val="single" w:sz="8" w:color="95B3D7"/>
            </w:tcBorders>
          </w:tcPr>
          <w:p>
            <w:pPr>
              <w:ind w:left="160"/>
              <w:spacing w:after="0" w:line="153" w:lineRule="exact"/>
              <w:rPr>
                <w:sz w:val="20"/>
                <w:szCs w:val="20"/>
                <w:color w:val="auto"/>
              </w:rPr>
            </w:pPr>
            <w:r>
              <w:rPr>
                <w:rFonts w:ascii="Arial" w:cs="Arial" w:eastAsia="Arial" w:hAnsi="Arial"/>
                <w:sz w:val="14"/>
                <w:szCs w:val="14"/>
                <w:color w:val="auto"/>
              </w:rPr>
              <w:t>Less Average Reported Value of Equity</w:t>
            </w:r>
          </w:p>
        </w:tc>
        <w:tc>
          <w:tcPr>
            <w:tcW w:w="132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$(2,330,000)</w:t>
            </w:r>
          </w:p>
        </w:tc>
        <w:tc>
          <w:tcPr>
            <w:tcW w:w="126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$(1,350,000)</w:t>
            </w:r>
          </w:p>
        </w:tc>
        <w:tc>
          <w:tcPr>
            <w:tcW w:w="126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$(3,786,785)</w:t>
            </w:r>
          </w:p>
        </w:tc>
        <w:tc>
          <w:tcPr>
            <w:tcW w:w="128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$(6,383,827)</w:t>
            </w:r>
          </w:p>
        </w:tc>
        <w:tc>
          <w:tcPr>
            <w:tcW w:w="1240" w:type="dxa"/>
            <w:vAlign w:val="bottom"/>
          </w:tcPr>
          <w:p>
            <w:pPr>
              <w:jc w:val="center"/>
              <w:spacing w:after="0" w:line="153" w:lineRule="exact"/>
              <w:rPr>
                <w:sz w:val="20"/>
                <w:szCs w:val="20"/>
                <w:color w:val="auto"/>
              </w:rPr>
            </w:pPr>
            <w:r>
              <w:rPr>
                <w:rFonts w:ascii="Arial" w:cs="Arial" w:eastAsia="Arial" w:hAnsi="Arial"/>
                <w:sz w:val="14"/>
                <w:szCs w:val="14"/>
                <w:color w:val="auto"/>
              </w:rPr>
              <w:t>$(9,913,214)</w:t>
            </w:r>
          </w:p>
        </w:tc>
      </w:tr>
      <w:tr>
        <w:trPr>
          <w:trHeight w:val="185"/>
        </w:trPr>
        <w:tc>
          <w:tcPr>
            <w:tcW w:w="2900" w:type="dxa"/>
            <w:vAlign w:val="bottom"/>
            <w:tcBorders>
              <w:right w:val="single" w:sz="8" w:color="95B3D7"/>
            </w:tcBorders>
          </w:tcPr>
          <w:p>
            <w:pPr>
              <w:ind w:left="160"/>
              <w:spacing w:after="0"/>
              <w:rPr>
                <w:sz w:val="20"/>
                <w:szCs w:val="20"/>
                <w:color w:val="auto"/>
              </w:rPr>
            </w:pPr>
            <w:r>
              <w:rPr>
                <w:rFonts w:ascii="Arial" w:cs="Arial" w:eastAsia="Arial" w:hAnsi="Arial"/>
                <w:sz w:val="14"/>
                <w:szCs w:val="14"/>
                <w:color w:val="auto"/>
              </w:rPr>
              <w:t>Awards from SCT</w:t>
            </w:r>
          </w:p>
        </w:tc>
        <w:tc>
          <w:tcPr>
            <w:tcW w:w="1320" w:type="dxa"/>
            <w:vAlign w:val="bottom"/>
            <w:tcBorders>
              <w:right w:val="single" w:sz="8" w:color="95B3D7"/>
            </w:tcBorders>
          </w:tcPr>
          <w:p>
            <w:pPr>
              <w:spacing w:after="0"/>
              <w:rPr>
                <w:sz w:val="16"/>
                <w:szCs w:val="16"/>
                <w:color w:val="auto"/>
              </w:rPr>
            </w:pPr>
          </w:p>
        </w:tc>
        <w:tc>
          <w:tcPr>
            <w:tcW w:w="1260" w:type="dxa"/>
            <w:vAlign w:val="bottom"/>
            <w:tcBorders>
              <w:right w:val="single" w:sz="8" w:color="95B3D7"/>
            </w:tcBorders>
          </w:tcPr>
          <w:p>
            <w:pPr>
              <w:spacing w:after="0"/>
              <w:rPr>
                <w:sz w:val="16"/>
                <w:szCs w:val="16"/>
                <w:color w:val="auto"/>
              </w:rPr>
            </w:pPr>
          </w:p>
        </w:tc>
        <w:tc>
          <w:tcPr>
            <w:tcW w:w="1260" w:type="dxa"/>
            <w:vAlign w:val="bottom"/>
            <w:tcBorders>
              <w:right w:val="single" w:sz="8" w:color="95B3D7"/>
            </w:tcBorders>
          </w:tcPr>
          <w:p>
            <w:pPr>
              <w:spacing w:after="0"/>
              <w:rPr>
                <w:sz w:val="16"/>
                <w:szCs w:val="16"/>
                <w:color w:val="auto"/>
              </w:rPr>
            </w:pPr>
          </w:p>
        </w:tc>
        <w:tc>
          <w:tcPr>
            <w:tcW w:w="1280" w:type="dxa"/>
            <w:vAlign w:val="bottom"/>
            <w:tcBorders>
              <w:right w:val="single" w:sz="8" w:color="95B3D7"/>
            </w:tcBorders>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290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4"/>
                <w:szCs w:val="14"/>
                <w:b w:val="1"/>
                <w:bCs w:val="1"/>
                <w:color w:val="auto"/>
              </w:rPr>
              <w:t>Subtotal</w:t>
            </w:r>
          </w:p>
        </w:tc>
        <w:tc>
          <w:tcPr>
            <w:tcW w:w="132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$1,237,181</w:t>
            </w:r>
          </w:p>
        </w:tc>
        <w:tc>
          <w:tcPr>
            <w:tcW w:w="1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$1,365,002</w:t>
            </w:r>
          </w:p>
        </w:tc>
        <w:tc>
          <w:tcPr>
            <w:tcW w:w="126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$973,664</w:t>
            </w:r>
          </w:p>
        </w:tc>
        <w:tc>
          <w:tcPr>
            <w:tcW w:w="12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4"/>
                <w:szCs w:val="14"/>
                <w:b w:val="1"/>
                <w:bCs w:val="1"/>
                <w:color w:val="auto"/>
              </w:rPr>
              <w:t>$943,643</w:t>
            </w:r>
          </w:p>
        </w:tc>
        <w:tc>
          <w:tcPr>
            <w:tcW w:w="1240" w:type="dxa"/>
            <w:vAlign w:val="bottom"/>
            <w:shd w:val="clear" w:color="auto" w:fill="DBE5F1"/>
          </w:tcPr>
          <w:p>
            <w:pPr>
              <w:jc w:val="center"/>
              <w:spacing w:after="0"/>
              <w:rPr>
                <w:sz w:val="20"/>
                <w:szCs w:val="20"/>
                <w:color w:val="auto"/>
              </w:rPr>
            </w:pPr>
            <w:r>
              <w:rPr>
                <w:rFonts w:ascii="Arial" w:cs="Arial" w:eastAsia="Arial" w:hAnsi="Arial"/>
                <w:sz w:val="14"/>
                <w:szCs w:val="14"/>
                <w:b w:val="1"/>
                <w:bCs w:val="1"/>
                <w:color w:val="auto"/>
              </w:rPr>
              <w:t>$978,332</w:t>
            </w:r>
          </w:p>
        </w:tc>
      </w:tr>
      <w:tr>
        <w:trPr>
          <w:trHeight w:val="153"/>
        </w:trPr>
        <w:tc>
          <w:tcPr>
            <w:tcW w:w="2900" w:type="dxa"/>
            <w:vAlign w:val="bottom"/>
            <w:tcBorders>
              <w:right w:val="single" w:sz="8" w:color="95B3D7"/>
            </w:tcBorders>
          </w:tcPr>
          <w:p>
            <w:pPr>
              <w:ind w:left="160"/>
              <w:spacing w:after="0" w:line="153" w:lineRule="exact"/>
              <w:rPr>
                <w:sz w:val="20"/>
                <w:szCs w:val="20"/>
                <w:color w:val="auto"/>
              </w:rPr>
            </w:pPr>
            <w:r>
              <w:rPr>
                <w:rFonts w:ascii="Arial" w:cs="Arial" w:eastAsia="Arial" w:hAnsi="Arial"/>
                <w:sz w:val="14"/>
                <w:szCs w:val="14"/>
                <w:color w:val="auto"/>
              </w:rPr>
              <w:t>Year-end fair value of any equity awards</w:t>
            </w:r>
          </w:p>
        </w:tc>
        <w:tc>
          <w:tcPr>
            <w:tcW w:w="132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$2,895,666</w:t>
            </w:r>
          </w:p>
        </w:tc>
        <w:tc>
          <w:tcPr>
            <w:tcW w:w="126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$2,913,083</w:t>
            </w:r>
          </w:p>
        </w:tc>
        <w:tc>
          <w:tcPr>
            <w:tcW w:w="126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$4,110,320</w:t>
            </w:r>
          </w:p>
        </w:tc>
        <w:tc>
          <w:tcPr>
            <w:tcW w:w="1280" w:type="dxa"/>
            <w:vAlign w:val="bottom"/>
            <w:tcBorders>
              <w:right w:val="single" w:sz="8" w:color="95B3D7"/>
            </w:tcBorders>
          </w:tcPr>
          <w:p>
            <w:pPr>
              <w:jc w:val="center"/>
              <w:spacing w:after="0" w:line="153" w:lineRule="exact"/>
              <w:rPr>
                <w:sz w:val="20"/>
                <w:szCs w:val="20"/>
                <w:color w:val="auto"/>
              </w:rPr>
            </w:pPr>
            <w:r>
              <w:rPr>
                <w:rFonts w:ascii="Arial" w:cs="Arial" w:eastAsia="Arial" w:hAnsi="Arial"/>
                <w:sz w:val="14"/>
                <w:szCs w:val="14"/>
                <w:color w:val="auto"/>
              </w:rPr>
              <w:t>$5,881,206</w:t>
            </w:r>
          </w:p>
        </w:tc>
        <w:tc>
          <w:tcPr>
            <w:tcW w:w="1240" w:type="dxa"/>
            <w:vAlign w:val="bottom"/>
          </w:tcPr>
          <w:p>
            <w:pPr>
              <w:jc w:val="center"/>
              <w:spacing w:after="0" w:line="153" w:lineRule="exact"/>
              <w:rPr>
                <w:sz w:val="20"/>
                <w:szCs w:val="20"/>
                <w:color w:val="auto"/>
              </w:rPr>
            </w:pPr>
            <w:r>
              <w:rPr>
                <w:rFonts w:ascii="Arial" w:cs="Arial" w:eastAsia="Arial" w:hAnsi="Arial"/>
                <w:sz w:val="14"/>
                <w:szCs w:val="14"/>
                <w:color w:val="auto"/>
              </w:rPr>
              <w:t>$4,532,610</w:t>
            </w:r>
          </w:p>
        </w:tc>
      </w:tr>
      <w:tr>
        <w:trPr>
          <w:trHeight w:val="144"/>
        </w:trPr>
        <w:tc>
          <w:tcPr>
            <w:tcW w:w="2900" w:type="dxa"/>
            <w:vAlign w:val="bottom"/>
            <w:tcBorders>
              <w:right w:val="single" w:sz="8" w:color="95B3D7"/>
            </w:tcBorders>
          </w:tcPr>
          <w:p>
            <w:pPr>
              <w:ind w:left="160"/>
              <w:spacing w:after="0" w:line="145" w:lineRule="exact"/>
              <w:rPr>
                <w:sz w:val="20"/>
                <w:szCs w:val="20"/>
                <w:color w:val="auto"/>
              </w:rPr>
            </w:pPr>
            <w:r>
              <w:rPr>
                <w:rFonts w:ascii="Arial" w:cs="Arial" w:eastAsia="Arial" w:hAnsi="Arial"/>
                <w:sz w:val="14"/>
                <w:szCs w:val="14"/>
                <w:color w:val="auto"/>
              </w:rPr>
              <w:t>granted in applicable year that are</w:t>
            </w:r>
          </w:p>
        </w:tc>
        <w:tc>
          <w:tcPr>
            <w:tcW w:w="1320" w:type="dxa"/>
            <w:vAlign w:val="bottom"/>
            <w:tcBorders>
              <w:right w:val="single" w:sz="8" w:color="95B3D7"/>
            </w:tcBorders>
          </w:tcPr>
          <w:p>
            <w:pPr>
              <w:spacing w:after="0"/>
              <w:rPr>
                <w:sz w:val="12"/>
                <w:szCs w:val="12"/>
                <w:color w:val="auto"/>
              </w:rPr>
            </w:pPr>
          </w:p>
        </w:tc>
        <w:tc>
          <w:tcPr>
            <w:tcW w:w="1260" w:type="dxa"/>
            <w:vAlign w:val="bottom"/>
            <w:tcBorders>
              <w:right w:val="single" w:sz="8" w:color="95B3D7"/>
            </w:tcBorders>
          </w:tcPr>
          <w:p>
            <w:pPr>
              <w:spacing w:after="0"/>
              <w:rPr>
                <w:sz w:val="12"/>
                <w:szCs w:val="12"/>
                <w:color w:val="auto"/>
              </w:rPr>
            </w:pPr>
          </w:p>
        </w:tc>
        <w:tc>
          <w:tcPr>
            <w:tcW w:w="1260" w:type="dxa"/>
            <w:vAlign w:val="bottom"/>
            <w:tcBorders>
              <w:right w:val="single" w:sz="8" w:color="95B3D7"/>
            </w:tcBorders>
          </w:tcPr>
          <w:p>
            <w:pPr>
              <w:spacing w:after="0"/>
              <w:rPr>
                <w:sz w:val="12"/>
                <w:szCs w:val="12"/>
                <w:color w:val="auto"/>
              </w:rPr>
            </w:pPr>
          </w:p>
        </w:tc>
        <w:tc>
          <w:tcPr>
            <w:tcW w:w="1280" w:type="dxa"/>
            <w:vAlign w:val="bottom"/>
            <w:tcBorders>
              <w:right w:val="single" w:sz="8" w:color="95B3D7"/>
            </w:tcBorders>
          </w:tcPr>
          <w:p>
            <w:pPr>
              <w:spacing w:after="0"/>
              <w:rPr>
                <w:sz w:val="12"/>
                <w:szCs w:val="12"/>
                <w:color w:val="auto"/>
              </w:rPr>
            </w:pPr>
          </w:p>
        </w:tc>
        <w:tc>
          <w:tcPr>
            <w:tcW w:w="1240" w:type="dxa"/>
            <w:vAlign w:val="bottom"/>
          </w:tcPr>
          <w:p>
            <w:pPr>
              <w:spacing w:after="0"/>
              <w:rPr>
                <w:sz w:val="12"/>
                <w:szCs w:val="12"/>
                <w:color w:val="auto"/>
              </w:rPr>
            </w:pPr>
          </w:p>
        </w:tc>
      </w:tr>
      <w:tr>
        <w:trPr>
          <w:trHeight w:val="139"/>
        </w:trPr>
        <w:tc>
          <w:tcPr>
            <w:tcW w:w="2900" w:type="dxa"/>
            <w:vAlign w:val="bottom"/>
            <w:tcBorders>
              <w:right w:val="single" w:sz="8" w:color="95B3D7"/>
            </w:tcBorders>
          </w:tcPr>
          <w:p>
            <w:pPr>
              <w:ind w:left="160"/>
              <w:spacing w:after="0" w:line="139" w:lineRule="exact"/>
              <w:rPr>
                <w:sz w:val="20"/>
                <w:szCs w:val="20"/>
                <w:color w:val="auto"/>
              </w:rPr>
            </w:pPr>
            <w:r>
              <w:rPr>
                <w:rFonts w:ascii="Arial" w:cs="Arial" w:eastAsia="Arial" w:hAnsi="Arial"/>
                <w:sz w:val="14"/>
                <w:szCs w:val="14"/>
                <w:color w:val="auto"/>
              </w:rPr>
              <w:t>outstanding and unvested as of the end of</w:t>
            </w:r>
          </w:p>
        </w:tc>
        <w:tc>
          <w:tcPr>
            <w:tcW w:w="1320" w:type="dxa"/>
            <w:vAlign w:val="bottom"/>
            <w:tcBorders>
              <w:right w:val="single" w:sz="8" w:color="95B3D7"/>
            </w:tcBorders>
          </w:tcPr>
          <w:p>
            <w:pPr>
              <w:spacing w:after="0"/>
              <w:rPr>
                <w:sz w:val="12"/>
                <w:szCs w:val="12"/>
                <w:color w:val="auto"/>
              </w:rPr>
            </w:pPr>
          </w:p>
        </w:tc>
        <w:tc>
          <w:tcPr>
            <w:tcW w:w="1260" w:type="dxa"/>
            <w:vAlign w:val="bottom"/>
            <w:tcBorders>
              <w:right w:val="single" w:sz="8" w:color="95B3D7"/>
            </w:tcBorders>
          </w:tcPr>
          <w:p>
            <w:pPr>
              <w:spacing w:after="0"/>
              <w:rPr>
                <w:sz w:val="12"/>
                <w:szCs w:val="12"/>
                <w:color w:val="auto"/>
              </w:rPr>
            </w:pPr>
          </w:p>
        </w:tc>
        <w:tc>
          <w:tcPr>
            <w:tcW w:w="1260" w:type="dxa"/>
            <w:vAlign w:val="bottom"/>
            <w:tcBorders>
              <w:right w:val="single" w:sz="8" w:color="95B3D7"/>
            </w:tcBorders>
          </w:tcPr>
          <w:p>
            <w:pPr>
              <w:spacing w:after="0"/>
              <w:rPr>
                <w:sz w:val="12"/>
                <w:szCs w:val="12"/>
                <w:color w:val="auto"/>
              </w:rPr>
            </w:pPr>
          </w:p>
        </w:tc>
        <w:tc>
          <w:tcPr>
            <w:tcW w:w="1280" w:type="dxa"/>
            <w:vAlign w:val="bottom"/>
            <w:tcBorders>
              <w:right w:val="single" w:sz="8" w:color="95B3D7"/>
            </w:tcBorders>
          </w:tcPr>
          <w:p>
            <w:pPr>
              <w:spacing w:after="0"/>
              <w:rPr>
                <w:sz w:val="12"/>
                <w:szCs w:val="12"/>
                <w:color w:val="auto"/>
              </w:rPr>
            </w:pPr>
          </w:p>
        </w:tc>
        <w:tc>
          <w:tcPr>
            <w:tcW w:w="1240" w:type="dxa"/>
            <w:vAlign w:val="bottom"/>
          </w:tcPr>
          <w:p>
            <w:pPr>
              <w:spacing w:after="0"/>
              <w:rPr>
                <w:sz w:val="12"/>
                <w:szCs w:val="12"/>
                <w:color w:val="auto"/>
              </w:rPr>
            </w:pPr>
          </w:p>
        </w:tc>
      </w:tr>
      <w:tr>
        <w:trPr>
          <w:trHeight w:val="194"/>
        </w:trPr>
        <w:tc>
          <w:tcPr>
            <w:tcW w:w="2900" w:type="dxa"/>
            <w:vAlign w:val="bottom"/>
            <w:tcBorders>
              <w:right w:val="single" w:sz="8" w:color="95B3D7"/>
            </w:tcBorders>
          </w:tcPr>
          <w:p>
            <w:pPr>
              <w:ind w:left="160"/>
              <w:spacing w:after="0"/>
              <w:rPr>
                <w:sz w:val="20"/>
                <w:szCs w:val="20"/>
                <w:color w:val="auto"/>
              </w:rPr>
            </w:pPr>
            <w:r>
              <w:rPr>
                <w:rFonts w:ascii="Arial" w:cs="Arial" w:eastAsia="Arial" w:hAnsi="Arial"/>
                <w:sz w:val="14"/>
                <w:szCs w:val="14"/>
                <w:color w:val="auto"/>
              </w:rPr>
              <w:t>the year</w:t>
            </w:r>
          </w:p>
        </w:tc>
        <w:tc>
          <w:tcPr>
            <w:tcW w:w="1320" w:type="dxa"/>
            <w:vAlign w:val="bottom"/>
            <w:tcBorders>
              <w:right w:val="single" w:sz="8" w:color="95B3D7"/>
            </w:tcBorders>
          </w:tcPr>
          <w:p>
            <w:pPr>
              <w:spacing w:after="0"/>
              <w:rPr>
                <w:sz w:val="16"/>
                <w:szCs w:val="16"/>
                <w:color w:val="auto"/>
              </w:rPr>
            </w:pPr>
          </w:p>
        </w:tc>
        <w:tc>
          <w:tcPr>
            <w:tcW w:w="1260" w:type="dxa"/>
            <w:vAlign w:val="bottom"/>
            <w:tcBorders>
              <w:right w:val="single" w:sz="8" w:color="95B3D7"/>
            </w:tcBorders>
          </w:tcPr>
          <w:p>
            <w:pPr>
              <w:spacing w:after="0"/>
              <w:rPr>
                <w:sz w:val="16"/>
                <w:szCs w:val="16"/>
                <w:color w:val="auto"/>
              </w:rPr>
            </w:pPr>
          </w:p>
        </w:tc>
        <w:tc>
          <w:tcPr>
            <w:tcW w:w="1260" w:type="dxa"/>
            <w:vAlign w:val="bottom"/>
            <w:tcBorders>
              <w:right w:val="single" w:sz="8" w:color="95B3D7"/>
            </w:tcBorders>
          </w:tcPr>
          <w:p>
            <w:pPr>
              <w:spacing w:after="0"/>
              <w:rPr>
                <w:sz w:val="16"/>
                <w:szCs w:val="16"/>
                <w:color w:val="auto"/>
              </w:rPr>
            </w:pPr>
          </w:p>
        </w:tc>
        <w:tc>
          <w:tcPr>
            <w:tcW w:w="1280" w:type="dxa"/>
            <w:vAlign w:val="bottom"/>
            <w:tcBorders>
              <w:right w:val="single" w:sz="8" w:color="95B3D7"/>
            </w:tcBorders>
          </w:tcPr>
          <w:p>
            <w:pPr>
              <w:spacing w:after="0"/>
              <w:rPr>
                <w:sz w:val="16"/>
                <w:szCs w:val="16"/>
                <w:color w:val="auto"/>
              </w:rPr>
            </w:pPr>
          </w:p>
        </w:tc>
        <w:tc>
          <w:tcPr>
            <w:tcW w:w="1240" w:type="dxa"/>
            <w:vAlign w:val="bottom"/>
          </w:tcPr>
          <w:p>
            <w:pPr>
              <w:spacing w:after="0"/>
              <w:rPr>
                <w:sz w:val="16"/>
                <w:szCs w:val="16"/>
                <w:color w:val="auto"/>
              </w:rPr>
            </w:pPr>
          </w:p>
        </w:tc>
      </w:tr>
      <w:tr>
        <w:trPr>
          <w:trHeight w:val="157"/>
        </w:trPr>
        <w:tc>
          <w:tcPr>
            <w:tcW w:w="2900" w:type="dxa"/>
            <w:vAlign w:val="bottom"/>
            <w:tcBorders>
              <w:right w:val="single" w:sz="8" w:color="95B3D7"/>
            </w:tcBorders>
            <w:shd w:val="clear" w:color="auto" w:fill="DBE5F1"/>
          </w:tcPr>
          <w:p>
            <w:pPr>
              <w:ind w:left="160"/>
              <w:spacing w:after="0" w:line="157" w:lineRule="exact"/>
              <w:rPr>
                <w:sz w:val="20"/>
                <w:szCs w:val="20"/>
                <w:color w:val="auto"/>
              </w:rPr>
            </w:pPr>
            <w:r>
              <w:rPr>
                <w:rFonts w:ascii="Arial" w:cs="Arial" w:eastAsia="Arial" w:hAnsi="Arial"/>
                <w:sz w:val="14"/>
                <w:szCs w:val="14"/>
                <w:color w:val="auto"/>
              </w:rPr>
              <w:t>For awards granted and vested in the</w:t>
            </w:r>
          </w:p>
        </w:tc>
        <w:tc>
          <w:tcPr>
            <w:tcW w:w="1320" w:type="dxa"/>
            <w:vAlign w:val="bottom"/>
            <w:tcBorders>
              <w:right w:val="single" w:sz="8" w:color="95B3D7"/>
            </w:tcBorders>
            <w:shd w:val="clear" w:color="auto" w:fill="DBE5F1"/>
          </w:tcPr>
          <w:p>
            <w:pPr>
              <w:jc w:val="center"/>
              <w:spacing w:after="0" w:line="157" w:lineRule="exact"/>
              <w:rPr>
                <w:sz w:val="20"/>
                <w:szCs w:val="20"/>
                <w:color w:val="auto"/>
              </w:rPr>
            </w:pPr>
            <w:r>
              <w:rPr>
                <w:rFonts w:ascii="Arial" w:cs="Arial" w:eastAsia="Arial" w:hAnsi="Arial"/>
                <w:sz w:val="14"/>
                <w:szCs w:val="14"/>
                <w:color w:val="auto"/>
              </w:rPr>
              <w:t>$80,699</w:t>
            </w:r>
          </w:p>
        </w:tc>
        <w:tc>
          <w:tcPr>
            <w:tcW w:w="1260" w:type="dxa"/>
            <w:vAlign w:val="bottom"/>
            <w:tcBorders>
              <w:right w:val="single" w:sz="8" w:color="95B3D7"/>
            </w:tcBorders>
            <w:shd w:val="clear" w:color="auto" w:fill="DBE5F1"/>
          </w:tcPr>
          <w:p>
            <w:pPr>
              <w:jc w:val="center"/>
              <w:spacing w:after="0" w:line="157" w:lineRule="exact"/>
              <w:rPr>
                <w:sz w:val="20"/>
                <w:szCs w:val="20"/>
                <w:color w:val="auto"/>
              </w:rPr>
            </w:pPr>
            <w:r>
              <w:rPr>
                <w:rFonts w:ascii="Arial" w:cs="Arial" w:eastAsia="Arial" w:hAnsi="Arial"/>
                <w:sz w:val="14"/>
                <w:szCs w:val="14"/>
                <w:color w:val="auto"/>
                <w:w w:val="99"/>
              </w:rPr>
              <w:t>—</w:t>
            </w:r>
          </w:p>
        </w:tc>
        <w:tc>
          <w:tcPr>
            <w:tcW w:w="1260" w:type="dxa"/>
            <w:vAlign w:val="bottom"/>
            <w:tcBorders>
              <w:right w:val="single" w:sz="8" w:color="95B3D7"/>
            </w:tcBorders>
            <w:shd w:val="clear" w:color="auto" w:fill="DBE5F1"/>
          </w:tcPr>
          <w:p>
            <w:pPr>
              <w:jc w:val="center"/>
              <w:spacing w:after="0" w:line="157" w:lineRule="exact"/>
              <w:rPr>
                <w:sz w:val="20"/>
                <w:szCs w:val="20"/>
                <w:color w:val="auto"/>
              </w:rPr>
            </w:pPr>
            <w:r>
              <w:rPr>
                <w:rFonts w:ascii="Arial" w:cs="Arial" w:eastAsia="Arial" w:hAnsi="Arial"/>
                <w:sz w:val="14"/>
                <w:szCs w:val="14"/>
                <w:color w:val="auto"/>
                <w:w w:val="99"/>
              </w:rPr>
              <w:t>—</w:t>
            </w:r>
          </w:p>
        </w:tc>
        <w:tc>
          <w:tcPr>
            <w:tcW w:w="1280" w:type="dxa"/>
            <w:vAlign w:val="bottom"/>
            <w:tcBorders>
              <w:right w:val="single" w:sz="8" w:color="95B3D7"/>
            </w:tcBorders>
            <w:shd w:val="clear" w:color="auto" w:fill="DBE5F1"/>
          </w:tcPr>
          <w:p>
            <w:pPr>
              <w:jc w:val="center"/>
              <w:spacing w:after="0" w:line="157" w:lineRule="exact"/>
              <w:rPr>
                <w:sz w:val="20"/>
                <w:szCs w:val="20"/>
                <w:color w:val="auto"/>
              </w:rPr>
            </w:pPr>
            <w:r>
              <w:rPr>
                <w:rFonts w:ascii="Arial" w:cs="Arial" w:eastAsia="Arial" w:hAnsi="Arial"/>
                <w:sz w:val="14"/>
                <w:szCs w:val="14"/>
                <w:color w:val="auto"/>
                <w:w w:val="99"/>
              </w:rPr>
              <w:t>—</w:t>
            </w:r>
          </w:p>
        </w:tc>
        <w:tc>
          <w:tcPr>
            <w:tcW w:w="1240" w:type="dxa"/>
            <w:vAlign w:val="bottom"/>
            <w:shd w:val="clear" w:color="auto" w:fill="DBE5F1"/>
          </w:tcPr>
          <w:p>
            <w:pPr>
              <w:jc w:val="center"/>
              <w:spacing w:after="0" w:line="157" w:lineRule="exact"/>
              <w:rPr>
                <w:sz w:val="20"/>
                <w:szCs w:val="20"/>
                <w:color w:val="auto"/>
              </w:rPr>
            </w:pPr>
            <w:r>
              <w:rPr>
                <w:rFonts w:ascii="Arial" w:cs="Arial" w:eastAsia="Arial" w:hAnsi="Arial"/>
                <w:sz w:val="14"/>
                <w:szCs w:val="14"/>
                <w:color w:val="auto"/>
                <w:w w:val="99"/>
              </w:rPr>
              <w:t>—</w:t>
            </w:r>
          </w:p>
        </w:tc>
      </w:tr>
      <w:tr>
        <w:trPr>
          <w:trHeight w:val="144"/>
        </w:trPr>
        <w:tc>
          <w:tcPr>
            <w:tcW w:w="2900" w:type="dxa"/>
            <w:vAlign w:val="bottom"/>
            <w:tcBorders>
              <w:right w:val="single" w:sz="8" w:color="95B3D7"/>
            </w:tcBorders>
            <w:shd w:val="clear" w:color="auto" w:fill="DBE5F1"/>
          </w:tcPr>
          <w:p>
            <w:pPr>
              <w:ind w:left="160"/>
              <w:spacing w:after="0" w:line="145" w:lineRule="exact"/>
              <w:rPr>
                <w:sz w:val="20"/>
                <w:szCs w:val="20"/>
                <w:color w:val="auto"/>
              </w:rPr>
            </w:pPr>
            <w:r>
              <w:rPr>
                <w:rFonts w:ascii="Arial" w:cs="Arial" w:eastAsia="Arial" w:hAnsi="Arial"/>
                <w:sz w:val="14"/>
                <w:szCs w:val="14"/>
                <w:color w:val="auto"/>
              </w:rPr>
              <w:t>applicable year, the fair value at the</w:t>
            </w:r>
          </w:p>
        </w:tc>
        <w:tc>
          <w:tcPr>
            <w:tcW w:w="1320" w:type="dxa"/>
            <w:vAlign w:val="bottom"/>
            <w:tcBorders>
              <w:right w:val="single" w:sz="8" w:color="95B3D7"/>
            </w:tcBorders>
            <w:shd w:val="clear" w:color="auto" w:fill="DBE5F1"/>
          </w:tcPr>
          <w:p>
            <w:pPr>
              <w:spacing w:after="0"/>
              <w:rPr>
                <w:sz w:val="12"/>
                <w:szCs w:val="12"/>
                <w:color w:val="auto"/>
              </w:rPr>
            </w:pPr>
          </w:p>
        </w:tc>
        <w:tc>
          <w:tcPr>
            <w:tcW w:w="1260" w:type="dxa"/>
            <w:vAlign w:val="bottom"/>
            <w:tcBorders>
              <w:right w:val="single" w:sz="8" w:color="95B3D7"/>
            </w:tcBorders>
            <w:shd w:val="clear" w:color="auto" w:fill="DBE5F1"/>
          </w:tcPr>
          <w:p>
            <w:pPr>
              <w:spacing w:after="0"/>
              <w:rPr>
                <w:sz w:val="12"/>
                <w:szCs w:val="12"/>
                <w:color w:val="auto"/>
              </w:rPr>
            </w:pPr>
          </w:p>
        </w:tc>
        <w:tc>
          <w:tcPr>
            <w:tcW w:w="1260" w:type="dxa"/>
            <w:vAlign w:val="bottom"/>
            <w:tcBorders>
              <w:right w:val="single" w:sz="8" w:color="95B3D7"/>
            </w:tcBorders>
            <w:shd w:val="clear" w:color="auto" w:fill="DBE5F1"/>
          </w:tcPr>
          <w:p>
            <w:pPr>
              <w:spacing w:after="0"/>
              <w:rPr>
                <w:sz w:val="12"/>
                <w:szCs w:val="12"/>
                <w:color w:val="auto"/>
              </w:rPr>
            </w:pPr>
          </w:p>
        </w:tc>
        <w:tc>
          <w:tcPr>
            <w:tcW w:w="1280" w:type="dxa"/>
            <w:vAlign w:val="bottom"/>
            <w:tcBorders>
              <w:right w:val="single" w:sz="8" w:color="95B3D7"/>
            </w:tcBorders>
            <w:shd w:val="clear" w:color="auto" w:fill="DBE5F1"/>
          </w:tcPr>
          <w:p>
            <w:pPr>
              <w:spacing w:after="0"/>
              <w:rPr>
                <w:sz w:val="12"/>
                <w:szCs w:val="12"/>
                <w:color w:val="auto"/>
              </w:rPr>
            </w:pPr>
          </w:p>
        </w:tc>
        <w:tc>
          <w:tcPr>
            <w:tcW w:w="1240" w:type="dxa"/>
            <w:vAlign w:val="bottom"/>
            <w:shd w:val="clear" w:color="auto" w:fill="DBE5F1"/>
          </w:tcPr>
          <w:p>
            <w:pPr>
              <w:spacing w:after="0"/>
              <w:rPr>
                <w:sz w:val="12"/>
                <w:szCs w:val="12"/>
                <w:color w:val="auto"/>
              </w:rPr>
            </w:pPr>
          </w:p>
        </w:tc>
      </w:tr>
      <w:tr>
        <w:trPr>
          <w:trHeight w:val="189"/>
        </w:trPr>
        <w:tc>
          <w:tcPr>
            <w:tcW w:w="2900" w:type="dxa"/>
            <w:vAlign w:val="bottom"/>
            <w:tcBorders>
              <w:right w:val="single" w:sz="8" w:color="95B3D7"/>
            </w:tcBorders>
            <w:shd w:val="clear" w:color="auto" w:fill="DBE5F1"/>
          </w:tcPr>
          <w:p>
            <w:pPr>
              <w:ind w:left="160"/>
              <w:spacing w:after="0"/>
              <w:rPr>
                <w:sz w:val="20"/>
                <w:szCs w:val="20"/>
                <w:color w:val="auto"/>
              </w:rPr>
            </w:pPr>
            <w:r>
              <w:rPr>
                <w:rFonts w:ascii="Arial" w:cs="Arial" w:eastAsia="Arial" w:hAnsi="Arial"/>
                <w:sz w:val="14"/>
                <w:szCs w:val="14"/>
                <w:color w:val="auto"/>
              </w:rPr>
              <w:t>vesting date</w:t>
            </w:r>
          </w:p>
        </w:tc>
        <w:tc>
          <w:tcPr>
            <w:tcW w:w="1320" w:type="dxa"/>
            <w:vAlign w:val="bottom"/>
            <w:tcBorders>
              <w:right w:val="single" w:sz="8" w:color="95B3D7"/>
            </w:tcBorders>
            <w:shd w:val="clear" w:color="auto" w:fill="DBE5F1"/>
          </w:tcPr>
          <w:p>
            <w:pPr>
              <w:spacing w:after="0"/>
              <w:rPr>
                <w:sz w:val="16"/>
                <w:szCs w:val="16"/>
                <w:color w:val="auto"/>
              </w:rPr>
            </w:pPr>
          </w:p>
        </w:tc>
        <w:tc>
          <w:tcPr>
            <w:tcW w:w="1260" w:type="dxa"/>
            <w:vAlign w:val="bottom"/>
            <w:tcBorders>
              <w:right w:val="single" w:sz="8" w:color="95B3D7"/>
            </w:tcBorders>
            <w:shd w:val="clear" w:color="auto" w:fill="DBE5F1"/>
          </w:tcPr>
          <w:p>
            <w:pPr>
              <w:spacing w:after="0"/>
              <w:rPr>
                <w:sz w:val="16"/>
                <w:szCs w:val="16"/>
                <w:color w:val="auto"/>
              </w:rPr>
            </w:pPr>
          </w:p>
        </w:tc>
        <w:tc>
          <w:tcPr>
            <w:tcW w:w="1260" w:type="dxa"/>
            <w:vAlign w:val="bottom"/>
            <w:tcBorders>
              <w:right w:val="single" w:sz="8" w:color="95B3D7"/>
            </w:tcBorders>
            <w:shd w:val="clear" w:color="auto" w:fill="DBE5F1"/>
          </w:tcPr>
          <w:p>
            <w:pPr>
              <w:spacing w:after="0"/>
              <w:rPr>
                <w:sz w:val="16"/>
                <w:szCs w:val="16"/>
                <w:color w:val="auto"/>
              </w:rPr>
            </w:pPr>
          </w:p>
        </w:tc>
        <w:tc>
          <w:tcPr>
            <w:tcW w:w="1280" w:type="dxa"/>
            <w:vAlign w:val="bottom"/>
            <w:tcBorders>
              <w:right w:val="single" w:sz="8" w:color="95B3D7"/>
            </w:tcBorders>
            <w:shd w:val="clear" w:color="auto" w:fill="DBE5F1"/>
          </w:tcPr>
          <w:p>
            <w:pPr>
              <w:spacing w:after="0"/>
              <w:rPr>
                <w:sz w:val="16"/>
                <w:szCs w:val="16"/>
                <w:color w:val="auto"/>
              </w:rPr>
            </w:pPr>
          </w:p>
        </w:tc>
        <w:tc>
          <w:tcPr>
            <w:tcW w:w="1240" w:type="dxa"/>
            <w:vAlign w:val="bottom"/>
            <w:shd w:val="clear" w:color="auto" w:fill="DBE5F1"/>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72" w:name="page73"/>
    <w:bookmarkEnd w:id="72"/>
    <w:p>
      <w:pPr>
        <w:spacing w:after="0" w:line="54" w:lineRule="exact"/>
        <w:rPr>
          <w:sz w:val="20"/>
          <w:szCs w:val="20"/>
          <w:color w:val="auto"/>
        </w:rPr>
      </w:pPr>
    </w:p>
    <w:tbl>
      <w:tblPr>
        <w:tblLayout w:type="fixed"/>
        <w:tblInd w:w="1000" w:type="dxa"/>
        <w:tblCellMar>
          <w:top w:w="0" w:type="dxa"/>
          <w:left w:w="0" w:type="dxa"/>
          <w:bottom w:w="0" w:type="dxa"/>
          <w:right w:w="0" w:type="dxa"/>
        </w:tblCellMar>
      </w:tblPr>
      <w:tr>
        <w:trPr>
          <w:trHeight w:val="211"/>
        </w:trPr>
        <w:tc>
          <w:tcPr>
            <w:tcW w:w="2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8"/>
                <w:szCs w:val="18"/>
                <w:color w:val="auto"/>
              </w:rPr>
            </w:pPr>
          </w:p>
        </w:tc>
      </w:tr>
      <w:tr>
        <w:trPr>
          <w:trHeight w:val="147"/>
        </w:trPr>
        <w:tc>
          <w:tcPr>
            <w:tcW w:w="2900" w:type="dxa"/>
            <w:vAlign w:val="bottom"/>
            <w:tcBorders>
              <w:right w:val="single" w:sz="8" w:color="95B3D7"/>
            </w:tcBorders>
            <w:shd w:val="clear" w:color="auto" w:fill="DBE5F1"/>
          </w:tcPr>
          <w:p>
            <w:pPr>
              <w:ind w:left="160"/>
              <w:spacing w:after="0" w:line="147" w:lineRule="exact"/>
              <w:rPr>
                <w:sz w:val="20"/>
                <w:szCs w:val="20"/>
                <w:color w:val="auto"/>
              </w:rPr>
            </w:pPr>
            <w:r>
              <w:rPr>
                <w:rFonts w:ascii="Arial" w:cs="Arial" w:eastAsia="Arial" w:hAnsi="Arial"/>
                <w:sz w:val="14"/>
                <w:szCs w:val="14"/>
                <w:color w:val="auto"/>
              </w:rPr>
              <w:t>The amount of change as of the end of</w:t>
            </w:r>
          </w:p>
        </w:tc>
        <w:tc>
          <w:tcPr>
            <w:tcW w:w="1040" w:type="dxa"/>
            <w:vAlign w:val="bottom"/>
            <w:gridSpan w:val="2"/>
            <w:shd w:val="clear" w:color="auto" w:fill="DBE5F1"/>
          </w:tcPr>
          <w:p>
            <w:pPr>
              <w:jc w:val="center"/>
              <w:ind w:left="168"/>
              <w:spacing w:after="0" w:line="147" w:lineRule="exact"/>
              <w:rPr>
                <w:sz w:val="20"/>
                <w:szCs w:val="20"/>
                <w:color w:val="auto"/>
              </w:rPr>
            </w:pPr>
            <w:r>
              <w:rPr>
                <w:rFonts w:ascii="Arial" w:cs="Arial" w:eastAsia="Arial" w:hAnsi="Arial"/>
                <w:sz w:val="14"/>
                <w:szCs w:val="14"/>
                <w:color w:val="auto"/>
              </w:rPr>
              <w:t>$2,469,428</w:t>
            </w:r>
          </w:p>
        </w:tc>
        <w:tc>
          <w:tcPr>
            <w:tcW w:w="280" w:type="dxa"/>
            <w:vAlign w:val="bottom"/>
            <w:tcBorders>
              <w:right w:val="single" w:sz="8" w:color="95B3D7"/>
            </w:tcBorders>
            <w:shd w:val="clear" w:color="auto" w:fill="DBE5F1"/>
          </w:tcPr>
          <w:p>
            <w:pPr>
              <w:spacing w:after="0"/>
              <w:rPr>
                <w:sz w:val="12"/>
                <w:szCs w:val="12"/>
                <w:color w:val="auto"/>
              </w:rPr>
            </w:pPr>
          </w:p>
        </w:tc>
        <w:tc>
          <w:tcPr>
            <w:tcW w:w="1260" w:type="dxa"/>
            <w:vAlign w:val="bottom"/>
            <w:tcBorders>
              <w:right w:val="single" w:sz="8" w:color="95B3D7"/>
            </w:tcBorders>
            <w:gridSpan w:val="3"/>
            <w:shd w:val="clear" w:color="auto" w:fill="DBE5F1"/>
          </w:tcPr>
          <w:p>
            <w:pPr>
              <w:jc w:val="center"/>
              <w:ind w:right="60"/>
              <w:spacing w:after="0" w:line="147" w:lineRule="exact"/>
              <w:rPr>
                <w:sz w:val="20"/>
                <w:szCs w:val="20"/>
                <w:color w:val="auto"/>
              </w:rPr>
            </w:pPr>
            <w:r>
              <w:rPr>
                <w:rFonts w:ascii="Arial" w:cs="Arial" w:eastAsia="Arial" w:hAnsi="Arial"/>
                <w:sz w:val="14"/>
                <w:szCs w:val="14"/>
                <w:color w:val="auto"/>
              </w:rPr>
              <w:t>$3,094,951</w:t>
            </w:r>
          </w:p>
        </w:tc>
        <w:tc>
          <w:tcPr>
            <w:tcW w:w="1260" w:type="dxa"/>
            <w:vAlign w:val="bottom"/>
            <w:tcBorders>
              <w:right w:val="single" w:sz="8" w:color="95B3D7"/>
            </w:tcBorders>
            <w:gridSpan w:val="3"/>
            <w:shd w:val="clear" w:color="auto" w:fill="DBE5F1"/>
          </w:tcPr>
          <w:p>
            <w:pPr>
              <w:jc w:val="center"/>
              <w:ind w:right="40"/>
              <w:spacing w:after="0" w:line="147" w:lineRule="exact"/>
              <w:rPr>
                <w:sz w:val="20"/>
                <w:szCs w:val="20"/>
                <w:color w:val="auto"/>
              </w:rPr>
            </w:pPr>
            <w:r>
              <w:rPr>
                <w:rFonts w:ascii="Arial" w:cs="Arial" w:eastAsia="Arial" w:hAnsi="Arial"/>
                <w:sz w:val="14"/>
                <w:szCs w:val="14"/>
                <w:color w:val="auto"/>
              </w:rPr>
              <w:t>$(1,755,990)</w:t>
            </w:r>
          </w:p>
        </w:tc>
        <w:tc>
          <w:tcPr>
            <w:tcW w:w="980" w:type="dxa"/>
            <w:vAlign w:val="bottom"/>
            <w:gridSpan w:val="2"/>
            <w:shd w:val="clear" w:color="auto" w:fill="DBE5F1"/>
          </w:tcPr>
          <w:p>
            <w:pPr>
              <w:jc w:val="center"/>
              <w:ind w:left="208"/>
              <w:spacing w:after="0" w:line="147" w:lineRule="exact"/>
              <w:rPr>
                <w:sz w:val="20"/>
                <w:szCs w:val="20"/>
                <w:color w:val="auto"/>
              </w:rPr>
            </w:pPr>
            <w:r>
              <w:rPr>
                <w:rFonts w:ascii="Arial" w:cs="Arial" w:eastAsia="Arial" w:hAnsi="Arial"/>
                <w:sz w:val="14"/>
                <w:szCs w:val="14"/>
                <w:color w:val="auto"/>
              </w:rPr>
              <w:t>$(551,977)</w:t>
            </w:r>
          </w:p>
        </w:tc>
        <w:tc>
          <w:tcPr>
            <w:tcW w:w="300" w:type="dxa"/>
            <w:vAlign w:val="bottom"/>
            <w:tcBorders>
              <w:right w:val="single" w:sz="8" w:color="95B3D7"/>
            </w:tcBorders>
            <w:shd w:val="clear" w:color="auto" w:fill="DBE5F1"/>
          </w:tcPr>
          <w:p>
            <w:pPr>
              <w:spacing w:after="0"/>
              <w:rPr>
                <w:sz w:val="12"/>
                <w:szCs w:val="12"/>
                <w:color w:val="auto"/>
              </w:rPr>
            </w:pPr>
          </w:p>
        </w:tc>
        <w:tc>
          <w:tcPr>
            <w:tcW w:w="1020" w:type="dxa"/>
            <w:vAlign w:val="bottom"/>
            <w:gridSpan w:val="2"/>
            <w:shd w:val="clear" w:color="auto" w:fill="DBE5F1"/>
          </w:tcPr>
          <w:p>
            <w:pPr>
              <w:jc w:val="center"/>
              <w:ind w:left="148"/>
              <w:spacing w:after="0" w:line="147" w:lineRule="exact"/>
              <w:rPr>
                <w:sz w:val="20"/>
                <w:szCs w:val="20"/>
                <w:color w:val="auto"/>
              </w:rPr>
            </w:pPr>
            <w:r>
              <w:rPr>
                <w:rFonts w:ascii="Arial" w:cs="Arial" w:eastAsia="Arial" w:hAnsi="Arial"/>
                <w:sz w:val="14"/>
                <w:szCs w:val="14"/>
                <w:color w:val="auto"/>
              </w:rPr>
              <w:t>$2,876,585</w:t>
            </w:r>
          </w:p>
        </w:tc>
        <w:tc>
          <w:tcPr>
            <w:tcW w:w="220" w:type="dxa"/>
            <w:vAlign w:val="bottom"/>
            <w:shd w:val="clear" w:color="auto" w:fill="DBE5F1"/>
          </w:tcPr>
          <w:p>
            <w:pPr>
              <w:spacing w:after="0"/>
              <w:rPr>
                <w:sz w:val="12"/>
                <w:szCs w:val="12"/>
                <w:color w:val="auto"/>
              </w:rPr>
            </w:pPr>
          </w:p>
        </w:tc>
      </w:tr>
      <w:tr>
        <w:trPr>
          <w:trHeight w:val="144"/>
        </w:trPr>
        <w:tc>
          <w:tcPr>
            <w:tcW w:w="2900" w:type="dxa"/>
            <w:vAlign w:val="bottom"/>
            <w:tcBorders>
              <w:right w:val="single" w:sz="8" w:color="95B3D7"/>
            </w:tcBorders>
            <w:shd w:val="clear" w:color="auto" w:fill="DBE5F1"/>
          </w:tcPr>
          <w:p>
            <w:pPr>
              <w:ind w:left="160"/>
              <w:spacing w:after="0" w:line="145" w:lineRule="exact"/>
              <w:rPr>
                <w:sz w:val="20"/>
                <w:szCs w:val="20"/>
                <w:color w:val="auto"/>
              </w:rPr>
            </w:pPr>
            <w:r>
              <w:rPr>
                <w:rFonts w:ascii="Arial" w:cs="Arial" w:eastAsia="Arial" w:hAnsi="Arial"/>
                <w:sz w:val="14"/>
                <w:szCs w:val="14"/>
                <w:color w:val="auto"/>
              </w:rPr>
              <w:t>the applicable year (from the end of the</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30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30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r>
      <w:tr>
        <w:trPr>
          <w:trHeight w:val="139"/>
        </w:trPr>
        <w:tc>
          <w:tcPr>
            <w:tcW w:w="2900" w:type="dxa"/>
            <w:vAlign w:val="bottom"/>
            <w:tcBorders>
              <w:right w:val="single" w:sz="8" w:color="95B3D7"/>
            </w:tcBorders>
            <w:shd w:val="clear" w:color="auto" w:fill="DBE5F1"/>
          </w:tcPr>
          <w:p>
            <w:pPr>
              <w:ind w:left="160"/>
              <w:spacing w:after="0" w:line="139" w:lineRule="exact"/>
              <w:rPr>
                <w:sz w:val="20"/>
                <w:szCs w:val="20"/>
                <w:color w:val="auto"/>
              </w:rPr>
            </w:pPr>
            <w:r>
              <w:rPr>
                <w:rFonts w:ascii="Arial" w:cs="Arial" w:eastAsia="Arial" w:hAnsi="Arial"/>
                <w:sz w:val="14"/>
                <w:szCs w:val="14"/>
                <w:color w:val="auto"/>
              </w:rPr>
              <w:t>prior fiscal year) in fair value of any</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30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30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r>
      <w:tr>
        <w:trPr>
          <w:trHeight w:val="148"/>
        </w:trPr>
        <w:tc>
          <w:tcPr>
            <w:tcW w:w="2900" w:type="dxa"/>
            <w:vAlign w:val="bottom"/>
            <w:tcBorders>
              <w:right w:val="single" w:sz="8" w:color="95B3D7"/>
            </w:tcBorders>
            <w:shd w:val="clear" w:color="auto" w:fill="DBE5F1"/>
          </w:tcPr>
          <w:p>
            <w:pPr>
              <w:ind w:left="160"/>
              <w:spacing w:after="0" w:line="149" w:lineRule="exact"/>
              <w:rPr>
                <w:sz w:val="20"/>
                <w:szCs w:val="20"/>
                <w:color w:val="auto"/>
              </w:rPr>
            </w:pPr>
            <w:r>
              <w:rPr>
                <w:rFonts w:ascii="Arial" w:cs="Arial" w:eastAsia="Arial" w:hAnsi="Arial"/>
                <w:sz w:val="14"/>
                <w:szCs w:val="14"/>
                <w:color w:val="auto"/>
              </w:rPr>
              <w:t>awards granted in prior years that are</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30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30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r>
      <w:tr>
        <w:trPr>
          <w:trHeight w:val="144"/>
        </w:trPr>
        <w:tc>
          <w:tcPr>
            <w:tcW w:w="2900" w:type="dxa"/>
            <w:vAlign w:val="bottom"/>
            <w:tcBorders>
              <w:right w:val="single" w:sz="8" w:color="95B3D7"/>
            </w:tcBorders>
            <w:shd w:val="clear" w:color="auto" w:fill="DBE5F1"/>
          </w:tcPr>
          <w:p>
            <w:pPr>
              <w:ind w:left="160"/>
              <w:spacing w:after="0" w:line="145" w:lineRule="exact"/>
              <w:rPr>
                <w:sz w:val="20"/>
                <w:szCs w:val="20"/>
                <w:color w:val="auto"/>
              </w:rPr>
            </w:pPr>
            <w:r>
              <w:rPr>
                <w:rFonts w:ascii="Arial" w:cs="Arial" w:eastAsia="Arial" w:hAnsi="Arial"/>
                <w:sz w:val="14"/>
                <w:szCs w:val="14"/>
                <w:color w:val="auto"/>
              </w:rPr>
              <w:t>outstanding and unvested as of the end of</w:t>
            </w:r>
          </w:p>
        </w:tc>
        <w:tc>
          <w:tcPr>
            <w:tcW w:w="24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00" w:type="dxa"/>
            <w:vAlign w:val="bottom"/>
            <w:shd w:val="clear" w:color="auto" w:fill="DBE5F1"/>
          </w:tcPr>
          <w:p>
            <w:pPr>
              <w:spacing w:after="0"/>
              <w:rPr>
                <w:sz w:val="12"/>
                <w:szCs w:val="12"/>
                <w:color w:val="auto"/>
              </w:rPr>
            </w:pPr>
          </w:p>
        </w:tc>
        <w:tc>
          <w:tcPr>
            <w:tcW w:w="30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280" w:type="dxa"/>
            <w:vAlign w:val="bottom"/>
            <w:tcBorders>
              <w:right w:val="single" w:sz="8" w:color="95B3D7"/>
            </w:tcBorders>
            <w:shd w:val="clear" w:color="auto" w:fill="DBE5F1"/>
          </w:tcPr>
          <w:p>
            <w:pPr>
              <w:spacing w:after="0"/>
              <w:rPr>
                <w:sz w:val="12"/>
                <w:szCs w:val="12"/>
                <w:color w:val="auto"/>
              </w:rPr>
            </w:pPr>
          </w:p>
        </w:tc>
        <w:tc>
          <w:tcPr>
            <w:tcW w:w="26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300" w:type="dxa"/>
            <w:vAlign w:val="bottom"/>
            <w:tcBorders>
              <w:right w:val="single" w:sz="8" w:color="95B3D7"/>
            </w:tcBorders>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220" w:type="dxa"/>
            <w:vAlign w:val="bottom"/>
            <w:shd w:val="clear" w:color="auto" w:fill="DBE5F1"/>
          </w:tcPr>
          <w:p>
            <w:pPr>
              <w:spacing w:after="0"/>
              <w:rPr>
                <w:sz w:val="12"/>
                <w:szCs w:val="12"/>
                <w:color w:val="auto"/>
              </w:rPr>
            </w:pPr>
          </w:p>
        </w:tc>
      </w:tr>
      <w:tr>
        <w:trPr>
          <w:trHeight w:val="189"/>
        </w:trPr>
        <w:tc>
          <w:tcPr>
            <w:tcW w:w="2900" w:type="dxa"/>
            <w:vAlign w:val="bottom"/>
            <w:tcBorders>
              <w:right w:val="single" w:sz="8" w:color="95B3D7"/>
            </w:tcBorders>
            <w:shd w:val="clear" w:color="auto" w:fill="DBE5F1"/>
          </w:tcPr>
          <w:p>
            <w:pPr>
              <w:ind w:left="160"/>
              <w:spacing w:after="0"/>
              <w:rPr>
                <w:sz w:val="20"/>
                <w:szCs w:val="20"/>
                <w:color w:val="auto"/>
              </w:rPr>
            </w:pPr>
            <w:r>
              <w:rPr>
                <w:rFonts w:ascii="Arial" w:cs="Arial" w:eastAsia="Arial" w:hAnsi="Arial"/>
                <w:sz w:val="14"/>
                <w:szCs w:val="14"/>
                <w:color w:val="auto"/>
              </w:rPr>
              <w:t>the applicable year</w:t>
            </w:r>
          </w:p>
        </w:tc>
        <w:tc>
          <w:tcPr>
            <w:tcW w:w="240" w:type="dxa"/>
            <w:vAlign w:val="bottom"/>
            <w:shd w:val="clear" w:color="auto" w:fill="DBE5F1"/>
          </w:tcPr>
          <w:p>
            <w:pPr>
              <w:spacing w:after="0"/>
              <w:rPr>
                <w:sz w:val="16"/>
                <w:szCs w:val="16"/>
                <w:color w:val="auto"/>
              </w:rPr>
            </w:pPr>
          </w:p>
        </w:tc>
        <w:tc>
          <w:tcPr>
            <w:tcW w:w="800" w:type="dxa"/>
            <w:vAlign w:val="bottom"/>
            <w:shd w:val="clear" w:color="auto" w:fill="DBE5F1"/>
          </w:tcPr>
          <w:p>
            <w:pPr>
              <w:spacing w:after="0"/>
              <w:rPr>
                <w:sz w:val="16"/>
                <w:szCs w:val="16"/>
                <w:color w:val="auto"/>
              </w:rPr>
            </w:pPr>
          </w:p>
        </w:tc>
        <w:tc>
          <w:tcPr>
            <w:tcW w:w="280" w:type="dxa"/>
            <w:vAlign w:val="bottom"/>
            <w:tcBorders>
              <w:right w:val="single" w:sz="8" w:color="95B3D7"/>
            </w:tcBorders>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700" w:type="dxa"/>
            <w:vAlign w:val="bottom"/>
            <w:shd w:val="clear" w:color="auto" w:fill="DBE5F1"/>
          </w:tcPr>
          <w:p>
            <w:pPr>
              <w:spacing w:after="0"/>
              <w:rPr>
                <w:sz w:val="16"/>
                <w:szCs w:val="16"/>
                <w:color w:val="auto"/>
              </w:rPr>
            </w:pPr>
          </w:p>
        </w:tc>
        <w:tc>
          <w:tcPr>
            <w:tcW w:w="300" w:type="dxa"/>
            <w:vAlign w:val="bottom"/>
            <w:tcBorders>
              <w:right w:val="single" w:sz="8" w:color="95B3D7"/>
            </w:tcBorders>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280" w:type="dxa"/>
            <w:vAlign w:val="bottom"/>
            <w:tcBorders>
              <w:right w:val="single" w:sz="8" w:color="95B3D7"/>
            </w:tcBorders>
            <w:shd w:val="clear" w:color="auto" w:fill="DBE5F1"/>
          </w:tcPr>
          <w:p>
            <w:pPr>
              <w:spacing w:after="0"/>
              <w:rPr>
                <w:sz w:val="16"/>
                <w:szCs w:val="16"/>
                <w:color w:val="auto"/>
              </w:rPr>
            </w:pPr>
          </w:p>
        </w:tc>
        <w:tc>
          <w:tcPr>
            <w:tcW w:w="260" w:type="dxa"/>
            <w:vAlign w:val="bottom"/>
            <w:shd w:val="clear" w:color="auto" w:fill="DBE5F1"/>
          </w:tcPr>
          <w:p>
            <w:pPr>
              <w:spacing w:after="0"/>
              <w:rPr>
                <w:sz w:val="16"/>
                <w:szCs w:val="16"/>
                <w:color w:val="auto"/>
              </w:rPr>
            </w:pPr>
          </w:p>
        </w:tc>
        <w:tc>
          <w:tcPr>
            <w:tcW w:w="720" w:type="dxa"/>
            <w:vAlign w:val="bottom"/>
            <w:shd w:val="clear" w:color="auto" w:fill="DBE5F1"/>
          </w:tcPr>
          <w:p>
            <w:pPr>
              <w:spacing w:after="0"/>
              <w:rPr>
                <w:sz w:val="16"/>
                <w:szCs w:val="16"/>
                <w:color w:val="auto"/>
              </w:rPr>
            </w:pPr>
          </w:p>
        </w:tc>
        <w:tc>
          <w:tcPr>
            <w:tcW w:w="300" w:type="dxa"/>
            <w:vAlign w:val="bottom"/>
            <w:tcBorders>
              <w:right w:val="single" w:sz="8" w:color="95B3D7"/>
            </w:tcBorders>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c>
          <w:tcPr>
            <w:tcW w:w="800" w:type="dxa"/>
            <w:vAlign w:val="bottom"/>
            <w:shd w:val="clear" w:color="auto" w:fill="DBE5F1"/>
          </w:tcPr>
          <w:p>
            <w:pPr>
              <w:spacing w:after="0"/>
              <w:rPr>
                <w:sz w:val="16"/>
                <w:szCs w:val="16"/>
                <w:color w:val="auto"/>
              </w:rPr>
            </w:pPr>
          </w:p>
        </w:tc>
        <w:tc>
          <w:tcPr>
            <w:tcW w:w="220" w:type="dxa"/>
            <w:vAlign w:val="bottom"/>
            <w:shd w:val="clear" w:color="auto" w:fill="DBE5F1"/>
          </w:tcPr>
          <w:p>
            <w:pPr>
              <w:spacing w:after="0"/>
              <w:rPr>
                <w:sz w:val="16"/>
                <w:szCs w:val="16"/>
                <w:color w:val="auto"/>
              </w:rPr>
            </w:pPr>
          </w:p>
        </w:tc>
      </w:tr>
      <w:tr>
        <w:trPr>
          <w:trHeight w:val="153"/>
        </w:trPr>
        <w:tc>
          <w:tcPr>
            <w:tcW w:w="2900" w:type="dxa"/>
            <w:vAlign w:val="bottom"/>
            <w:tcBorders>
              <w:right w:val="single" w:sz="8" w:color="95B3D7"/>
            </w:tcBorders>
          </w:tcPr>
          <w:p>
            <w:pPr>
              <w:ind w:left="160"/>
              <w:spacing w:after="0" w:line="153" w:lineRule="exact"/>
              <w:rPr>
                <w:sz w:val="20"/>
                <w:szCs w:val="20"/>
                <w:color w:val="auto"/>
              </w:rPr>
            </w:pPr>
            <w:r>
              <w:rPr>
                <w:rFonts w:ascii="Arial" w:cs="Arial" w:eastAsia="Arial" w:hAnsi="Arial"/>
                <w:sz w:val="14"/>
                <w:szCs w:val="14"/>
                <w:color w:val="auto"/>
              </w:rPr>
              <w:t>For awards granted in prior years that</w:t>
            </w:r>
          </w:p>
        </w:tc>
        <w:tc>
          <w:tcPr>
            <w:tcW w:w="1040" w:type="dxa"/>
            <w:vAlign w:val="bottom"/>
            <w:gridSpan w:val="2"/>
          </w:tcPr>
          <w:p>
            <w:pPr>
              <w:jc w:val="center"/>
              <w:ind w:left="168"/>
              <w:spacing w:after="0" w:line="153" w:lineRule="exact"/>
              <w:rPr>
                <w:sz w:val="20"/>
                <w:szCs w:val="20"/>
                <w:color w:val="auto"/>
              </w:rPr>
            </w:pPr>
            <w:r>
              <w:rPr>
                <w:rFonts w:ascii="Arial" w:cs="Arial" w:eastAsia="Arial" w:hAnsi="Arial"/>
                <w:sz w:val="14"/>
                <w:szCs w:val="14"/>
                <w:color w:val="auto"/>
              </w:rPr>
              <w:t>$4,399,048</w:t>
            </w:r>
          </w:p>
        </w:tc>
        <w:tc>
          <w:tcPr>
            <w:tcW w:w="280" w:type="dxa"/>
            <w:vAlign w:val="bottom"/>
            <w:tcBorders>
              <w:right w:val="single" w:sz="8" w:color="95B3D7"/>
            </w:tcBorders>
          </w:tcPr>
          <w:p>
            <w:pPr>
              <w:spacing w:after="0"/>
              <w:rPr>
                <w:sz w:val="13"/>
                <w:szCs w:val="13"/>
                <w:color w:val="auto"/>
              </w:rPr>
            </w:pPr>
          </w:p>
        </w:tc>
        <w:tc>
          <w:tcPr>
            <w:tcW w:w="960" w:type="dxa"/>
            <w:vAlign w:val="bottom"/>
            <w:gridSpan w:val="2"/>
          </w:tcPr>
          <w:p>
            <w:pPr>
              <w:jc w:val="center"/>
              <w:ind w:left="188"/>
              <w:spacing w:after="0" w:line="153" w:lineRule="exact"/>
              <w:rPr>
                <w:sz w:val="20"/>
                <w:szCs w:val="20"/>
                <w:color w:val="auto"/>
              </w:rPr>
            </w:pPr>
            <w:r>
              <w:rPr>
                <w:rFonts w:ascii="Arial" w:cs="Arial" w:eastAsia="Arial" w:hAnsi="Arial"/>
                <w:sz w:val="14"/>
                <w:szCs w:val="14"/>
                <w:color w:val="auto"/>
              </w:rPr>
              <w:t>$(258,432)</w:t>
            </w:r>
          </w:p>
        </w:tc>
        <w:tc>
          <w:tcPr>
            <w:tcW w:w="300" w:type="dxa"/>
            <w:vAlign w:val="bottom"/>
            <w:tcBorders>
              <w:right w:val="single" w:sz="8" w:color="95B3D7"/>
            </w:tcBorders>
          </w:tcPr>
          <w:p>
            <w:pPr>
              <w:spacing w:after="0"/>
              <w:rPr>
                <w:sz w:val="13"/>
                <w:szCs w:val="13"/>
                <w:color w:val="auto"/>
              </w:rPr>
            </w:pPr>
          </w:p>
        </w:tc>
        <w:tc>
          <w:tcPr>
            <w:tcW w:w="1260" w:type="dxa"/>
            <w:vAlign w:val="bottom"/>
            <w:tcBorders>
              <w:right w:val="single" w:sz="8" w:color="95B3D7"/>
            </w:tcBorders>
            <w:gridSpan w:val="3"/>
          </w:tcPr>
          <w:p>
            <w:pPr>
              <w:jc w:val="center"/>
              <w:ind w:right="40"/>
              <w:spacing w:after="0" w:line="153" w:lineRule="exact"/>
              <w:rPr>
                <w:sz w:val="20"/>
                <w:szCs w:val="20"/>
                <w:color w:val="auto"/>
              </w:rPr>
            </w:pPr>
            <w:r>
              <w:rPr>
                <w:rFonts w:ascii="Arial" w:cs="Arial" w:eastAsia="Arial" w:hAnsi="Arial"/>
                <w:sz w:val="14"/>
                <w:szCs w:val="14"/>
                <w:color w:val="auto"/>
              </w:rPr>
              <w:t>$(1,558,171)</w:t>
            </w:r>
          </w:p>
        </w:tc>
        <w:tc>
          <w:tcPr>
            <w:tcW w:w="980" w:type="dxa"/>
            <w:vAlign w:val="bottom"/>
            <w:gridSpan w:val="2"/>
          </w:tcPr>
          <w:p>
            <w:pPr>
              <w:jc w:val="center"/>
              <w:ind w:left="188"/>
              <w:spacing w:after="0" w:line="153" w:lineRule="exact"/>
              <w:rPr>
                <w:sz w:val="20"/>
                <w:szCs w:val="20"/>
                <w:color w:val="auto"/>
              </w:rPr>
            </w:pPr>
            <w:r>
              <w:rPr>
                <w:rFonts w:ascii="Arial" w:cs="Arial" w:eastAsia="Arial" w:hAnsi="Arial"/>
                <w:sz w:val="14"/>
                <w:szCs w:val="14"/>
                <w:color w:val="auto"/>
              </w:rPr>
              <w:t>$(611,093)</w:t>
            </w:r>
          </w:p>
        </w:tc>
        <w:tc>
          <w:tcPr>
            <w:tcW w:w="300" w:type="dxa"/>
            <w:vAlign w:val="bottom"/>
            <w:tcBorders>
              <w:right w:val="single" w:sz="8" w:color="95B3D7"/>
            </w:tcBorders>
          </w:tcPr>
          <w:p>
            <w:pPr>
              <w:spacing w:after="0"/>
              <w:rPr>
                <w:sz w:val="13"/>
                <w:szCs w:val="13"/>
                <w:color w:val="auto"/>
              </w:rPr>
            </w:pPr>
          </w:p>
        </w:tc>
        <w:tc>
          <w:tcPr>
            <w:tcW w:w="1020" w:type="dxa"/>
            <w:vAlign w:val="bottom"/>
            <w:gridSpan w:val="2"/>
          </w:tcPr>
          <w:p>
            <w:pPr>
              <w:jc w:val="center"/>
              <w:ind w:left="148"/>
              <w:spacing w:after="0" w:line="153" w:lineRule="exact"/>
              <w:rPr>
                <w:sz w:val="20"/>
                <w:szCs w:val="20"/>
                <w:color w:val="auto"/>
              </w:rPr>
            </w:pPr>
            <w:r>
              <w:rPr>
                <w:rFonts w:ascii="Arial" w:cs="Arial" w:eastAsia="Arial" w:hAnsi="Arial"/>
                <w:sz w:val="14"/>
                <w:szCs w:val="14"/>
                <w:color w:val="auto"/>
              </w:rPr>
              <w:t>$1,665,717</w:t>
            </w:r>
          </w:p>
        </w:tc>
        <w:tc>
          <w:tcPr>
            <w:tcW w:w="220" w:type="dxa"/>
            <w:vAlign w:val="bottom"/>
          </w:tcPr>
          <w:p>
            <w:pPr>
              <w:spacing w:after="0"/>
              <w:rPr>
                <w:sz w:val="13"/>
                <w:szCs w:val="13"/>
                <w:color w:val="auto"/>
              </w:rPr>
            </w:pPr>
          </w:p>
        </w:tc>
      </w:tr>
      <w:tr>
        <w:trPr>
          <w:trHeight w:val="144"/>
        </w:trPr>
        <w:tc>
          <w:tcPr>
            <w:tcW w:w="2900" w:type="dxa"/>
            <w:vAlign w:val="bottom"/>
            <w:tcBorders>
              <w:right w:val="single" w:sz="8" w:color="95B3D7"/>
            </w:tcBorders>
          </w:tcPr>
          <w:p>
            <w:pPr>
              <w:ind w:left="160"/>
              <w:spacing w:after="0" w:line="145" w:lineRule="exact"/>
              <w:rPr>
                <w:sz w:val="20"/>
                <w:szCs w:val="20"/>
                <w:color w:val="auto"/>
              </w:rPr>
            </w:pPr>
            <w:r>
              <w:rPr>
                <w:rFonts w:ascii="Arial" w:cs="Arial" w:eastAsia="Arial" w:hAnsi="Arial"/>
                <w:sz w:val="14"/>
                <w:szCs w:val="14"/>
                <w:color w:val="auto"/>
              </w:rPr>
              <w:t>vest in the applicable year, the amount</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39"/>
        </w:trPr>
        <w:tc>
          <w:tcPr>
            <w:tcW w:w="2900" w:type="dxa"/>
            <w:vAlign w:val="bottom"/>
            <w:tcBorders>
              <w:right w:val="single" w:sz="8" w:color="95B3D7"/>
            </w:tcBorders>
          </w:tcPr>
          <w:p>
            <w:pPr>
              <w:ind w:left="160"/>
              <w:spacing w:after="0" w:line="139" w:lineRule="exact"/>
              <w:rPr>
                <w:sz w:val="20"/>
                <w:szCs w:val="20"/>
                <w:color w:val="auto"/>
              </w:rPr>
            </w:pPr>
            <w:r>
              <w:rPr>
                <w:rFonts w:ascii="Arial" w:cs="Arial" w:eastAsia="Arial" w:hAnsi="Arial"/>
                <w:sz w:val="14"/>
                <w:szCs w:val="14"/>
                <w:color w:val="auto"/>
              </w:rPr>
              <w:t>equal to the change as of the vesting date</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8"/>
        </w:trPr>
        <w:tc>
          <w:tcPr>
            <w:tcW w:w="2900" w:type="dxa"/>
            <w:vAlign w:val="bottom"/>
            <w:tcBorders>
              <w:right w:val="single" w:sz="8" w:color="95B3D7"/>
            </w:tcBorders>
          </w:tcPr>
          <w:p>
            <w:pPr>
              <w:ind w:left="160"/>
              <w:spacing w:after="0" w:line="149" w:lineRule="exact"/>
              <w:rPr>
                <w:sz w:val="20"/>
                <w:szCs w:val="20"/>
                <w:color w:val="auto"/>
              </w:rPr>
            </w:pPr>
            <w:r>
              <w:rPr>
                <w:rFonts w:ascii="Arial" w:cs="Arial" w:eastAsia="Arial" w:hAnsi="Arial"/>
                <w:sz w:val="14"/>
                <w:szCs w:val="14"/>
                <w:color w:val="auto"/>
              </w:rPr>
              <w:t>(from the end of the prior fiscal year) in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Borders>
              <w:right w:val="single" w:sz="8" w:color="95B3D7"/>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85"/>
        </w:trPr>
        <w:tc>
          <w:tcPr>
            <w:tcW w:w="2900" w:type="dxa"/>
            <w:vAlign w:val="bottom"/>
            <w:tcBorders>
              <w:right w:val="single" w:sz="8" w:color="95B3D7"/>
            </w:tcBorders>
          </w:tcPr>
          <w:p>
            <w:pPr>
              <w:ind w:left="160"/>
              <w:spacing w:after="0"/>
              <w:rPr>
                <w:sz w:val="20"/>
                <w:szCs w:val="20"/>
                <w:color w:val="auto"/>
              </w:rPr>
            </w:pPr>
            <w:r>
              <w:rPr>
                <w:rFonts w:ascii="Arial" w:cs="Arial" w:eastAsia="Arial" w:hAnsi="Arial"/>
                <w:sz w:val="14"/>
                <w:szCs w:val="14"/>
                <w:color w:val="auto"/>
              </w:rPr>
              <w:t>fair value</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Borders>
              <w:right w:val="single" w:sz="8" w:color="95B3D7"/>
            </w:tcBorders>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Borders>
              <w:right w:val="single" w:sz="8" w:color="95B3D7"/>
            </w:tcBorders>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right w:val="single" w:sz="8" w:color="95B3D7"/>
            </w:tcBorders>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Borders>
              <w:right w:val="single" w:sz="8" w:color="95B3D7"/>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290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4"/>
                <w:szCs w:val="14"/>
                <w:b w:val="1"/>
                <w:bCs w:val="1"/>
                <w:color w:val="auto"/>
              </w:rPr>
              <w:t>Total Net Adjustment to Subtotal</w:t>
            </w:r>
          </w:p>
        </w:tc>
        <w:tc>
          <w:tcPr>
            <w:tcW w:w="1040" w:type="dxa"/>
            <w:vAlign w:val="bottom"/>
            <w:gridSpan w:val="2"/>
            <w:shd w:val="clear" w:color="auto" w:fill="DBE5F1"/>
          </w:tcPr>
          <w:p>
            <w:pPr>
              <w:jc w:val="center"/>
              <w:ind w:left="168"/>
              <w:spacing w:after="0"/>
              <w:rPr>
                <w:sz w:val="20"/>
                <w:szCs w:val="20"/>
                <w:color w:val="auto"/>
              </w:rPr>
            </w:pPr>
            <w:r>
              <w:rPr>
                <w:rFonts w:ascii="Arial" w:cs="Arial" w:eastAsia="Arial" w:hAnsi="Arial"/>
                <w:sz w:val="14"/>
                <w:szCs w:val="14"/>
                <w:b w:val="1"/>
                <w:bCs w:val="1"/>
                <w:color w:val="auto"/>
              </w:rPr>
              <w:t>$9,844,841</w:t>
            </w:r>
          </w:p>
        </w:tc>
        <w:tc>
          <w:tcPr>
            <w:tcW w:w="280" w:type="dxa"/>
            <w:vAlign w:val="bottom"/>
            <w:tcBorders>
              <w:right w:val="single" w:sz="8" w:color="95B3D7"/>
            </w:tcBorders>
            <w:shd w:val="clear" w:color="auto" w:fill="DBE5F1"/>
          </w:tcPr>
          <w:p>
            <w:pPr>
              <w:spacing w:after="0"/>
              <w:rPr>
                <w:sz w:val="17"/>
                <w:szCs w:val="17"/>
                <w:color w:val="auto"/>
              </w:rPr>
            </w:pPr>
          </w:p>
        </w:tc>
        <w:tc>
          <w:tcPr>
            <w:tcW w:w="1260" w:type="dxa"/>
            <w:vAlign w:val="bottom"/>
            <w:tcBorders>
              <w:right w:val="single" w:sz="8" w:color="95B3D7"/>
            </w:tcBorders>
            <w:gridSpan w:val="3"/>
            <w:shd w:val="clear" w:color="auto" w:fill="DBE5F1"/>
          </w:tcPr>
          <w:p>
            <w:pPr>
              <w:jc w:val="center"/>
              <w:ind w:right="60"/>
              <w:spacing w:after="0"/>
              <w:rPr>
                <w:sz w:val="20"/>
                <w:szCs w:val="20"/>
                <w:color w:val="auto"/>
              </w:rPr>
            </w:pPr>
            <w:r>
              <w:rPr>
                <w:rFonts w:ascii="Arial" w:cs="Arial" w:eastAsia="Arial" w:hAnsi="Arial"/>
                <w:sz w:val="14"/>
                <w:szCs w:val="14"/>
                <w:b w:val="1"/>
                <w:bCs w:val="1"/>
                <w:color w:val="auto"/>
              </w:rPr>
              <w:t>$5,749,602</w:t>
            </w:r>
          </w:p>
        </w:tc>
        <w:tc>
          <w:tcPr>
            <w:tcW w:w="980" w:type="dxa"/>
            <w:vAlign w:val="bottom"/>
            <w:gridSpan w:val="2"/>
            <w:shd w:val="clear" w:color="auto" w:fill="DBE5F1"/>
          </w:tcPr>
          <w:p>
            <w:pPr>
              <w:jc w:val="center"/>
              <w:ind w:left="188"/>
              <w:spacing w:after="0"/>
              <w:rPr>
                <w:sz w:val="20"/>
                <w:szCs w:val="20"/>
                <w:color w:val="auto"/>
              </w:rPr>
            </w:pPr>
            <w:r>
              <w:rPr>
                <w:rFonts w:ascii="Arial" w:cs="Arial" w:eastAsia="Arial" w:hAnsi="Arial"/>
                <w:sz w:val="14"/>
                <w:szCs w:val="14"/>
                <w:b w:val="1"/>
                <w:bCs w:val="1"/>
                <w:color w:val="auto"/>
              </w:rPr>
              <w:t>$796,159</w:t>
            </w:r>
          </w:p>
        </w:tc>
        <w:tc>
          <w:tcPr>
            <w:tcW w:w="280" w:type="dxa"/>
            <w:vAlign w:val="bottom"/>
            <w:tcBorders>
              <w:right w:val="single" w:sz="8" w:color="95B3D7"/>
            </w:tcBorders>
            <w:shd w:val="clear" w:color="auto" w:fill="DBE5F1"/>
          </w:tcPr>
          <w:p>
            <w:pPr>
              <w:spacing w:after="0"/>
              <w:rPr>
                <w:sz w:val="17"/>
                <w:szCs w:val="17"/>
                <w:color w:val="auto"/>
              </w:rPr>
            </w:pPr>
          </w:p>
        </w:tc>
        <w:tc>
          <w:tcPr>
            <w:tcW w:w="1280" w:type="dxa"/>
            <w:vAlign w:val="bottom"/>
            <w:tcBorders>
              <w:right w:val="single" w:sz="8" w:color="95B3D7"/>
            </w:tcBorders>
            <w:gridSpan w:val="3"/>
            <w:shd w:val="clear" w:color="auto" w:fill="DBE5F1"/>
          </w:tcPr>
          <w:p>
            <w:pPr>
              <w:jc w:val="center"/>
              <w:ind w:right="40"/>
              <w:spacing w:after="0"/>
              <w:rPr>
                <w:sz w:val="20"/>
                <w:szCs w:val="20"/>
                <w:color w:val="auto"/>
              </w:rPr>
            </w:pPr>
            <w:r>
              <w:rPr>
                <w:rFonts w:ascii="Arial" w:cs="Arial" w:eastAsia="Arial" w:hAnsi="Arial"/>
                <w:sz w:val="14"/>
                <w:szCs w:val="14"/>
                <w:b w:val="1"/>
                <w:bCs w:val="1"/>
                <w:color w:val="auto"/>
              </w:rPr>
              <w:t>$4,718,136</w:t>
            </w:r>
          </w:p>
        </w:tc>
        <w:tc>
          <w:tcPr>
            <w:tcW w:w="1020" w:type="dxa"/>
            <w:vAlign w:val="bottom"/>
            <w:gridSpan w:val="2"/>
            <w:shd w:val="clear" w:color="auto" w:fill="DBE5F1"/>
          </w:tcPr>
          <w:p>
            <w:pPr>
              <w:jc w:val="center"/>
              <w:ind w:left="148"/>
              <w:spacing w:after="0"/>
              <w:rPr>
                <w:sz w:val="20"/>
                <w:szCs w:val="20"/>
                <w:color w:val="auto"/>
              </w:rPr>
            </w:pPr>
            <w:r>
              <w:rPr>
                <w:rFonts w:ascii="Arial" w:cs="Arial" w:eastAsia="Arial" w:hAnsi="Arial"/>
                <w:sz w:val="14"/>
                <w:szCs w:val="14"/>
                <w:b w:val="1"/>
                <w:bCs w:val="1"/>
                <w:color w:val="auto"/>
              </w:rPr>
              <w:t>$9,074,912</w:t>
            </w:r>
          </w:p>
        </w:tc>
        <w:tc>
          <w:tcPr>
            <w:tcW w:w="220" w:type="dxa"/>
            <w:vAlign w:val="bottom"/>
            <w:shd w:val="clear" w:color="auto" w:fill="DBE5F1"/>
          </w:tcPr>
          <w:p>
            <w:pPr>
              <w:spacing w:after="0"/>
              <w:rPr>
                <w:sz w:val="17"/>
                <w:szCs w:val="17"/>
                <w:color w:val="auto"/>
              </w:rPr>
            </w:pPr>
          </w:p>
        </w:tc>
      </w:tr>
      <w:tr>
        <w:trPr>
          <w:trHeight w:val="162"/>
        </w:trPr>
        <w:tc>
          <w:tcPr>
            <w:tcW w:w="2900" w:type="dxa"/>
            <w:vAlign w:val="bottom"/>
            <w:tcBorders>
              <w:right w:val="single" w:sz="8" w:color="95B3D7"/>
            </w:tcBorders>
          </w:tcPr>
          <w:p>
            <w:pPr>
              <w:spacing w:after="0"/>
              <w:rPr>
                <w:sz w:val="20"/>
                <w:szCs w:val="20"/>
                <w:color w:val="auto"/>
              </w:rPr>
            </w:pPr>
            <w:r>
              <w:rPr>
                <w:rFonts w:ascii="Arial" w:cs="Arial" w:eastAsia="Arial" w:hAnsi="Arial"/>
                <w:sz w:val="14"/>
                <w:szCs w:val="14"/>
                <w:b w:val="1"/>
                <w:bCs w:val="1"/>
                <w:color w:val="auto"/>
              </w:rPr>
              <w:t>Compensation Actually Paid</w:t>
            </w:r>
          </w:p>
        </w:tc>
        <w:tc>
          <w:tcPr>
            <w:tcW w:w="132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11,082,021</w:t>
            </w:r>
          </w:p>
        </w:tc>
        <w:tc>
          <w:tcPr>
            <w:tcW w:w="126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7,114,604</w:t>
            </w:r>
          </w:p>
        </w:tc>
        <w:tc>
          <w:tcPr>
            <w:tcW w:w="1260" w:type="dxa"/>
            <w:vAlign w:val="bottom"/>
            <w:tcBorders>
              <w:right w:val="single" w:sz="8" w:color="95B3D7"/>
            </w:tcBorders>
            <w:gridSpan w:val="3"/>
          </w:tcPr>
          <w:p>
            <w:pPr>
              <w:jc w:val="center"/>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1,769,823</w:t>
            </w:r>
          </w:p>
        </w:tc>
        <w:tc>
          <w:tcPr>
            <w:tcW w:w="1280" w:type="dxa"/>
            <w:vAlign w:val="bottom"/>
            <w:tcBorders>
              <w:right w:val="single" w:sz="8" w:color="95B3D7"/>
            </w:tcBorders>
            <w:gridSpan w:val="3"/>
          </w:tcPr>
          <w:p>
            <w:pPr>
              <w:jc w:val="center"/>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5,661,779</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10,053,244</w:t>
            </w:r>
          </w:p>
        </w:tc>
      </w:tr>
      <w:tr>
        <w:trPr>
          <w:trHeight w:val="20"/>
        </w:trPr>
        <w:tc>
          <w:tcPr>
            <w:tcW w:w="2900" w:type="dxa"/>
            <w:vAlign w:val="bottom"/>
            <w:tcBorders>
              <w:bottom w:val="single" w:sz="8" w:color="95B3D7"/>
              <w:right w:val="single" w:sz="8" w:color="95B3D7"/>
            </w:tcBorders>
          </w:tcPr>
          <w:p>
            <w:pPr>
              <w:spacing w:after="0" w:line="20" w:lineRule="exact"/>
              <w:rPr>
                <w:sz w:val="1"/>
                <w:szCs w:val="1"/>
                <w:color w:val="auto"/>
              </w:rPr>
            </w:pPr>
          </w:p>
        </w:tc>
        <w:tc>
          <w:tcPr>
            <w:tcW w:w="24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280" w:type="dxa"/>
            <w:vAlign w:val="bottom"/>
            <w:tcBorders>
              <w:bottom w:val="single" w:sz="8" w:color="95B3D7"/>
              <w:right w:val="single" w:sz="8" w:color="95B3D7"/>
            </w:tcBorders>
          </w:tcPr>
          <w:p>
            <w:pPr>
              <w:spacing w:after="0" w:line="20" w:lineRule="exact"/>
              <w:rPr>
                <w:sz w:val="1"/>
                <w:szCs w:val="1"/>
                <w:color w:val="auto"/>
              </w:rPr>
            </w:pPr>
          </w:p>
        </w:tc>
        <w:tc>
          <w:tcPr>
            <w:tcW w:w="260" w:type="dxa"/>
            <w:vAlign w:val="bottom"/>
            <w:tcBorders>
              <w:bottom w:val="single" w:sz="8" w:color="95B3D7"/>
            </w:tcBorders>
          </w:tcPr>
          <w:p>
            <w:pPr>
              <w:spacing w:after="0" w:line="20" w:lineRule="exact"/>
              <w:rPr>
                <w:sz w:val="1"/>
                <w:szCs w:val="1"/>
                <w:color w:val="auto"/>
              </w:rPr>
            </w:pPr>
          </w:p>
        </w:tc>
        <w:tc>
          <w:tcPr>
            <w:tcW w:w="700" w:type="dxa"/>
            <w:vAlign w:val="bottom"/>
            <w:tcBorders>
              <w:top w:val="single" w:sz="8" w:color="auto"/>
              <w:bottom w:val="single" w:sz="8" w:color="95B3D7"/>
            </w:tcBorders>
          </w:tcPr>
          <w:p>
            <w:pPr>
              <w:spacing w:after="0" w:line="20" w:lineRule="exact"/>
              <w:rPr>
                <w:sz w:val="1"/>
                <w:szCs w:val="1"/>
                <w:color w:val="auto"/>
              </w:rPr>
            </w:pPr>
          </w:p>
        </w:tc>
        <w:tc>
          <w:tcPr>
            <w:tcW w:w="300" w:type="dxa"/>
            <w:vAlign w:val="bottom"/>
            <w:tcBorders>
              <w:bottom w:val="single" w:sz="8" w:color="95B3D7"/>
              <w:right w:val="single" w:sz="8" w:color="95B3D7"/>
            </w:tcBorders>
          </w:tcPr>
          <w:p>
            <w:pPr>
              <w:spacing w:after="0" w:line="20" w:lineRule="exact"/>
              <w:rPr>
                <w:sz w:val="1"/>
                <w:szCs w:val="1"/>
                <w:color w:val="auto"/>
              </w:rPr>
            </w:pPr>
          </w:p>
        </w:tc>
        <w:tc>
          <w:tcPr>
            <w:tcW w:w="260" w:type="dxa"/>
            <w:vAlign w:val="bottom"/>
            <w:tcBorders>
              <w:bottom w:val="single" w:sz="8" w:color="95B3D7"/>
            </w:tcBorders>
          </w:tcPr>
          <w:p>
            <w:pPr>
              <w:spacing w:after="0" w:line="20" w:lineRule="exact"/>
              <w:rPr>
                <w:sz w:val="1"/>
                <w:szCs w:val="1"/>
                <w:color w:val="auto"/>
              </w:rPr>
            </w:pPr>
          </w:p>
        </w:tc>
        <w:tc>
          <w:tcPr>
            <w:tcW w:w="720" w:type="dxa"/>
            <w:vAlign w:val="bottom"/>
            <w:tcBorders>
              <w:top w:val="single" w:sz="8" w:color="auto"/>
              <w:bottom w:val="single" w:sz="8" w:color="95B3D7"/>
            </w:tcBorders>
          </w:tcPr>
          <w:p>
            <w:pPr>
              <w:spacing w:after="0" w:line="20" w:lineRule="exact"/>
              <w:rPr>
                <w:sz w:val="1"/>
                <w:szCs w:val="1"/>
                <w:color w:val="auto"/>
              </w:rPr>
            </w:pPr>
          </w:p>
        </w:tc>
        <w:tc>
          <w:tcPr>
            <w:tcW w:w="280" w:type="dxa"/>
            <w:vAlign w:val="bottom"/>
            <w:tcBorders>
              <w:bottom w:val="single" w:sz="8" w:color="95B3D7"/>
              <w:right w:val="single" w:sz="8" w:color="95B3D7"/>
            </w:tcBorders>
          </w:tcPr>
          <w:p>
            <w:pPr>
              <w:spacing w:after="0" w:line="20" w:lineRule="exact"/>
              <w:rPr>
                <w:sz w:val="1"/>
                <w:szCs w:val="1"/>
                <w:color w:val="auto"/>
              </w:rPr>
            </w:pPr>
          </w:p>
        </w:tc>
        <w:tc>
          <w:tcPr>
            <w:tcW w:w="260" w:type="dxa"/>
            <w:vAlign w:val="bottom"/>
            <w:tcBorders>
              <w:bottom w:val="single" w:sz="8" w:color="95B3D7"/>
            </w:tcBorders>
          </w:tcPr>
          <w:p>
            <w:pPr>
              <w:spacing w:after="0" w:line="20" w:lineRule="exact"/>
              <w:rPr>
                <w:sz w:val="1"/>
                <w:szCs w:val="1"/>
                <w:color w:val="auto"/>
              </w:rPr>
            </w:pPr>
          </w:p>
        </w:tc>
        <w:tc>
          <w:tcPr>
            <w:tcW w:w="720" w:type="dxa"/>
            <w:vAlign w:val="bottom"/>
            <w:tcBorders>
              <w:top w:val="single" w:sz="8" w:color="auto"/>
              <w:bottom w:val="single" w:sz="8" w:color="95B3D7"/>
            </w:tcBorders>
          </w:tcPr>
          <w:p>
            <w:pPr>
              <w:spacing w:after="0" w:line="20" w:lineRule="exact"/>
              <w:rPr>
                <w:sz w:val="1"/>
                <w:szCs w:val="1"/>
                <w:color w:val="auto"/>
              </w:rPr>
            </w:pPr>
          </w:p>
        </w:tc>
        <w:tc>
          <w:tcPr>
            <w:tcW w:w="300" w:type="dxa"/>
            <w:vAlign w:val="bottom"/>
            <w:tcBorders>
              <w:bottom w:val="single" w:sz="8" w:color="95B3D7"/>
              <w:right w:val="single" w:sz="8" w:color="95B3D7"/>
            </w:tcBorders>
          </w:tcPr>
          <w:p>
            <w:pPr>
              <w:spacing w:after="0" w:line="20" w:lineRule="exact"/>
              <w:rPr>
                <w:sz w:val="1"/>
                <w:szCs w:val="1"/>
                <w:color w:val="auto"/>
              </w:rPr>
            </w:pPr>
          </w:p>
        </w:tc>
        <w:tc>
          <w:tcPr>
            <w:tcW w:w="220" w:type="dxa"/>
            <w:vAlign w:val="bottom"/>
            <w:tcBorders>
              <w:bottom w:val="single" w:sz="8" w:color="95B3D7"/>
            </w:tcBorders>
          </w:tcPr>
          <w:p>
            <w:pPr>
              <w:spacing w:after="0" w:line="20" w:lineRule="exact"/>
              <w:rPr>
                <w:sz w:val="1"/>
                <w:szCs w:val="1"/>
                <w:color w:val="auto"/>
              </w:rPr>
            </w:pPr>
          </w:p>
        </w:tc>
        <w:tc>
          <w:tcPr>
            <w:tcW w:w="800" w:type="dxa"/>
            <w:vAlign w:val="bottom"/>
            <w:tcBorders>
              <w:top w:val="single" w:sz="8" w:color="auto"/>
              <w:bottom w:val="single" w:sz="8" w:color="95B3D7"/>
            </w:tcBorders>
          </w:tcPr>
          <w:p>
            <w:pPr>
              <w:spacing w:after="0" w:line="20" w:lineRule="exact"/>
              <w:rPr>
                <w:sz w:val="1"/>
                <w:szCs w:val="1"/>
                <w:color w:val="auto"/>
              </w:rPr>
            </w:pPr>
          </w:p>
        </w:tc>
        <w:tc>
          <w:tcPr>
            <w:tcW w:w="220" w:type="dxa"/>
            <w:vAlign w:val="bottom"/>
            <w:tcBorders>
              <w:bottom w:val="single" w:sz="8" w:color="95B3D7"/>
            </w:tcBorders>
          </w:tcPr>
          <w:p>
            <w:pPr>
              <w:spacing w:after="0" w:line="20" w:lineRule="exact"/>
              <w:rPr>
                <w:sz w:val="1"/>
                <w:szCs w:val="1"/>
                <w:color w:val="auto"/>
              </w:rPr>
            </w:pPr>
          </w:p>
        </w:tc>
      </w:tr>
    </w:tbl>
    <w:p>
      <w:pPr>
        <w:spacing w:after="0" w:line="328" w:lineRule="exact"/>
        <w:rPr>
          <w:sz w:val="20"/>
          <w:szCs w:val="20"/>
          <w:color w:val="auto"/>
        </w:rPr>
      </w:pPr>
    </w:p>
    <w:p>
      <w:pPr>
        <w:ind w:left="340" w:right="280" w:hanging="332"/>
        <w:spacing w:after="0" w:line="269"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TSR is calculated by dividing (a) the sum of (i) the cumulative amount of dividends for the measurement period, assuming dividend reinvestment, and (ii) the difference between our share price at the end of each fiscal year shown and the beginning of the measurement period by (b) our share price at the beginning of the measurement period. Pursuant to rules of the SEC, the comparison assumes $100 was invested in our common stock at the closing price on March 26, 2021. Historic stock price performance is not necessarily indicative of future stock price performance.</w:t>
      </w:r>
    </w:p>
    <w:p>
      <w:pPr>
        <w:spacing w:after="0" w:line="209" w:lineRule="exact"/>
        <w:rPr>
          <w:rFonts w:ascii="Arial" w:cs="Arial" w:eastAsia="Arial" w:hAnsi="Arial"/>
          <w:sz w:val="14"/>
          <w:szCs w:val="14"/>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peer group used for this purpose is the following published industry index: NASDAQ Healthcare Index.</w:t>
      </w:r>
    </w:p>
    <w:p>
      <w:pPr>
        <w:spacing w:after="0" w:line="257" w:lineRule="exact"/>
        <w:rPr>
          <w:rFonts w:ascii="Arial" w:cs="Arial" w:eastAsia="Arial" w:hAnsi="Arial"/>
          <w:sz w:val="14"/>
          <w:szCs w:val="14"/>
          <w:color w:val="auto"/>
        </w:rPr>
      </w:pP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244" w:lineRule="exact"/>
        <w:rPr>
          <w:rFonts w:ascii="Arial" w:cs="Arial" w:eastAsia="Arial" w:hAnsi="Arial"/>
          <w:sz w:val="14"/>
          <w:szCs w:val="14"/>
          <w:color w:val="auto"/>
        </w:rPr>
      </w:pPr>
    </w:p>
    <w:p>
      <w:pPr>
        <w:ind w:left="340" w:hanging="332"/>
        <w:spacing w:after="0" w:line="266"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presented as supplemental disclosure, that we define as net loss before interest expense, income taxes, depreciation and amortization expense, transaction-related expenses, acquisition expenses, certain litigation costs and settlements, gains or losses on ROU assets, equity-based compensation expense, and loss on extinguishment of debt. Adjusted EBITDA should not be considered in isolation of, or as an alternative to, measures prepared in accordance with U.S. generally accepted accounting principles (“GAAP”). There are a number of limitations related to the use of adjusted EBITDA in lieu of net loss, which is the most directly comparable financial measure calculated in accordance with GAAP. An explanation of our non-GAAP measures, how they are calculated and reconciliations to the most directly comparable GAAP financial measures can be found in the Appendix to this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Most Important Performance Measures</w:t>
      </w:r>
    </w:p>
    <w:p>
      <w:pPr>
        <w:spacing w:after="0" w:line="1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performance measures listed below represent an unranked list of the “most important” performance measures that Alignment used to align CAP to the NEOs for 2025 and company performance. The role of each of these performance measures in our executive compensation program is discussed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While these financial measures are the most important measures the company used to align CAP to the NEOs for 2025 and company performance, additional financial and other measures were also used to align pay and performance, as further 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most important financial performance measures are:</w:t>
      </w:r>
    </w:p>
    <w:p>
      <w:pPr>
        <w:spacing w:after="0" w:line="185" w:lineRule="exact"/>
        <w:rPr>
          <w:sz w:val="20"/>
          <w:szCs w:val="20"/>
          <w:color w:val="auto"/>
        </w:rPr>
      </w:pPr>
    </w:p>
    <w:p>
      <w:pPr>
        <w:ind w:left="960" w:hanging="304"/>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198" w:lineRule="exact"/>
        <w:rPr>
          <w:rFonts w:ascii="Arial" w:cs="Arial" w:eastAsia="Arial" w:hAnsi="Arial"/>
          <w:sz w:val="18"/>
          <w:szCs w:val="18"/>
          <w:color w:val="auto"/>
        </w:rPr>
      </w:pPr>
    </w:p>
    <w:p>
      <w:pPr>
        <w:ind w:left="960" w:hanging="304"/>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Adjusted Gross Profit</w:t>
      </w:r>
    </w:p>
    <w:p>
      <w:pPr>
        <w:spacing w:after="0" w:line="184" w:lineRule="exact"/>
        <w:rPr>
          <w:rFonts w:ascii="Arial" w:cs="Arial" w:eastAsia="Arial" w:hAnsi="Arial"/>
          <w:sz w:val="18"/>
          <w:szCs w:val="18"/>
          <w:color w:val="auto"/>
        </w:rPr>
      </w:pPr>
    </w:p>
    <w:p>
      <w:pPr>
        <w:ind w:left="960" w:hanging="304"/>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also employ the following non-financial performance measures:</w:t>
      </w:r>
    </w:p>
    <w:p>
      <w:pPr>
        <w:spacing w:after="0" w:line="144" w:lineRule="exact"/>
        <w:rPr>
          <w:sz w:val="20"/>
          <w:szCs w:val="20"/>
          <w:color w:val="auto"/>
        </w:rPr>
      </w:pPr>
    </w:p>
    <w:p>
      <w:pPr>
        <w:ind w:left="960" w:hanging="304"/>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Health Plan Membership</w:t>
      </w:r>
    </w:p>
    <w:p>
      <w:pPr>
        <w:spacing w:after="0" w:line="130" w:lineRule="exact"/>
        <w:rPr>
          <w:rFonts w:ascii="Arial" w:cs="Arial" w:eastAsia="Arial" w:hAnsi="Arial"/>
          <w:sz w:val="18"/>
          <w:szCs w:val="18"/>
          <w:color w:val="auto"/>
        </w:rPr>
      </w:pPr>
    </w:p>
    <w:p>
      <w:pPr>
        <w:ind w:left="960" w:hanging="304"/>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CMS Star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3" w:name="page74"/>
    <w:bookmarkEnd w:id="73"/>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noted above, we have deemed adjusted EBITDA as the “most important” financial measure used to link our NEOs' compensation with performance and, as previously disclosed, it is being used as our company-selected measure in the pay-versus-performance table above. For more detail on these measures and why we believe that they are important in structuring our compensation programs and linking pay with performance, please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Descriptions of the Information Presented in the Pay Versus Performance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illustrations below compare CAP and the following measures:</w:t>
      </w:r>
    </w:p>
    <w:p>
      <w:pPr>
        <w:spacing w:after="0" w:line="171" w:lineRule="exact"/>
        <w:rPr>
          <w:sz w:val="20"/>
          <w:szCs w:val="20"/>
          <w:color w:val="auto"/>
        </w:rPr>
      </w:pPr>
    </w:p>
    <w:p>
      <w:pPr>
        <w:ind w:left="640" w:hanging="30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cumulative TSR and the NASDAQ Healthcare Index’s cumulative TSR;</w:t>
      </w:r>
    </w:p>
    <w:p>
      <w:pPr>
        <w:spacing w:after="0" w:line="130" w:lineRule="exact"/>
        <w:rPr>
          <w:rFonts w:ascii="Arial" w:cs="Arial" w:eastAsia="Arial" w:hAnsi="Arial"/>
          <w:sz w:val="18"/>
          <w:szCs w:val="18"/>
          <w:color w:val="auto"/>
        </w:rPr>
      </w:pPr>
    </w:p>
    <w:p>
      <w:pPr>
        <w:ind w:left="640" w:hanging="30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Net Income; and</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240665</wp:posOffset>
            </wp:positionV>
            <wp:extent cx="3780155" cy="2708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78015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1888490</wp:posOffset>
            </wp:positionH>
            <wp:positionV relativeFrom="page">
              <wp:posOffset>980440</wp:posOffset>
            </wp:positionV>
            <wp:extent cx="3780155" cy="5469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80155" cy="546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CEO Pay Ratio</w:t>
      </w:r>
    </w:p>
    <w:p>
      <w:pPr>
        <w:spacing w:after="0" w:line="252" w:lineRule="exact"/>
        <w:rPr>
          <w:sz w:val="20"/>
          <w:szCs w:val="20"/>
          <w:color w:val="auto"/>
        </w:rPr>
      </w:pPr>
    </w:p>
    <w:p>
      <w:pPr>
        <w:ind w:right="40" w:firstLine="401"/>
        <w:spacing w:after="0" w:line="268" w:lineRule="auto"/>
        <w:rPr>
          <w:sz w:val="20"/>
          <w:szCs w:val="20"/>
          <w:color w:val="auto"/>
        </w:rPr>
      </w:pPr>
      <w:r>
        <w:rPr>
          <w:rFonts w:ascii="Arial" w:cs="Arial" w:eastAsia="Arial" w:hAnsi="Arial"/>
          <w:sz w:val="18"/>
          <w:szCs w:val="18"/>
          <w:color w:val="auto"/>
        </w:rPr>
        <w:t>As required by Section 953(b) of the Dodd-Frank Wall Street Reform and Consumer Protection Act, we are providing the following information about the relationship between the annual total compensation of our median employee and the annual total compensation of our CEO.</w:t>
      </w:r>
    </w:p>
    <w:p>
      <w:pPr>
        <w:spacing w:after="0" w:line="130" w:lineRule="exact"/>
        <w:rPr>
          <w:sz w:val="20"/>
          <w:szCs w:val="20"/>
          <w:color w:val="auto"/>
        </w:rPr>
      </w:pPr>
    </w:p>
    <w:p>
      <w:pPr>
        <w:ind w:firstLine="401"/>
        <w:spacing w:after="0" w:line="259" w:lineRule="auto"/>
        <w:rPr>
          <w:sz w:val="20"/>
          <w:szCs w:val="20"/>
          <w:color w:val="auto"/>
        </w:rPr>
      </w:pPr>
      <w:r>
        <w:rPr>
          <w:rFonts w:ascii="Arial" w:cs="Arial" w:eastAsia="Arial" w:hAnsi="Arial"/>
          <w:sz w:val="18"/>
          <w:szCs w:val="18"/>
          <w:color w:val="auto"/>
        </w:rPr>
        <w:t>Our compensation philosophy is designed to attract and retain high-quality talent and provide total compensation opportunities that support our pay-for-performance objectives. Compensation varies for employees by position and geographic location based on competitive market factors. Our associates’ total compensation may include base pay, incentive pay, overtime and other supplemental pay. We regularly review associate compensation for both internal pay equity and competitiveness within the health care industry. With respect to our CEO and other Named Executive Officers, the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75" w:name="page76"/>
    <w:bookmarkEnd w:id="75"/>
    <w:p>
      <w:pPr>
        <w:spacing w:after="0" w:line="268" w:lineRule="auto"/>
        <w:rPr>
          <w:sz w:val="20"/>
          <w:szCs w:val="20"/>
          <w:color w:val="auto"/>
        </w:rPr>
      </w:pPr>
      <w:r>
        <w:rPr>
          <w:rFonts w:ascii="Arial" w:cs="Arial" w:eastAsia="Arial" w:hAnsi="Arial"/>
          <w:sz w:val="18"/>
          <w:szCs w:val="18"/>
          <w:color w:val="auto"/>
        </w:rPr>
        <w:t>Compensation Committee has selected a compensation package composed in large part of variable and at-risk compensation, which the committee believes will appropriately incentivize retention and performance. For more information, please see the “</w:t>
      </w:r>
      <w:r>
        <w:rPr>
          <w:rFonts w:ascii="Arial" w:cs="Arial" w:eastAsia="Arial" w:hAnsi="Arial"/>
          <w:sz w:val="18"/>
          <w:szCs w:val="18"/>
          <w:i w:val="1"/>
          <w:iCs w:val="1"/>
          <w:color w:val="auto"/>
        </w:rPr>
        <w:t>Compensation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w:t>
      </w:r>
      <w:r>
        <w:rPr>
          <w:rFonts w:ascii="Arial" w:cs="Arial" w:eastAsia="Arial" w:hAnsi="Arial"/>
          <w:sz w:val="18"/>
          <w:szCs w:val="18"/>
          <w:color w:val="auto"/>
        </w:rPr>
        <w:t>” section of this proxy statement.</w:t>
      </w:r>
    </w:p>
    <w:p>
      <w:pPr>
        <w:spacing w:after="0" w:line="130" w:lineRule="exact"/>
        <w:rPr>
          <w:sz w:val="20"/>
          <w:szCs w:val="20"/>
          <w:color w:val="auto"/>
        </w:rPr>
      </w:pPr>
    </w:p>
    <w:p>
      <w:pPr>
        <w:ind w:right="620" w:firstLine="401"/>
        <w:spacing w:after="0" w:line="268" w:lineRule="auto"/>
        <w:rPr>
          <w:sz w:val="20"/>
          <w:szCs w:val="20"/>
          <w:color w:val="auto"/>
        </w:rPr>
      </w:pPr>
      <w:r>
        <w:rPr>
          <w:rFonts w:ascii="Arial" w:cs="Arial" w:eastAsia="Arial" w:hAnsi="Arial"/>
          <w:sz w:val="18"/>
          <w:szCs w:val="18"/>
          <w:color w:val="auto"/>
        </w:rPr>
        <w:t>For 2025, our CEO pay ratio was 158:1. This ratio was calculated in compliance with the requirements set forth in Item 402(u) of Regulation S-K using the amount of our CEO’s compensation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for 2024, which is $11,278,569.</w:t>
      </w:r>
    </w:p>
    <w:p>
      <w:pPr>
        <w:spacing w:after="0" w:line="144" w:lineRule="exact"/>
        <w:rPr>
          <w:sz w:val="20"/>
          <w:szCs w:val="20"/>
          <w:color w:val="auto"/>
        </w:rPr>
      </w:pPr>
    </w:p>
    <w:p>
      <w:pPr>
        <w:ind w:right="260" w:firstLine="401"/>
        <w:spacing w:after="0" w:line="287" w:lineRule="auto"/>
        <w:rPr>
          <w:sz w:val="20"/>
          <w:szCs w:val="20"/>
          <w:color w:val="auto"/>
        </w:rPr>
      </w:pPr>
      <w:r>
        <w:rPr>
          <w:rFonts w:ascii="Arial" w:cs="Arial" w:eastAsia="Arial" w:hAnsi="Arial"/>
          <w:sz w:val="18"/>
          <w:szCs w:val="18"/>
          <w:color w:val="auto"/>
        </w:rPr>
        <w:t>Outlined below is the process that was applied for identifying our median associate for our comparative compensation analysis of the median associate to our CEO:</w:t>
      </w:r>
    </w:p>
    <w:p>
      <w:pPr>
        <w:spacing w:after="0" w:line="112" w:lineRule="exact"/>
        <w:rPr>
          <w:sz w:val="20"/>
          <w:szCs w:val="20"/>
          <w:color w:val="auto"/>
        </w:rPr>
      </w:pPr>
    </w:p>
    <w:p>
      <w:pPr>
        <w:ind w:left="660" w:right="600" w:hanging="328"/>
        <w:spacing w:after="0" w:line="287" w:lineRule="auto"/>
        <w:tabs>
          <w:tab w:leader="none" w:pos="6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identified the median associate using 1,849 global full-time, part-time, temporary and seasonal associates employed as of December 31, 2025;</w:t>
      </w:r>
    </w:p>
    <w:p>
      <w:pPr>
        <w:spacing w:after="0" w:line="112"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consistently applied 2025 W-2 earnings as compensation measure for the median associate;</w:t>
      </w:r>
    </w:p>
    <w:p>
      <w:pPr>
        <w:spacing w:after="0" w:line="198" w:lineRule="exact"/>
        <w:rPr>
          <w:rFonts w:ascii="Arial" w:cs="Arial" w:eastAsia="Arial" w:hAnsi="Arial"/>
          <w:sz w:val="18"/>
          <w:szCs w:val="18"/>
          <w:color w:val="auto"/>
        </w:rPr>
      </w:pPr>
    </w:p>
    <w:p>
      <w:pPr>
        <w:ind w:left="660" w:right="400" w:hanging="328"/>
        <w:spacing w:after="0" w:line="287" w:lineRule="auto"/>
        <w:tabs>
          <w:tab w:leader="none" w:pos="6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then calculated the median associate’s compensation in the same manner as the Named Executive Officers in the Summary Compensation Table in this proxy statement; and</w:t>
      </w:r>
    </w:p>
    <w:p>
      <w:pPr>
        <w:spacing w:after="0" w:line="112" w:lineRule="exact"/>
        <w:rPr>
          <w:rFonts w:ascii="Arial" w:cs="Arial" w:eastAsia="Arial" w:hAnsi="Arial"/>
          <w:sz w:val="18"/>
          <w:szCs w:val="18"/>
          <w:color w:val="auto"/>
        </w:rPr>
      </w:pPr>
    </w:p>
    <w:p>
      <w:pPr>
        <w:ind w:left="640" w:hanging="308"/>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Applying this methodology, our median associate’s total compensation was $71,260; and</w:t>
      </w:r>
    </w:p>
    <w:p>
      <w:pPr>
        <w:spacing w:after="0" w:line="184" w:lineRule="exact"/>
        <w:rPr>
          <w:rFonts w:ascii="Arial" w:cs="Arial" w:eastAsia="Arial" w:hAnsi="Arial"/>
          <w:sz w:val="18"/>
          <w:szCs w:val="18"/>
          <w:color w:val="auto"/>
        </w:rPr>
      </w:pPr>
    </w:p>
    <w:p>
      <w:pPr>
        <w:ind w:left="660" w:right="500" w:hanging="328"/>
        <w:spacing w:after="0" w:line="287" w:lineRule="auto"/>
        <w:tabs>
          <w:tab w:leader="none" w:pos="642" w:val="left"/>
        </w:tabs>
        <w:numPr>
          <w:ilvl w:val="0"/>
          <w:numId w:val="74"/>
        </w:numPr>
        <w:rPr>
          <w:rFonts w:ascii="Arial" w:cs="Arial" w:eastAsia="Arial" w:hAnsi="Arial"/>
          <w:sz w:val="18"/>
          <w:szCs w:val="18"/>
          <w:color w:val="auto"/>
        </w:rPr>
      </w:pPr>
      <w:r>
        <w:rPr>
          <w:rFonts w:ascii="Arial" w:cs="Arial" w:eastAsia="Arial" w:hAnsi="Arial"/>
          <w:sz w:val="18"/>
          <w:szCs w:val="18"/>
          <w:color w:val="auto"/>
        </w:rPr>
        <w:t>With respect to the annual total compensation of our CEO, we used the amount reported in the “Total” column of the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for 2025 on page 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right="200" w:firstLine="405"/>
        <w:spacing w:after="0" w:line="262" w:lineRule="auto"/>
        <w:rPr>
          <w:sz w:val="20"/>
          <w:szCs w:val="20"/>
          <w:color w:val="auto"/>
        </w:rPr>
      </w:pPr>
      <w:r>
        <w:rPr>
          <w:rFonts w:ascii="Arial" w:cs="Arial" w:eastAsia="Arial" w:hAnsi="Arial"/>
          <w:sz w:val="18"/>
          <w:szCs w:val="18"/>
          <w:color w:val="auto"/>
        </w:rPr>
        <w:t>Under our Related Party Transactions Policy, our Audit Committee is responsible for reviewing and approving related person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spacing w:after="0" w:line="176" w:lineRule="exact"/>
        <w:rPr>
          <w:sz w:val="20"/>
          <w:szCs w:val="20"/>
          <w:color w:val="auto"/>
        </w:rPr>
      </w:pPr>
    </w:p>
    <w:p>
      <w:pPr>
        <w:ind w:left="1280" w:hanging="624"/>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related person’s relationship to us and interest in the transaction;</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material facts of the proposed transaction, including the proposed aggregate value of the transaction;</w:t>
      </w:r>
    </w:p>
    <w:p>
      <w:pPr>
        <w:spacing w:after="0" w:line="225" w:lineRule="exact"/>
        <w:rPr>
          <w:rFonts w:ascii="Arial" w:cs="Arial" w:eastAsia="Arial" w:hAnsi="Arial"/>
          <w:sz w:val="18"/>
          <w:szCs w:val="18"/>
          <w:color w:val="auto"/>
        </w:rPr>
      </w:pPr>
    </w:p>
    <w:p>
      <w:pPr>
        <w:ind w:left="1300" w:right="200" w:hanging="644"/>
        <w:spacing w:after="0" w:line="287" w:lineRule="auto"/>
        <w:tabs>
          <w:tab w:leader="none" w:pos="128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or an immediate family member of the director;</w:t>
      </w:r>
    </w:p>
    <w:p>
      <w:pPr>
        <w:spacing w:after="0" w:line="152" w:lineRule="exact"/>
        <w:rPr>
          <w:rFonts w:ascii="Arial" w:cs="Arial" w:eastAsia="Arial" w:hAnsi="Arial"/>
          <w:sz w:val="18"/>
          <w:szCs w:val="18"/>
          <w:color w:val="auto"/>
        </w:rPr>
      </w:pPr>
    </w:p>
    <w:p>
      <w:pPr>
        <w:ind w:left="1280" w:hanging="624"/>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benefits to us of the proposed transaction;</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applicable, the availability of other sources of comparable products or services; and</w:t>
      </w:r>
    </w:p>
    <w:p>
      <w:pPr>
        <w:spacing w:after="0" w:line="225" w:lineRule="exact"/>
        <w:rPr>
          <w:rFonts w:ascii="Arial" w:cs="Arial" w:eastAsia="Arial" w:hAnsi="Arial"/>
          <w:sz w:val="18"/>
          <w:szCs w:val="18"/>
          <w:color w:val="auto"/>
        </w:rPr>
      </w:pPr>
    </w:p>
    <w:p>
      <w:pPr>
        <w:ind w:left="1300" w:right="220" w:hanging="644"/>
        <w:spacing w:after="0" w:line="287" w:lineRule="auto"/>
        <w:tabs>
          <w:tab w:leader="none" w:pos="128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assessment of whether the proposed transaction is on terms that are comparable to the terms available to an unrelated third party or to employees generally.</w:t>
      </w:r>
    </w:p>
    <w:p>
      <w:pPr>
        <w:spacing w:after="0" w:line="153" w:lineRule="exact"/>
        <w:rPr>
          <w:sz w:val="20"/>
          <w:szCs w:val="20"/>
          <w:color w:val="auto"/>
        </w:rPr>
      </w:pPr>
    </w:p>
    <w:p>
      <w:pPr>
        <w:ind w:right="220" w:firstLine="405"/>
        <w:spacing w:after="0" w:line="287" w:lineRule="auto"/>
        <w:rPr>
          <w:sz w:val="20"/>
          <w:szCs w:val="20"/>
          <w:color w:val="auto"/>
        </w:rPr>
      </w:pPr>
      <w:r>
        <w:rPr>
          <w:rFonts w:ascii="Arial" w:cs="Arial" w:eastAsia="Arial" w:hAnsi="Arial"/>
          <w:sz w:val="18"/>
          <w:szCs w:val="18"/>
          <w:color w:val="auto"/>
        </w:rPr>
        <w:t>The Audit Committee may only approve those transactions that are in, or are not inconsistent with, our best interests and those of our stockholders, as the Audit Committee determines in good faith.</w:t>
      </w:r>
    </w:p>
    <w:p>
      <w:pPr>
        <w:spacing w:after="0" w:line="153" w:lineRule="exact"/>
        <w:rPr>
          <w:sz w:val="20"/>
          <w:szCs w:val="20"/>
          <w:color w:val="auto"/>
        </w:rPr>
      </w:pPr>
    </w:p>
    <w:p>
      <w:pPr>
        <w:ind w:right="300" w:firstLine="405"/>
        <w:spacing w:after="0" w:line="287" w:lineRule="auto"/>
        <w:rPr>
          <w:sz w:val="20"/>
          <w:szCs w:val="20"/>
          <w:color w:val="auto"/>
        </w:rPr>
      </w:pPr>
      <w:r>
        <w:rPr>
          <w:rFonts w:ascii="Arial" w:cs="Arial" w:eastAsia="Arial" w:hAnsi="Arial"/>
          <w:sz w:val="18"/>
          <w:szCs w:val="18"/>
          <w:color w:val="auto"/>
        </w:rPr>
        <w:t>In addition, under our Code of Conduct, our employees and directors have an affirmative responsibility to disclose any transaction or relationship that reasonably could be expected to give rise to a conflict of interest.</w:t>
      </w:r>
    </w:p>
    <w:p>
      <w:pPr>
        <w:spacing w:after="0" w:line="153" w:lineRule="exact"/>
        <w:rPr>
          <w:sz w:val="20"/>
          <w:szCs w:val="20"/>
          <w:color w:val="auto"/>
        </w:rPr>
      </w:pPr>
    </w:p>
    <w:p>
      <w:pPr>
        <w:ind w:right="320" w:firstLine="405"/>
        <w:spacing w:after="0" w:line="287" w:lineRule="auto"/>
        <w:rPr>
          <w:sz w:val="20"/>
          <w:szCs w:val="20"/>
          <w:color w:val="auto"/>
        </w:rPr>
      </w:pPr>
      <w:r>
        <w:rPr>
          <w:rFonts w:ascii="Arial" w:cs="Arial" w:eastAsia="Arial" w:hAnsi="Arial"/>
          <w:sz w:val="18"/>
          <w:szCs w:val="18"/>
          <w:color w:val="auto"/>
        </w:rPr>
        <w:t>With respect to the transactions described below that were entered into prior to the adoption of the Company’s written Related Party Transactions Policy, all were approved by our Board considering similar factors to those described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Related-Party Transactions</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Other than compensation arrangements for our directors and named executive officers, which are described in the sections of this proxy statement titled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below we describe transactions since January 1, 2025 to which we were a participant or will be a participant, in which:</w:t>
      </w:r>
    </w:p>
    <w:p>
      <w:pPr>
        <w:spacing w:after="0" w:line="171" w:lineRule="exact"/>
        <w:rPr>
          <w:sz w:val="20"/>
          <w:szCs w:val="20"/>
          <w:color w:val="auto"/>
        </w:rPr>
      </w:pPr>
    </w:p>
    <w:p>
      <w:pPr>
        <w:ind w:left="1280" w:hanging="624"/>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25" w:lineRule="exact"/>
        <w:rPr>
          <w:rFonts w:ascii="Arial" w:cs="Arial" w:eastAsia="Arial" w:hAnsi="Arial"/>
          <w:sz w:val="18"/>
          <w:szCs w:val="18"/>
          <w:color w:val="auto"/>
        </w:rPr>
      </w:pPr>
    </w:p>
    <w:p>
      <w:pPr>
        <w:ind w:left="1300" w:right="140" w:hanging="644"/>
        <w:spacing w:after="0" w:line="287" w:lineRule="auto"/>
        <w:tabs>
          <w:tab w:leader="none" w:pos="1282"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Stockholders Agreement</w:t>
      </w:r>
    </w:p>
    <w:p>
      <w:pPr>
        <w:spacing w:after="0" w:line="223" w:lineRule="exact"/>
        <w:rPr>
          <w:sz w:val="20"/>
          <w:szCs w:val="20"/>
          <w:color w:val="auto"/>
        </w:rPr>
      </w:pPr>
    </w:p>
    <w:p>
      <w:pPr>
        <w:ind w:right="400" w:firstLine="405"/>
        <w:spacing w:after="0" w:line="262" w:lineRule="auto"/>
        <w:rPr>
          <w:sz w:val="20"/>
          <w:szCs w:val="20"/>
          <w:color w:val="auto"/>
        </w:rPr>
      </w:pPr>
      <w:r>
        <w:rPr>
          <w:rFonts w:ascii="Arial" w:cs="Arial" w:eastAsia="Arial" w:hAnsi="Arial"/>
          <w:sz w:val="18"/>
          <w:szCs w:val="18"/>
          <w:color w:val="auto"/>
        </w:rPr>
        <w:t>We were party to an Amended and Restated Stockholders Agreement, dated as of April 30, 2024, with affiliates of General Atlantic ("GA") that provided GA the right to designate nominees for election to our Board. The Stockholders Agreement provided GA the right to designate: (i) four of the nominees for election to our Board for so long as GA beneficially owned over 35% of our common stock then outstanding; (ii) three of the nominees for election to our Board for so long as GA beneficially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7" w:name="page78"/>
    <w:bookmarkEnd w:id="77"/>
    <w:p>
      <w:pPr>
        <w:spacing w:after="0" w:line="262" w:lineRule="auto"/>
        <w:rPr>
          <w:sz w:val="20"/>
          <w:szCs w:val="20"/>
          <w:color w:val="auto"/>
        </w:rPr>
      </w:pPr>
      <w:r>
        <w:rPr>
          <w:rFonts w:ascii="Arial" w:cs="Arial" w:eastAsia="Arial" w:hAnsi="Arial"/>
          <w:sz w:val="18"/>
          <w:szCs w:val="18"/>
          <w:color w:val="auto"/>
        </w:rPr>
        <w:t>over 25% but less than or equal to 35% of our common stock; (iii) two of the nominees for election to our Board for so long as GA beneficially owned over 15% but less than or equal to 25% of our common stock; and (iv) one of the nominees for election to our Board for so long as GA beneficially owned at least 5% but less than or equal to 15% of our common stock. In each case, GA's nominees were required to comply with applicable law and stock exchange rules. The Stockholders Agreement was terminated as of March 4, 2026.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Registration Rights Agreement</w:t>
      </w:r>
    </w:p>
    <w:p>
      <w:pPr>
        <w:spacing w:after="0" w:line="223"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We are party to a registration rights agreement, dated as of March 30, 2021 (the "Registration Rights Agreement"), with GA and certain other stockholders (the “Applicable Holders”). GA was entitled to request that we register its shares on a long-form or short-form registration statement on one or more occasions, which registrations may in certain circumstances be “shelf registrations,” and such other stockholders are entitled to participate in such offerings on a pro rata basis. The Applicable Holders were entitled to participate in certain of our registered offerings, subject to the restrictions in the Registration Rights Agreement. We paid the expenses, including registration fees and reasonable attorney's fees, in connection with the exercise of these rights. As of April 24, 2026, no securities remained registrable under the Registration Rights Agreement, but we continue to have indemnification and other ongoing obligations under the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Underwriting Agreement</w:t>
      </w:r>
    </w:p>
    <w:p>
      <w:pPr>
        <w:spacing w:after="0" w:line="223" w:lineRule="exact"/>
        <w:rPr>
          <w:sz w:val="20"/>
          <w:szCs w:val="20"/>
          <w:color w:val="auto"/>
        </w:rPr>
      </w:pPr>
    </w:p>
    <w:p>
      <w:pPr>
        <w:jc w:val="both"/>
        <w:ind w:right="140" w:firstLine="405"/>
        <w:spacing w:after="0" w:line="262" w:lineRule="auto"/>
        <w:rPr>
          <w:sz w:val="20"/>
          <w:szCs w:val="20"/>
          <w:color w:val="auto"/>
        </w:rPr>
      </w:pPr>
      <w:r>
        <w:rPr>
          <w:rFonts w:ascii="Arial" w:cs="Arial" w:eastAsia="Arial" w:hAnsi="Arial"/>
          <w:sz w:val="18"/>
          <w:szCs w:val="18"/>
          <w:color w:val="auto"/>
        </w:rPr>
        <w:t>On March 2, 2026, we entered into an underwriting agreement (the “Underwriting Agreement”) with J.P. Morgan Securities LLC, as the underwriter, and affiliates of GA (collectively, the “Selling Stockholder”) with respect to an underwritten offering by the Selling Stockholder of 13,167,733 shares of the Company’s common stock held by such Selling Stockholder. The offering closed on March 4, 2026. The Company did not receive any proceeds from the sale of the shares in the offering.</w:t>
      </w:r>
    </w:p>
    <w:p>
      <w:pPr>
        <w:spacing w:after="0" w:line="136" w:lineRule="exact"/>
        <w:rPr>
          <w:sz w:val="20"/>
          <w:szCs w:val="20"/>
          <w:color w:val="auto"/>
        </w:rPr>
      </w:pPr>
    </w:p>
    <w:p>
      <w:pPr>
        <w:ind w:right="140" w:firstLine="405"/>
        <w:spacing w:after="0" w:line="268" w:lineRule="auto"/>
        <w:rPr>
          <w:sz w:val="20"/>
          <w:szCs w:val="20"/>
          <w:color w:val="auto"/>
        </w:rPr>
      </w:pPr>
      <w:r>
        <w:rPr>
          <w:rFonts w:ascii="Arial" w:cs="Arial" w:eastAsia="Arial" w:hAnsi="Arial"/>
          <w:sz w:val="18"/>
          <w:szCs w:val="18"/>
          <w:color w:val="auto"/>
        </w:rPr>
        <w:t>The offering was made pursuant to an automatically effective Registration Statement on Form S-3ASR (File No. 333-293928) filed with the SEC on March 2, 2026, and a related prospectus supplement. The registration statement was filed pursuant to GA's registration rights under the Registration Rights Agreement described above.</w:t>
      </w:r>
    </w:p>
    <w:p>
      <w:pPr>
        <w:spacing w:after="0" w:line="14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The Underwriting Agreement contains customary representations, warranties and covenants of the Company, the Selling Stockholder and the underwriter, as well as customary indemnification obligations, including indemnification by the Company of the underwriter and General Atlantic for certain liabilities under the Securities Act. The Company's indemnification obligations under the Underwriting Agreement are in addition to, and do not limit, the Company's indemnification obligations to GA under the Registration Rights Agreement described above.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Indemnification of Officers and Directors</w:t>
      </w:r>
    </w:p>
    <w:p>
      <w:pPr>
        <w:spacing w:after="0" w:line="183"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color w:val="auto"/>
        </w:rPr>
        <w:t>We are party 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SECURITY OWNERSHIP OF CERTAIN BENEFICIAL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 AND MANAGEMENT</w:t>
      </w:r>
    </w:p>
    <w:p>
      <w:pPr>
        <w:spacing w:after="0" w:line="20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following table sets forth information about the beneficial ownership of our common stock as of April 6, 2026 for (i) each person or group known to us who beneficially owns more than 5% of our common stock; (ii) each of our directors; (iii) each of our Named Executive Officers; and (iv) all of our directors and executive officers as a group.</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Each stockholder’s percentage ownership is based on 206,730,723 shares of common stock outstanding as of April 6, 2026.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April 6, 2026, and common stock issuable upon vesting of RSUs within 60 days of April 6, 2026, are deemed to be outstanding and beneficially owned by the person holding the options or RSUs, as applicable.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spacing w:after="0" w:line="174"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Unless otherwise noted below, the address of each beneficial owner listed on the table is c/o Alignment Healthcare, Inc., 1100 W. Town and Country Road, Suite 1600, Orange, California 92868. Beneficial ownership representing less than 1% is denoted with an asterisk (*).</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Beneficial Owner</w:t>
            </w:r>
          </w:p>
        </w:tc>
        <w:tc>
          <w:tcPr>
            <w:tcW w:w="33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Number of Shares</w:t>
            </w:r>
          </w:p>
        </w:tc>
        <w:tc>
          <w:tcPr>
            <w:tcW w:w="30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Percentage</w:t>
            </w:r>
          </w:p>
        </w:tc>
      </w:tr>
      <w:tr>
        <w:trPr>
          <w:trHeight w:val="237"/>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b w:val="1"/>
                <w:bCs w:val="1"/>
                <w:color w:val="auto"/>
              </w:rPr>
              <w:t>5% Stockholders</w:t>
            </w:r>
          </w:p>
        </w:tc>
        <w:tc>
          <w:tcPr>
            <w:tcW w:w="3320" w:type="dxa"/>
            <w:vAlign w:val="bottom"/>
            <w:tcBorders>
              <w:right w:val="single" w:sz="8" w:color="95B3D7"/>
            </w:tcBorders>
            <w:shd w:val="clear" w:color="auto" w:fill="DBE5F1"/>
          </w:tcPr>
          <w:p>
            <w:pPr>
              <w:spacing w:after="0"/>
              <w:rPr>
                <w:sz w:val="20"/>
                <w:szCs w:val="20"/>
                <w:color w:val="auto"/>
              </w:rPr>
            </w:pPr>
          </w:p>
        </w:tc>
        <w:tc>
          <w:tcPr>
            <w:tcW w:w="3080" w:type="dxa"/>
            <w:vAlign w:val="bottom"/>
            <w:shd w:val="clear" w:color="auto" w:fill="DBE5F1"/>
          </w:tcPr>
          <w:p>
            <w:pPr>
              <w:spacing w:after="0"/>
              <w:rPr>
                <w:sz w:val="20"/>
                <w:szCs w:val="20"/>
                <w:color w:val="auto"/>
              </w:rPr>
            </w:pPr>
          </w:p>
        </w:tc>
      </w:tr>
      <w:tr>
        <w:trPr>
          <w:trHeight w:val="270"/>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(1)</w:t>
            </w:r>
          </w:p>
        </w:tc>
        <w:tc>
          <w:tcPr>
            <w:tcW w:w="3320" w:type="dxa"/>
            <w:vAlign w:val="bottom"/>
            <w:tcBorders>
              <w:right w:val="single" w:sz="8" w:color="95B3D7"/>
            </w:tcBorders>
          </w:tcPr>
          <w:p>
            <w:pPr>
              <w:jc w:val="right"/>
              <w:ind w:right="710"/>
              <w:spacing w:after="0"/>
              <w:rPr>
                <w:sz w:val="20"/>
                <w:szCs w:val="20"/>
                <w:color w:val="auto"/>
              </w:rPr>
            </w:pPr>
            <w:r>
              <w:rPr>
                <w:rFonts w:ascii="Arial" w:cs="Arial" w:eastAsia="Arial" w:hAnsi="Arial"/>
                <w:sz w:val="18"/>
                <w:szCs w:val="18"/>
                <w:color w:val="auto"/>
              </w:rPr>
              <w:t>15,492,802</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7.5%</w:t>
            </w: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Fidelity Investments</w:t>
            </w:r>
            <w:r>
              <w:rPr>
                <w:rFonts w:ascii="Arial" w:cs="Arial" w:eastAsia="Arial" w:hAnsi="Arial"/>
                <w:sz w:val="23"/>
                <w:szCs w:val="23"/>
                <w:color w:val="auto"/>
                <w:vertAlign w:val="superscript"/>
              </w:rPr>
              <w:t>(2)</w:t>
            </w:r>
          </w:p>
        </w:tc>
        <w:tc>
          <w:tcPr>
            <w:tcW w:w="3320" w:type="dxa"/>
            <w:vAlign w:val="bottom"/>
            <w:tcBorders>
              <w:right w:val="single" w:sz="8" w:color="95B3D7"/>
            </w:tcBorders>
            <w:shd w:val="clear" w:color="auto" w:fill="DBE5F1"/>
          </w:tcPr>
          <w:p>
            <w:pPr>
              <w:jc w:val="right"/>
              <w:ind w:right="710"/>
              <w:spacing w:after="0"/>
              <w:rPr>
                <w:sz w:val="20"/>
                <w:szCs w:val="20"/>
                <w:color w:val="auto"/>
              </w:rPr>
            </w:pPr>
            <w:r>
              <w:rPr>
                <w:rFonts w:ascii="Arial" w:cs="Arial" w:eastAsia="Arial" w:hAnsi="Arial"/>
                <w:sz w:val="18"/>
                <w:szCs w:val="18"/>
                <w:color w:val="auto"/>
              </w:rPr>
              <w:t>14,792,081</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7"/>
              </w:rPr>
              <w:t>7.2%</w:t>
            </w:r>
          </w:p>
        </w:tc>
      </w:tr>
      <w:tr>
        <w:trPr>
          <w:trHeight w:val="270"/>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Wellington Management Group LLP</w:t>
            </w:r>
            <w:r>
              <w:rPr>
                <w:rFonts w:ascii="Arial" w:cs="Arial" w:eastAsia="Arial" w:hAnsi="Arial"/>
                <w:sz w:val="23"/>
                <w:szCs w:val="23"/>
                <w:color w:val="auto"/>
                <w:vertAlign w:val="superscript"/>
              </w:rPr>
              <w:t>(3)</w:t>
            </w:r>
          </w:p>
        </w:tc>
        <w:tc>
          <w:tcPr>
            <w:tcW w:w="3320" w:type="dxa"/>
            <w:vAlign w:val="bottom"/>
            <w:tcBorders>
              <w:right w:val="single" w:sz="8" w:color="95B3D7"/>
            </w:tcBorders>
          </w:tcPr>
          <w:p>
            <w:pPr>
              <w:jc w:val="right"/>
              <w:ind w:right="710"/>
              <w:spacing w:after="0"/>
              <w:rPr>
                <w:sz w:val="20"/>
                <w:szCs w:val="20"/>
                <w:color w:val="auto"/>
              </w:rPr>
            </w:pPr>
            <w:r>
              <w:rPr>
                <w:rFonts w:ascii="Arial" w:cs="Arial" w:eastAsia="Arial" w:hAnsi="Arial"/>
                <w:sz w:val="18"/>
                <w:szCs w:val="18"/>
                <w:color w:val="auto"/>
              </w:rPr>
              <w:t>14,070,893</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6.8%</w:t>
            </w: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Qatar Investment Authority</w:t>
            </w:r>
            <w:r>
              <w:rPr>
                <w:rFonts w:ascii="Arial" w:cs="Arial" w:eastAsia="Arial" w:hAnsi="Arial"/>
                <w:sz w:val="23"/>
                <w:szCs w:val="23"/>
                <w:color w:val="auto"/>
                <w:vertAlign w:val="superscript"/>
              </w:rPr>
              <w:t>(4)</w:t>
            </w:r>
          </w:p>
        </w:tc>
        <w:tc>
          <w:tcPr>
            <w:tcW w:w="3320" w:type="dxa"/>
            <w:vAlign w:val="bottom"/>
            <w:tcBorders>
              <w:right w:val="single" w:sz="8" w:color="95B3D7"/>
            </w:tcBorders>
            <w:shd w:val="clear" w:color="auto" w:fill="DBE5F1"/>
          </w:tcPr>
          <w:p>
            <w:pPr>
              <w:jc w:val="right"/>
              <w:ind w:right="710"/>
              <w:spacing w:after="0"/>
              <w:rPr>
                <w:sz w:val="20"/>
                <w:szCs w:val="20"/>
                <w:color w:val="auto"/>
              </w:rPr>
            </w:pPr>
            <w:r>
              <w:rPr>
                <w:rFonts w:ascii="Arial" w:cs="Arial" w:eastAsia="Arial" w:hAnsi="Arial"/>
                <w:sz w:val="18"/>
                <w:szCs w:val="18"/>
                <w:color w:val="auto"/>
              </w:rPr>
              <w:t>13,246,096</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7"/>
              </w:rPr>
              <w:t>6.4%</w:t>
            </w:r>
          </w:p>
        </w:tc>
      </w:tr>
      <w:tr>
        <w:trPr>
          <w:trHeight w:val="270"/>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T. Rowe Price Investment Management</w:t>
            </w:r>
            <w:r>
              <w:rPr>
                <w:rFonts w:ascii="Arial" w:cs="Arial" w:eastAsia="Arial" w:hAnsi="Arial"/>
                <w:sz w:val="23"/>
                <w:szCs w:val="23"/>
                <w:color w:val="auto"/>
                <w:vertAlign w:val="superscript"/>
              </w:rPr>
              <w:t>(5)</w:t>
            </w:r>
          </w:p>
        </w:tc>
        <w:tc>
          <w:tcPr>
            <w:tcW w:w="3320" w:type="dxa"/>
            <w:vAlign w:val="bottom"/>
            <w:tcBorders>
              <w:right w:val="single" w:sz="8" w:color="95B3D7"/>
            </w:tcBorders>
          </w:tcPr>
          <w:p>
            <w:pPr>
              <w:jc w:val="right"/>
              <w:ind w:right="710"/>
              <w:spacing w:after="0"/>
              <w:rPr>
                <w:sz w:val="20"/>
                <w:szCs w:val="20"/>
                <w:color w:val="auto"/>
              </w:rPr>
            </w:pPr>
            <w:r>
              <w:rPr>
                <w:rFonts w:ascii="Arial" w:cs="Arial" w:eastAsia="Arial" w:hAnsi="Arial"/>
                <w:sz w:val="18"/>
                <w:szCs w:val="18"/>
                <w:color w:val="auto"/>
              </w:rPr>
              <w:t>12,643,784</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6.1%</w:t>
            </w: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BlackRock Fund Advisors</w:t>
            </w:r>
            <w:r>
              <w:rPr>
                <w:rFonts w:ascii="Arial" w:cs="Arial" w:eastAsia="Arial" w:hAnsi="Arial"/>
                <w:sz w:val="23"/>
                <w:szCs w:val="23"/>
                <w:color w:val="auto"/>
                <w:vertAlign w:val="superscript"/>
              </w:rPr>
              <w:t>(6)</w:t>
            </w:r>
          </w:p>
        </w:tc>
        <w:tc>
          <w:tcPr>
            <w:tcW w:w="3320" w:type="dxa"/>
            <w:vAlign w:val="bottom"/>
            <w:tcBorders>
              <w:right w:val="single" w:sz="8" w:color="95B3D7"/>
            </w:tcBorders>
            <w:shd w:val="clear" w:color="auto" w:fill="DBE5F1"/>
          </w:tcPr>
          <w:p>
            <w:pPr>
              <w:jc w:val="right"/>
              <w:ind w:right="710"/>
              <w:spacing w:after="0"/>
              <w:rPr>
                <w:sz w:val="20"/>
                <w:szCs w:val="20"/>
                <w:color w:val="auto"/>
              </w:rPr>
            </w:pPr>
            <w:r>
              <w:rPr>
                <w:rFonts w:ascii="Arial" w:cs="Arial" w:eastAsia="Arial" w:hAnsi="Arial"/>
                <w:sz w:val="18"/>
                <w:szCs w:val="18"/>
                <w:color w:val="auto"/>
              </w:rPr>
              <w:t>11,259,734</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w w:val="97"/>
              </w:rPr>
              <w:t>5.4%</w:t>
            </w:r>
          </w:p>
        </w:tc>
      </w:tr>
      <w:tr>
        <w:trPr>
          <w:trHeight w:val="203"/>
        </w:trPr>
        <w:tc>
          <w:tcPr>
            <w:tcW w:w="4840" w:type="dxa"/>
            <w:vAlign w:val="bottom"/>
            <w:tcBorders>
              <w:right w:val="single" w:sz="8" w:color="95B3D7"/>
            </w:tcBorders>
          </w:tcPr>
          <w:p>
            <w:pPr>
              <w:spacing w:after="0"/>
              <w:rPr>
                <w:sz w:val="17"/>
                <w:szCs w:val="17"/>
                <w:color w:val="auto"/>
              </w:rPr>
            </w:pPr>
          </w:p>
        </w:tc>
        <w:tc>
          <w:tcPr>
            <w:tcW w:w="3320" w:type="dxa"/>
            <w:vAlign w:val="bottom"/>
            <w:tcBorders>
              <w:right w:val="single" w:sz="8" w:color="95B3D7"/>
            </w:tcBorders>
          </w:tcPr>
          <w:p>
            <w:pPr>
              <w:spacing w:after="0"/>
              <w:rPr>
                <w:sz w:val="17"/>
                <w:szCs w:val="17"/>
                <w:color w:val="auto"/>
              </w:rPr>
            </w:pPr>
          </w:p>
        </w:tc>
        <w:tc>
          <w:tcPr>
            <w:tcW w:w="3080" w:type="dxa"/>
            <w:vAlign w:val="bottom"/>
          </w:tcPr>
          <w:p>
            <w:pPr>
              <w:spacing w:after="0"/>
              <w:rPr>
                <w:sz w:val="17"/>
                <w:szCs w:val="17"/>
                <w:color w:val="auto"/>
              </w:rPr>
            </w:pP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b w:val="1"/>
                <w:bCs w:val="1"/>
                <w:color w:val="auto"/>
              </w:rPr>
              <w:t>Named Executive Officers and Directors</w:t>
            </w:r>
          </w:p>
        </w:tc>
        <w:tc>
          <w:tcPr>
            <w:tcW w:w="3320" w:type="dxa"/>
            <w:vAlign w:val="bottom"/>
            <w:tcBorders>
              <w:right w:val="single" w:sz="8" w:color="95B3D7"/>
            </w:tcBorders>
            <w:shd w:val="clear" w:color="auto" w:fill="DBE5F1"/>
          </w:tcPr>
          <w:p>
            <w:pPr>
              <w:spacing w:after="0"/>
              <w:rPr>
                <w:sz w:val="23"/>
                <w:szCs w:val="23"/>
                <w:color w:val="auto"/>
              </w:rPr>
            </w:pPr>
          </w:p>
        </w:tc>
        <w:tc>
          <w:tcPr>
            <w:tcW w:w="3080" w:type="dxa"/>
            <w:vAlign w:val="bottom"/>
            <w:shd w:val="clear" w:color="auto" w:fill="DBE5F1"/>
          </w:tcPr>
          <w:p>
            <w:pPr>
              <w:spacing w:after="0"/>
              <w:rPr>
                <w:sz w:val="23"/>
                <w:szCs w:val="23"/>
                <w:color w:val="auto"/>
              </w:rPr>
            </w:pPr>
          </w:p>
        </w:tc>
      </w:tr>
      <w:tr>
        <w:trPr>
          <w:trHeight w:val="270"/>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John Kao</w:t>
            </w:r>
            <w:r>
              <w:rPr>
                <w:rFonts w:ascii="Arial" w:cs="Arial" w:eastAsia="Arial" w:hAnsi="Arial"/>
                <w:sz w:val="23"/>
                <w:szCs w:val="23"/>
                <w:color w:val="auto"/>
                <w:vertAlign w:val="superscript"/>
              </w:rPr>
              <w:t>(7)</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6,915,398</w:t>
            </w:r>
          </w:p>
        </w:tc>
        <w:tc>
          <w:tcPr>
            <w:tcW w:w="3080" w:type="dxa"/>
            <w:vAlign w:val="bottom"/>
          </w:tcPr>
          <w:p>
            <w:pPr>
              <w:jc w:val="center"/>
              <w:spacing w:after="0"/>
              <w:rPr>
                <w:sz w:val="20"/>
                <w:szCs w:val="20"/>
                <w:color w:val="auto"/>
              </w:rPr>
            </w:pPr>
            <w:r>
              <w:rPr>
                <w:rFonts w:ascii="Arial" w:cs="Arial" w:eastAsia="Arial" w:hAnsi="Arial"/>
                <w:sz w:val="18"/>
                <w:szCs w:val="18"/>
                <w:color w:val="auto"/>
                <w:w w:val="97"/>
              </w:rPr>
              <w:t>3.3%</w:t>
            </w: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Dawn Maroney</w:t>
            </w:r>
            <w:r>
              <w:rPr>
                <w:rFonts w:ascii="Arial" w:cs="Arial" w:eastAsia="Arial" w:hAnsi="Arial"/>
                <w:sz w:val="23"/>
                <w:szCs w:val="23"/>
                <w:color w:val="auto"/>
                <w:vertAlign w:val="superscript"/>
              </w:rPr>
              <w:t>(8)</w:t>
            </w:r>
          </w:p>
        </w:tc>
        <w:tc>
          <w:tcPr>
            <w:tcW w:w="3320" w:type="dxa"/>
            <w:vAlign w:val="bottom"/>
            <w:tcBorders>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1,719,492</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James M. Head</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27,198</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Thomas Freeman</w:t>
            </w:r>
            <w:r>
              <w:rPr>
                <w:rFonts w:ascii="Arial" w:cs="Arial" w:eastAsia="Arial" w:hAnsi="Arial"/>
                <w:sz w:val="23"/>
                <w:szCs w:val="23"/>
                <w:color w:val="auto"/>
                <w:vertAlign w:val="superscript"/>
              </w:rPr>
              <w:t>(9)</w:t>
            </w:r>
          </w:p>
        </w:tc>
        <w:tc>
          <w:tcPr>
            <w:tcW w:w="3320" w:type="dxa"/>
            <w:vAlign w:val="bottom"/>
            <w:tcBorders>
              <w:right w:val="single" w:sz="8" w:color="95B3D7"/>
            </w:tcBorders>
            <w:shd w:val="clear" w:color="auto" w:fill="DBE5F1"/>
          </w:tcPr>
          <w:p>
            <w:pPr>
              <w:jc w:val="right"/>
              <w:ind w:right="1490"/>
              <w:spacing w:after="0"/>
              <w:rPr>
                <w:sz w:val="20"/>
                <w:szCs w:val="20"/>
                <w:color w:val="auto"/>
              </w:rPr>
            </w:pPr>
            <w:r>
              <w:rPr>
                <w:rFonts w:ascii="Arial" w:cs="Arial" w:eastAsia="Arial" w:hAnsi="Arial"/>
                <w:sz w:val="18"/>
                <w:szCs w:val="18"/>
                <w:color w:val="auto"/>
              </w:rPr>
              <w:t>—</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Hyong (Ken) Kim, M.D.</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35,951</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50"/>
        </w:trPr>
        <w:tc>
          <w:tcPr>
            <w:tcW w:w="484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Christopher Joyce</w:t>
            </w:r>
          </w:p>
        </w:tc>
        <w:tc>
          <w:tcPr>
            <w:tcW w:w="3320" w:type="dxa"/>
            <w:vAlign w:val="bottom"/>
            <w:tcBorders>
              <w:bottom w:val="single" w:sz="8" w:color="DBE5F1"/>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28,805</w:t>
            </w:r>
          </w:p>
        </w:tc>
        <w:tc>
          <w:tcPr>
            <w:tcW w:w="3080" w:type="dxa"/>
            <w:vAlign w:val="bottom"/>
            <w:tcBorders>
              <w:bottom w:val="single" w:sz="8" w:color="DBE5F1"/>
            </w:tcBorders>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Jody Bilney</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113,228</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David Hodgson</w:t>
            </w:r>
            <w:r>
              <w:rPr>
                <w:rFonts w:ascii="Arial" w:cs="Arial" w:eastAsia="Arial" w:hAnsi="Arial"/>
                <w:sz w:val="23"/>
                <w:szCs w:val="23"/>
                <w:color w:val="auto"/>
                <w:vertAlign w:val="superscript"/>
              </w:rPr>
              <w:t>(10)</w:t>
            </w:r>
          </w:p>
        </w:tc>
        <w:tc>
          <w:tcPr>
            <w:tcW w:w="3320" w:type="dxa"/>
            <w:vAlign w:val="bottom"/>
            <w:tcBorders>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154,426</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Yon Jorden</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92,734</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70"/>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Joseph Konowiecki</w:t>
            </w:r>
            <w:r>
              <w:rPr>
                <w:rFonts w:ascii="Arial" w:cs="Arial" w:eastAsia="Arial" w:hAnsi="Arial"/>
                <w:sz w:val="23"/>
                <w:szCs w:val="23"/>
                <w:color w:val="auto"/>
                <w:vertAlign w:val="superscript"/>
              </w:rPr>
              <w:t>(11)</w:t>
            </w:r>
          </w:p>
        </w:tc>
        <w:tc>
          <w:tcPr>
            <w:tcW w:w="3320" w:type="dxa"/>
            <w:vAlign w:val="bottom"/>
            <w:tcBorders>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982,420</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47"/>
        </w:trPr>
        <w:tc>
          <w:tcPr>
            <w:tcW w:w="4840" w:type="dxa"/>
            <w:vAlign w:val="bottom"/>
            <w:tcBorders>
              <w:right w:val="single" w:sz="8" w:color="95B3D7"/>
            </w:tcBorders>
          </w:tcPr>
          <w:p>
            <w:pPr>
              <w:ind w:left="80"/>
              <w:spacing w:after="0"/>
              <w:rPr>
                <w:sz w:val="20"/>
                <w:szCs w:val="20"/>
                <w:color w:val="auto"/>
              </w:rPr>
            </w:pPr>
            <w:r>
              <w:rPr>
                <w:rFonts w:ascii="Arial" w:cs="Arial" w:eastAsia="Arial" w:hAnsi="Arial"/>
                <w:sz w:val="18"/>
                <w:szCs w:val="18"/>
                <w:color w:val="auto"/>
              </w:rPr>
              <w:t>Jacqueline Kosecoff</w:t>
            </w:r>
          </w:p>
        </w:tc>
        <w:tc>
          <w:tcPr>
            <w:tcW w:w="3320" w:type="dxa"/>
            <w:vAlign w:val="bottom"/>
            <w:tcBorders>
              <w:right w:val="single" w:sz="8" w:color="95B3D7"/>
            </w:tcBorders>
          </w:tcPr>
          <w:p>
            <w:pPr>
              <w:jc w:val="right"/>
              <w:ind w:right="650"/>
              <w:spacing w:after="0"/>
              <w:rPr>
                <w:sz w:val="20"/>
                <w:szCs w:val="20"/>
                <w:color w:val="auto"/>
              </w:rPr>
            </w:pPr>
            <w:r>
              <w:rPr>
                <w:rFonts w:ascii="Arial" w:cs="Arial" w:eastAsia="Arial" w:hAnsi="Arial"/>
                <w:sz w:val="18"/>
                <w:szCs w:val="18"/>
                <w:color w:val="auto"/>
              </w:rPr>
              <w:t>290,867</w:t>
            </w:r>
          </w:p>
        </w:tc>
        <w:tc>
          <w:tcPr>
            <w:tcW w:w="3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tcPr>
          <w:p>
            <w:pPr>
              <w:spacing w:after="0"/>
              <w:rPr>
                <w:sz w:val="2"/>
                <w:szCs w:val="2"/>
                <w:color w:val="auto"/>
              </w:rPr>
            </w:pPr>
          </w:p>
        </w:tc>
        <w:tc>
          <w:tcPr>
            <w:tcW w:w="3320" w:type="dxa"/>
            <w:vAlign w:val="bottom"/>
            <w:tcBorders>
              <w:right w:val="single" w:sz="8" w:color="95B3D7"/>
            </w:tcBorders>
          </w:tcPr>
          <w:p>
            <w:pPr>
              <w:spacing w:after="0"/>
              <w:rPr>
                <w:sz w:val="2"/>
                <w:szCs w:val="2"/>
                <w:color w:val="auto"/>
              </w:rPr>
            </w:pPr>
          </w:p>
        </w:tc>
        <w:tc>
          <w:tcPr>
            <w:tcW w:w="3080" w:type="dxa"/>
            <w:vAlign w:val="bottom"/>
          </w:tcPr>
          <w:p>
            <w:pPr>
              <w:spacing w:after="0"/>
              <w:rPr>
                <w:sz w:val="2"/>
                <w:szCs w:val="2"/>
                <w:color w:val="auto"/>
              </w:rPr>
            </w:pPr>
          </w:p>
        </w:tc>
      </w:tr>
      <w:tr>
        <w:trPr>
          <w:trHeight w:val="247"/>
        </w:trPr>
        <w:tc>
          <w:tcPr>
            <w:tcW w:w="484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8"/>
                <w:szCs w:val="18"/>
                <w:color w:val="auto"/>
              </w:rPr>
              <w:t>Margaret McCarthy</w:t>
            </w:r>
          </w:p>
        </w:tc>
        <w:tc>
          <w:tcPr>
            <w:tcW w:w="3320" w:type="dxa"/>
            <w:vAlign w:val="bottom"/>
            <w:tcBorders>
              <w:right w:val="single" w:sz="8" w:color="95B3D7"/>
            </w:tcBorders>
            <w:shd w:val="clear" w:color="auto" w:fill="DBE5F1"/>
          </w:tcPr>
          <w:p>
            <w:pPr>
              <w:jc w:val="right"/>
              <w:ind w:right="650"/>
              <w:spacing w:after="0"/>
              <w:rPr>
                <w:sz w:val="20"/>
                <w:szCs w:val="20"/>
                <w:color w:val="auto"/>
              </w:rPr>
            </w:pPr>
            <w:r>
              <w:rPr>
                <w:rFonts w:ascii="Arial" w:cs="Arial" w:eastAsia="Arial" w:hAnsi="Arial"/>
                <w:sz w:val="18"/>
                <w:szCs w:val="18"/>
                <w:color w:val="auto"/>
              </w:rPr>
              <w:t>130,168</w:t>
            </w:r>
          </w:p>
        </w:tc>
        <w:tc>
          <w:tcPr>
            <w:tcW w:w="3080" w:type="dxa"/>
            <w:vAlign w:val="bottom"/>
            <w:shd w:val="clear" w:color="auto" w:fill="DBE5F1"/>
          </w:tcPr>
          <w:p>
            <w:pPr>
              <w:jc w:val="center"/>
              <w:spacing w:after="0"/>
              <w:rPr>
                <w:sz w:val="20"/>
                <w:szCs w:val="20"/>
                <w:color w:val="auto"/>
              </w:rPr>
            </w:pPr>
            <w:r>
              <w:rPr>
                <w:rFonts w:ascii="Arial" w:cs="Arial" w:eastAsia="Arial" w:hAnsi="Arial"/>
                <w:sz w:val="18"/>
                <w:szCs w:val="18"/>
                <w:color w:val="auto"/>
              </w:rPr>
              <w:t>*</w:t>
            </w:r>
          </w:p>
        </w:tc>
      </w:tr>
      <w:tr>
        <w:trPr>
          <w:trHeight w:val="23"/>
        </w:trPr>
        <w:tc>
          <w:tcPr>
            <w:tcW w:w="4840" w:type="dxa"/>
            <w:vAlign w:val="bottom"/>
            <w:tcBorders>
              <w:right w:val="single" w:sz="8" w:color="95B3D7"/>
            </w:tcBorders>
            <w:shd w:val="clear" w:color="auto" w:fill="DBE5F1"/>
          </w:tcPr>
          <w:p>
            <w:pPr>
              <w:spacing w:after="0"/>
              <w:rPr>
                <w:sz w:val="2"/>
                <w:szCs w:val="2"/>
                <w:color w:val="auto"/>
              </w:rPr>
            </w:pPr>
          </w:p>
        </w:tc>
        <w:tc>
          <w:tcPr>
            <w:tcW w:w="3320" w:type="dxa"/>
            <w:vAlign w:val="bottom"/>
            <w:tcBorders>
              <w:right w:val="single" w:sz="8" w:color="95B3D7"/>
            </w:tcBorders>
            <w:shd w:val="clear" w:color="auto" w:fill="DBE5F1"/>
          </w:tcPr>
          <w:p>
            <w:pPr>
              <w:spacing w:after="0"/>
              <w:rPr>
                <w:sz w:val="2"/>
                <w:szCs w:val="2"/>
                <w:color w:val="auto"/>
              </w:rPr>
            </w:pPr>
          </w:p>
        </w:tc>
        <w:tc>
          <w:tcPr>
            <w:tcW w:w="3080" w:type="dxa"/>
            <w:vAlign w:val="bottom"/>
            <w:shd w:val="clear" w:color="auto" w:fill="DBE5F1"/>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9" w:name="page80"/>
    <w:bookmarkEnd w:id="79"/>
    <w:p>
      <w:pPr>
        <w:spacing w:after="0" w:line="31" w:lineRule="exact"/>
        <w:rPr>
          <w:sz w:val="20"/>
          <w:szCs w:val="20"/>
          <w:color w:val="auto"/>
        </w:rPr>
      </w:pPr>
    </w:p>
    <w:p>
      <w:pPr>
        <w:ind w:left="80"/>
        <w:spacing w:after="0"/>
        <w:rPr>
          <w:sz w:val="20"/>
          <w:szCs w:val="20"/>
          <w:color w:val="auto"/>
        </w:rPr>
      </w:pPr>
      <w:r>
        <w:rPr>
          <w:rFonts w:ascii="Arial" w:cs="Arial" w:eastAsia="Arial" w:hAnsi="Arial"/>
          <w:sz w:val="18"/>
          <w:szCs w:val="18"/>
          <w:color w:val="auto"/>
        </w:rPr>
        <w:t>Mark McClellan</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Robbert Vorhoff</w:t>
      </w:r>
      <w:r>
        <w:rPr>
          <w:rFonts w:ascii="Arial" w:cs="Arial" w:eastAsia="Arial" w:hAnsi="Arial"/>
          <w:sz w:val="23"/>
          <w:szCs w:val="23"/>
          <w:color w:val="auto"/>
          <w:vertAlign w:val="superscript"/>
        </w:rPr>
        <w:t>(12)</w:t>
      </w:r>
    </w:p>
    <w:p>
      <w:pPr>
        <w:spacing w:after="0" w:line="12" w:lineRule="exact"/>
        <w:rPr>
          <w:sz w:val="20"/>
          <w:szCs w:val="20"/>
          <w:color w:val="auto"/>
        </w:rPr>
      </w:pPr>
    </w:p>
    <w:p>
      <w:pPr>
        <w:ind w:left="80" w:right="1660"/>
        <w:spacing w:after="0" w:line="252" w:lineRule="auto"/>
        <w:rPr>
          <w:sz w:val="20"/>
          <w:szCs w:val="20"/>
          <w:color w:val="auto"/>
        </w:rPr>
      </w:pPr>
      <w:r>
        <w:rPr>
          <w:rFonts w:ascii="Arial" w:cs="Arial" w:eastAsia="Arial" w:hAnsi="Arial"/>
          <w:sz w:val="18"/>
          <w:szCs w:val="18"/>
          <w:b w:val="1"/>
          <w:bCs w:val="1"/>
          <w:color w:val="auto"/>
        </w:rPr>
        <w:t xml:space="preserve">Executive Officers and Directors as a Group </w:t>
      </w:r>
      <w:r>
        <w:rPr>
          <w:rFonts w:ascii="Arial" w:cs="Arial" w:eastAsia="Arial" w:hAnsi="Arial"/>
          <w:sz w:val="18"/>
          <w:szCs w:val="18"/>
          <w:b w:val="1"/>
          <w:bCs w:val="1"/>
          <w:color w:val="auto"/>
          <w:shd w:val="clear" w:color="auto" w:fill="DBE5F1"/>
        </w:rPr>
        <w:t>(17</w:t>
      </w:r>
      <w:r>
        <w:rPr>
          <w:rFonts w:ascii="Arial" w:cs="Arial" w:eastAsia="Arial" w:hAnsi="Arial"/>
          <w:sz w:val="18"/>
          <w:szCs w:val="18"/>
          <w:b w:val="1"/>
          <w:bCs w:val="1"/>
          <w:color w:val="auto"/>
        </w:rPr>
        <w:t xml:space="preserve"> individuals)</w:t>
      </w:r>
      <w:r>
        <w:rPr>
          <w:rFonts w:ascii="Arial" w:cs="Arial" w:eastAsia="Arial" w:hAnsi="Arial"/>
          <w:sz w:val="23"/>
          <w:szCs w:val="23"/>
          <w:b w:val="1"/>
          <w:bCs w:val="1"/>
          <w:color w:val="auto"/>
          <w:vertAlign w:val="superscript"/>
        </w:rPr>
        <w:t>(13)</w:t>
      </w:r>
    </w:p>
    <w:p>
      <w:pPr>
        <w:spacing w:after="0" w:line="20" w:lineRule="exact"/>
        <w:rPr>
          <w:sz w:val="20"/>
          <w:szCs w:val="20"/>
          <w:color w:val="auto"/>
        </w:rPr>
      </w:pPr>
      <w:r>
        <w:rPr>
          <w:sz w:val="20"/>
          <w:szCs w:val="20"/>
          <w:color w:val="auto"/>
        </w:rPr>
        <w:br w:type="column"/>
      </w:r>
    </w:p>
    <w:p>
      <w:pPr>
        <w:ind w:left="220"/>
        <w:spacing w:after="0"/>
        <w:tabs>
          <w:tab w:leader="none" w:pos="3100" w:val="left"/>
        </w:tabs>
        <w:rPr>
          <w:sz w:val="20"/>
          <w:szCs w:val="20"/>
          <w:color w:val="auto"/>
        </w:rPr>
      </w:pPr>
      <w:r>
        <w:rPr>
          <w:rFonts w:ascii="Arial" w:cs="Arial" w:eastAsia="Arial" w:hAnsi="Arial"/>
          <w:sz w:val="18"/>
          <w:szCs w:val="18"/>
          <w:color w:val="auto"/>
        </w:rPr>
        <w:t>357,435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-127635</wp:posOffset>
            </wp:positionV>
            <wp:extent cx="7132320" cy="6172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pacing w:after="0" w:line="43" w:lineRule="exact"/>
        <w:rPr>
          <w:sz w:val="20"/>
          <w:szCs w:val="20"/>
          <w:color w:val="auto"/>
        </w:rPr>
      </w:pPr>
    </w:p>
    <w:p>
      <w:pPr>
        <w:ind w:left="220"/>
        <w:spacing w:after="0"/>
        <w:tabs>
          <w:tab w:leader="none" w:pos="3100" w:val="left"/>
        </w:tabs>
        <w:rPr>
          <w:sz w:val="20"/>
          <w:szCs w:val="20"/>
          <w:color w:val="auto"/>
        </w:rPr>
      </w:pPr>
      <w:r>
        <w:rPr>
          <w:rFonts w:ascii="Arial" w:cs="Arial" w:eastAsia="Arial" w:hAnsi="Arial"/>
          <w:sz w:val="18"/>
          <w:szCs w:val="18"/>
          <w:color w:val="auto"/>
        </w:rPr>
        <w:t>154,426</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spacing w:after="0"/>
        <w:tabs>
          <w:tab w:leader="none" w:pos="2940" w:val="left"/>
        </w:tabs>
        <w:rPr>
          <w:sz w:val="20"/>
          <w:szCs w:val="20"/>
          <w:color w:val="auto"/>
        </w:rPr>
      </w:pPr>
      <w:r>
        <w:rPr>
          <w:rFonts w:ascii="Arial" w:cs="Arial" w:eastAsia="Arial" w:hAnsi="Arial"/>
          <w:sz w:val="17"/>
          <w:szCs w:val="17"/>
          <w:color w:val="auto"/>
        </w:rPr>
        <w:t>11,085,557</w:t>
      </w:r>
      <w:r>
        <w:rPr>
          <w:sz w:val="20"/>
          <w:szCs w:val="20"/>
          <w:color w:val="auto"/>
        </w:rPr>
        <w:tab/>
      </w:r>
      <w:r>
        <w:rPr>
          <w:rFonts w:ascii="Arial" w:cs="Arial" w:eastAsia="Arial" w:hAnsi="Arial"/>
          <w:sz w:val="17"/>
          <w:szCs w:val="17"/>
          <w:color w:val="auto"/>
        </w:rPr>
        <w:t>5.2%</w:t>
      </w:r>
    </w:p>
    <w:p>
      <w:pPr>
        <w:spacing w:after="0" w:line="395" w:lineRule="exact"/>
        <w:rPr>
          <w:sz w:val="20"/>
          <w:szCs w:val="20"/>
          <w:color w:val="auto"/>
        </w:rPr>
      </w:pPr>
    </w:p>
    <w:p>
      <w:pPr>
        <w:sectPr>
          <w:pgSz w:w="11900" w:h="16838" w:orient="portrait"/>
          <w:cols w:equalWidth="0" w:num="2">
            <w:col w:w="5820" w:space="720"/>
            <w:col w:w="4700"/>
          </w:cols>
          <w:pgMar w:left="320" w:top="1440" w:right="339" w:bottom="1440" w:gutter="0" w:footer="0" w:header="0"/>
        </w:sect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information reported on Schedule 13G/A on January 30, 2026. The address of The Vanguard Group is listed as 100 Vanguard Blvd., Malvern, PA 19355.</w:t>
      </w:r>
    </w:p>
    <w:p>
      <w:pPr>
        <w:spacing w:after="0" w:line="163" w:lineRule="exact"/>
        <w:rPr>
          <w:rFonts w:ascii="Arial" w:cs="Arial" w:eastAsia="Arial" w:hAnsi="Arial"/>
          <w:sz w:val="14"/>
          <w:szCs w:val="14"/>
          <w:color w:val="auto"/>
        </w:rPr>
      </w:pPr>
    </w:p>
    <w:p>
      <w:pPr>
        <w:ind w:left="660" w:right="20" w:hanging="328"/>
        <w:spacing w:after="0" w:line="305"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information reported by FMR LLC on a Form 13G filed with the SEC on February 5, 2026. The address of FMR LLC is listed as 245 Summer Street, Boston, MA 02210.</w:t>
      </w:r>
    </w:p>
    <w:p>
      <w:pPr>
        <w:spacing w:after="0" w:line="90" w:lineRule="exact"/>
        <w:rPr>
          <w:rFonts w:ascii="Arial" w:cs="Arial" w:eastAsia="Arial" w:hAnsi="Arial"/>
          <w:sz w:val="14"/>
          <w:szCs w:val="14"/>
          <w:color w:val="auto"/>
        </w:rPr>
      </w:pPr>
    </w:p>
    <w:p>
      <w:pPr>
        <w:ind w:left="660" w:right="260" w:hanging="328"/>
        <w:spacing w:after="0" w:line="305"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information reported on Schedule 13G/A on February 10, 2026. The address of Wellington Management Company LLP is listed as 280 Congress Street, Boston MA 02210.</w:t>
      </w:r>
    </w:p>
    <w:p>
      <w:pPr>
        <w:spacing w:after="0" w:line="36" w:lineRule="exact"/>
        <w:rPr>
          <w:rFonts w:ascii="Arial" w:cs="Arial" w:eastAsia="Arial" w:hAnsi="Arial"/>
          <w:sz w:val="14"/>
          <w:szCs w:val="14"/>
          <w:color w:val="auto"/>
        </w:rPr>
      </w:pPr>
    </w:p>
    <w:p>
      <w:pPr>
        <w:ind w:left="660" w:right="380" w:hanging="328"/>
        <w:spacing w:after="0" w:line="305"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information reported on Schedule 13G on September 24, 2025. The address of Qatar Investment Authority is listed as Ooredoo Tower (Building 14), Al Dafna Street (Street 801), Al Dafna (Zone 61), Doha, State of Qatar.</w:t>
      </w:r>
    </w:p>
    <w:p>
      <w:pPr>
        <w:spacing w:after="0" w:line="49" w:lineRule="exact"/>
        <w:rPr>
          <w:rFonts w:ascii="Arial" w:cs="Arial" w:eastAsia="Arial" w:hAnsi="Arial"/>
          <w:sz w:val="14"/>
          <w:szCs w:val="14"/>
          <w:color w:val="auto"/>
        </w:rPr>
      </w:pPr>
    </w:p>
    <w:p>
      <w:pPr>
        <w:ind w:left="660" w:right="520" w:hanging="328"/>
        <w:spacing w:after="0" w:line="305"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information reported on Schedule 13F on December 31, 2025. The address of T. Rowe Price Investment Management is listed as 1307 Point Street, Baltimore, MD 21231.</w:t>
      </w:r>
    </w:p>
    <w:p>
      <w:pPr>
        <w:spacing w:after="0" w:line="36" w:lineRule="exact"/>
        <w:rPr>
          <w:rFonts w:ascii="Arial" w:cs="Arial" w:eastAsia="Arial" w:hAnsi="Arial"/>
          <w:sz w:val="14"/>
          <w:szCs w:val="14"/>
          <w:color w:val="auto"/>
        </w:r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Based on information reported on Schedule 13F on December 31, 2025. The address of BlackRock Fund Advisors is listed as 50 Hudson Yards New York, NY 10001.</w:t>
      </w:r>
    </w:p>
    <w:p>
      <w:pPr>
        <w:spacing w:after="0" w:line="122" w:lineRule="exact"/>
        <w:rPr>
          <w:rFonts w:ascii="Arial" w:cs="Arial" w:eastAsia="Arial" w:hAnsi="Arial"/>
          <w:sz w:val="14"/>
          <w:szCs w:val="14"/>
          <w:color w:val="auto"/>
        </w:rPr>
      </w:pPr>
    </w:p>
    <w:p>
      <w:pPr>
        <w:ind w:left="660" w:right="320" w:hanging="328"/>
        <w:spacing w:after="0" w:line="305" w:lineRule="auto"/>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(i) 279,125 shares held by Mr. Kao and 2,354,641 shares held by JEK Trust, dated February 8, 2021, of which John Kao is the trustee; and (ii) 4,281,632 shares underlying outstanding stock options held by Mr. Kao that are currently exercisable.</w:t>
      </w:r>
    </w:p>
    <w:p>
      <w:pPr>
        <w:spacing w:after="0" w:line="49" w:lineRule="exact"/>
        <w:rPr>
          <w:rFonts w:ascii="Arial" w:cs="Arial" w:eastAsia="Arial" w:hAnsi="Arial"/>
          <w:sz w:val="14"/>
          <w:szCs w:val="14"/>
          <w:color w:val="auto"/>
        </w:r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1,182,770 shares underlying outstanding stock options that are currently exercisable..</w:t>
      </w:r>
    </w:p>
    <w:p>
      <w:pPr>
        <w:spacing w:after="0" w:line="122" w:lineRule="exact"/>
        <w:rPr>
          <w:rFonts w:ascii="Arial" w:cs="Arial" w:eastAsia="Arial" w:hAnsi="Arial"/>
          <w:sz w:val="14"/>
          <w:szCs w:val="14"/>
          <w:color w:val="auto"/>
        </w:r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Freeman resigned as Chief Financial Officer effective May 2, 2025.</w:t>
      </w:r>
    </w:p>
    <w:p>
      <w:pPr>
        <w:spacing w:after="0" w:line="149" w:lineRule="exact"/>
        <w:rPr>
          <w:rFonts w:ascii="Arial" w:cs="Arial" w:eastAsia="Arial" w:hAnsi="Arial"/>
          <w:sz w:val="14"/>
          <w:szCs w:val="14"/>
          <w:color w:val="auto"/>
        </w:r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are held by Mr. Hodgson solely for the benefit of General Atlantic Service Company, L.P and he disclaims beneficial ownership of the shares.</w:t>
      </w:r>
    </w:p>
    <w:p>
      <w:pPr>
        <w:spacing w:after="0" w:line="122" w:lineRule="exact"/>
        <w:rPr>
          <w:rFonts w:ascii="Arial" w:cs="Arial" w:eastAsia="Arial" w:hAnsi="Arial"/>
          <w:sz w:val="14"/>
          <w:szCs w:val="14"/>
          <w:color w:val="auto"/>
        </w:rPr>
      </w:pPr>
    </w:p>
    <w:p>
      <w:pPr>
        <w:ind w:left="680" w:hanging="348"/>
        <w:spacing w:after="0"/>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26,863 shares underlying outstanding stock options that are currently exercisable.</w:t>
      </w:r>
    </w:p>
    <w:p>
      <w:pPr>
        <w:spacing w:after="0" w:line="122" w:lineRule="exact"/>
        <w:rPr>
          <w:rFonts w:ascii="Arial" w:cs="Arial" w:eastAsia="Arial" w:hAnsi="Arial"/>
          <w:sz w:val="14"/>
          <w:szCs w:val="14"/>
          <w:color w:val="auto"/>
        </w:rPr>
      </w:pPr>
    </w:p>
    <w:p>
      <w:pPr>
        <w:ind w:left="680" w:hanging="348"/>
        <w:spacing w:after="0"/>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Shares are held by Mr. Vorhoff solely for the benefit of General Atlantic Service Company, L.P and he disclaims beneficial ownership of the shares.</w:t>
      </w:r>
    </w:p>
    <w:p>
      <w:pPr>
        <w:spacing w:after="0" w:line="122" w:lineRule="exact"/>
        <w:rPr>
          <w:rFonts w:ascii="Arial" w:cs="Arial" w:eastAsia="Arial" w:hAnsi="Arial"/>
          <w:sz w:val="14"/>
          <w:szCs w:val="14"/>
          <w:color w:val="auto"/>
        </w:rPr>
      </w:pPr>
    </w:p>
    <w:p>
      <w:pPr>
        <w:ind w:left="680" w:hanging="348"/>
        <w:spacing w:after="0"/>
        <w:tabs>
          <w:tab w:leader="none" w:pos="6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directors, nominees and current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Securities Authorized for Issuance under Equity Incentive Compensation Plans</w:t>
      </w:r>
    </w:p>
    <w:p>
      <w:pPr>
        <w:spacing w:after="0" w:line="225" w:lineRule="exact"/>
        <w:rPr>
          <w:sz w:val="20"/>
          <w:szCs w:val="20"/>
          <w:color w:val="auto"/>
        </w:rPr>
      </w:pPr>
    </w:p>
    <w:p>
      <w:pPr>
        <w:ind w:right="40" w:firstLine="401"/>
        <w:spacing w:after="0" w:line="287" w:lineRule="auto"/>
        <w:rPr>
          <w:sz w:val="20"/>
          <w:szCs w:val="20"/>
          <w:color w:val="auto"/>
        </w:rPr>
      </w:pPr>
      <w:r>
        <w:rPr>
          <w:rFonts w:ascii="Arial" w:cs="Arial" w:eastAsia="Arial" w:hAnsi="Arial"/>
          <w:sz w:val="18"/>
          <w:szCs w:val="18"/>
          <w:color w:val="auto"/>
        </w:rPr>
        <w:t>The following table provides information as of December 31, 2025, regarding shares of our common stock that may be issued under our equity compensation plans.</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Plan Category</w:t>
      </w:r>
    </w:p>
    <w:p>
      <w:pPr>
        <w:spacing w:after="0" w:line="45" w:lineRule="exact"/>
        <w:rPr>
          <w:sz w:val="20"/>
          <w:szCs w:val="20"/>
          <w:color w:val="auto"/>
        </w:rPr>
      </w:pPr>
    </w:p>
    <w:p>
      <w:pPr>
        <w:ind w:left="200" w:right="300" w:hanging="179"/>
        <w:spacing w:after="0" w:line="256" w:lineRule="auto"/>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23"/>
          <w:szCs w:val="23"/>
          <w:color w:val="auto"/>
          <w:vertAlign w:val="superscript"/>
        </w:rPr>
        <w:t>(1)</w:t>
      </w:r>
    </w:p>
    <w:p>
      <w:pPr>
        <w:spacing w:after="0" w:line="1" w:lineRule="exact"/>
        <w:rPr>
          <w:sz w:val="20"/>
          <w:szCs w:val="20"/>
          <w:color w:val="auto"/>
        </w:rPr>
      </w:pPr>
    </w:p>
    <w:p>
      <w:pPr>
        <w:ind w:left="200" w:hanging="179"/>
        <w:spacing w:after="0" w:line="266" w:lineRule="auto"/>
        <w:rPr>
          <w:sz w:val="20"/>
          <w:szCs w:val="20"/>
          <w:color w:val="auto"/>
        </w:rPr>
      </w:pPr>
      <w:r>
        <w:rPr>
          <w:rFonts w:ascii="Arial" w:cs="Arial" w:eastAsia="Arial" w:hAnsi="Arial"/>
          <w:sz w:val="18"/>
          <w:szCs w:val="18"/>
          <w:color w:val="auto"/>
        </w:rPr>
        <w:t>Equity compensation plans not approved by stockholders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Number of securities to be</w:t>
            </w:r>
          </w:p>
        </w:tc>
        <w:tc>
          <w:tcPr>
            <w:tcW w:w="2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 exercise</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Number of remaining</w:t>
            </w:r>
          </w:p>
        </w:tc>
        <w:tc>
          <w:tcPr>
            <w:tcW w:w="0" w:type="dxa"/>
            <w:vAlign w:val="bottom"/>
          </w:tcPr>
          <w:p>
            <w:pPr>
              <w:spacing w:after="0"/>
              <w:rPr>
                <w:sz w:val="1"/>
                <w:szCs w:val="1"/>
                <w:color w:val="auto"/>
              </w:rPr>
            </w:pPr>
          </w:p>
        </w:tc>
      </w:tr>
      <w:tr>
        <w:trPr>
          <w:trHeight w:val="149"/>
        </w:trPr>
        <w:tc>
          <w:tcPr>
            <w:tcW w:w="2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issued upon exercise of</w:t>
            </w:r>
          </w:p>
        </w:tc>
        <w:tc>
          <w:tcPr>
            <w:tcW w:w="2280" w:type="dxa"/>
            <w:vAlign w:val="bottom"/>
            <w:gridSpan w:val="2"/>
            <w:vMerge w:val="continue"/>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available securities for future</w:t>
            </w:r>
          </w:p>
        </w:tc>
        <w:tc>
          <w:tcPr>
            <w:tcW w:w="0" w:type="dxa"/>
            <w:vAlign w:val="bottom"/>
          </w:tcPr>
          <w:p>
            <w:pPr>
              <w:spacing w:after="0"/>
              <w:rPr>
                <w:sz w:val="1"/>
                <w:szCs w:val="1"/>
                <w:color w:val="auto"/>
              </w:rPr>
            </w:pPr>
          </w:p>
        </w:tc>
      </w:tr>
      <w:tr>
        <w:trPr>
          <w:trHeight w:val="144"/>
        </w:trPr>
        <w:tc>
          <w:tcPr>
            <w:tcW w:w="250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outstanding options,</w:t>
            </w:r>
          </w:p>
        </w:tc>
        <w:tc>
          <w:tcPr>
            <w:tcW w:w="2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price of outstanding options,</w:t>
            </w:r>
          </w:p>
        </w:tc>
        <w:tc>
          <w:tcPr>
            <w:tcW w:w="22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issuance under equity</w:t>
            </w:r>
          </w:p>
        </w:tc>
        <w:tc>
          <w:tcPr>
            <w:tcW w:w="0" w:type="dxa"/>
            <w:vAlign w:val="bottom"/>
          </w:tcPr>
          <w:p>
            <w:pPr>
              <w:spacing w:after="0"/>
              <w:rPr>
                <w:sz w:val="1"/>
                <w:szCs w:val="1"/>
                <w:color w:val="auto"/>
              </w:rPr>
            </w:pPr>
          </w:p>
        </w:tc>
      </w:tr>
      <w:tr>
        <w:trPr>
          <w:trHeight w:val="189"/>
        </w:trPr>
        <w:tc>
          <w:tcPr>
            <w:tcW w:w="2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warrants and rights</w:t>
            </w:r>
          </w:p>
        </w:tc>
        <w:tc>
          <w:tcPr>
            <w:tcW w:w="2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warrants and rights</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418"/>
        </w:trPr>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7"/>
              </w:rPr>
              <w:t>18,789,564</w:t>
            </w:r>
            <w:r>
              <w:rPr>
                <w:rFonts w:ascii="Arial" w:cs="Arial" w:eastAsia="Arial" w:hAnsi="Arial"/>
                <w:sz w:val="23"/>
                <w:szCs w:val="23"/>
                <w:color w:val="auto"/>
                <w:w w:val="97"/>
                <w:vertAlign w:val="superscript"/>
              </w:rPr>
              <w:t>(2)</w:t>
            </w:r>
          </w:p>
        </w:tc>
        <w:tc>
          <w:tcPr>
            <w:tcW w:w="340" w:type="dxa"/>
            <w:vAlign w:val="bottom"/>
          </w:tcPr>
          <w:p>
            <w:pPr>
              <w:spacing w:after="0"/>
              <w:rPr>
                <w:sz w:val="24"/>
                <w:szCs w:val="24"/>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$17.05</w:t>
            </w:r>
            <w:r>
              <w:rPr>
                <w:rFonts w:ascii="Arial" w:cs="Arial" w:eastAsia="Arial" w:hAnsi="Arial"/>
                <w:sz w:val="21"/>
                <w:szCs w:val="21"/>
                <w:color w:val="auto"/>
                <w:w w:val="93"/>
                <w:vertAlign w:val="superscript"/>
              </w:rPr>
              <w:t>(3)</w:t>
            </w:r>
          </w:p>
        </w:tc>
        <w:tc>
          <w:tcPr>
            <w:tcW w:w="260" w:type="dxa"/>
            <w:vAlign w:val="bottom"/>
          </w:tcPr>
          <w:p>
            <w:pPr>
              <w:spacing w:after="0"/>
              <w:rPr>
                <w:sz w:val="24"/>
                <w:szCs w:val="24"/>
                <w:color w:val="auto"/>
              </w:rPr>
            </w:pPr>
          </w:p>
        </w:tc>
        <w:tc>
          <w:tcPr>
            <w:tcW w:w="2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10,965,286</w:t>
            </w:r>
          </w:p>
        </w:tc>
        <w:tc>
          <w:tcPr>
            <w:tcW w:w="0" w:type="dxa"/>
            <w:vAlign w:val="bottom"/>
          </w:tcPr>
          <w:p>
            <w:pPr>
              <w:spacing w:after="0"/>
              <w:rPr>
                <w:sz w:val="1"/>
                <w:szCs w:val="1"/>
                <w:color w:val="auto"/>
              </w:rPr>
            </w:pPr>
          </w:p>
        </w:tc>
      </w:tr>
      <w:tr>
        <w:trPr>
          <w:trHeight w:val="538"/>
        </w:trPr>
        <w:tc>
          <w:tcPr>
            <w:tcW w:w="25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N/A</w:t>
            </w:r>
          </w:p>
        </w:tc>
        <w:tc>
          <w:tcPr>
            <w:tcW w:w="228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N/A</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-619125</wp:posOffset>
            </wp:positionV>
            <wp:extent cx="7132320" cy="3086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720"/>
            <w:col w:w="7000"/>
          </w:cols>
          <w:pgMar w:left="320" w:top="1440" w:right="339" w:bottom="1440" w:gutter="0" w:footer="0" w:header="0"/>
          <w:type w:val="continuous"/>
        </w:sectPr>
      </w:pPr>
    </w:p>
    <w:p>
      <w:pPr>
        <w:spacing w:after="0" w:line="97" w:lineRule="exact"/>
        <w:rPr>
          <w:sz w:val="20"/>
          <w:szCs w:val="20"/>
          <w:color w:val="auto"/>
        </w:rPr>
      </w:pPr>
    </w:p>
    <w:p>
      <w:pPr>
        <w:ind w:left="660" w:right="60" w:hanging="328"/>
        <w:spacing w:after="0" w:line="272" w:lineRule="auto"/>
        <w:tabs>
          <w:tab w:leader="none" w:pos="674" w:val="left"/>
        </w:tabs>
        <w:numPr>
          <w:ilvl w:val="0"/>
          <w:numId w:val="78"/>
        </w:numPr>
        <w:rPr>
          <w:rFonts w:ascii="Arial" w:cs="Arial" w:eastAsia="Arial" w:hAnsi="Arial"/>
          <w:sz w:val="14"/>
          <w:szCs w:val="14"/>
          <w:color w:val="auto"/>
        </w:rPr>
      </w:pPr>
      <w:r>
        <w:rPr>
          <w:rFonts w:ascii="Arial" w:cs="Arial" w:eastAsia="Arial" w:hAnsi="Arial"/>
          <w:sz w:val="14"/>
          <w:szCs w:val="14"/>
          <w:color w:val="auto"/>
        </w:rPr>
        <w:t>As December 31, 2025, the maximum number of shares available for issuance under the 2021 Plan was not permitted to exceed 47,173,569 shares. The number of shares available for issuance under the 2021 Plan is increased on January 1 of each calendar year, ending in and including 2031, by an amount equal to the lesser of</w:t>
      </w:r>
    </w:p>
    <w:p>
      <w:pPr>
        <w:ind w:left="660" w:right="60"/>
        <w:spacing w:after="0" w:line="262" w:lineRule="auto"/>
        <w:rPr>
          <w:rFonts w:ascii="Arial" w:cs="Arial" w:eastAsia="Arial" w:hAnsi="Arial"/>
          <w:sz w:val="14"/>
          <w:szCs w:val="14"/>
          <w:color w:val="auto"/>
        </w:rPr>
      </w:pPr>
      <w:r>
        <w:rPr>
          <w:rFonts w:ascii="Arial" w:cs="Arial" w:eastAsia="Arial" w:hAnsi="Arial"/>
          <w:sz w:val="14"/>
          <w:szCs w:val="14"/>
          <w:color w:val="auto"/>
        </w:rPr>
        <w:t>(a) 4% of the shares of common stock outstanding on the final day of the immediately preceding calendar year and (b) such smaller number of shares determined by our Board.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will be added back to the shares of common stock available for issuance under such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ind w:left="328" w:hanging="328"/>
        <w:spacing w:after="0" w:line="305" w:lineRule="auto"/>
        <w:tabs>
          <w:tab w:leader="none" w:pos="328"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7,205,684 shares issuable upon the exercise of outstanding stock options, 9,757,771 shares issuable upon the vesting of outstanding RSUs and 1,826,109 shares issuable upon the vesting of outstanding PSUs.</w:t>
      </w:r>
    </w:p>
    <w:p>
      <w:pPr>
        <w:spacing w:after="0" w:line="117" w:lineRule="exact"/>
        <w:rPr>
          <w:rFonts w:ascii="Arial" w:cs="Arial" w:eastAsia="Arial" w:hAnsi="Arial"/>
          <w:sz w:val="14"/>
          <w:szCs w:val="14"/>
          <w:color w:val="auto"/>
        </w:rPr>
      </w:pPr>
    </w:p>
    <w:p>
      <w:pPr>
        <w:ind w:left="328" w:hanging="328"/>
        <w:spacing w:after="0"/>
        <w:tabs>
          <w:tab w:leader="none" w:pos="328" w:val="left"/>
        </w:tabs>
        <w:numPr>
          <w:ilvl w:val="0"/>
          <w:numId w:val="79"/>
        </w:numPr>
        <w:rPr>
          <w:rFonts w:ascii="Arial" w:cs="Arial" w:eastAsia="Arial" w:hAnsi="Arial"/>
          <w:sz w:val="14"/>
          <w:szCs w:val="14"/>
          <w:color w:val="auto"/>
        </w:rPr>
      </w:pPr>
      <w:r>
        <w:rPr>
          <w:rFonts w:ascii="Arial" w:cs="Arial" w:eastAsia="Arial" w:hAnsi="Arial"/>
          <w:sz w:val="14"/>
          <w:szCs w:val="14"/>
          <w:color w:val="auto"/>
        </w:rPr>
        <w:t>As RSUs and PSUs do not have any exercise price, such units are not included in the weighted average exercise price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8"/>
          </w:cols>
          <w:pgMar w:left="652" w:top="1426" w:right="49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PROPOSAL 2 – 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has appointed Deloitte &amp; Touche LLP as our independent registered public accounting firm for the year ending December 31, 2026. Services provided to the Company and its subsidiaries by Deloitte &amp; Touche LLP for the year ended December 31, 2025 are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Fees and Services</w:t>
      </w:r>
    </w:p>
    <w:p>
      <w:pPr>
        <w:spacing w:after="0" w:line="11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following table summarizes the aggregate fees for professional audit services and other services rendered by Deloitte &amp; Touche LLP for the years ended December 31, 2025 and 2024:</w:t>
      </w:r>
    </w:p>
    <w:p>
      <w:pPr>
        <w:spacing w:after="0" w:line="163" w:lineRule="exact"/>
        <w:rPr>
          <w:sz w:val="20"/>
          <w:szCs w:val="20"/>
          <w:color w:val="auto"/>
        </w:rPr>
      </w:pPr>
    </w:p>
    <w:tbl>
      <w:tblPr>
        <w:tblLayout w:type="fixed"/>
        <w:tblInd w:w="2240" w:type="dxa"/>
        <w:tblCellMar>
          <w:top w:w="0" w:type="dxa"/>
          <w:left w:w="0" w:type="dxa"/>
          <w:bottom w:w="0" w:type="dxa"/>
          <w:right w:w="0" w:type="dxa"/>
        </w:tblCellMar>
      </w:tblPr>
      <w:tr>
        <w:trPr>
          <w:trHeight w:val="197"/>
        </w:trPr>
        <w:tc>
          <w:tcPr>
            <w:tcW w:w="3560" w:type="dxa"/>
            <w:vAlign w:val="bottom"/>
            <w:tcBorders>
              <w:bottom w:val="single" w:sz="8" w:color="DBE5F1"/>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DBE5F1"/>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2024</w:t>
            </w:r>
          </w:p>
        </w:tc>
      </w:tr>
      <w:tr>
        <w:trPr>
          <w:trHeight w:val="224"/>
        </w:trPr>
        <w:tc>
          <w:tcPr>
            <w:tcW w:w="3560" w:type="dxa"/>
            <w:vAlign w:val="bottom"/>
            <w:shd w:val="clear" w:color="auto" w:fill="DBE5F1"/>
          </w:tcPr>
          <w:p>
            <w:pPr>
              <w:spacing w:after="0"/>
              <w:rPr>
                <w:sz w:val="20"/>
                <w:szCs w:val="20"/>
                <w:color w:val="auto"/>
              </w:rPr>
            </w:pPr>
            <w:r>
              <w:rPr>
                <w:rFonts w:ascii="Arial" w:cs="Arial" w:eastAsia="Arial" w:hAnsi="Arial"/>
                <w:sz w:val="16"/>
                <w:szCs w:val="16"/>
                <w:color w:val="auto"/>
              </w:rPr>
              <w:t>Audit Fees</w:t>
            </w:r>
          </w:p>
        </w:tc>
        <w:tc>
          <w:tcPr>
            <w:tcW w:w="320" w:type="dxa"/>
            <w:vAlign w:val="bottom"/>
            <w:shd w:val="clear" w:color="auto" w:fill="DBE5F1"/>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2,452,000</w:t>
            </w:r>
          </w:p>
        </w:tc>
        <w:tc>
          <w:tcPr>
            <w:tcW w:w="360" w:type="dxa"/>
            <w:vAlign w:val="bottom"/>
            <w:shd w:val="clear" w:color="auto" w:fill="DBE5F1"/>
          </w:tcPr>
          <w:p>
            <w:pPr>
              <w:spacing w:after="0"/>
              <w:rPr>
                <w:sz w:val="19"/>
                <w:szCs w:val="19"/>
                <w:color w:val="auto"/>
              </w:rPr>
            </w:pPr>
          </w:p>
        </w:tc>
        <w:tc>
          <w:tcPr>
            <w:tcW w:w="300" w:type="dxa"/>
            <w:vAlign w:val="bottom"/>
            <w:shd w:val="clear" w:color="auto" w:fill="DBE5F1"/>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2,203,750</w:t>
            </w:r>
          </w:p>
        </w:tc>
      </w:tr>
      <w:tr>
        <w:trPr>
          <w:trHeight w:val="235"/>
        </w:trPr>
        <w:tc>
          <w:tcPr>
            <w:tcW w:w="3560" w:type="dxa"/>
            <w:vAlign w:val="bottom"/>
          </w:tcPr>
          <w:p>
            <w:pPr>
              <w:spacing w:after="0"/>
              <w:rPr>
                <w:sz w:val="20"/>
                <w:szCs w:val="20"/>
                <w:color w:val="auto"/>
              </w:rPr>
            </w:pPr>
            <w:r>
              <w:rPr>
                <w:rFonts w:ascii="Arial" w:cs="Arial" w:eastAsia="Arial" w:hAnsi="Arial"/>
                <w:sz w:val="16"/>
                <w:szCs w:val="16"/>
                <w:color w:val="auto"/>
              </w:rPr>
              <w:t>Audit-Related Fees</w:t>
            </w:r>
          </w:p>
        </w:tc>
        <w:tc>
          <w:tcPr>
            <w:tcW w:w="320" w:type="dxa"/>
            <w:vAlign w:val="bottom"/>
          </w:tcPr>
          <w:p>
            <w:pPr>
              <w:spacing w:after="0"/>
              <w:rPr>
                <w:sz w:val="20"/>
                <w:szCs w:val="20"/>
                <w:color w:val="auto"/>
              </w:rPr>
            </w:pPr>
          </w:p>
        </w:tc>
        <w:tc>
          <w:tcPr>
            <w:tcW w:w="14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3560" w:type="dxa"/>
            <w:vAlign w:val="bottom"/>
            <w:shd w:val="clear" w:color="auto" w:fill="DBE5F1"/>
          </w:tcPr>
          <w:p>
            <w:pPr>
              <w:spacing w:after="0"/>
              <w:rPr>
                <w:sz w:val="20"/>
                <w:szCs w:val="20"/>
                <w:color w:val="auto"/>
              </w:rPr>
            </w:pPr>
            <w:r>
              <w:rPr>
                <w:rFonts w:ascii="Arial" w:cs="Arial" w:eastAsia="Arial" w:hAnsi="Arial"/>
                <w:sz w:val="16"/>
                <w:szCs w:val="16"/>
                <w:color w:val="auto"/>
              </w:rPr>
              <w:t>Tax Fees</w:t>
            </w:r>
          </w:p>
        </w:tc>
        <w:tc>
          <w:tcPr>
            <w:tcW w:w="320" w:type="dxa"/>
            <w:vAlign w:val="bottom"/>
            <w:shd w:val="clear" w:color="auto" w:fill="DBE5F1"/>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113,077</w:t>
            </w:r>
          </w:p>
        </w:tc>
        <w:tc>
          <w:tcPr>
            <w:tcW w:w="360" w:type="dxa"/>
            <w:vAlign w:val="bottom"/>
            <w:shd w:val="clear" w:color="auto" w:fill="DBE5F1"/>
          </w:tcPr>
          <w:p>
            <w:pPr>
              <w:spacing w:after="0"/>
              <w:rPr>
                <w:sz w:val="21"/>
                <w:szCs w:val="21"/>
                <w:color w:val="auto"/>
              </w:rPr>
            </w:pPr>
          </w:p>
        </w:tc>
        <w:tc>
          <w:tcPr>
            <w:tcW w:w="300" w:type="dxa"/>
            <w:vAlign w:val="bottom"/>
            <w:shd w:val="clear" w:color="auto" w:fill="DBE5F1"/>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DBE5F1"/>
          </w:tcPr>
          <w:p>
            <w:pPr>
              <w:jc w:val="right"/>
              <w:ind w:right="1"/>
              <w:spacing w:after="0"/>
              <w:rPr>
                <w:sz w:val="20"/>
                <w:szCs w:val="20"/>
                <w:color w:val="auto"/>
              </w:rPr>
            </w:pPr>
            <w:r>
              <w:rPr>
                <w:rFonts w:ascii="Arial" w:cs="Arial" w:eastAsia="Arial" w:hAnsi="Arial"/>
                <w:sz w:val="16"/>
                <w:szCs w:val="16"/>
                <w:color w:val="auto"/>
              </w:rPr>
              <w:t>126,237</w:t>
            </w:r>
          </w:p>
        </w:tc>
      </w:tr>
      <w:tr>
        <w:trPr>
          <w:trHeight w:val="227"/>
        </w:trPr>
        <w:tc>
          <w:tcPr>
            <w:tcW w:w="3560" w:type="dxa"/>
            <w:vAlign w:val="bottom"/>
          </w:tcPr>
          <w:p>
            <w:pPr>
              <w:spacing w:after="0"/>
              <w:rPr>
                <w:sz w:val="20"/>
                <w:szCs w:val="20"/>
                <w:color w:val="auto"/>
              </w:rPr>
            </w:pPr>
            <w:r>
              <w:rPr>
                <w:rFonts w:ascii="Arial" w:cs="Arial" w:eastAsia="Arial" w:hAnsi="Arial"/>
                <w:sz w:val="16"/>
                <w:szCs w:val="16"/>
                <w:color w:val="auto"/>
              </w:rPr>
              <w:t>All Other Fees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55,000</w:t>
            </w:r>
          </w:p>
        </w:tc>
        <w:tc>
          <w:tcPr>
            <w:tcW w:w="36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99,400</w:t>
            </w:r>
          </w:p>
        </w:tc>
      </w:tr>
    </w:tbl>
    <w:p>
      <w:pPr>
        <w:spacing w:after="0" w:line="3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Audit Fees listed above were billed in connection with the audit of our annual consolidated financial statements in our Annual Report on Form 10-K, the reviews of our interim consolidated financial statements included in our quarterly reports on Forms 10-Q and other professional services related to our statutory audits and registration statements. Audit-Related Fees include services performed in connection with the registration statements, such as due diligence procedures and issuance of comfort letters in relation to our registration statement and internal controls advisory services. Tax Fees include fees for tax compliance, tax advice and tax planning services. All Other Fees include consulting services.</w:t>
      </w:r>
    </w:p>
    <w:p>
      <w:pPr>
        <w:spacing w:after="0" w:line="18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considering the nature of the services provided by the independent auditor, the Audit Committee determined that such services are compatible with the provision of independent audit services. The Audit Committee discussed these services with the independent auditor and Company management to determine that they are permitted under the rules and regulations concerning auditor independence promulgated by the SEC to implement the Sarbanes-Oxley Act of 2002, as well as the American Institute of Certified Public Accountants.</w:t>
      </w:r>
    </w:p>
    <w:p>
      <w:pPr>
        <w:spacing w:after="0" w:line="1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Audit Committee has adopted a policy that requires advance approval of all audit services as well as non-audit services, regardless of cost, to the extent required by the Exchange Act and the Sarbanes-Oxley Act of 2002. Unless the specific service has been previously pre-approved with respect to that year, the Audit Committee must approve the permitted service before the independent auditor is engaged to perform it. The Audit Committee may consider the amount or range of estimated fees as a factor in determining whether a proposed service would impair the registered public accounting firm’s independence. Requests or applications to provide services that require separate approval by the Audit Committee will be submitted to the Audit Committee by both the independent registered public accounting firm and the Company’s Chief Financial Officer or the Chief Accounting Officer and must include a joint statement as to whether, in their view, the request or application is consistent with the SEC’s and the PCAOB’s rules on registered public accounting firm independence.</w:t>
      </w:r>
    </w:p>
    <w:p>
      <w:pPr>
        <w:spacing w:after="0" w:line="18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to management the Audit Committee’s responsibilities to pre-approve services performed by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2" w:name="page83"/>
    <w:bookmarkEnd w:id="82"/>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Audit Committee approved all services provided by Deloitte &amp; Touche LLP. Representatives of Deloitte &amp; Touche LLP are expected to be present at the Annual Meeting. They will have the opportunity to make a statement if they desire to do so, and we expect that they will be available to respond to questions.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Vote Required and Recommendation of the Board of Directors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Ratification of the appointment of Deloitte &amp; Touche LLP requires affirmative votes from the holders of a majority of the voting power present in person or represented by proxy at the Annual Meeting and entitled to vote on such matter. Shares not present at the meeting have no effect on the approval of this matter, while abstentions will count as votes “against.” Pursuant to current NYSE regulations, brokers and other NYSE member organizations have discretionary voting power over the approval of this matter. Therefore, there will be no “broker non-votes” on this proposal, and if you hold shares through a broker or other NYSE member organization and do not provide voting instructions to your broker or other NYSE member organization, your shares may be voted “FOR” this proposal. If you timely submit a signed proxy card but fail to specify instructions to vote with respect to this proposal, the proxy card will be voted “FOR” this proposal.</w:t>
      </w:r>
    </w:p>
    <w:p>
      <w:pPr>
        <w:spacing w:after="0" w:line="183"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If our stockholders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40575" cy="5060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0575" cy="506095"/>
                    </a:xfrm>
                    <a:prstGeom prst="rect">
                      <a:avLst/>
                    </a:prstGeom>
                    <a:noFill/>
                  </pic:spPr>
                </pic:pic>
              </a:graphicData>
            </a:graphic>
          </wp:anchor>
        </w:drawing>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AUDIT COMMITTEE AND BOARD OF DIRECTORS RECOMMEND THAT</w:t>
      </w:r>
    </w:p>
    <w:p>
      <w:pPr>
        <w:jc w:val="center"/>
        <w:ind w:right="-19"/>
        <w:spacing w:after="0" w:line="219" w:lineRule="auto"/>
        <w:rPr>
          <w:sz w:val="20"/>
          <w:szCs w:val="20"/>
          <w:color w:val="auto"/>
        </w:rPr>
      </w:pPr>
      <w:r>
        <w:rPr>
          <w:rFonts w:ascii="Arial" w:cs="Arial" w:eastAsia="Arial" w:hAnsi="Arial"/>
          <w:sz w:val="18"/>
          <w:szCs w:val="18"/>
          <w:b w:val="1"/>
          <w:bCs w:val="1"/>
          <w:color w:val="auto"/>
        </w:rPr>
        <w:t>YOU VOTE “FOR” THE RATIFICATION OF THE APPOINTMENT OF</w:t>
      </w:r>
    </w:p>
    <w:p>
      <w:pPr>
        <w:ind w:left="2480"/>
        <w:spacing w:after="0" w:line="203" w:lineRule="auto"/>
        <w:rPr>
          <w:sz w:val="20"/>
          <w:szCs w:val="20"/>
          <w:color w:val="auto"/>
        </w:rPr>
      </w:pPr>
      <w:r>
        <w:rPr>
          <w:rFonts w:ascii="Arial" w:cs="Arial" w:eastAsia="Arial" w:hAnsi="Arial"/>
          <w:sz w:val="18"/>
          <w:szCs w:val="18"/>
          <w:b w:val="1"/>
          <w:bCs w:val="1"/>
          <w:color w:val="auto"/>
        </w:rPr>
        <w:t>DELOITTE &amp; TOUCHE LLP AS THE INDEPENDENT REGISTERED PUBLIC</w:t>
      </w:r>
    </w:p>
    <w:p>
      <w:pPr>
        <w:spacing w:after="0" w:line="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jc w:val="center"/>
        <w:ind w:right="-59"/>
        <w:spacing w:after="0"/>
        <w:rPr>
          <w:sz w:val="20"/>
          <w:szCs w:val="20"/>
          <w:color w:val="auto"/>
        </w:rPr>
      </w:pPr>
      <w:r>
        <w:rPr>
          <w:rFonts w:ascii="Arial" w:cs="Arial" w:eastAsia="Arial" w:hAnsi="Arial"/>
          <w:sz w:val="18"/>
          <w:szCs w:val="18"/>
          <w:b w:val="1"/>
          <w:bCs w:val="1"/>
          <w:color w:val="auto"/>
        </w:rPr>
        <w:t>AUDIT COMMITTEE REPORT</w:t>
      </w:r>
    </w:p>
    <w:p>
      <w:pPr>
        <w:spacing w:after="0" w:line="225"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The Audit Committee oversees our financial reporting process on behalf of the Board. The Audit Committee is composed of three independent directors and met nine times in 2025. Our Audit Committee operates under a written charter, which is posted on our website at https://ir.alignmenthealth.com/. The Audit Committee’s oversight responsibilities include monitoring the integrity of our financial statements (including reviewing financial information, the systems of internal controls, the audit process, and the independence and performance of our internal audit function and independent registered public accounting firm) and our compliance with legal and regulatory requirements. However, management has the primary responsibility for the financial statements and the reporting process, including its assessment of our systems of internal controls over financial reporting. In fulfilling its oversight responsibilities, the Audit Committee:</w:t>
      </w:r>
    </w:p>
    <w:p>
      <w:pPr>
        <w:spacing w:after="0" w:line="142" w:lineRule="exact"/>
        <w:rPr>
          <w:sz w:val="20"/>
          <w:szCs w:val="20"/>
          <w:color w:val="auto"/>
        </w:rPr>
      </w:pPr>
    </w:p>
    <w:p>
      <w:pPr>
        <w:ind w:left="1280" w:hanging="624"/>
        <w:spacing w:after="0"/>
        <w:tabs>
          <w:tab w:leader="none" w:pos="12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year ended December 31, 2025 with our management;</w:t>
      </w:r>
    </w:p>
    <w:p>
      <w:pPr>
        <w:spacing w:after="0" w:line="198" w:lineRule="exact"/>
        <w:rPr>
          <w:rFonts w:ascii="Arial" w:cs="Arial" w:eastAsia="Arial" w:hAnsi="Arial"/>
          <w:sz w:val="18"/>
          <w:szCs w:val="18"/>
          <w:color w:val="auto"/>
        </w:rPr>
      </w:pPr>
    </w:p>
    <w:p>
      <w:pPr>
        <w:ind w:left="1300" w:right="420" w:hanging="644"/>
        <w:spacing w:after="0" w:line="287" w:lineRule="auto"/>
        <w:tabs>
          <w:tab w:leader="none" w:pos="1282" w:val="left"/>
        </w:tabs>
        <w:numPr>
          <w:ilvl w:val="0"/>
          <w:numId w:val="80"/>
        </w:numPr>
        <w:rPr>
          <w:rFonts w:ascii="Arial" w:cs="Arial" w:eastAsia="Arial" w:hAnsi="Arial"/>
          <w:sz w:val="18"/>
          <w:szCs w:val="18"/>
          <w:color w:val="auto"/>
        </w:rPr>
      </w:pPr>
      <w:r>
        <w:rPr>
          <w:rFonts w:ascii="Arial" w:cs="Arial" w:eastAsia="Arial" w:hAnsi="Arial"/>
          <w:sz w:val="18"/>
          <w:szCs w:val="18"/>
          <w:color w:val="auto"/>
        </w:rPr>
        <w:t>discussed with our independent auditors, Deloitte &amp; Touche LLP, the matters required to be discussed by the applicable requirements of the Public Company Accounting Oversight Board (“PCAOB”) and the SEC; and</w:t>
      </w:r>
    </w:p>
    <w:p>
      <w:pPr>
        <w:spacing w:after="0" w:line="152" w:lineRule="exact"/>
        <w:rPr>
          <w:rFonts w:ascii="Arial" w:cs="Arial" w:eastAsia="Arial" w:hAnsi="Arial"/>
          <w:sz w:val="18"/>
          <w:szCs w:val="18"/>
          <w:color w:val="auto"/>
        </w:rPr>
      </w:pPr>
    </w:p>
    <w:p>
      <w:pPr>
        <w:jc w:val="both"/>
        <w:ind w:left="1300" w:right="280" w:hanging="644"/>
        <w:spacing w:after="0" w:line="268" w:lineRule="auto"/>
        <w:tabs>
          <w:tab w:leader="none" w:pos="1282"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Deloitte &amp; Touche LLP required by applicable requirements of the PCAOB regarding Deloitte &amp; Touche LLP’s communications with the audit committee concerning independence, and has discussed with Deloitte &amp; Touche LLP the independence of Deloitte &amp; Touche LLP.</w:t>
      </w:r>
    </w:p>
    <w:p>
      <w:pPr>
        <w:spacing w:after="0" w:line="171" w:lineRule="exact"/>
        <w:rPr>
          <w:sz w:val="20"/>
          <w:szCs w:val="20"/>
          <w:color w:val="auto"/>
        </w:rPr>
      </w:pPr>
    </w:p>
    <w:p>
      <w:pPr>
        <w:ind w:firstLine="405"/>
        <w:spacing w:after="0" w:line="287" w:lineRule="auto"/>
        <w:rPr>
          <w:sz w:val="20"/>
          <w:szCs w:val="20"/>
          <w:color w:val="auto"/>
        </w:rPr>
      </w:pPr>
      <w:r>
        <w:rPr>
          <w:rFonts w:ascii="Arial" w:cs="Arial" w:eastAsia="Arial" w:hAnsi="Arial"/>
          <w:sz w:val="18"/>
          <w:szCs w:val="18"/>
          <w:color w:val="auto"/>
        </w:rPr>
        <w:t>Based on the Audit Committee’s review and discussions noted above, the Audit Committee recommended to the Board that the audited financial statements be included in our Annual Report on Form 10-K for the year ended December 31, 2025.</w:t>
      </w:r>
    </w:p>
    <w:p>
      <w:pPr>
        <w:spacing w:after="0" w:line="15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Respectfully submitted by: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Yon Jorden</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Jody Bilney</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Margaret McCarthy</w:t>
      </w:r>
    </w:p>
    <w:p>
      <w:pPr>
        <w:spacing w:after="0" w:line="200" w:lineRule="exact"/>
        <w:rPr>
          <w:sz w:val="20"/>
          <w:szCs w:val="20"/>
          <w:color w:val="auto"/>
        </w:rPr>
      </w:pPr>
    </w:p>
    <w:p>
      <w:pPr>
        <w:spacing w:after="0" w:line="279"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4" w:name="page85"/>
    <w:bookmarkEnd w:id="84"/>
    <w:p>
      <w:pPr>
        <w:jc w:val="center"/>
        <w:ind w:right="-59"/>
        <w:spacing w:after="0"/>
        <w:rPr>
          <w:sz w:val="20"/>
          <w:szCs w:val="20"/>
          <w:color w:val="auto"/>
        </w:rPr>
      </w:pPr>
      <w:r>
        <w:rPr>
          <w:rFonts w:ascii="Arial" w:cs="Arial" w:eastAsia="Arial" w:hAnsi="Arial"/>
          <w:sz w:val="18"/>
          <w:szCs w:val="18"/>
          <w:b w:val="1"/>
          <w:bCs w:val="1"/>
          <w:color w:val="auto"/>
        </w:rPr>
        <w:t>PROPOSAL 3 – NON-BINDING ADVISORY VOTE ON EXECUTIVE COMPENSATION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accordance with the requirements of Section 14A of the Exchange Act and the related rules of the SEC and as a matter of good corporate governance, we are providing our stockholders with a non-binding, advisory vote on the compensation paid to the Company’s NEOs. This stockholder vote, commonly known as a “say-on-pay” vote, provides stockholders with the opportunity to endorse or not endorse the Company’s fiscal year 2025 executive compensation programs and policies and the compensation paid to our NEOs as discussed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beginning on page 41, the accompanying compensation tables and the related narrative disclosure. Our next say-on-pay vote will take place at our 2027 annual meeting of stockholders.</w:t>
      </w:r>
    </w:p>
    <w:p>
      <w:pPr>
        <w:spacing w:after="0" w:line="14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summarizes our executive compensation program. Our Board and the Compensation Committee have implemented an executive compensation program that is intended to align the interests of our executive officers with those of our stockholders. The majority of our NEOs’ compensation is in the form of variable, at-risk compensation. Our cash annual incentive plan utilizes metrics that are tied to strategic goals that we believe will enhance stockholder value.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are asking our stockholders to vote on the following resolution:</w:t>
      </w:r>
    </w:p>
    <w:p>
      <w:pPr>
        <w:spacing w:after="0" w:line="185" w:lineRule="exact"/>
        <w:rPr>
          <w:sz w:val="20"/>
          <w:szCs w:val="20"/>
          <w:color w:val="auto"/>
        </w:rPr>
      </w:pPr>
    </w:p>
    <w:p>
      <w:pPr>
        <w:jc w:val="both"/>
        <w:ind w:left="580" w:right="600" w:firstLine="405"/>
        <w:spacing w:after="0" w:line="268" w:lineRule="auto"/>
        <w:rPr>
          <w:sz w:val="20"/>
          <w:szCs w:val="20"/>
          <w:color w:val="auto"/>
        </w:rPr>
      </w:pPr>
      <w:r>
        <w:rPr>
          <w:rFonts w:ascii="Arial" w:cs="Arial" w:eastAsia="Arial" w:hAnsi="Arial"/>
          <w:sz w:val="18"/>
          <w:szCs w:val="18"/>
          <w:color w:val="auto"/>
        </w:rPr>
        <w:t>RESOLVED, that the stockholders of Alignment Healthcare, Inc. approve, on an advisory basis, the compensation of the Company’s Named Executive Officers, as 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the accompanying compensation tables and the related narrative disclosure, set forth in the Company’s proxy statement.</w:t>
      </w:r>
    </w:p>
    <w:p>
      <w:pPr>
        <w:spacing w:after="0" w:line="13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Although this advisory vote on the compensation of our NEOs is non-binding, the Board of Directors and the Compensation Committee will carefully review and consider the outcome of the vote when considering future compensation arrangements our NEOs.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Vote Required and Recommendation of the Board of Directors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Approval of the non-binding, advisory resolution approving the compensation of our NEOs requires affirmative votes from the holders of a majority of the voting power present in person or represented by proxy at the Annual Meeting and entitled to vote on such matter. Shares not present at the meeting and broker-non votes have no effect on the approval of this matter, while abstentions will count as votes “against.” Pursuant to current NYSE regulations, brokers and other NYSE member organizations do not have discretionary voting power over the approval of the non-binding, advisory vote on the compensation of the Company’s Named Executive Officers. Therefore, if you hold shares through a broker or other NYSE member organization and do not provide voting instructions to your, broker or other NYSE member organization, your shares will not be entitled to vote with respect to this proposal. If you timely submit a signed proxy card but fail to specify instructions to vote with respect to this proposal, the proxy card will be voted “FOR”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40575" cy="394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THAT YOU VOTE “FOR”</w:t>
      </w:r>
    </w:p>
    <w:p>
      <w:pPr>
        <w:jc w:val="center"/>
        <w:ind w:right="-79"/>
        <w:spacing w:after="0" w:line="219" w:lineRule="auto"/>
        <w:rPr>
          <w:sz w:val="20"/>
          <w:szCs w:val="20"/>
          <w:color w:val="auto"/>
        </w:rPr>
      </w:pPr>
      <w:r>
        <w:rPr>
          <w:rFonts w:ascii="Arial" w:cs="Arial" w:eastAsia="Arial" w:hAnsi="Arial"/>
          <w:sz w:val="18"/>
          <w:szCs w:val="18"/>
          <w:b w:val="1"/>
          <w:bCs w:val="1"/>
          <w:color w:val="auto"/>
        </w:rPr>
        <w:t>THE NON-BINDING, ADVISORY RESOLUTION</w:t>
      </w:r>
    </w:p>
    <w:p>
      <w:pPr>
        <w:jc w:val="center"/>
        <w:ind w:right="-79"/>
        <w:spacing w:after="0"/>
        <w:rPr>
          <w:sz w:val="20"/>
          <w:szCs w:val="20"/>
          <w:color w:val="auto"/>
        </w:rPr>
      </w:pPr>
      <w:r>
        <w:rPr>
          <w:rFonts w:ascii="Arial" w:cs="Arial" w:eastAsia="Arial" w:hAnsi="Arial"/>
          <w:sz w:val="18"/>
          <w:szCs w:val="18"/>
          <w:b w:val="1"/>
          <w:bCs w:val="1"/>
          <w:color w:val="auto"/>
        </w:rPr>
        <w:t>APPROVING THE COMPENSATION OF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85" w:name="page86"/>
    <w:bookmarkEnd w:id="85"/>
    <w:p>
      <w:pPr>
        <w:ind w:left="2100"/>
        <w:spacing w:after="0"/>
        <w:rPr>
          <w:sz w:val="20"/>
          <w:szCs w:val="20"/>
          <w:color w:val="auto"/>
        </w:rPr>
      </w:pPr>
      <w:r>
        <w:rPr>
          <w:rFonts w:ascii="Arial" w:cs="Arial" w:eastAsia="Arial" w:hAnsi="Arial"/>
          <w:sz w:val="18"/>
          <w:szCs w:val="18"/>
          <w:b w:val="1"/>
          <w:bCs w:val="1"/>
          <w:color w:val="auto"/>
        </w:rPr>
        <w:t>COMMONLY ASKED QUESTIONS AND ANSWERS ABOUT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Why did I receive these materials?</w:t>
      </w:r>
    </w:p>
    <w:p>
      <w:pPr>
        <w:spacing w:after="0" w:line="19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Board of Alignment Healthcare, Inc. (“Alignment” or the “Company”) is soliciting your proxy to vote at our 2026 Annual Meeting of Stockholders (or at any postponement or adjournment of the meeting) (the “Annual Meeting”). Stockholders who own shares of our common stock as of April 6, 2026 (the “Record Date”), are entitled to vote at the Annual Meeting. These proxy materials are first being distributed to stockholders on or about April 24, 2026. You should review these proxy materials carefully as they give important information about the proposals that will be voted on at the Annual Meeting, as well as other important information about Alignment.</w:t>
      </w:r>
    </w:p>
    <w:p>
      <w:pPr>
        <w:spacing w:after="0" w:line="179"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i w:val="1"/>
          <w:iCs w:val="1"/>
          <w:color w:val="auto"/>
        </w:rPr>
        <w:t>Notice of Electronic Availability of Proxy Statement and Annual Report</w:t>
      </w:r>
      <w:r>
        <w:rPr>
          <w:rFonts w:ascii="Arial" w:cs="Arial" w:eastAsia="Arial" w:hAnsi="Arial"/>
          <w:sz w:val="18"/>
          <w:szCs w:val="18"/>
          <w:color w:val="auto"/>
        </w:rPr>
        <w:t>. As permitted by SEC rules, we are making this proxy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w:t>
      </w:r>
    </w:p>
    <w:p>
      <w:pPr>
        <w:spacing w:after="0" w:line="183"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i w:val="1"/>
          <w:iCs w:val="1"/>
          <w:color w:val="auto"/>
        </w:rPr>
        <w:t>Householding</w:t>
      </w:r>
      <w:r>
        <w:rPr>
          <w:rFonts w:ascii="Arial" w:cs="Arial" w:eastAsia="Arial" w:hAnsi="Arial"/>
          <w:sz w:val="18"/>
          <w:szCs w:val="18"/>
          <w:color w:val="auto"/>
        </w:rPr>
        <w:t>. The SEC’s rules permit us to print an individual’s multiple accounts on a single notice or set of Annual Meeting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To take advantage of this opportunity, we have summarized on one notice or set of Annual Meeting materials all of the accounts registered with the same tax identification number or duplicate name and address, unless we received contrary instructions from the impacted stockholder prior to the mailing date. The SEC’s rules also permit us to send a single set of proxy materials to two or more securityholders who share a single address, which is called “householding.” We agree to deliver promptly, upon written or oral request, a separate copy of the notice or Annual Meeting materials, as requested, to any stockholder (including any stockholder at a shared address) to which a single copy of those documents was delivered. If you prefer to receive separate copies of the notice or Annual Meeting materials, or if you currently receive separate copies of the notice or Annual Meeting materials but would like to receive a single copy of such materials going forward, please visit www.proxydocs.com/ALHC, write to us at 1100 W. Town &amp; Country Rd., Suite 1600, Orange, CA 92868, Attn: Investor Relations, or contact BetaNXT at (866) 648-8133 or paper@investorelections.com. A number of brokerage firms have instituted householding. They will have their own procedures for stockholders who wish to receive individual copies of the proxy materials, or who currently receive individual copies of such materials and would like to participate in householding.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Who will be entitled to vote?</w:t>
      </w:r>
    </w:p>
    <w:p>
      <w:pPr>
        <w:spacing w:after="0" w:line="225" w:lineRule="exact"/>
        <w:rPr>
          <w:sz w:val="20"/>
          <w:szCs w:val="20"/>
          <w:color w:val="auto"/>
        </w:rPr>
      </w:pPr>
    </w:p>
    <w:p>
      <w:pPr>
        <w:ind w:right="120" w:firstLine="405"/>
        <w:spacing w:after="0" w:line="262" w:lineRule="auto"/>
        <w:rPr>
          <w:sz w:val="20"/>
          <w:szCs w:val="20"/>
          <w:color w:val="auto"/>
        </w:rPr>
      </w:pPr>
      <w:r>
        <w:rPr>
          <w:rFonts w:ascii="Arial" w:cs="Arial" w:eastAsia="Arial" w:hAnsi="Arial"/>
          <w:sz w:val="18"/>
          <w:szCs w:val="18"/>
          <w:color w:val="auto"/>
        </w:rPr>
        <w:t>Stockholders who own shares of our common stock as of the Record Date are entitled to vote at the Annual Meeting. As of the Record Date, Alignment had approximately 206,730,723 shares of common stock outstanding. Holders of shares of common stock are entitled to one vote per share. Cumulative voting is not permitted with respect to the election of directors or any other matter to be considered at the Annual Meeting and stockholders do not have preemptive, appraisal or dissenters' rights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86" w:name="page87"/>
    <w:bookmarkEnd w:id="86"/>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will I be voting 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You will be voting on:</w:t>
      </w:r>
    </w:p>
    <w:p>
      <w:pPr>
        <w:spacing w:after="0" w:line="185" w:lineRule="exact"/>
        <w:rPr>
          <w:sz w:val="20"/>
          <w:szCs w:val="20"/>
          <w:color w:val="auto"/>
        </w:rPr>
      </w:pPr>
    </w:p>
    <w:p>
      <w:pPr>
        <w:ind w:left="660" w:right="320" w:hanging="328"/>
        <w:spacing w:after="0" w:line="287" w:lineRule="auto"/>
        <w:tabs>
          <w:tab w:leader="none" w:pos="64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Election of three nominees identified in this proxy statement to serve as Class II directors to hold office until the 2029</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Stockholders;</w:t>
      </w:r>
    </w:p>
    <w:p>
      <w:pPr>
        <w:spacing w:after="0" w:line="125" w:lineRule="exact"/>
        <w:rPr>
          <w:rFonts w:ascii="Arial" w:cs="Arial" w:eastAsia="Arial" w:hAnsi="Arial"/>
          <w:sz w:val="18"/>
          <w:szCs w:val="18"/>
          <w:color w:val="auto"/>
        </w:rPr>
      </w:pPr>
    </w:p>
    <w:p>
      <w:pPr>
        <w:ind w:left="660" w:right="340" w:hanging="328"/>
        <w:spacing w:after="0" w:line="287" w:lineRule="auto"/>
        <w:tabs>
          <w:tab w:leader="none" w:pos="64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Ratification of the appointment of Deloitte &amp; Touche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ending December 31, 2026; and</w:t>
      </w:r>
    </w:p>
    <w:p>
      <w:pPr>
        <w:spacing w:after="0" w:line="112" w:lineRule="exact"/>
        <w:rPr>
          <w:rFonts w:ascii="Arial" w:cs="Arial" w:eastAsia="Arial" w:hAnsi="Arial"/>
          <w:sz w:val="18"/>
          <w:szCs w:val="18"/>
          <w:color w:val="auto"/>
        </w:rPr>
      </w:pPr>
    </w:p>
    <w:p>
      <w:pPr>
        <w:ind w:left="660" w:right="340" w:hanging="328"/>
        <w:spacing w:after="0" w:line="287" w:lineRule="auto"/>
        <w:tabs>
          <w:tab w:leader="none" w:pos="64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Proposal 3</w:t>
      </w:r>
      <w:r>
        <w:rPr>
          <w:rFonts w:ascii="Arial" w:cs="Arial" w:eastAsia="Arial" w:hAnsi="Arial"/>
          <w:sz w:val="18"/>
          <w:szCs w:val="18"/>
          <w:color w:val="auto"/>
        </w:rPr>
        <w:t>: Approval, on an advisory basis, of the compensation of our named executive officers (“Named Executive Officers” or</w:t>
      </w:r>
      <w:r>
        <w:rPr>
          <w:rFonts w:ascii="Arial" w:cs="Arial" w:eastAsia="Arial" w:hAnsi="Arial"/>
          <w:sz w:val="18"/>
          <w:szCs w:val="18"/>
          <w:b w:val="1"/>
          <w:bCs w:val="1"/>
          <w:color w:val="auto"/>
        </w:rPr>
        <w:t xml:space="preserve"> </w:t>
      </w:r>
      <w:r>
        <w:rPr>
          <w:rFonts w:ascii="Arial" w:cs="Arial" w:eastAsia="Arial" w:hAnsi="Arial"/>
          <w:sz w:val="18"/>
          <w:szCs w:val="18"/>
          <w:color w:val="auto"/>
        </w:rPr>
        <w:t>“NEOs”).</w:t>
      </w:r>
    </w:p>
    <w:p>
      <w:pPr>
        <w:spacing w:after="0" w:line="112"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You will also vote on any other business as may properly come before the meeting or any adjournment of the Annual Meeting. All shares that are represented at the Annual Meeting by properly executed proxies received before or at the Annual Meeting and not revoked will be voted at the Annual Meeting in accordance with the instructions indicated in the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394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0575" cy="394335"/>
                    </a:xfrm>
                    <a:prstGeom prst="rect">
                      <a:avLst/>
                    </a:prstGeom>
                    <a:noFill/>
                  </pic:spPr>
                </pic:pic>
              </a:graphicData>
            </a:graphic>
          </wp:anchor>
        </w:drawing>
      </w:r>
    </w:p>
    <w:p>
      <w:pPr>
        <w:spacing w:after="0" w:line="20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THE BOARD OF DIRECTORS RECOMMENDS THAT YOU VOTE</w:t>
      </w:r>
    </w:p>
    <w:p>
      <w:pPr>
        <w:ind w:left="2340"/>
        <w:spacing w:after="0" w:line="203" w:lineRule="auto"/>
        <w:rPr>
          <w:sz w:val="20"/>
          <w:szCs w:val="20"/>
          <w:color w:val="auto"/>
        </w:rPr>
      </w:pPr>
      <w:r>
        <w:rPr>
          <w:rFonts w:ascii="Arial" w:cs="Arial" w:eastAsia="Arial" w:hAnsi="Arial"/>
          <w:sz w:val="18"/>
          <w:szCs w:val="18"/>
          <w:b w:val="1"/>
          <w:bCs w:val="1"/>
          <w:color w:val="auto"/>
        </w:rPr>
        <w:t>“FOR” THE ELECTION OF EACH DIRECTOR NOMINEE UNDER PROPOSAL 1</w:t>
      </w:r>
    </w:p>
    <w:p>
      <w:pPr>
        <w:jc w:val="center"/>
        <w:ind w:right="-19"/>
        <w:spacing w:after="0"/>
        <w:rPr>
          <w:sz w:val="20"/>
          <w:szCs w:val="20"/>
          <w:color w:val="auto"/>
        </w:rPr>
      </w:pPr>
      <w:r>
        <w:rPr>
          <w:rFonts w:ascii="Arial" w:cs="Arial" w:eastAsia="Arial" w:hAnsi="Arial"/>
          <w:sz w:val="18"/>
          <w:szCs w:val="18"/>
          <w:b w:val="1"/>
          <w:bCs w:val="1"/>
          <w:color w:val="auto"/>
        </w:rPr>
        <w:t>AND “FOR” PROPOSALS 2 AND 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attend the Annual Meeting?</w:t>
      </w:r>
    </w:p>
    <w:p>
      <w:pPr>
        <w:spacing w:after="0" w:line="18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 xml:space="preserve">The Annual Meeting is being held as a virtual-only meeting. </w:t>
      </w:r>
      <w:r>
        <w:rPr>
          <w:rFonts w:ascii="Arial" w:cs="Arial" w:eastAsia="Arial" w:hAnsi="Arial"/>
          <w:sz w:val="18"/>
          <w:szCs w:val="18"/>
          <w:b w:val="1"/>
          <w:bCs w:val="1"/>
          <w:color w:val="auto"/>
        </w:rPr>
        <w:t>In order to attend the Annual Meeting, you must register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www.proxydocs.com/ALHC by no later than 5:00 p.m. Pacific Time on June 3, 2026. </w:t>
      </w:r>
      <w:r>
        <w:rPr>
          <w:rFonts w:ascii="Arial" w:cs="Arial" w:eastAsia="Arial" w:hAnsi="Arial"/>
          <w:sz w:val="18"/>
          <w:szCs w:val="18"/>
          <w:color w:val="auto"/>
        </w:rPr>
        <w:t>If you are a stockholder of record as of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Date,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w:t>
      </w:r>
    </w:p>
    <w:p>
      <w:pPr>
        <w:spacing w:after="0" w:line="1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If you are a beneficial owner of shares through a brokerage firm, bank, broker-dealer or other nominee holder (i.e., you hold shares in “street name”) as of the Record Date, you may gain access to the meeting by following the instructions in the voting instruction card provided by your brokerage firm, bank, broker-dealer or other nominee holder. You will need to enter your uniquely assigned control number at www.proxydocs.com/ALHC as part of the registration process. You may not vote your shares via the Internet at the Annual Meeting unless you receive a valid legal proxy from your brokerage firm, bank, broker-dealer or other nominee holder. If you were not a stockholder as of the Record Date, you may still listen to the Annual Meeting, but will not be able to ask questions or vote at the meeting.</w:t>
      </w:r>
    </w:p>
    <w:p>
      <w:pPr>
        <w:spacing w:after="0" w:line="182" w:lineRule="exact"/>
        <w:rPr>
          <w:sz w:val="20"/>
          <w:szCs w:val="20"/>
          <w:color w:val="auto"/>
        </w:rPr>
      </w:pPr>
    </w:p>
    <w:p>
      <w:pPr>
        <w:ind w:right="2300" w:firstLine="405"/>
        <w:spacing w:after="0" w:line="287" w:lineRule="auto"/>
        <w:rPr>
          <w:sz w:val="20"/>
          <w:szCs w:val="20"/>
          <w:color w:val="auto"/>
        </w:rPr>
      </w:pPr>
      <w:r>
        <w:rPr>
          <w:rFonts w:ascii="Arial" w:cs="Arial" w:eastAsia="Arial" w:hAnsi="Arial"/>
          <w:sz w:val="18"/>
          <w:szCs w:val="18"/>
          <w:color w:val="auto"/>
        </w:rPr>
        <w:t>The audio broadcast of the Annual Meeting will be archived on the investor relations section of our website, https://ir.alignmenthealth.com/, for at least one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ask questions at the Annual Meeting?</w:t>
      </w:r>
    </w:p>
    <w:p>
      <w:pPr>
        <w:spacing w:after="0" w:line="22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We have designed the virtual Annual Meeting to provide substantially the same opportunities to participate as stockholders would have at an in-person meeting. The virtual Annual Meeting format allows stockholders to ask questions of our management and Board of Directors, as appropriate. If you have questions, you may type them into the dialog box provided at any point during the meeting (until the floor is closed to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3"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We reserve the right to exclude questions regarding topics that are not pertinent to meeting matters or company business or are inappropriate. If we receive substantially similar questions, we may group such questions together and provide a single response to avoid repetition. Any questions that are appropriate and pertinent to the Annual Meeting will be answered in the live question and answer session during the Annual Meeting, subject to time constraints. Any such questions that cannot be answered during the Annual Meeting due to time constraints will be posted and answered on the investor relations section of our website, https://ir.alignmenthealth.com/, as soon as practicable after the Annual Meeting.</w:t>
      </w:r>
    </w:p>
    <w:p>
      <w:pPr>
        <w:spacing w:after="0" w:line="182" w:lineRule="exact"/>
        <w:rPr>
          <w:sz w:val="20"/>
          <w:szCs w:val="20"/>
          <w:color w:val="auto"/>
        </w:rPr>
      </w:pPr>
    </w:p>
    <w:p>
      <w:pPr>
        <w:jc w:val="both"/>
        <w:ind w:right="20" w:firstLine="405"/>
        <w:spacing w:after="0" w:line="291" w:lineRule="auto"/>
        <w:rPr>
          <w:sz w:val="20"/>
          <w:szCs w:val="20"/>
          <w:color w:val="auto"/>
        </w:rPr>
      </w:pPr>
      <w:r>
        <w:rPr>
          <w:rFonts w:ascii="Arial" w:cs="Arial" w:eastAsia="Arial" w:hAnsi="Arial"/>
          <w:sz w:val="17"/>
          <w:szCs w:val="17"/>
          <w:color w:val="auto"/>
        </w:rPr>
        <w:t>Additional information regarding the ability of stockholders to ask questions during the Annual Meeting and information regarding how to obtain the related rules of conduct and other materials for the Annual Meeting will be provided by email after you have completed registration to attend the Annual Meeting. The rules of conduct will also be available on the Annual Meeting platform during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access technical support for the Annual Meeting?</w:t>
      </w:r>
    </w:p>
    <w:p>
      <w:pPr>
        <w:spacing w:after="0" w:line="225"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meeting login page for assistance. Technical support will be available beginning approximately 15 minutes prior to the start of the Annual Meeting through its conclusion. The virtual Annual Meeting platform is fully supported across browsers (Edge, Firefox, Chrome, and Safari) and devices (desktops, laptops, tablets, and cell phones) running the most updated version of applicable software and plugins. You should ensure that you have a strong internet connection if you intend to attend and/or participate in the Annual Meeting.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Why is the Annual Meeting virtual only?</w:t>
      </w:r>
    </w:p>
    <w:p>
      <w:pPr>
        <w:spacing w:after="0" w:line="225"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auto"/>
        </w:rPr>
        <w:t>In order to make the Annual Meeting accessible to a large number of our stockholders, the Annual Meeting will be conducted virtually via audio-only webcast. 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 email.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do I cast my vote?</w:t>
      </w:r>
    </w:p>
    <w:p>
      <w:pPr>
        <w:spacing w:after="0" w:line="225" w:lineRule="exact"/>
        <w:rPr>
          <w:sz w:val="20"/>
          <w:szCs w:val="20"/>
          <w:color w:val="auto"/>
        </w:rPr>
      </w:pPr>
    </w:p>
    <w:p>
      <w:pPr>
        <w:ind w:right="60" w:firstLine="405"/>
        <w:spacing w:after="0" w:line="268"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If you hold your shares through a broker, trustee or other nominee, you are a beneficial stockholder.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vote your shares, please refer to the materials forwarded to you by your broker, bank or other nominee for instructions on how to vote the shares you hold as a beneficial stockholder.</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i w:val="1"/>
          <w:iCs w:val="1"/>
          <w:color w:val="auto"/>
        </w:rPr>
        <w:t xml:space="preserve">Registered Stockholders. </w:t>
      </w:r>
      <w:r>
        <w:rPr>
          <w:rFonts w:ascii="Arial" w:cs="Arial" w:eastAsia="Arial" w:hAnsi="Arial"/>
          <w:sz w:val="18"/>
          <w:szCs w:val="18"/>
          <w:color w:val="auto"/>
        </w:rPr>
        <w:t>If you are a stockholder of record, you may vote at the Annual Meeting, vote by proxy over the telephone, vote</w:t>
      </w:r>
      <w:r>
        <w:rPr>
          <w:rFonts w:ascii="Arial" w:cs="Arial" w:eastAsia="Arial" w:hAnsi="Arial"/>
          <w:sz w:val="18"/>
          <w:szCs w:val="18"/>
          <w:i w:val="1"/>
          <w:iCs w:val="1"/>
          <w:color w:val="auto"/>
        </w:rPr>
        <w:t xml:space="preserve"> </w:t>
      </w:r>
      <w:r>
        <w:rPr>
          <w:rFonts w:ascii="Arial" w:cs="Arial" w:eastAsia="Arial" w:hAnsi="Arial"/>
          <w:sz w:val="18"/>
          <w:szCs w:val="18"/>
          <w:color w:val="auto"/>
        </w:rPr>
        <w:t>by proxy through the Internet or vote by proxy card. Whether or not you plan to attend the Annual Meeting, we urge you to vote by proxy to ensure your vote is counted. You may still attend the Annual Meeting and vote even if you have already voted by proxy.</w:t>
      </w:r>
    </w:p>
    <w:p>
      <w:pPr>
        <w:spacing w:after="0" w:line="171" w:lineRule="exact"/>
        <w:rPr>
          <w:sz w:val="20"/>
          <w:szCs w:val="20"/>
          <w:color w:val="auto"/>
        </w:rPr>
      </w:pPr>
    </w:p>
    <w:p>
      <w:pPr>
        <w:ind w:left="980" w:right="180" w:hanging="571"/>
        <w:spacing w:after="0" w:line="259" w:lineRule="auto"/>
        <w:tabs>
          <w:tab w:leader="none" w:pos="972"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TO VOTE DURING THE ANNUAL MEETING</w:t>
      </w:r>
      <w:r>
        <w:rPr>
          <w:rFonts w:ascii="Arial" w:cs="Arial" w:eastAsia="Arial" w:hAnsi="Arial"/>
          <w:sz w:val="18"/>
          <w:szCs w:val="18"/>
          <w:color w:val="auto"/>
        </w:rPr>
        <w:t>: To vote during the live webcast of the Annual Meeting, you must first register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www.proxydocs.com/ALHC. Upon completing your registration, you will receive further instructions via email, including your unique link that will allow you to access the Annual Meeting and, if you are a stockholder, to submit questions during the meeting. Please be sure to follow the instructions found on your proxy card and/or voting authorization form and subsequent instructions that will be delivered to you via email. Stockholders will be able to attend the Annual Meeting platform beginning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8" w:name="page89"/>
    <w:bookmarkEnd w:id="88"/>
    <w:p>
      <w:pPr>
        <w:spacing w:after="0" w:line="193" w:lineRule="exact"/>
        <w:rPr>
          <w:sz w:val="20"/>
          <w:szCs w:val="20"/>
          <w:color w:val="auto"/>
        </w:rPr>
      </w:pPr>
    </w:p>
    <w:p>
      <w:pPr>
        <w:ind w:left="980" w:right="380"/>
        <w:spacing w:after="0" w:line="287" w:lineRule="auto"/>
        <w:rPr>
          <w:sz w:val="20"/>
          <w:szCs w:val="20"/>
          <w:color w:val="auto"/>
        </w:rPr>
      </w:pPr>
      <w:r>
        <w:rPr>
          <w:rFonts w:ascii="Arial" w:cs="Arial" w:eastAsia="Arial" w:hAnsi="Arial"/>
          <w:sz w:val="18"/>
          <w:szCs w:val="18"/>
          <w:color w:val="auto"/>
        </w:rPr>
        <w:t>8:00 a.m. Pacific Time on June 4, 2026 pursuant to the unique access instructions they receive following their registration at www.proxydocs.com/ALHC.</w:t>
      </w:r>
    </w:p>
    <w:p>
      <w:pPr>
        <w:spacing w:after="0" w:line="153" w:lineRule="exact"/>
        <w:rPr>
          <w:sz w:val="20"/>
          <w:szCs w:val="20"/>
          <w:color w:val="auto"/>
        </w:rPr>
      </w:pPr>
    </w:p>
    <w:p>
      <w:pPr>
        <w:ind w:left="980" w:hanging="571"/>
        <w:spacing w:after="0" w:line="287" w:lineRule="auto"/>
        <w:tabs>
          <w:tab w:leader="none" w:pos="972"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TO VOTE BY PHONE</w:t>
      </w:r>
      <w:r>
        <w:rPr>
          <w:rFonts w:ascii="Arial" w:cs="Arial" w:eastAsia="Arial" w:hAnsi="Arial"/>
          <w:sz w:val="18"/>
          <w:szCs w:val="18"/>
          <w:color w:val="auto"/>
        </w:rPr>
        <w:t>: To vote by telephone, dial toll-free 866-314-3346 using any touch-tone telephone and follow the recorded</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w:t>
      </w:r>
    </w:p>
    <w:p>
      <w:pPr>
        <w:spacing w:after="0" w:line="152" w:lineRule="exact"/>
        <w:rPr>
          <w:rFonts w:ascii="Arial" w:cs="Arial" w:eastAsia="Arial" w:hAnsi="Arial"/>
          <w:sz w:val="18"/>
          <w:szCs w:val="18"/>
          <w:color w:val="auto"/>
        </w:rPr>
      </w:pPr>
    </w:p>
    <w:p>
      <w:pPr>
        <w:ind w:left="980" w:right="2180" w:hanging="571"/>
        <w:spacing w:after="0" w:line="287" w:lineRule="auto"/>
        <w:tabs>
          <w:tab w:leader="none" w:pos="972"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TO VOTE BY INTERNET</w:t>
      </w:r>
      <w:r>
        <w:rPr>
          <w:rFonts w:ascii="Arial" w:cs="Arial" w:eastAsia="Arial" w:hAnsi="Arial"/>
          <w:sz w:val="18"/>
          <w:szCs w:val="18"/>
          <w:color w:val="auto"/>
        </w:rPr>
        <w:t>: To vote through the Internet, you may complete an electronic proxy card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www.proxypush.com/ALHC.</w:t>
      </w:r>
    </w:p>
    <w:p>
      <w:pPr>
        <w:spacing w:after="0" w:line="153"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Board has appointed John Kao and James M. Head to serve as proxy holders to vote your shares according to the instructions you submit. If you properly submit a proxy but do not indicate how you want your shares to be voted on one or more items, your shares will be voted on such items in accordance with the recommendations of our Board as set forth above under “</w:t>
      </w:r>
      <w:r>
        <w:rPr>
          <w:rFonts w:ascii="Arial" w:cs="Arial" w:eastAsia="Arial" w:hAnsi="Arial"/>
          <w:sz w:val="18"/>
          <w:szCs w:val="18"/>
          <w:i w:val="1"/>
          <w:iCs w:val="1"/>
          <w:color w:val="auto"/>
        </w:rPr>
        <w:t>What will I be voting on?</w:t>
      </w:r>
      <w:r>
        <w:rPr>
          <w:rFonts w:ascii="Arial" w:cs="Arial" w:eastAsia="Arial" w:hAnsi="Arial"/>
          <w:sz w:val="18"/>
          <w:szCs w:val="18"/>
          <w:color w:val="auto"/>
        </w:rPr>
        <w:t>” With respect to any other matter properly presented at the Annual Meeting, your proxy, if properly submitted, gives authority to the proxy holders to vote your shares on such matter in accordance with their best judgment.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Can I access the proxy materials electronically?</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Yes. Your notice, proxy card or voting instruction card will contain instructions on how to:</w:t>
      </w:r>
    </w:p>
    <w:p>
      <w:pPr>
        <w:spacing w:after="0" w:line="198" w:lineRule="exact"/>
        <w:rPr>
          <w:sz w:val="20"/>
          <w:szCs w:val="20"/>
          <w:color w:val="auto"/>
        </w:rPr>
      </w:pPr>
    </w:p>
    <w:p>
      <w:pPr>
        <w:ind w:left="1340" w:hanging="684"/>
        <w:spacing w:after="0"/>
        <w:tabs>
          <w:tab w:leader="none" w:pos="1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view our proxy materials for the Annual Meeting on the Internet; and</w:t>
      </w:r>
    </w:p>
    <w:p>
      <w:pPr>
        <w:spacing w:after="0" w:line="184" w:lineRule="exact"/>
        <w:rPr>
          <w:rFonts w:ascii="Arial" w:cs="Arial" w:eastAsia="Arial" w:hAnsi="Arial"/>
          <w:sz w:val="18"/>
          <w:szCs w:val="18"/>
          <w:color w:val="auto"/>
        </w:rPr>
      </w:pPr>
    </w:p>
    <w:p>
      <w:pPr>
        <w:ind w:left="1320" w:hanging="664"/>
        <w:spacing w:after="0"/>
        <w:tabs>
          <w:tab w:leader="none" w:pos="13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instruct us to send our future proxy materials to you electronically by e-mail.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proxy materials are also available at www.proxydocs.com/ALHC and our proxy materials will be available starting on April 24, 2026.</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auto"/>
        </w:rPr>
        <w:t>Instead of receiving future copies of our proxy statements and annual reports by mail, stockholders of record and most beneficial owners can elect to receive an email that will provide an electronic link to these documents. Your election to receive future proxy materials by email will remain in effect until you revoke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may I change or revoke my proxy?</w:t>
      </w:r>
    </w:p>
    <w:p>
      <w:pPr>
        <w:spacing w:after="0" w:line="225" w:lineRule="exact"/>
        <w:rPr>
          <w:sz w:val="20"/>
          <w:szCs w:val="20"/>
          <w:color w:val="auto"/>
        </w:rPr>
      </w:pPr>
    </w:p>
    <w:p>
      <w:pPr>
        <w:ind w:right="120" w:firstLine="405"/>
        <w:spacing w:after="0" w:line="287"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Beneficial stockholders should contact their broker, trustee or nominee for instructions on how to change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proxy vote.</w:t>
      </w:r>
    </w:p>
    <w:p>
      <w:pPr>
        <w:spacing w:after="0" w:line="15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Registered stockholders may change a properly executed proxy at any time before its exercise by:</w:t>
      </w:r>
    </w:p>
    <w:p>
      <w:pPr>
        <w:spacing w:after="0" w:line="225" w:lineRule="exact"/>
        <w:rPr>
          <w:sz w:val="20"/>
          <w:szCs w:val="20"/>
          <w:color w:val="auto"/>
        </w:rPr>
      </w:pPr>
    </w:p>
    <w:p>
      <w:pPr>
        <w:ind w:left="1300" w:right="20" w:hanging="644"/>
        <w:spacing w:after="0" w:line="287" w:lineRule="auto"/>
        <w:tabs>
          <w:tab w:leader="none" w:pos="1328"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delivering written notice of revocation to the Chief Legal &amp; Administrative Officer at our principal executive offices at 1100 W. Town &amp; Country Rd., Suite 1600, Orange, CA 92868;</w:t>
      </w:r>
    </w:p>
    <w:p>
      <w:pPr>
        <w:spacing w:after="0" w:line="125" w:lineRule="exact"/>
        <w:rPr>
          <w:rFonts w:ascii="Arial" w:cs="Arial" w:eastAsia="Arial" w:hAnsi="Arial"/>
          <w:sz w:val="18"/>
          <w:szCs w:val="18"/>
          <w:color w:val="auto"/>
        </w:rPr>
      </w:pPr>
    </w:p>
    <w:p>
      <w:pPr>
        <w:ind w:left="1320" w:hanging="664"/>
        <w:spacing w:after="0"/>
        <w:tabs>
          <w:tab w:leader="none" w:pos="13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submitting another proxy that is dated later than the original proxy (including a proxy via telephone or Internet); or</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voting via the Internet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1F497D"/>
        </w:rPr>
        <w:t>What is the voting requirement to approve each of the proposals, and how are the votes counted?</w:t>
      </w:r>
    </w:p>
    <w:p>
      <w:pPr>
        <w:spacing w:after="0" w:line="286" w:lineRule="exact"/>
        <w:rPr>
          <w:sz w:val="20"/>
          <w:szCs w:val="20"/>
          <w:color w:val="auto"/>
        </w:rPr>
      </w:pPr>
    </w:p>
    <w:tbl>
      <w:tblPr>
        <w:tblLayout w:type="fixed"/>
        <w:tblInd w:w="92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2420" w:type="dxa"/>
            <w:vAlign w:val="bottom"/>
          </w:tcPr>
          <w:p>
            <w:pPr>
              <w:jc w:val="right"/>
              <w:ind w:right="299"/>
              <w:spacing w:after="0"/>
              <w:rPr>
                <w:sz w:val="20"/>
                <w:szCs w:val="20"/>
                <w:color w:val="auto"/>
              </w:rPr>
            </w:pPr>
            <w:r>
              <w:rPr>
                <w:rFonts w:ascii="Arial" w:cs="Arial" w:eastAsia="Arial" w:hAnsi="Arial"/>
                <w:sz w:val="16"/>
                <w:szCs w:val="16"/>
                <w:b w:val="1"/>
                <w:bCs w:val="1"/>
                <w:i w:val="1"/>
                <w:iCs w:val="1"/>
                <w:color w:val="auto"/>
              </w:rPr>
              <w:t>Vote Required for</w:t>
            </w:r>
          </w:p>
        </w:tc>
        <w:tc>
          <w:tcPr>
            <w:tcW w:w="2400" w:type="dxa"/>
            <w:vAlign w:val="bottom"/>
          </w:tcPr>
          <w:p>
            <w:pPr>
              <w:jc w:val="center"/>
              <w:ind w:left="99"/>
              <w:spacing w:after="0"/>
              <w:rPr>
                <w:sz w:val="20"/>
                <w:szCs w:val="20"/>
                <w:color w:val="auto"/>
              </w:rPr>
            </w:pPr>
            <w:r>
              <w:rPr>
                <w:rFonts w:ascii="Arial" w:cs="Arial" w:eastAsia="Arial" w:hAnsi="Arial"/>
                <w:sz w:val="16"/>
                <w:szCs w:val="16"/>
                <w:b w:val="1"/>
                <w:bCs w:val="1"/>
                <w:i w:val="1"/>
                <w:iCs w:val="1"/>
                <w:color w:val="auto"/>
              </w:rPr>
              <w:t>Effect of Withhold Votes /</w:t>
            </w:r>
          </w:p>
        </w:tc>
        <w:tc>
          <w:tcPr>
            <w:tcW w:w="2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180" w:type="dxa"/>
            <w:vAlign w:val="bottom"/>
            <w:vMerge w:val="restart"/>
          </w:tcPr>
          <w:p>
            <w:pPr>
              <w:ind w:left="840"/>
              <w:spacing w:after="0"/>
              <w:rPr>
                <w:sz w:val="20"/>
                <w:szCs w:val="20"/>
                <w:color w:val="auto"/>
              </w:rPr>
            </w:pPr>
            <w:r>
              <w:rPr>
                <w:rFonts w:ascii="Arial" w:cs="Arial" w:eastAsia="Arial" w:hAnsi="Arial"/>
                <w:sz w:val="16"/>
                <w:szCs w:val="16"/>
                <w:b w:val="1"/>
                <w:bCs w:val="1"/>
                <w:i w:val="1"/>
                <w:iCs w:val="1"/>
                <w:color w:val="auto"/>
              </w:rPr>
              <w:t>Proposal</w:t>
            </w:r>
          </w:p>
        </w:tc>
        <w:tc>
          <w:tcPr>
            <w:tcW w:w="2420" w:type="dxa"/>
            <w:vAlign w:val="bottom"/>
          </w:tcPr>
          <w:p>
            <w:pPr>
              <w:jc w:val="right"/>
              <w:ind w:right="559"/>
              <w:spacing w:after="0"/>
              <w:rPr>
                <w:sz w:val="20"/>
                <w:szCs w:val="20"/>
                <w:color w:val="auto"/>
              </w:rPr>
            </w:pPr>
            <w:r>
              <w:rPr>
                <w:rFonts w:ascii="Arial" w:cs="Arial" w:eastAsia="Arial" w:hAnsi="Arial"/>
                <w:sz w:val="16"/>
                <w:szCs w:val="16"/>
                <w:b w:val="1"/>
                <w:bCs w:val="1"/>
                <w:i w:val="1"/>
                <w:iCs w:val="1"/>
                <w:color w:val="auto"/>
              </w:rPr>
              <w:t>Approval</w:t>
            </w:r>
            <w:r>
              <w:rPr>
                <w:rFonts w:ascii="Arial" w:cs="Arial" w:eastAsia="Arial" w:hAnsi="Arial"/>
                <w:sz w:val="21"/>
                <w:szCs w:val="21"/>
                <w:b w:val="1"/>
                <w:bCs w:val="1"/>
                <w:i w:val="1"/>
                <w:iCs w:val="1"/>
                <w:color w:val="auto"/>
                <w:vertAlign w:val="superscript"/>
              </w:rPr>
              <w:t>(1)</w:t>
            </w:r>
          </w:p>
        </w:tc>
        <w:tc>
          <w:tcPr>
            <w:tcW w:w="2400" w:type="dxa"/>
            <w:vAlign w:val="bottom"/>
          </w:tcPr>
          <w:p>
            <w:pPr>
              <w:jc w:val="center"/>
              <w:ind w:left="99"/>
              <w:spacing w:after="0"/>
              <w:rPr>
                <w:sz w:val="20"/>
                <w:szCs w:val="20"/>
                <w:color w:val="auto"/>
              </w:rPr>
            </w:pPr>
            <w:r>
              <w:rPr>
                <w:rFonts w:ascii="Arial" w:cs="Arial" w:eastAsia="Arial" w:hAnsi="Arial"/>
                <w:sz w:val="16"/>
                <w:szCs w:val="16"/>
                <w:b w:val="1"/>
                <w:bCs w:val="1"/>
                <w:i w:val="1"/>
                <w:iCs w:val="1"/>
                <w:color w:val="auto"/>
                <w:w w:val="96"/>
              </w:rPr>
              <w:t>Abstentions</w:t>
            </w:r>
            <w:r>
              <w:rPr>
                <w:rFonts w:ascii="Arial" w:cs="Arial" w:eastAsia="Arial" w:hAnsi="Arial"/>
                <w:sz w:val="21"/>
                <w:szCs w:val="21"/>
                <w:b w:val="1"/>
                <w:bCs w:val="1"/>
                <w:i w:val="1"/>
                <w:iCs w:val="1"/>
                <w:color w:val="auto"/>
                <w:w w:val="96"/>
                <w:vertAlign w:val="superscript"/>
              </w:rPr>
              <w:t>(2)</w:t>
            </w:r>
          </w:p>
        </w:tc>
        <w:tc>
          <w:tcPr>
            <w:tcW w:w="2420" w:type="dxa"/>
            <w:vAlign w:val="bottom"/>
          </w:tcPr>
          <w:p>
            <w:pPr>
              <w:ind w:left="140"/>
              <w:spacing w:after="0"/>
              <w:rPr>
                <w:sz w:val="20"/>
                <w:szCs w:val="20"/>
                <w:color w:val="auto"/>
              </w:rPr>
            </w:pPr>
            <w:r>
              <w:rPr>
                <w:rFonts w:ascii="Arial" w:cs="Arial" w:eastAsia="Arial" w:hAnsi="Arial"/>
                <w:sz w:val="16"/>
                <w:szCs w:val="16"/>
                <w:b w:val="1"/>
                <w:bCs w:val="1"/>
                <w:i w:val="1"/>
                <w:iCs w:val="1"/>
                <w:color w:val="auto"/>
              </w:rPr>
              <w:t>Effect of Broker Non-Votes</w:t>
            </w:r>
            <w:r>
              <w:rPr>
                <w:rFonts w:ascii="Arial" w:cs="Arial" w:eastAsia="Arial" w:hAnsi="Arial"/>
                <w:sz w:val="21"/>
                <w:szCs w:val="21"/>
                <w:b w:val="1"/>
                <w:bCs w:val="1"/>
                <w:i w:val="1"/>
                <w:iCs w:val="1"/>
                <w:color w:val="auto"/>
                <w:vertAlign w:val="superscript"/>
              </w:rPr>
              <w:t>(2)</w:t>
            </w:r>
          </w:p>
        </w:tc>
        <w:tc>
          <w:tcPr>
            <w:tcW w:w="0" w:type="dxa"/>
            <w:vAlign w:val="bottom"/>
          </w:tcPr>
          <w:p>
            <w:pPr>
              <w:spacing w:after="0"/>
              <w:rPr>
                <w:sz w:val="1"/>
                <w:szCs w:val="1"/>
                <w:color w:val="auto"/>
              </w:rPr>
            </w:pPr>
          </w:p>
        </w:tc>
      </w:tr>
      <w:tr>
        <w:trPr>
          <w:trHeight w:val="54"/>
        </w:trPr>
        <w:tc>
          <w:tcPr>
            <w:tcW w:w="2180" w:type="dxa"/>
            <w:vAlign w:val="bottom"/>
            <w:tcBorders>
              <w:bottom w:val="single" w:sz="8" w:color="auto"/>
            </w:tcBorders>
            <w:vMerge w:val="continue"/>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DBE5F1"/>
          </w:tcPr>
          <w:p>
            <w:pPr>
              <w:ind w:left="100"/>
              <w:spacing w:after="0"/>
              <w:rPr>
                <w:sz w:val="20"/>
                <w:szCs w:val="20"/>
                <w:color w:val="auto"/>
              </w:rPr>
            </w:pPr>
            <w:r>
              <w:rPr>
                <w:rFonts w:ascii="Arial" w:cs="Arial" w:eastAsia="Arial" w:hAnsi="Arial"/>
                <w:sz w:val="16"/>
                <w:szCs w:val="16"/>
                <w:b w:val="1"/>
                <w:bCs w:val="1"/>
                <w:color w:val="auto"/>
              </w:rPr>
              <w:t>(1) Election of Directors</w:t>
            </w:r>
          </w:p>
        </w:tc>
        <w:tc>
          <w:tcPr>
            <w:tcW w:w="2420" w:type="dxa"/>
            <w:vAlign w:val="bottom"/>
            <w:vMerge w:val="restart"/>
            <w:shd w:val="clear" w:color="auto" w:fill="DBE5F1"/>
          </w:tcPr>
          <w:p>
            <w:pPr>
              <w:jc w:val="right"/>
              <w:ind w:right="99"/>
              <w:spacing w:after="0"/>
              <w:rPr>
                <w:sz w:val="20"/>
                <w:szCs w:val="20"/>
                <w:color w:val="auto"/>
              </w:rPr>
            </w:pPr>
            <w:r>
              <w:rPr>
                <w:rFonts w:ascii="Arial" w:cs="Arial" w:eastAsia="Arial" w:hAnsi="Arial"/>
                <w:sz w:val="16"/>
                <w:szCs w:val="16"/>
                <w:color w:val="auto"/>
              </w:rPr>
              <w:t>Plurality of the votes cast at</w:t>
            </w:r>
          </w:p>
        </w:tc>
        <w:tc>
          <w:tcPr>
            <w:tcW w:w="2400" w:type="dxa"/>
            <w:vAlign w:val="bottom"/>
            <w:shd w:val="clear" w:color="auto" w:fill="DBE5F1"/>
          </w:tcPr>
          <w:p>
            <w:pPr>
              <w:ind w:left="180"/>
              <w:spacing w:after="0"/>
              <w:rPr>
                <w:sz w:val="20"/>
                <w:szCs w:val="20"/>
                <w:color w:val="auto"/>
              </w:rPr>
            </w:pPr>
            <w:r>
              <w:rPr>
                <w:rFonts w:ascii="Arial" w:cs="Arial" w:eastAsia="Arial" w:hAnsi="Arial"/>
                <w:sz w:val="16"/>
                <w:szCs w:val="16"/>
                <w:color w:val="auto"/>
              </w:rPr>
              <w:t>No effect</w:t>
            </w:r>
          </w:p>
        </w:tc>
        <w:tc>
          <w:tcPr>
            <w:tcW w:w="2420" w:type="dxa"/>
            <w:vAlign w:val="bottom"/>
            <w:shd w:val="clear" w:color="auto" w:fill="DBE5F1"/>
          </w:tcPr>
          <w:p>
            <w:pPr>
              <w:ind w:left="14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87"/>
        </w:trPr>
        <w:tc>
          <w:tcPr>
            <w:tcW w:w="2180" w:type="dxa"/>
            <w:vAlign w:val="bottom"/>
            <w:shd w:val="clear" w:color="auto" w:fill="DBE5F1"/>
          </w:tcPr>
          <w:p>
            <w:pPr>
              <w:spacing w:after="0"/>
              <w:rPr>
                <w:sz w:val="7"/>
                <w:szCs w:val="7"/>
                <w:color w:val="auto"/>
              </w:rPr>
            </w:pPr>
          </w:p>
        </w:tc>
        <w:tc>
          <w:tcPr>
            <w:tcW w:w="2420" w:type="dxa"/>
            <w:vAlign w:val="bottom"/>
            <w:vMerge w:val="continue"/>
            <w:shd w:val="clear" w:color="auto" w:fill="DBE5F1"/>
          </w:tcPr>
          <w:p>
            <w:pPr>
              <w:spacing w:after="0"/>
              <w:rPr>
                <w:sz w:val="7"/>
                <w:szCs w:val="7"/>
                <w:color w:val="auto"/>
              </w:rPr>
            </w:pPr>
          </w:p>
        </w:tc>
        <w:tc>
          <w:tcPr>
            <w:tcW w:w="2400" w:type="dxa"/>
            <w:vAlign w:val="bottom"/>
            <w:shd w:val="clear" w:color="auto" w:fill="DBE5F1"/>
          </w:tcPr>
          <w:p>
            <w:pPr>
              <w:spacing w:after="0"/>
              <w:rPr>
                <w:sz w:val="7"/>
                <w:szCs w:val="7"/>
                <w:color w:val="auto"/>
              </w:rPr>
            </w:pPr>
          </w:p>
        </w:tc>
        <w:tc>
          <w:tcPr>
            <w:tcW w:w="2420" w:type="dxa"/>
            <w:vAlign w:val="bottom"/>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286"/>
        </w:trPr>
        <w:tc>
          <w:tcPr>
            <w:tcW w:w="2180" w:type="dxa"/>
            <w:vAlign w:val="bottom"/>
            <w:shd w:val="clear" w:color="auto" w:fill="DBE5F1"/>
          </w:tcPr>
          <w:p>
            <w:pPr>
              <w:spacing w:after="0"/>
              <w:rPr>
                <w:sz w:val="24"/>
                <w:szCs w:val="24"/>
                <w:color w:val="auto"/>
              </w:rPr>
            </w:pPr>
          </w:p>
        </w:tc>
        <w:tc>
          <w:tcPr>
            <w:tcW w:w="2420" w:type="dxa"/>
            <w:vAlign w:val="bottom"/>
            <w:shd w:val="clear" w:color="auto" w:fill="DBE5F1"/>
          </w:tcPr>
          <w:p>
            <w:pPr>
              <w:jc w:val="right"/>
              <w:ind w:right="559"/>
              <w:spacing w:after="0"/>
              <w:rPr>
                <w:sz w:val="20"/>
                <w:szCs w:val="20"/>
                <w:color w:val="auto"/>
              </w:rPr>
            </w:pPr>
            <w:r>
              <w:rPr>
                <w:rFonts w:ascii="Arial" w:cs="Arial" w:eastAsia="Arial" w:hAnsi="Arial"/>
                <w:sz w:val="16"/>
                <w:szCs w:val="16"/>
                <w:color w:val="auto"/>
              </w:rPr>
              <w:t>the Annual Meeting</w:t>
            </w:r>
            <w:r>
              <w:rPr>
                <w:rFonts w:ascii="Arial" w:cs="Arial" w:eastAsia="Arial" w:hAnsi="Arial"/>
                <w:sz w:val="21"/>
                <w:szCs w:val="21"/>
                <w:color w:val="auto"/>
                <w:vertAlign w:val="superscript"/>
              </w:rPr>
              <w:t>(3)</w:t>
            </w:r>
          </w:p>
        </w:tc>
        <w:tc>
          <w:tcPr>
            <w:tcW w:w="2400" w:type="dxa"/>
            <w:vAlign w:val="bottom"/>
            <w:shd w:val="clear" w:color="auto" w:fill="DBE5F1"/>
          </w:tcPr>
          <w:p>
            <w:pPr>
              <w:spacing w:after="0"/>
              <w:rPr>
                <w:sz w:val="24"/>
                <w:szCs w:val="24"/>
                <w:color w:val="auto"/>
              </w:rPr>
            </w:pPr>
          </w:p>
        </w:tc>
        <w:tc>
          <w:tcPr>
            <w:tcW w:w="2420" w:type="dxa"/>
            <w:vAlign w:val="bottom"/>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180" w:type="dxa"/>
            <w:vAlign w:val="bottom"/>
            <w:shd w:val="clear" w:color="auto" w:fill="DBE5F1"/>
          </w:tcPr>
          <w:p>
            <w:pPr>
              <w:spacing w:after="0"/>
              <w:rPr>
                <w:sz w:val="5"/>
                <w:szCs w:val="5"/>
                <w:color w:val="auto"/>
              </w:rPr>
            </w:pPr>
          </w:p>
        </w:tc>
        <w:tc>
          <w:tcPr>
            <w:tcW w:w="2420" w:type="dxa"/>
            <w:vAlign w:val="bottom"/>
            <w:shd w:val="clear" w:color="auto" w:fill="DBE5F1"/>
          </w:tcPr>
          <w:p>
            <w:pPr>
              <w:spacing w:after="0"/>
              <w:rPr>
                <w:sz w:val="5"/>
                <w:szCs w:val="5"/>
                <w:color w:val="auto"/>
              </w:rPr>
            </w:pPr>
          </w:p>
        </w:tc>
        <w:tc>
          <w:tcPr>
            <w:tcW w:w="2400" w:type="dxa"/>
            <w:vAlign w:val="bottom"/>
            <w:shd w:val="clear" w:color="auto" w:fill="DBE5F1"/>
          </w:tcPr>
          <w:p>
            <w:pPr>
              <w:spacing w:after="0"/>
              <w:rPr>
                <w:sz w:val="5"/>
                <w:szCs w:val="5"/>
                <w:color w:val="auto"/>
              </w:rPr>
            </w:pPr>
          </w:p>
        </w:tc>
        <w:tc>
          <w:tcPr>
            <w:tcW w:w="2420" w:type="dxa"/>
            <w:vAlign w:val="bottom"/>
            <w:shd w:val="clear" w:color="auto" w:fill="DBE5F1"/>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1417" w:right="379" w:bottom="1440" w:gutter="0" w:footer="0" w:header="0"/>
        </w:sectPr>
      </w:pPr>
    </w:p>
    <w:tbl>
      <w:tblPr>
        <w:tblLayout w:type="fixed"/>
        <w:tblInd w:w="1020" w:type="dxa"/>
        <w:tblCellMar>
          <w:top w:w="0" w:type="dxa"/>
          <w:left w:w="0" w:type="dxa"/>
          <w:bottom w:w="0" w:type="dxa"/>
          <w:right w:w="0" w:type="dxa"/>
        </w:tblCellMar>
      </w:tblPr>
      <w:tr>
        <w:trPr>
          <w:trHeight w:val="162"/>
        </w:trPr>
        <w:tc>
          <w:tcPr>
            <w:tcW w:w="2200" w:type="dxa"/>
            <w:vAlign w:val="bottom"/>
          </w:tcPr>
          <w:p>
            <w:pPr>
              <w:spacing w:after="0" w:line="162" w:lineRule="exact"/>
              <w:rPr>
                <w:sz w:val="20"/>
                <w:szCs w:val="20"/>
                <w:color w:val="auto"/>
              </w:rPr>
            </w:pPr>
            <w:r>
              <w:rPr>
                <w:rFonts w:ascii="Arial" w:cs="Arial" w:eastAsia="Arial" w:hAnsi="Arial"/>
                <w:sz w:val="16"/>
                <w:szCs w:val="16"/>
                <w:b w:val="1"/>
                <w:bCs w:val="1"/>
                <w:color w:val="auto"/>
              </w:rPr>
              <w:t>(2) Ratification of</w:t>
            </w:r>
          </w:p>
        </w:tc>
        <w:tc>
          <w:tcPr>
            <w:tcW w:w="2440" w:type="dxa"/>
            <w:vAlign w:val="bottom"/>
          </w:tcPr>
          <w:p>
            <w:pPr>
              <w:ind w:left="140"/>
              <w:spacing w:after="0" w:line="162" w:lineRule="exact"/>
              <w:rPr>
                <w:sz w:val="20"/>
                <w:szCs w:val="20"/>
                <w:color w:val="auto"/>
              </w:rPr>
            </w:pPr>
            <w:r>
              <w:rPr>
                <w:rFonts w:ascii="Arial" w:cs="Arial" w:eastAsia="Arial" w:hAnsi="Arial"/>
                <w:sz w:val="16"/>
                <w:szCs w:val="16"/>
                <w:color w:val="auto"/>
              </w:rPr>
              <w:t>Affirmative vote of a majority of</w:t>
            </w:r>
          </w:p>
        </w:tc>
        <w:tc>
          <w:tcPr>
            <w:tcW w:w="1200" w:type="dxa"/>
            <w:vAlign w:val="bottom"/>
            <w:vMerge w:val="restart"/>
          </w:tcPr>
          <w:p>
            <w:pPr>
              <w:ind w:left="40"/>
              <w:spacing w:after="0"/>
              <w:rPr>
                <w:sz w:val="20"/>
                <w:szCs w:val="20"/>
                <w:color w:val="auto"/>
              </w:rPr>
            </w:pPr>
            <w:r>
              <w:rPr>
                <w:rFonts w:ascii="Arial" w:cs="Arial" w:eastAsia="Arial" w:hAnsi="Arial"/>
                <w:sz w:val="16"/>
                <w:szCs w:val="16"/>
                <w:color w:val="auto"/>
                <w:w w:val="96"/>
              </w:rPr>
              <w:t>Vote “Against”</w:t>
            </w:r>
            <w:r>
              <w:rPr>
                <w:rFonts w:ascii="Arial" w:cs="Arial" w:eastAsia="Arial" w:hAnsi="Arial"/>
                <w:sz w:val="21"/>
                <w:szCs w:val="21"/>
                <w:color w:val="auto"/>
                <w:w w:val="96"/>
                <w:vertAlign w:val="superscript"/>
              </w:rPr>
              <w:t>(4)</w:t>
            </w:r>
          </w:p>
        </w:tc>
        <w:tc>
          <w:tcPr>
            <w:tcW w:w="0" w:type="dxa"/>
            <w:vAlign w:val="bottom"/>
          </w:tcPr>
          <w:p>
            <w:pPr>
              <w:spacing w:after="0"/>
              <w:rPr>
                <w:sz w:val="1"/>
                <w:szCs w:val="1"/>
                <w:color w:val="auto"/>
              </w:rPr>
            </w:pPr>
          </w:p>
        </w:tc>
      </w:tr>
      <w:tr>
        <w:trPr>
          <w:trHeight w:val="162"/>
        </w:trPr>
        <w:tc>
          <w:tcPr>
            <w:tcW w:w="220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Appointment of</w:t>
            </w:r>
          </w:p>
        </w:tc>
        <w:tc>
          <w:tcPr>
            <w:tcW w:w="2440" w:type="dxa"/>
            <w:vAlign w:val="bottom"/>
          </w:tcPr>
          <w:p>
            <w:pPr>
              <w:ind w:left="140"/>
              <w:spacing w:after="0" w:line="162" w:lineRule="exact"/>
              <w:rPr>
                <w:sz w:val="20"/>
                <w:szCs w:val="20"/>
                <w:color w:val="auto"/>
              </w:rPr>
            </w:pPr>
            <w:r>
              <w:rPr>
                <w:rFonts w:ascii="Arial" w:cs="Arial" w:eastAsia="Arial" w:hAnsi="Arial"/>
                <w:sz w:val="16"/>
                <w:szCs w:val="16"/>
                <w:color w:val="auto"/>
              </w:rPr>
              <w:t>the voting power present in</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Independent Registered</w:t>
            </w:r>
          </w:p>
        </w:tc>
        <w:tc>
          <w:tcPr>
            <w:tcW w:w="2440" w:type="dxa"/>
            <w:vAlign w:val="bottom"/>
          </w:tcPr>
          <w:p>
            <w:pPr>
              <w:ind w:left="140"/>
              <w:spacing w:after="0" w:line="162" w:lineRule="exact"/>
              <w:rPr>
                <w:sz w:val="20"/>
                <w:szCs w:val="20"/>
                <w:color w:val="auto"/>
              </w:rPr>
            </w:pPr>
            <w:r>
              <w:rPr>
                <w:rFonts w:ascii="Arial" w:cs="Arial" w:eastAsia="Arial" w:hAnsi="Arial"/>
                <w:sz w:val="16"/>
                <w:szCs w:val="16"/>
                <w:color w:val="auto"/>
              </w:rPr>
              <w:t>person or represented by proxy</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ind w:left="240"/>
              <w:spacing w:after="0" w:line="162" w:lineRule="exact"/>
              <w:rPr>
                <w:sz w:val="20"/>
                <w:szCs w:val="20"/>
                <w:color w:val="auto"/>
              </w:rPr>
            </w:pPr>
            <w:r>
              <w:rPr>
                <w:rFonts w:ascii="Arial" w:cs="Arial" w:eastAsia="Arial" w:hAnsi="Arial"/>
                <w:sz w:val="16"/>
                <w:szCs w:val="16"/>
                <w:b w:val="1"/>
                <w:bCs w:val="1"/>
                <w:color w:val="auto"/>
              </w:rPr>
              <w:t>Public Accounting Firm</w:t>
            </w:r>
          </w:p>
        </w:tc>
        <w:tc>
          <w:tcPr>
            <w:tcW w:w="2440" w:type="dxa"/>
            <w:vAlign w:val="bottom"/>
          </w:tcPr>
          <w:p>
            <w:pPr>
              <w:ind w:left="140"/>
              <w:spacing w:after="0" w:line="162" w:lineRule="exact"/>
              <w:rPr>
                <w:sz w:val="20"/>
                <w:szCs w:val="20"/>
                <w:color w:val="auto"/>
              </w:rPr>
            </w:pPr>
            <w:r>
              <w:rPr>
                <w:rFonts w:ascii="Arial" w:cs="Arial" w:eastAsia="Arial" w:hAnsi="Arial"/>
                <w:sz w:val="16"/>
                <w:szCs w:val="16"/>
                <w:color w:val="auto"/>
              </w:rPr>
              <w:t>at the Annual Meeting and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2440" w:type="dxa"/>
            <w:vAlign w:val="bottom"/>
          </w:tcPr>
          <w:p>
            <w:pPr>
              <w:ind w:left="140"/>
              <w:spacing w:after="0"/>
              <w:rPr>
                <w:sz w:val="20"/>
                <w:szCs w:val="20"/>
                <w:color w:val="auto"/>
              </w:rPr>
            </w:pPr>
            <w:r>
              <w:rPr>
                <w:rFonts w:ascii="Arial" w:cs="Arial" w:eastAsia="Arial" w:hAnsi="Arial"/>
                <w:sz w:val="16"/>
                <w:szCs w:val="16"/>
                <w:color w:val="auto"/>
              </w:rPr>
              <w:t>entitled to vote on the matter</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6"/>
          <w:szCs w:val="16"/>
          <w:color w:val="auto"/>
        </w:rPr>
        <w:t>Not applicable (brokers may</w:t>
      </w:r>
    </w:p>
    <w:p>
      <w:pPr>
        <w:spacing w:after="0"/>
        <w:rPr>
          <w:sz w:val="20"/>
          <w:szCs w:val="20"/>
          <w:color w:val="auto"/>
        </w:rPr>
      </w:pPr>
      <w:r>
        <w:rPr>
          <w:rFonts w:ascii="Arial" w:cs="Arial" w:eastAsia="Arial" w:hAnsi="Arial"/>
          <w:sz w:val="16"/>
          <w:szCs w:val="16"/>
          <w:color w:val="auto"/>
        </w:rPr>
        <w:t>vote uninstructed shares)</w:t>
      </w:r>
    </w:p>
    <w:p>
      <w:pPr>
        <w:spacing w:after="0" w:line="501" w:lineRule="exact"/>
        <w:rPr>
          <w:sz w:val="20"/>
          <w:szCs w:val="20"/>
          <w:color w:val="auto"/>
        </w:rPr>
      </w:pPr>
    </w:p>
    <w:p>
      <w:pPr>
        <w:sectPr>
          <w:pgSz w:w="11900" w:h="16838" w:orient="portrait"/>
          <w:cols w:equalWidth="0" w:num="2">
            <w:col w:w="7340" w:space="720"/>
            <w:col w:w="3140"/>
          </w:cols>
          <w:pgMar w:left="320" w:top="1417" w:right="379" w:bottom="1440" w:gutter="0" w:footer="0" w:header="0"/>
          <w:type w:val="continuous"/>
        </w:sectPr>
      </w:pPr>
    </w:p>
    <w:tbl>
      <w:tblPr>
        <w:tblLayout w:type="fixed"/>
        <w:tblInd w:w="920" w:type="dxa"/>
        <w:tblCellMar>
          <w:top w:w="0" w:type="dxa"/>
          <w:left w:w="0" w:type="dxa"/>
          <w:bottom w:w="0" w:type="dxa"/>
          <w:right w:w="0" w:type="dxa"/>
        </w:tblCellMar>
      </w:tblPr>
      <w:tr>
        <w:trPr>
          <w:trHeight w:val="164"/>
        </w:trPr>
        <w:tc>
          <w:tcPr>
            <w:tcW w:w="2360" w:type="dxa"/>
            <w:vAlign w:val="bottom"/>
            <w:shd w:val="clear" w:color="auto" w:fill="DBE5F1"/>
          </w:tcPr>
          <w:p>
            <w:pPr>
              <w:ind w:left="100"/>
              <w:spacing w:after="0" w:line="164" w:lineRule="exact"/>
              <w:rPr>
                <w:sz w:val="20"/>
                <w:szCs w:val="20"/>
                <w:color w:val="auto"/>
              </w:rPr>
            </w:pPr>
            <w:r>
              <w:rPr>
                <w:rFonts w:ascii="Arial" w:cs="Arial" w:eastAsia="Arial" w:hAnsi="Arial"/>
                <w:sz w:val="16"/>
                <w:szCs w:val="16"/>
                <w:b w:val="1"/>
                <w:bCs w:val="1"/>
                <w:color w:val="auto"/>
              </w:rPr>
              <w:t>(3) Approval, on an Advisory</w:t>
            </w:r>
          </w:p>
        </w:tc>
        <w:tc>
          <w:tcPr>
            <w:tcW w:w="2380" w:type="dxa"/>
            <w:vAlign w:val="bottom"/>
            <w:shd w:val="clear" w:color="auto" w:fill="DBE5F1"/>
          </w:tcPr>
          <w:p>
            <w:pPr>
              <w:ind w:left="80"/>
              <w:spacing w:after="0" w:line="164" w:lineRule="exact"/>
              <w:rPr>
                <w:sz w:val="20"/>
                <w:szCs w:val="20"/>
                <w:color w:val="auto"/>
              </w:rPr>
            </w:pPr>
            <w:r>
              <w:rPr>
                <w:rFonts w:ascii="Arial" w:cs="Arial" w:eastAsia="Arial" w:hAnsi="Arial"/>
                <w:sz w:val="16"/>
                <w:szCs w:val="16"/>
                <w:color w:val="auto"/>
              </w:rPr>
              <w:t>Affirmative vote of a majority of</w:t>
            </w:r>
          </w:p>
        </w:tc>
        <w:tc>
          <w:tcPr>
            <w:tcW w:w="1800" w:type="dxa"/>
            <w:vAlign w:val="bottom"/>
            <w:vMerge w:val="restart"/>
            <w:shd w:val="clear" w:color="auto" w:fill="DBE5F1"/>
          </w:tcPr>
          <w:p>
            <w:pPr>
              <w:ind w:left="40"/>
              <w:spacing w:after="0"/>
              <w:rPr>
                <w:sz w:val="20"/>
                <w:szCs w:val="20"/>
                <w:color w:val="auto"/>
              </w:rPr>
            </w:pPr>
            <w:r>
              <w:rPr>
                <w:rFonts w:ascii="Arial" w:cs="Arial" w:eastAsia="Arial" w:hAnsi="Arial"/>
                <w:sz w:val="16"/>
                <w:szCs w:val="16"/>
                <w:color w:val="auto"/>
              </w:rPr>
              <w:t>Vote “Against”</w:t>
            </w:r>
            <w:r>
              <w:rPr>
                <w:rFonts w:ascii="Arial" w:cs="Arial" w:eastAsia="Arial" w:hAnsi="Arial"/>
                <w:sz w:val="21"/>
                <w:szCs w:val="21"/>
                <w:color w:val="auto"/>
                <w:vertAlign w:val="superscript"/>
              </w:rPr>
              <w:t>(4)</w:t>
            </w:r>
          </w:p>
        </w:tc>
        <w:tc>
          <w:tcPr>
            <w:tcW w:w="2880" w:type="dxa"/>
            <w:vAlign w:val="bottom"/>
            <w:shd w:val="clear" w:color="auto" w:fill="DBE5F1"/>
          </w:tcPr>
          <w:p>
            <w:pPr>
              <w:ind w:left="600"/>
              <w:spacing w:after="0" w:line="164" w:lineRule="exact"/>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62"/>
        </w:trPr>
        <w:tc>
          <w:tcPr>
            <w:tcW w:w="2360" w:type="dxa"/>
            <w:vAlign w:val="bottom"/>
            <w:shd w:val="clear" w:color="auto" w:fill="DBE5F1"/>
          </w:tcPr>
          <w:p>
            <w:pPr>
              <w:ind w:left="340"/>
              <w:spacing w:after="0" w:line="162" w:lineRule="exact"/>
              <w:rPr>
                <w:sz w:val="20"/>
                <w:szCs w:val="20"/>
                <w:color w:val="auto"/>
              </w:rPr>
            </w:pPr>
            <w:r>
              <w:rPr>
                <w:rFonts w:ascii="Arial" w:cs="Arial" w:eastAsia="Arial" w:hAnsi="Arial"/>
                <w:sz w:val="16"/>
                <w:szCs w:val="16"/>
                <w:b w:val="1"/>
                <w:bCs w:val="1"/>
                <w:color w:val="auto"/>
              </w:rPr>
              <w:t>Basis, of Executive</w:t>
            </w:r>
          </w:p>
        </w:tc>
        <w:tc>
          <w:tcPr>
            <w:tcW w:w="2380" w:type="dxa"/>
            <w:vAlign w:val="bottom"/>
            <w:shd w:val="clear" w:color="auto" w:fill="DBE5F1"/>
          </w:tcPr>
          <w:p>
            <w:pPr>
              <w:ind w:left="80"/>
              <w:spacing w:after="0" w:line="162" w:lineRule="exact"/>
              <w:rPr>
                <w:sz w:val="20"/>
                <w:szCs w:val="20"/>
                <w:color w:val="auto"/>
              </w:rPr>
            </w:pPr>
            <w:r>
              <w:rPr>
                <w:rFonts w:ascii="Arial" w:cs="Arial" w:eastAsia="Arial" w:hAnsi="Arial"/>
                <w:sz w:val="16"/>
                <w:szCs w:val="16"/>
                <w:color w:val="auto"/>
              </w:rPr>
              <w:t>the voting power present in</w:t>
            </w:r>
          </w:p>
        </w:tc>
        <w:tc>
          <w:tcPr>
            <w:tcW w:w="1800" w:type="dxa"/>
            <w:vAlign w:val="bottom"/>
            <w:vMerge w:val="continue"/>
            <w:shd w:val="clear" w:color="auto" w:fill="DBE5F1"/>
          </w:tcPr>
          <w:p>
            <w:pPr>
              <w:spacing w:after="0"/>
              <w:rPr>
                <w:sz w:val="14"/>
                <w:szCs w:val="14"/>
                <w:color w:val="auto"/>
              </w:rPr>
            </w:pPr>
          </w:p>
        </w:tc>
        <w:tc>
          <w:tcPr>
            <w:tcW w:w="28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DBE5F1"/>
          </w:tcPr>
          <w:p>
            <w:pPr>
              <w:ind w:left="340"/>
              <w:spacing w:after="0" w:line="162" w:lineRule="exact"/>
              <w:rPr>
                <w:sz w:val="20"/>
                <w:szCs w:val="20"/>
                <w:color w:val="auto"/>
              </w:rPr>
            </w:pPr>
            <w:r>
              <w:rPr>
                <w:rFonts w:ascii="Arial" w:cs="Arial" w:eastAsia="Arial" w:hAnsi="Arial"/>
                <w:sz w:val="16"/>
                <w:szCs w:val="16"/>
                <w:b w:val="1"/>
                <w:bCs w:val="1"/>
                <w:color w:val="auto"/>
              </w:rPr>
              <w:t>Compensation</w:t>
            </w:r>
          </w:p>
        </w:tc>
        <w:tc>
          <w:tcPr>
            <w:tcW w:w="2380" w:type="dxa"/>
            <w:vAlign w:val="bottom"/>
            <w:shd w:val="clear" w:color="auto" w:fill="DBE5F1"/>
          </w:tcPr>
          <w:p>
            <w:pPr>
              <w:ind w:left="80"/>
              <w:spacing w:after="0" w:line="162" w:lineRule="exact"/>
              <w:rPr>
                <w:sz w:val="20"/>
                <w:szCs w:val="20"/>
                <w:color w:val="auto"/>
              </w:rPr>
            </w:pPr>
            <w:r>
              <w:rPr>
                <w:rFonts w:ascii="Arial" w:cs="Arial" w:eastAsia="Arial" w:hAnsi="Arial"/>
                <w:sz w:val="16"/>
                <w:szCs w:val="16"/>
                <w:color w:val="auto"/>
              </w:rPr>
              <w:t>person or represented by proxy</w:t>
            </w:r>
          </w:p>
        </w:tc>
        <w:tc>
          <w:tcPr>
            <w:tcW w:w="1800" w:type="dxa"/>
            <w:vAlign w:val="bottom"/>
            <w:shd w:val="clear" w:color="auto" w:fill="DBE5F1"/>
          </w:tcPr>
          <w:p>
            <w:pPr>
              <w:spacing w:after="0"/>
              <w:rPr>
                <w:sz w:val="14"/>
                <w:szCs w:val="14"/>
                <w:color w:val="auto"/>
              </w:rPr>
            </w:pPr>
          </w:p>
        </w:tc>
        <w:tc>
          <w:tcPr>
            <w:tcW w:w="28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DBE5F1"/>
          </w:tcPr>
          <w:p>
            <w:pPr>
              <w:spacing w:after="0"/>
              <w:rPr>
                <w:sz w:val="14"/>
                <w:szCs w:val="14"/>
                <w:color w:val="auto"/>
              </w:rPr>
            </w:pPr>
          </w:p>
        </w:tc>
        <w:tc>
          <w:tcPr>
            <w:tcW w:w="2380" w:type="dxa"/>
            <w:vAlign w:val="bottom"/>
            <w:shd w:val="clear" w:color="auto" w:fill="DBE5F1"/>
          </w:tcPr>
          <w:p>
            <w:pPr>
              <w:ind w:left="80"/>
              <w:spacing w:after="0" w:line="162" w:lineRule="exact"/>
              <w:rPr>
                <w:sz w:val="20"/>
                <w:szCs w:val="20"/>
                <w:color w:val="auto"/>
              </w:rPr>
            </w:pPr>
            <w:r>
              <w:rPr>
                <w:rFonts w:ascii="Arial" w:cs="Arial" w:eastAsia="Arial" w:hAnsi="Arial"/>
                <w:sz w:val="16"/>
                <w:szCs w:val="16"/>
                <w:color w:val="auto"/>
              </w:rPr>
              <w:t>at the Annual Meeting and</w:t>
            </w:r>
          </w:p>
        </w:tc>
        <w:tc>
          <w:tcPr>
            <w:tcW w:w="1800" w:type="dxa"/>
            <w:vAlign w:val="bottom"/>
            <w:shd w:val="clear" w:color="auto" w:fill="DBE5F1"/>
          </w:tcPr>
          <w:p>
            <w:pPr>
              <w:spacing w:after="0"/>
              <w:rPr>
                <w:sz w:val="14"/>
                <w:szCs w:val="14"/>
                <w:color w:val="auto"/>
              </w:rPr>
            </w:pPr>
          </w:p>
        </w:tc>
        <w:tc>
          <w:tcPr>
            <w:tcW w:w="2880" w:type="dxa"/>
            <w:vAlign w:val="bottom"/>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360" w:type="dxa"/>
            <w:vAlign w:val="bottom"/>
            <w:tcBorders>
              <w:bottom w:val="single" w:sz="8" w:color="95B3D7"/>
            </w:tcBorders>
            <w:shd w:val="clear" w:color="auto" w:fill="DBE5F1"/>
          </w:tcPr>
          <w:p>
            <w:pPr>
              <w:spacing w:after="0"/>
              <w:rPr>
                <w:sz w:val="18"/>
                <w:szCs w:val="18"/>
                <w:color w:val="auto"/>
              </w:rPr>
            </w:pPr>
          </w:p>
        </w:tc>
        <w:tc>
          <w:tcPr>
            <w:tcW w:w="2380" w:type="dxa"/>
            <w:vAlign w:val="bottom"/>
            <w:tcBorders>
              <w:bottom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entitled to vote on the matter</w:t>
            </w:r>
          </w:p>
        </w:tc>
        <w:tc>
          <w:tcPr>
            <w:tcW w:w="1800" w:type="dxa"/>
            <w:vAlign w:val="bottom"/>
            <w:tcBorders>
              <w:bottom w:val="single" w:sz="8" w:color="95B3D7"/>
            </w:tcBorders>
            <w:shd w:val="clear" w:color="auto" w:fill="DBE5F1"/>
          </w:tcPr>
          <w:p>
            <w:pPr>
              <w:spacing w:after="0"/>
              <w:rPr>
                <w:sz w:val="18"/>
                <w:szCs w:val="18"/>
                <w:color w:val="auto"/>
              </w:rPr>
            </w:pPr>
          </w:p>
        </w:tc>
        <w:tc>
          <w:tcPr>
            <w:tcW w:w="2880" w:type="dxa"/>
            <w:vAlign w:val="bottom"/>
            <w:tcBorders>
              <w:bottom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Proxy cards that are signed and returned but include unmarked votes will be voted in accordance with our Board’s recommendations.</w:t>
      </w:r>
    </w:p>
    <w:p>
      <w:pPr>
        <w:spacing w:after="0" w:line="109" w:lineRule="exact"/>
        <w:rPr>
          <w:rFonts w:ascii="Arial" w:cs="Arial" w:eastAsia="Arial" w:hAnsi="Arial"/>
          <w:sz w:val="14"/>
          <w:szCs w:val="14"/>
          <w:color w:val="auto"/>
        </w:rPr>
      </w:pPr>
    </w:p>
    <w:p>
      <w:pPr>
        <w:ind w:left="660" w:hanging="328"/>
        <w:spacing w:after="0" w:line="274"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If you are a beneficial owner whose shares are held of record by a broker or other New York Stock Exchange (“NYSE”) member organization, you must instruct the broker how to vote your shares. If you do not provide voting instructions, your shares will not be voted on any proposal on which the broker does not have discretionary authority to vote. This is called a “broker non-vote.” A broker non-vote will not affect the outcome of the vote for Proposal 1 or Proposal 3, because they are not considered to be shares entitled to vote on these “non-routine” matters. Proposal 2 is a “routine” matter, and so brokers are permitted discretionary authority to vote.</w:t>
      </w:r>
    </w:p>
    <w:p>
      <w:pPr>
        <w:spacing w:after="0" w:line="344" w:lineRule="exact"/>
        <w:rPr>
          <w:rFonts w:ascii="Arial" w:cs="Arial" w:eastAsia="Arial" w:hAnsi="Arial"/>
          <w:sz w:val="14"/>
          <w:szCs w:val="14"/>
          <w:color w:val="auto"/>
        </w:rPr>
      </w:pPr>
    </w:p>
    <w:p>
      <w:pPr>
        <w:ind w:left="660" w:right="160" w:hanging="328"/>
        <w:spacing w:after="0" w:line="283"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 plurality of the votes cast by the shares of common stock present or represented by proxy at the meeting and entitled to vote thereon is required to elect each nominee named herein. This means that the three nominees receiving the highest number of votes at the Annual Meeting will be elected, even if those votes do not constitute a majority of the votes cast.</w:t>
      </w:r>
    </w:p>
    <w:p>
      <w:pPr>
        <w:spacing w:after="0" w:line="64" w:lineRule="exact"/>
        <w:rPr>
          <w:rFonts w:ascii="Arial" w:cs="Arial" w:eastAsia="Arial" w:hAnsi="Arial"/>
          <w:sz w:val="14"/>
          <w:szCs w:val="14"/>
          <w:color w:val="auto"/>
        </w:rPr>
      </w:pPr>
    </w:p>
    <w:p>
      <w:pPr>
        <w:ind w:left="660" w:right="260" w:hanging="328"/>
        <w:spacing w:after="0" w:line="305" w:lineRule="auto"/>
        <w:tabs>
          <w:tab w:leader="none" w:pos="66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Abstentions will be counted as present and entitled to vote on the proposals and will therefore have the effect of a negative vote. If you hold your shares through a bank, broker or other holder of record and you do not instruct them on how to vote on this proposal, they will not have the authority to vote your shares.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is a “broker non-vote”?</w:t>
      </w:r>
    </w:p>
    <w:p>
      <w:pPr>
        <w:spacing w:after="0" w:line="225"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but does have discretionary voting power over other items and submits votes for those matters. As discussed above, if you hold shares through a broker or other nominee and do not provide voting instructions to your broker, your shares may not be voted with respect to certain proposals, including the proposals listed above that are not considered “routine” and therefore discretionary voting by the broker or other NYSE member is not permitted. Among the matters submitted to the vote of stockholders at the Annual Meeting, only Proposal 2 is considered a “routine” matter.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constitutes a “quorum”?</w:t>
      </w:r>
    </w:p>
    <w:p>
      <w:pPr>
        <w:spacing w:after="0" w:line="225" w:lineRule="exact"/>
        <w:rPr>
          <w:sz w:val="20"/>
          <w:szCs w:val="20"/>
          <w:color w:val="auto"/>
        </w:rPr>
      </w:pPr>
    </w:p>
    <w:p>
      <w:pPr>
        <w:ind w:right="300" w:firstLine="405"/>
        <w:spacing w:after="0" w:line="268" w:lineRule="auto"/>
        <w:rPr>
          <w:sz w:val="20"/>
          <w:szCs w:val="20"/>
          <w:color w:val="auto"/>
        </w:rPr>
      </w:pPr>
      <w:r>
        <w:rPr>
          <w:rFonts w:ascii="Arial" w:cs="Arial" w:eastAsia="Arial" w:hAnsi="Arial"/>
          <w:sz w:val="18"/>
          <w:szCs w:val="18"/>
          <w:color w:val="auto"/>
        </w:rPr>
        <w:t>A “quorum” is the presence at the Annual Meeting, virtually or by proxy, of a majority of the outstanding shares entitled to vote at the Annual Meeting. Shares may be voted at the Annual Meeting by a signed proxy card, by telephone instruction, or electronically on the Internet. There must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type w:val="continuous"/>
        </w:sectPr>
      </w:pPr>
    </w:p>
    <w:bookmarkStart w:id="90" w:name="page91"/>
    <w:bookmarkEnd w:id="90"/>
    <w:p>
      <w:pPr>
        <w:spacing w:after="0" w:line="19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quorum for the Annual Meeting to be held. Abstentions and broker non-votes are counted as present and entitled to vote for purposes of determining whether a quorum exists.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When will the results of the vote be announced?</w:t>
      </w:r>
    </w:p>
    <w:p>
      <w:pPr>
        <w:spacing w:after="0" w:line="225" w:lineRule="exact"/>
        <w:rPr>
          <w:sz w:val="20"/>
          <w:szCs w:val="20"/>
          <w:color w:val="auto"/>
        </w:rPr>
      </w:pPr>
    </w:p>
    <w:p>
      <w:pPr>
        <w:ind w:right="40" w:firstLine="405"/>
        <w:spacing w:after="0" w:line="287"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published in a Current Report on Form 8-K filed with the SEC within four business days after the Annual Meeting.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is the deadline for submitting a stockholder proposal or director nomination for the 2027 Annual Meeting?</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Stockholder proposals pursuant to SEC Rule 14a-8 for inclusion in the proxy statement and form of proxy for Alignment’s Annual Meeting of Stockholders to be held in 2027 must be received by us at our principal executive offices at 1100 W. Town &amp; Country Rd., Suite 1600, Orange, CA 92868 no later than the close of business on December 26, 2026. Stockholders wishing to make a director nomination or bring a proposal before the annual meeting to be held in 2027 (but not include it in our proxy materials) must provide written notice of such nomination or proposal to the Chief Legal &amp; Administrative Officer at our principal executive offices no later than March 6, 2027 and not earlier than February 4, 2027, assuming we do not change the date of the 2027 annual meeting of stockholders by more than 30 days before or after the anniversary of the 2026 Annual Meeting. If we do, written notice of the proposal or nomination must be delivered by the later of</w:t>
      </w:r>
    </w:p>
    <w:p>
      <w:pPr>
        <w:spacing w:after="0" w:line="3" w:lineRule="exact"/>
        <w:rPr>
          <w:sz w:val="20"/>
          <w:szCs w:val="20"/>
          <w:color w:val="auto"/>
        </w:rPr>
      </w:pPr>
    </w:p>
    <w:p>
      <w:pPr>
        <w:jc w:val="both"/>
        <w:ind w:right="280" w:firstLine="8"/>
        <w:spacing w:after="0" w:line="255" w:lineRule="auto"/>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tenth day following the day that public announcement of the date of the 2027 annual meeting is first made, or (y) the date which is ninety (90) days prior to the date of the 2027 annual meeting. Any stockholder proposal or director nomination must comply with the other provisions of our Amended and Restated Bylaws and be submitted in writing to the Chief Legal &amp; Administrative Officer at our principal executive offices in the form provided for in our Amended and Restated Bylaws.</w:t>
      </w:r>
    </w:p>
    <w:p>
      <w:pPr>
        <w:spacing w:after="0" w:line="182" w:lineRule="exact"/>
        <w:rPr>
          <w:sz w:val="20"/>
          <w:szCs w:val="20"/>
          <w:color w:val="auto"/>
        </w:rPr>
      </w:pPr>
    </w:p>
    <w:p>
      <w:pPr>
        <w:ind w:right="40" w:firstLine="405"/>
        <w:spacing w:after="0" w:line="261" w:lineRule="auto"/>
        <w:rPr>
          <w:sz w:val="20"/>
          <w:szCs w:val="20"/>
          <w:color w:val="auto"/>
        </w:rPr>
      </w:pPr>
      <w:r>
        <w:rPr>
          <w:rFonts w:ascii="Arial" w:cs="Arial" w:eastAsia="Arial" w:hAnsi="Arial"/>
          <w:sz w:val="18"/>
          <w:szCs w:val="18"/>
          <w:color w:val="auto"/>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5, 2027. If the date of the 2027 annual meeting changes by more than 30 calendar days before or after the anniversary of the 2026 Annual Meeting, such notice must instead be provided by the later of 60 calendar days prior to the date of the 2027 annual meeting or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day following public announcement by the Company of the date of the 2027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ind w:right="160" w:firstLine="405"/>
        <w:spacing w:after="0" w:line="291" w:lineRule="auto"/>
        <w:rPr>
          <w:sz w:val="20"/>
          <w:szCs w:val="20"/>
          <w:color w:val="auto"/>
        </w:rPr>
      </w:pPr>
      <w:r>
        <w:rPr>
          <w:rFonts w:ascii="Arial" w:cs="Arial" w:eastAsia="Arial" w:hAnsi="Arial"/>
          <w:sz w:val="17"/>
          <w:szCs w:val="17"/>
          <w:color w:val="auto"/>
        </w:rPr>
        <w:t>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(the “Securities Act”), and Section 21E of the Securities Exchange Act of 1934, as amended (the “Exchange Act”), and the Private Securities Litigation Reform Act of 1995, as amended. Forward-looking statements are subject to risks and uncertainties and are based on assumptions that may prove to be inaccurate, which could cause actual results to differ materially from those expected or implied by the forward-looking statements. Important risks and uncertainties that could cause our actual results and financial condition to differ materially from those indicated in the forward-looking statements include, among others, the following: our ability to attract new members and enter new markets, including the need for certain governmental approvals; our ability to maintain a high rating for our plans on the Centers for Medicare and Medicaid ("CMS") Five Star Quality Rating System ("CMS Star Ratings"); our ability to develop and maintain satisfactory relationships with care providers that service our members; risks associated with being a government contractor; changes in laws and regulations applicable to our business model; risk related to our indebtedness; changes in market or industry conditions and receptivity to our technology and services; results of litigation or a security incident; and the impact of shortages of qualified personnel and related increases in our labor costs. For a detailed discussion of the risk factors that could affect our actual results, please refer to the risk factors identified in our reports filed with the U.S. Securities and Exchange Commission ("SEC"), including our Annual Report on Form 10-K filed with the SEC on February 27, 2026. All information provided in this proxy statement is as of the date hereof, and we undertake no duty to update or revise this information unless required by law.</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WEBSITE REFERENCES</w:t>
      </w:r>
    </w:p>
    <w:p>
      <w:pPr>
        <w:spacing w:after="0" w:line="239" w:lineRule="exact"/>
        <w:rPr>
          <w:sz w:val="20"/>
          <w:szCs w:val="20"/>
          <w:color w:val="auto"/>
        </w:rPr>
      </w:pPr>
    </w:p>
    <w:p>
      <w:pPr>
        <w:ind w:right="400" w:firstLine="405"/>
        <w:spacing w:after="0" w:line="287" w:lineRule="auto"/>
        <w:rPr>
          <w:sz w:val="20"/>
          <w:szCs w:val="20"/>
          <w:color w:val="auto"/>
        </w:rPr>
      </w:pPr>
      <w:r>
        <w:rPr>
          <w:rFonts w:ascii="Arial" w:cs="Arial" w:eastAsia="Arial" w:hAnsi="Arial"/>
          <w:sz w:val="18"/>
          <w:szCs w:val="18"/>
          <w:color w:val="auto"/>
        </w:rPr>
        <w:t>References to our website throughout this proxy statement are intended to provide inactive, textual references and are provided for convenience only. The content on our website does not constitute a part of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SEC FILINGS, CODE OF CONDUCT AND COMMITTEE CHARTERS</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Copies of our reports on Forms 10-K, 10-Q, 8-K and all amendments to those reports filed with the SEC, and our Code of Conduct and the charters of the Audit Committee, Compensation Committee and NCGCC, and any reports of beneficial ownership of our common stock filed by executive officers, directors and beneficial owners of more than 10% of our outstanding common stock are posted on and may be obtained the investor relations section of our corporate website, https://ir.alignmenthealth.com/, or may be requested in print, at no cost, by mail at Alignment Healthcare, Inc., 1100 W. Town &amp; Country Rd., Suite 1600, Orange, CA 92868, Attention: Investor Relations.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25"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We are subject to the informational requirements of the Exchange Act and in accordance therewith, we file annual, quarterly and current reports and other information with the SEC. Such information may be accessed electronically by means of the SEC’s home page on the Internet at www.sec.gov. We are an electronic filer, and the SEC maintains an Internet site at www.sec.gov that contains the reports and other information we file electronically. The investor relations section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2" w:name="page93"/>
    <w:bookmarkEnd w:id="92"/>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corporate website may be found at https://ir.alignmenthealth.com/. We make available free of charge, through our website, our annual report on Form 10-K, as amended,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COST OF PROXY SOLICITATION</w:t>
      </w:r>
    </w:p>
    <w:p>
      <w:pPr>
        <w:spacing w:after="0" w:line="22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Alignment is paying the expenses of this solicitation. Alignment will also make arrangements with brokerage houses and other custodians, nominees and fiduciaries to forward proxy materials to beneficial owners of common stock held as of the Record Date by such persons, and Alignment will reimburse such persons for their reasonable out-of-pocket expenses in forwarding such proxy materials. In addition to solicitation by mail, directors, officers and other employees of Alignment may solicit proxies in person or by telephone, facsimile, email or other similar means. Such individuals will not receive any additional compensation for these solicitation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93" w:name="page94"/>
    <w:bookmarkEnd w:id="93"/>
    <w:p>
      <w:pPr>
        <w:ind w:left="3520"/>
        <w:spacing w:after="0"/>
        <w:rPr>
          <w:sz w:val="20"/>
          <w:szCs w:val="20"/>
          <w:color w:val="auto"/>
        </w:rPr>
      </w:pPr>
      <w:r>
        <w:rPr>
          <w:rFonts w:ascii="Arial" w:cs="Arial" w:eastAsia="Arial" w:hAnsi="Arial"/>
          <w:sz w:val="18"/>
          <w:szCs w:val="18"/>
          <w:b w:val="1"/>
          <w:bCs w:val="1"/>
          <w:color w:val="auto"/>
        </w:rPr>
        <w:t>APPENDIX – 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Adjusted Gross Profit and Medical Benefits Ratio, or MBR</w:t>
      </w:r>
    </w:p>
    <w:p>
      <w:pPr>
        <w:spacing w:after="0" w:line="1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Adjusted gross profit is a non-GAAP financial measure that we define as income (loss) from operations before depreciation and amortization, medical equity-based compensation expense, clinical restructuring costs and selling, general, and administrative expenses. Adjusted gross profit is a key measure used by our management and Board of Directors to understand and evaluate our operating performance and trends before the impact of our consolidated selling, general and administrative expenses.</w:t>
      </w:r>
    </w:p>
    <w:p>
      <w:pPr>
        <w:spacing w:after="0" w:line="14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Adjusted gross profit should not be considered in isolation of, or as an alternative to, measures prepared in accordance with GAAP. There are a number of limitations related to the use of adjusted gross profit in lieu of income (loss) from operations, which is the most directly comparable financial measure calculated in accordance with GAAP.</w:t>
      </w:r>
    </w:p>
    <w:p>
      <w:pPr>
        <w:spacing w:after="0" w:line="130"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Our use of the term adjusted gross profit may vary from the use of similar terms by other companies in our industry and accordingly may not be comparable to similarly titled measures used by other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profit is reconciled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95"/>
        </w:trPr>
        <w:tc>
          <w:tcPr>
            <w:tcW w:w="7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4"/>
        </w:trPr>
        <w:tc>
          <w:tcPr>
            <w:tcW w:w="7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820" w:type="dxa"/>
            <w:vAlign w:val="bottom"/>
            <w:shd w:val="clear" w:color="auto" w:fill="DBE5F1"/>
          </w:tcPr>
          <w:p>
            <w:pPr>
              <w:ind w:left="20"/>
              <w:spacing w:after="0"/>
              <w:rPr>
                <w:sz w:val="20"/>
                <w:szCs w:val="20"/>
                <w:color w:val="auto"/>
              </w:rPr>
            </w:pPr>
            <w:r>
              <w:rPr>
                <w:rFonts w:ascii="Arial" w:cs="Arial" w:eastAsia="Arial" w:hAnsi="Arial"/>
                <w:sz w:val="18"/>
                <w:szCs w:val="18"/>
                <w:color w:val="auto"/>
              </w:rPr>
              <w:t>Income (loss) from operations</w:t>
            </w:r>
          </w:p>
        </w:tc>
        <w:tc>
          <w:tcPr>
            <w:tcW w:w="400" w:type="dxa"/>
            <w:vAlign w:val="bottom"/>
            <w:shd w:val="clear" w:color="auto" w:fill="DBE5F1"/>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E5F1"/>
          </w:tcPr>
          <w:p>
            <w:pPr>
              <w:jc w:val="right"/>
              <w:ind w:right="53"/>
              <w:spacing w:after="0"/>
              <w:rPr>
                <w:sz w:val="20"/>
                <w:szCs w:val="20"/>
                <w:color w:val="auto"/>
              </w:rPr>
            </w:pPr>
            <w:r>
              <w:rPr>
                <w:rFonts w:ascii="Arial" w:cs="Arial" w:eastAsia="Arial" w:hAnsi="Arial"/>
                <w:sz w:val="18"/>
                <w:szCs w:val="18"/>
                <w:color w:val="auto"/>
              </w:rPr>
              <w:t>14,752</w:t>
            </w:r>
          </w:p>
        </w:tc>
        <w:tc>
          <w:tcPr>
            <w:tcW w:w="80" w:type="dxa"/>
            <w:vAlign w:val="bottom"/>
            <w:shd w:val="clear" w:color="auto" w:fill="DBE5F1"/>
          </w:tcPr>
          <w:p>
            <w:pPr>
              <w:spacing w:after="0"/>
              <w:rPr>
                <w:sz w:val="20"/>
                <w:szCs w:val="20"/>
                <w:color w:val="auto"/>
              </w:rPr>
            </w:pPr>
          </w:p>
        </w:tc>
        <w:tc>
          <w:tcPr>
            <w:tcW w:w="400" w:type="dxa"/>
            <w:vAlign w:val="bottom"/>
            <w:shd w:val="clear" w:color="auto" w:fill="DBE5F1"/>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(101,555)</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color w:val="auto"/>
              </w:rPr>
              <w:t>Add back:</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DBE5F1"/>
          </w:tcPr>
          <w:p>
            <w:pPr>
              <w:ind w:left="200"/>
              <w:spacing w:after="0"/>
              <w:rPr>
                <w:sz w:val="20"/>
                <w:szCs w:val="20"/>
                <w:color w:val="auto"/>
              </w:rPr>
            </w:pPr>
            <w:r>
              <w:rPr>
                <w:rFonts w:ascii="Arial" w:cs="Arial" w:eastAsia="Arial" w:hAnsi="Arial"/>
                <w:sz w:val="18"/>
                <w:szCs w:val="18"/>
                <w:color w:val="auto"/>
              </w:rPr>
              <w:t>Equity-based compensation (medical expenses)</w:t>
            </w:r>
          </w:p>
        </w:tc>
        <w:tc>
          <w:tcPr>
            <w:tcW w:w="400" w:type="dxa"/>
            <w:vAlign w:val="bottom"/>
            <w:shd w:val="clear" w:color="auto" w:fill="DBE5F1"/>
          </w:tcPr>
          <w:p>
            <w:pPr>
              <w:spacing w:after="0"/>
              <w:rPr>
                <w:sz w:val="19"/>
                <w:szCs w:val="19"/>
                <w:color w:val="auto"/>
              </w:rPr>
            </w:pPr>
          </w:p>
        </w:tc>
        <w:tc>
          <w:tcPr>
            <w:tcW w:w="1260" w:type="dxa"/>
            <w:vAlign w:val="bottom"/>
            <w:shd w:val="clear" w:color="auto" w:fill="DBE5F1"/>
          </w:tcPr>
          <w:p>
            <w:pPr>
              <w:jc w:val="right"/>
              <w:ind w:right="53"/>
              <w:spacing w:after="0"/>
              <w:rPr>
                <w:sz w:val="20"/>
                <w:szCs w:val="20"/>
                <w:color w:val="auto"/>
              </w:rPr>
            </w:pPr>
            <w:r>
              <w:rPr>
                <w:rFonts w:ascii="Arial" w:cs="Arial" w:eastAsia="Arial" w:hAnsi="Arial"/>
                <w:sz w:val="18"/>
                <w:szCs w:val="18"/>
                <w:color w:val="auto"/>
              </w:rPr>
              <w:t>6,134</w:t>
            </w:r>
          </w:p>
        </w:tc>
        <w:tc>
          <w:tcPr>
            <w:tcW w:w="80" w:type="dxa"/>
            <w:vAlign w:val="bottom"/>
            <w:shd w:val="clear" w:color="auto" w:fill="DBE5F1"/>
          </w:tcPr>
          <w:p>
            <w:pPr>
              <w:spacing w:after="0"/>
              <w:rPr>
                <w:sz w:val="19"/>
                <w:szCs w:val="19"/>
                <w:color w:val="auto"/>
              </w:rPr>
            </w:pPr>
          </w:p>
        </w:tc>
        <w:tc>
          <w:tcPr>
            <w:tcW w:w="400" w:type="dxa"/>
            <w:vAlign w:val="bottom"/>
            <w:shd w:val="clear" w:color="auto" w:fill="DBE5F1"/>
          </w:tcPr>
          <w:p>
            <w:pPr>
              <w:spacing w:after="0"/>
              <w:rPr>
                <w:sz w:val="19"/>
                <w:szCs w:val="19"/>
                <w:color w:val="auto"/>
              </w:rPr>
            </w:pPr>
          </w:p>
        </w:tc>
        <w:tc>
          <w:tcPr>
            <w:tcW w:w="12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30"/>
        </w:trPr>
        <w:tc>
          <w:tcPr>
            <w:tcW w:w="7820" w:type="dxa"/>
            <w:vAlign w:val="bottom"/>
          </w:tcPr>
          <w:p>
            <w:pPr>
              <w:ind w:left="200"/>
              <w:spacing w:after="0"/>
              <w:rPr>
                <w:sz w:val="20"/>
                <w:szCs w:val="20"/>
                <w:color w:val="auto"/>
              </w:rPr>
            </w:pPr>
            <w:r>
              <w:rPr>
                <w:rFonts w:ascii="Arial" w:cs="Arial" w:eastAsia="Arial" w:hAnsi="Arial"/>
                <w:sz w:val="18"/>
                <w:szCs w:val="18"/>
                <w:color w:val="auto"/>
              </w:rPr>
              <w:t>Depreciation (medical expenses)</w:t>
            </w:r>
          </w:p>
        </w:tc>
        <w:tc>
          <w:tcPr>
            <w:tcW w:w="40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7820" w:type="dxa"/>
            <w:vAlign w:val="bottom"/>
            <w:shd w:val="clear" w:color="auto" w:fill="DBE5F1"/>
          </w:tcPr>
          <w:p>
            <w:pPr>
              <w:ind w:left="200"/>
              <w:spacing w:after="0"/>
              <w:rPr>
                <w:sz w:val="20"/>
                <w:szCs w:val="20"/>
                <w:color w:val="auto"/>
              </w:rPr>
            </w:pPr>
            <w:r>
              <w:rPr>
                <w:rFonts w:ascii="Arial" w:cs="Arial" w:eastAsia="Arial" w:hAnsi="Arial"/>
                <w:sz w:val="18"/>
                <w:szCs w:val="18"/>
                <w:color w:val="auto"/>
              </w:rPr>
              <w:t>Restructuring costs (medical expenses)</w:t>
            </w:r>
          </w:p>
        </w:tc>
        <w:tc>
          <w:tcPr>
            <w:tcW w:w="400" w:type="dxa"/>
            <w:vAlign w:val="bottom"/>
            <w:shd w:val="clear" w:color="auto" w:fill="DBE5F1"/>
          </w:tcPr>
          <w:p>
            <w:pPr>
              <w:spacing w:after="0"/>
              <w:rPr>
                <w:sz w:val="19"/>
                <w:szCs w:val="19"/>
                <w:color w:val="auto"/>
              </w:rPr>
            </w:pPr>
          </w:p>
        </w:tc>
        <w:tc>
          <w:tcPr>
            <w:tcW w:w="1340" w:type="dxa"/>
            <w:vAlign w:val="bottom"/>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DBE5F1"/>
          </w:tcPr>
          <w:p>
            <w:pPr>
              <w:spacing w:after="0"/>
              <w:rPr>
                <w:sz w:val="19"/>
                <w:szCs w:val="19"/>
                <w:color w:val="auto"/>
              </w:rPr>
            </w:pPr>
          </w:p>
        </w:tc>
        <w:tc>
          <w:tcPr>
            <w:tcW w:w="1260" w:type="dxa"/>
            <w:vAlign w:val="bottom"/>
            <w:shd w:val="clear" w:color="auto" w:fill="DBE5F1"/>
          </w:tcPr>
          <w:p>
            <w:pPr>
              <w:jc w:val="right"/>
              <w:ind w:right="52"/>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30"/>
        </w:trPr>
        <w:tc>
          <w:tcPr>
            <w:tcW w:w="78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9"/>
                <w:szCs w:val="19"/>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30,404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26,872</w:t>
            </w:r>
          </w:p>
        </w:tc>
        <w:tc>
          <w:tcPr>
            <w:tcW w:w="0" w:type="dxa"/>
            <w:vAlign w:val="bottom"/>
          </w:tcPr>
          <w:p>
            <w:pPr>
              <w:spacing w:after="0"/>
              <w:rPr>
                <w:sz w:val="1"/>
                <w:szCs w:val="1"/>
                <w:color w:val="auto"/>
              </w:rPr>
            </w:pPr>
          </w:p>
        </w:tc>
      </w:tr>
      <w:tr>
        <w:trPr>
          <w:trHeight w:val="230"/>
        </w:trPr>
        <w:tc>
          <w:tcPr>
            <w:tcW w:w="7820" w:type="dxa"/>
            <w:vAlign w:val="bottom"/>
            <w:shd w:val="clear" w:color="auto" w:fill="DBE5F1"/>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auto"/>
            </w:tcBorders>
            <w:shd w:val="clear" w:color="auto" w:fill="DBE5F1"/>
          </w:tcPr>
          <w:p>
            <w:pPr>
              <w:spacing w:after="0"/>
              <w:rPr>
                <w:sz w:val="19"/>
                <w:szCs w:val="19"/>
                <w:color w:val="auto"/>
              </w:rPr>
            </w:pPr>
          </w:p>
        </w:tc>
        <w:tc>
          <w:tcPr>
            <w:tcW w:w="1260" w:type="dxa"/>
            <w:vAlign w:val="bottom"/>
            <w:tcBorders>
              <w:bottom w:val="single" w:sz="8" w:color="auto"/>
            </w:tcBorders>
            <w:shd w:val="clear" w:color="auto" w:fill="DBE5F1"/>
          </w:tcPr>
          <w:p>
            <w:pPr>
              <w:jc w:val="right"/>
              <w:ind w:right="53"/>
              <w:spacing w:after="0"/>
              <w:rPr>
                <w:sz w:val="20"/>
                <w:szCs w:val="20"/>
                <w:color w:val="auto"/>
              </w:rPr>
            </w:pPr>
            <w:r>
              <w:rPr>
                <w:rFonts w:ascii="Arial" w:cs="Arial" w:eastAsia="Arial" w:hAnsi="Arial"/>
                <w:sz w:val="18"/>
                <w:szCs w:val="18"/>
                <w:color w:val="auto"/>
              </w:rPr>
              <w:t>443,407</w:t>
            </w:r>
          </w:p>
        </w:tc>
        <w:tc>
          <w:tcPr>
            <w:tcW w:w="80" w:type="dxa"/>
            <w:vAlign w:val="bottom"/>
            <w:shd w:val="clear" w:color="auto" w:fill="DBE5F1"/>
          </w:tcPr>
          <w:p>
            <w:pPr>
              <w:spacing w:after="0"/>
              <w:rPr>
                <w:sz w:val="19"/>
                <w:szCs w:val="19"/>
                <w:color w:val="auto"/>
              </w:rPr>
            </w:pPr>
          </w:p>
        </w:tc>
        <w:tc>
          <w:tcPr>
            <w:tcW w:w="400" w:type="dxa"/>
            <w:vAlign w:val="bottom"/>
            <w:tcBorders>
              <w:bottom w:val="single" w:sz="8" w:color="auto"/>
            </w:tcBorders>
            <w:shd w:val="clear" w:color="auto" w:fill="DBE5F1"/>
          </w:tcPr>
          <w:p>
            <w:pPr>
              <w:spacing w:after="0"/>
              <w:rPr>
                <w:sz w:val="19"/>
                <w:szCs w:val="19"/>
                <w:color w:val="auto"/>
              </w:rPr>
            </w:pPr>
          </w:p>
        </w:tc>
        <w:tc>
          <w:tcPr>
            <w:tcW w:w="1260" w:type="dxa"/>
            <w:vAlign w:val="bottom"/>
            <w:tcBorders>
              <w:bottom w:val="single" w:sz="8" w:color="auto"/>
            </w:tcBorders>
            <w:shd w:val="clear" w:color="auto" w:fill="DBE5F1"/>
          </w:tcPr>
          <w:p>
            <w:pPr>
              <w:jc w:val="right"/>
              <w:ind w:right="52"/>
              <w:spacing w:after="0"/>
              <w:rPr>
                <w:sz w:val="20"/>
                <w:szCs w:val="20"/>
                <w:color w:val="auto"/>
              </w:rPr>
            </w:pPr>
            <w:r>
              <w:rPr>
                <w:rFonts w:ascii="Arial" w:cs="Arial" w:eastAsia="Arial" w:hAnsi="Arial"/>
                <w:sz w:val="18"/>
                <w:szCs w:val="18"/>
                <w:color w:val="auto"/>
              </w:rPr>
              <w:t>371,374</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DBE5F1"/>
            </w:tcBorders>
          </w:tcPr>
          <w:p>
            <w:pPr>
              <w:ind w:left="20"/>
              <w:spacing w:after="0"/>
              <w:rPr>
                <w:sz w:val="20"/>
                <w:szCs w:val="20"/>
                <w:color w:val="auto"/>
              </w:rPr>
            </w:pPr>
            <w:r>
              <w:rPr>
                <w:rFonts w:ascii="Arial" w:cs="Arial" w:eastAsia="Arial" w:hAnsi="Arial"/>
                <w:sz w:val="18"/>
                <w:szCs w:val="18"/>
                <w:color w:val="auto"/>
              </w:rPr>
              <w:t>Total add back</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480,023</w:t>
            </w:r>
          </w:p>
        </w:tc>
        <w:tc>
          <w:tcPr>
            <w:tcW w:w="80" w:type="dxa"/>
            <w:vAlign w:val="bottom"/>
            <w:tcBorders>
              <w:bottom w:val="single" w:sz="8" w:color="DBE5F1"/>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404,162</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DBE5F1"/>
            </w:tcBorders>
            <w:shd w:val="clear" w:color="auto" w:fill="DBE5F1"/>
          </w:tcPr>
          <w:p>
            <w:pPr>
              <w:ind w:left="20"/>
              <w:spacing w:after="0"/>
              <w:rPr>
                <w:sz w:val="20"/>
                <w:szCs w:val="20"/>
                <w:color w:val="auto"/>
              </w:rPr>
            </w:pPr>
            <w:r>
              <w:rPr>
                <w:rFonts w:ascii="Arial" w:cs="Arial" w:eastAsia="Arial" w:hAnsi="Arial"/>
                <w:sz w:val="18"/>
                <w:szCs w:val="18"/>
                <w:color w:val="auto"/>
              </w:rPr>
              <w:t>Adjusted gross profit</w:t>
            </w:r>
          </w:p>
        </w:tc>
        <w:tc>
          <w:tcPr>
            <w:tcW w:w="400" w:type="dxa"/>
            <w:vAlign w:val="bottom"/>
            <w:tcBorders>
              <w:bottom w:val="single" w:sz="8" w:color="auto"/>
            </w:tcBorders>
            <w:shd w:val="clear" w:color="auto" w:fill="DBE5F1"/>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E5F1"/>
          </w:tcPr>
          <w:p>
            <w:pPr>
              <w:jc w:val="right"/>
              <w:ind w:right="53"/>
              <w:spacing w:after="0"/>
              <w:rPr>
                <w:sz w:val="20"/>
                <w:szCs w:val="20"/>
                <w:color w:val="auto"/>
              </w:rPr>
            </w:pPr>
            <w:r>
              <w:rPr>
                <w:rFonts w:ascii="Arial" w:cs="Arial" w:eastAsia="Arial" w:hAnsi="Arial"/>
                <w:sz w:val="18"/>
                <w:szCs w:val="18"/>
                <w:color w:val="auto"/>
              </w:rPr>
              <w:t>494,775</w:t>
            </w:r>
          </w:p>
        </w:tc>
        <w:tc>
          <w:tcPr>
            <w:tcW w:w="80" w:type="dxa"/>
            <w:vAlign w:val="bottom"/>
            <w:tcBorders>
              <w:bottom w:val="single" w:sz="8" w:color="DBE5F1"/>
            </w:tcBorders>
            <w:shd w:val="clear" w:color="auto" w:fill="DBE5F1"/>
          </w:tcPr>
          <w:p>
            <w:pPr>
              <w:spacing w:after="0"/>
              <w:rPr>
                <w:sz w:val="21"/>
                <w:szCs w:val="21"/>
                <w:color w:val="auto"/>
              </w:rPr>
            </w:pPr>
          </w:p>
        </w:tc>
        <w:tc>
          <w:tcPr>
            <w:tcW w:w="400" w:type="dxa"/>
            <w:vAlign w:val="bottom"/>
            <w:tcBorders>
              <w:bottom w:val="single" w:sz="8" w:color="auto"/>
            </w:tcBorders>
            <w:shd w:val="clear" w:color="auto" w:fill="DBE5F1"/>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BE5F1"/>
          </w:tcPr>
          <w:p>
            <w:pPr>
              <w:jc w:val="right"/>
              <w:ind w:right="52"/>
              <w:spacing w:after="0"/>
              <w:rPr>
                <w:sz w:val="20"/>
                <w:szCs w:val="20"/>
                <w:color w:val="auto"/>
              </w:rPr>
            </w:pPr>
            <w:r>
              <w:rPr>
                <w:rFonts w:ascii="Arial" w:cs="Arial" w:eastAsia="Arial" w:hAnsi="Arial"/>
                <w:sz w:val="18"/>
                <w:szCs w:val="18"/>
                <w:color w:val="auto"/>
              </w:rPr>
              <w:t>302,607</w:t>
            </w:r>
          </w:p>
        </w:tc>
        <w:tc>
          <w:tcPr>
            <w:tcW w:w="0" w:type="dxa"/>
            <w:vAlign w:val="bottom"/>
          </w:tcPr>
          <w:p>
            <w:pPr>
              <w:spacing w:after="0"/>
              <w:rPr>
                <w:sz w:val="1"/>
                <w:szCs w:val="1"/>
                <w:color w:val="auto"/>
              </w:rPr>
            </w:pPr>
          </w:p>
        </w:tc>
      </w:tr>
      <w:tr>
        <w:trPr>
          <w:trHeight w:val="20"/>
        </w:trPr>
        <w:tc>
          <w:tcPr>
            <w:tcW w:w="7820" w:type="dxa"/>
            <w:vAlign w:val="bottom"/>
            <w:tcBorders>
              <w:top w:val="single" w:sz="8" w:color="DBE5F1"/>
              <w:bottom w:val="single" w:sz="8" w:color="DBE5F1"/>
            </w:tcBorders>
            <w:vMerge w:val="restart"/>
          </w:tcPr>
          <w:p>
            <w:pPr>
              <w:ind w:left="20"/>
              <w:spacing w:after="0"/>
              <w:rPr>
                <w:sz w:val="20"/>
                <w:szCs w:val="20"/>
                <w:color w:val="auto"/>
              </w:rPr>
            </w:pPr>
            <w:r>
              <w:rPr>
                <w:rFonts w:ascii="Arial" w:cs="Arial" w:eastAsia="Arial" w:hAnsi="Arial"/>
                <w:sz w:val="18"/>
                <w:szCs w:val="18"/>
                <w:color w:val="auto"/>
              </w:rPr>
              <w:t>Medical benefit ratio</w:t>
            </w:r>
          </w:p>
        </w:tc>
        <w:tc>
          <w:tcPr>
            <w:tcW w:w="400" w:type="dxa"/>
            <w:vAlign w:val="bottom"/>
            <w:tcBorders>
              <w:top w:val="single" w:sz="8" w:color="DBE5F1"/>
              <w:bottom w:val="single" w:sz="8" w:color="auto"/>
            </w:tcBorders>
          </w:tcPr>
          <w:p>
            <w:pPr>
              <w:spacing w:after="0" w:line="20" w:lineRule="exact"/>
              <w:rPr>
                <w:sz w:val="1"/>
                <w:szCs w:val="1"/>
                <w:color w:val="auto"/>
              </w:rPr>
            </w:pPr>
          </w:p>
        </w:tc>
        <w:tc>
          <w:tcPr>
            <w:tcW w:w="1260" w:type="dxa"/>
            <w:vAlign w:val="bottom"/>
            <w:tcBorders>
              <w:top w:val="single" w:sz="8" w:color="DBE5F1"/>
              <w:bottom w:val="single" w:sz="8" w:color="auto"/>
            </w:tcBorders>
          </w:tcPr>
          <w:p>
            <w:pPr>
              <w:spacing w:after="0" w:line="20" w:lineRule="exact"/>
              <w:rPr>
                <w:sz w:val="1"/>
                <w:szCs w:val="1"/>
                <w:color w:val="auto"/>
              </w:rPr>
            </w:pPr>
          </w:p>
        </w:tc>
        <w:tc>
          <w:tcPr>
            <w:tcW w:w="80" w:type="dxa"/>
            <w:vAlign w:val="bottom"/>
            <w:tcBorders>
              <w:top w:val="single" w:sz="8" w:color="DBE5F1"/>
            </w:tcBorders>
          </w:tcPr>
          <w:p>
            <w:pPr>
              <w:spacing w:after="0" w:line="20" w:lineRule="exact"/>
              <w:rPr>
                <w:sz w:val="1"/>
                <w:szCs w:val="1"/>
                <w:color w:val="auto"/>
              </w:rPr>
            </w:pPr>
          </w:p>
        </w:tc>
        <w:tc>
          <w:tcPr>
            <w:tcW w:w="400" w:type="dxa"/>
            <w:vAlign w:val="bottom"/>
            <w:tcBorders>
              <w:top w:val="single" w:sz="8" w:color="DBE5F1"/>
              <w:bottom w:val="single" w:sz="8" w:color="auto"/>
            </w:tcBorders>
          </w:tcPr>
          <w:p>
            <w:pPr>
              <w:spacing w:after="0" w:line="20" w:lineRule="exact"/>
              <w:rPr>
                <w:sz w:val="1"/>
                <w:szCs w:val="1"/>
                <w:color w:val="auto"/>
              </w:rPr>
            </w:pPr>
          </w:p>
        </w:tc>
        <w:tc>
          <w:tcPr>
            <w:tcW w:w="1260" w:type="dxa"/>
            <w:vAlign w:val="bottom"/>
            <w:tcBorders>
              <w:top w:val="single" w:sz="8" w:color="DBE5F1"/>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87.5 %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88.8 %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calculate our medical benefits ratio (“MBR”) by dividing total medical expenses, excluding depreciation, medical equity-based compensation and clinical restructuring costs, by total revenues in a given period. We believe our MBR is an indicator of our gross profit for our Medicare Advantage plans and demonstrates the ability of our clinical model to produce differentiated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spacing w:after="0" w:line="14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When we determine, on an annual basis, whether we have satisfied the CMS minimum Medical Loss Ratio (“MLR”) of 85%, adjustments are made to the MBR calculation to include certain additional expenses related to improving the quality of care provided, and to exclude certain taxes and fees, in each case as permitted or required by CMS and applicable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1F497D"/>
        </w:rPr>
        <w:t>Adjusted EBITDA</w:t>
      </w:r>
    </w:p>
    <w:p>
      <w:pPr>
        <w:spacing w:after="0" w:line="18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Adjusted EBITDA is a non-GAAP financial measure that we define as net income (loss) before interest expense, income taxes, depreciation and amortization expense, acquisition expenses, certain litigation costs, gains or losses on right of use ("ROU") assets, gains or losses on sale of property and equipment, restructuring costs, equity-based compensation expense and loss on extinguishment of debt. Adjusted EBITDA is a key measure used by our management and our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provides useful measures for period-to-period comparisons of our business. Given our intent to continue to invest in our platform and the scalability of our business in the short to medium-term, we believe Adjusted EBITDA over the long term will be an important indicator of value creation.</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Adjusted EBITDA should not be considered in isolation of, or as an alternative to, measures prepared in accordance with GAAP. There are a number of limitations related to the use of Adjusted EBITDA in lieu of net loss, which is the most directly comparable financial measure calculated in accordance with GAAP.</w:t>
      </w:r>
    </w:p>
    <w:p>
      <w:pPr>
        <w:spacing w:after="0" w:line="13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use of the term Adjusted EBITDA may vary from the use of similar terms by other companies in our industry and accordingly may not be comparable to similarly titled measures used by other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reconciled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Year Ended December 31,</w:t>
            </w:r>
          </w:p>
        </w:tc>
      </w:tr>
      <w:tr>
        <w:trPr>
          <w:trHeight w:val="195"/>
        </w:trPr>
        <w:tc>
          <w:tcPr>
            <w:tcW w:w="79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2024</w:t>
            </w:r>
          </w:p>
        </w:tc>
      </w:tr>
      <w:tr>
        <w:trPr>
          <w:trHeight w:val="183"/>
        </w:trPr>
        <w:tc>
          <w:tcPr>
            <w:tcW w:w="79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2"/>
        </w:trPr>
        <w:tc>
          <w:tcPr>
            <w:tcW w:w="7940" w:type="dxa"/>
            <w:vAlign w:val="bottom"/>
            <w:shd w:val="clear" w:color="auto" w:fill="DBE5F1"/>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0"/>
                <w:szCs w:val="20"/>
                <w:color w:val="auto"/>
              </w:rPr>
            </w:pPr>
          </w:p>
        </w:tc>
        <w:tc>
          <w:tcPr>
            <w:tcW w:w="380" w:type="dxa"/>
            <w:vAlign w:val="bottom"/>
            <w:shd w:val="clear" w:color="auto" w:fill="DBE5F1"/>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(128,071)</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Less: Net loss attributable to noncontrolling interest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940" w:type="dxa"/>
            <w:vAlign w:val="bottom"/>
            <w:shd w:val="clear" w:color="auto" w:fill="DBE5F1"/>
          </w:tcPr>
          <w:p>
            <w:pPr>
              <w:ind w:left="20"/>
              <w:spacing w:after="0"/>
              <w:rPr>
                <w:sz w:val="20"/>
                <w:szCs w:val="20"/>
                <w:color w:val="auto"/>
              </w:rPr>
            </w:pPr>
            <w:r>
              <w:rPr>
                <w:rFonts w:ascii="Arial" w:cs="Arial" w:eastAsia="Arial" w:hAnsi="Arial"/>
                <w:sz w:val="18"/>
                <w:szCs w:val="18"/>
                <w:color w:val="auto"/>
              </w:rPr>
              <w:t>Adjustments:</w:t>
            </w:r>
          </w:p>
        </w:tc>
        <w:tc>
          <w:tcPr>
            <w:tcW w:w="380" w:type="dxa"/>
            <w:vAlign w:val="bottom"/>
            <w:shd w:val="clear" w:color="auto" w:fill="DBE5F1"/>
          </w:tcPr>
          <w:p>
            <w:pPr>
              <w:spacing w:after="0"/>
              <w:rPr>
                <w:sz w:val="19"/>
                <w:szCs w:val="19"/>
                <w:color w:val="auto"/>
              </w:rPr>
            </w:pPr>
          </w:p>
        </w:tc>
        <w:tc>
          <w:tcPr>
            <w:tcW w:w="1220" w:type="dxa"/>
            <w:vAlign w:val="bottom"/>
            <w:shd w:val="clear" w:color="auto" w:fill="DBE5F1"/>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shd w:val="clear" w:color="auto" w:fill="DBE5F1"/>
          </w:tcPr>
          <w:p>
            <w:pPr>
              <w:spacing w:after="0"/>
              <w:rPr>
                <w:sz w:val="19"/>
                <w:szCs w:val="19"/>
                <w:color w:val="auto"/>
              </w:rPr>
            </w:pPr>
          </w:p>
        </w:tc>
        <w:tc>
          <w:tcPr>
            <w:tcW w:w="1220" w:type="dxa"/>
            <w:vAlign w:val="bottom"/>
            <w:shd w:val="clear" w:color="auto" w:fill="DBE5F1"/>
          </w:tcPr>
          <w:p>
            <w:pPr>
              <w:spacing w:after="0"/>
              <w:rPr>
                <w:sz w:val="19"/>
                <w:szCs w:val="19"/>
                <w:color w:val="auto"/>
              </w:rPr>
            </w:pPr>
          </w:p>
        </w:tc>
      </w:tr>
      <w:tr>
        <w:trPr>
          <w:trHeight w:val="230"/>
        </w:trPr>
        <w:tc>
          <w:tcPr>
            <w:tcW w:w="79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23,547</w:t>
            </w:r>
          </w:p>
        </w:tc>
      </w:tr>
      <w:tr>
        <w:trPr>
          <w:trHeight w:val="230"/>
        </w:trPr>
        <w:tc>
          <w:tcPr>
            <w:tcW w:w="7940" w:type="dxa"/>
            <w:vAlign w:val="bottom"/>
            <w:shd w:val="clear" w:color="auto" w:fill="DBE5F1"/>
          </w:tcPr>
          <w:p>
            <w:pPr>
              <w:ind w:left="20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380" w:type="dxa"/>
            <w:vAlign w:val="bottom"/>
            <w:shd w:val="clear" w:color="auto" w:fill="DBE5F1"/>
          </w:tcPr>
          <w:p>
            <w:pPr>
              <w:spacing w:after="0"/>
              <w:rPr>
                <w:sz w:val="19"/>
                <w:szCs w:val="19"/>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30,482</w:t>
            </w:r>
          </w:p>
        </w:tc>
        <w:tc>
          <w:tcPr>
            <w:tcW w:w="100" w:type="dxa"/>
            <w:vAlign w:val="bottom"/>
          </w:tcPr>
          <w:p>
            <w:pPr>
              <w:spacing w:after="0"/>
              <w:rPr>
                <w:sz w:val="19"/>
                <w:szCs w:val="19"/>
                <w:color w:val="auto"/>
              </w:rPr>
            </w:pPr>
          </w:p>
        </w:tc>
        <w:tc>
          <w:tcPr>
            <w:tcW w:w="380" w:type="dxa"/>
            <w:vAlign w:val="bottom"/>
            <w:shd w:val="clear" w:color="auto" w:fill="DBE5F1"/>
          </w:tcPr>
          <w:p>
            <w:pPr>
              <w:spacing w:after="0"/>
              <w:rPr>
                <w:sz w:val="19"/>
                <w:szCs w:val="19"/>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27,062</w:t>
            </w:r>
          </w:p>
        </w:tc>
      </w:tr>
      <w:tr>
        <w:trPr>
          <w:trHeight w:val="229"/>
        </w:trPr>
        <w:tc>
          <w:tcPr>
            <w:tcW w:w="7940" w:type="dxa"/>
            <w:vAlign w:val="bottom"/>
          </w:tcPr>
          <w:p>
            <w:pPr>
              <w:ind w:left="20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Equity-based compensation </w:t>
            </w:r>
            <w:r>
              <w:rPr>
                <w:rFonts w:ascii="Arial" w:cs="Arial" w:eastAsia="Arial" w:hAnsi="Arial"/>
                <w:sz w:val="23"/>
                <w:szCs w:val="23"/>
                <w:color w:val="auto"/>
                <w:vertAlign w:val="superscript"/>
              </w:rPr>
              <w:t>(2)</w:t>
            </w: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62,082</w:t>
            </w:r>
          </w:p>
        </w:tc>
        <w:tc>
          <w:tcPr>
            <w:tcW w:w="100" w:type="dxa"/>
            <w:vAlign w:val="bottom"/>
          </w:tcPr>
          <w:p>
            <w:pPr>
              <w:spacing w:after="0"/>
              <w:rPr>
                <w:sz w:val="23"/>
                <w:szCs w:val="23"/>
                <w:color w:val="auto"/>
              </w:rPr>
            </w:pP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71,132</w:t>
            </w:r>
          </w:p>
        </w:tc>
      </w:tr>
      <w:tr>
        <w:trPr>
          <w:trHeight w:val="230"/>
        </w:trPr>
        <w:tc>
          <w:tcPr>
            <w:tcW w:w="794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Acquisition expenses </w:t>
            </w:r>
            <w:r>
              <w:rPr>
                <w:rFonts w:ascii="Arial" w:cs="Arial" w:eastAsia="Arial" w:hAnsi="Arial"/>
                <w:sz w:val="23"/>
                <w:szCs w:val="23"/>
                <w:color w:val="auto"/>
                <w:vertAlign w:val="superscript"/>
              </w:rPr>
              <w:t>(3)</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7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 xml:space="preserve">Litigation costs </w:t>
            </w:r>
            <w:r>
              <w:rPr>
                <w:rFonts w:ascii="Arial" w:cs="Arial" w:eastAsia="Arial" w:hAnsi="Arial"/>
                <w:sz w:val="23"/>
                <w:szCs w:val="23"/>
                <w:color w:val="auto"/>
                <w:vertAlign w:val="superscript"/>
              </w:rPr>
              <w:t>(4)</w:t>
            </w: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23"/>
                <w:szCs w:val="23"/>
                <w:color w:val="auto"/>
              </w:rPr>
            </w:pP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2,069</w:t>
            </w:r>
          </w:p>
        </w:tc>
      </w:tr>
      <w:tr>
        <w:trPr>
          <w:trHeight w:val="230"/>
        </w:trPr>
        <w:tc>
          <w:tcPr>
            <w:tcW w:w="794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(Gain) loss on ROU assets </w:t>
            </w:r>
            <w:r>
              <w:rPr>
                <w:rFonts w:ascii="Arial" w:cs="Arial" w:eastAsia="Arial" w:hAnsi="Arial"/>
                <w:sz w:val="23"/>
                <w:szCs w:val="23"/>
                <w:color w:val="auto"/>
                <w:vertAlign w:val="superscript"/>
              </w:rPr>
              <w:t>(5)</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7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Gain on sale of property and equipment</w:t>
            </w: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380" w:type="dxa"/>
            <w:vAlign w:val="bottom"/>
            <w:shd w:val="clear" w:color="auto" w:fill="DBE5F1"/>
          </w:tcPr>
          <w:p>
            <w:pPr>
              <w:spacing w:after="0"/>
              <w:rPr>
                <w:sz w:val="23"/>
                <w:szCs w:val="23"/>
                <w:color w:val="auto"/>
              </w:rPr>
            </w:pPr>
          </w:p>
        </w:tc>
        <w:tc>
          <w:tcPr>
            <w:tcW w:w="1220" w:type="dxa"/>
            <w:vAlign w:val="bottom"/>
            <w:shd w:val="clear" w:color="auto" w:fill="DBE5F1"/>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940" w:type="dxa"/>
            <w:vAlign w:val="bottom"/>
          </w:tcPr>
          <w:p>
            <w:pPr>
              <w:ind w:left="200"/>
              <w:spacing w:after="0" w:line="230" w:lineRule="exact"/>
              <w:rPr>
                <w:sz w:val="20"/>
                <w:szCs w:val="20"/>
                <w:color w:val="auto"/>
              </w:rPr>
            </w:pPr>
            <w:r>
              <w:rPr>
                <w:rFonts w:ascii="Arial" w:cs="Arial" w:eastAsia="Arial" w:hAnsi="Arial"/>
                <w:sz w:val="18"/>
                <w:szCs w:val="18"/>
                <w:color w:val="auto"/>
              </w:rPr>
              <w:t xml:space="preserve">Restructuring costs </w:t>
            </w:r>
            <w:r>
              <w:rPr>
                <w:rFonts w:ascii="Arial" w:cs="Arial" w:eastAsia="Arial" w:hAnsi="Arial"/>
                <w:sz w:val="23"/>
                <w:szCs w:val="23"/>
                <w:color w:val="auto"/>
                <w:vertAlign w:val="superscript"/>
              </w:rPr>
              <w:t>(6)</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70"/>
        </w:trPr>
        <w:tc>
          <w:tcPr>
            <w:tcW w:w="7940" w:type="dxa"/>
            <w:vAlign w:val="bottom"/>
            <w:shd w:val="clear" w:color="auto" w:fill="DBE5F1"/>
          </w:tcPr>
          <w:p>
            <w:pPr>
              <w:ind w:left="200"/>
              <w:spacing w:after="0"/>
              <w:rPr>
                <w:sz w:val="20"/>
                <w:szCs w:val="20"/>
                <w:color w:val="auto"/>
              </w:rPr>
            </w:pPr>
            <w:r>
              <w:rPr>
                <w:rFonts w:ascii="Arial" w:cs="Arial" w:eastAsia="Arial" w:hAnsi="Arial"/>
                <w:sz w:val="18"/>
                <w:szCs w:val="18"/>
                <w:color w:val="auto"/>
              </w:rPr>
              <w:t>Loss on extinguishment of debt</w:t>
            </w:r>
          </w:p>
        </w:tc>
        <w:tc>
          <w:tcPr>
            <w:tcW w:w="380" w:type="dxa"/>
            <w:vAlign w:val="bottom"/>
            <w:tcBorders>
              <w:bottom w:val="single" w:sz="8" w:color="auto"/>
            </w:tcBorders>
            <w:shd w:val="clear" w:color="auto" w:fill="DBE5F1"/>
          </w:tcPr>
          <w:p>
            <w:pPr>
              <w:spacing w:after="0"/>
              <w:rPr>
                <w:sz w:val="23"/>
                <w:szCs w:val="23"/>
                <w:color w:val="auto"/>
              </w:rPr>
            </w:pPr>
          </w:p>
        </w:tc>
        <w:tc>
          <w:tcPr>
            <w:tcW w:w="1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80" w:type="dxa"/>
            <w:vAlign w:val="bottom"/>
            <w:tcBorders>
              <w:bottom w:val="single" w:sz="8" w:color="auto"/>
            </w:tcBorders>
            <w:shd w:val="clear" w:color="auto" w:fill="DBE5F1"/>
          </w:tcPr>
          <w:p>
            <w:pPr>
              <w:spacing w:after="0"/>
              <w:rPr>
                <w:sz w:val="23"/>
                <w:szCs w:val="23"/>
                <w:color w:val="auto"/>
              </w:rPr>
            </w:pPr>
          </w:p>
        </w:tc>
        <w:tc>
          <w:tcPr>
            <w:tcW w:w="1220" w:type="dxa"/>
            <w:vAlign w:val="bottom"/>
            <w:tcBorders>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3,020</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color w:val="auto"/>
              </w:rPr>
              <w:t>Adjusted EBTIDA</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109,944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660" w:right="140" w:hanging="328"/>
        <w:spacing w:after="0" w:line="306" w:lineRule="auto"/>
        <w:tabs>
          <w:tab w:leader="none" w:pos="679" w:val="left"/>
        </w:tabs>
        <w:numPr>
          <w:ilvl w:val="0"/>
          <w:numId w:val="88"/>
        </w:numPr>
        <w:rPr>
          <w:rFonts w:ascii="Arial" w:cs="Arial" w:eastAsia="Arial" w:hAnsi="Arial"/>
          <w:sz w:val="12"/>
          <w:szCs w:val="12"/>
          <w:color w:val="auto"/>
        </w:rPr>
      </w:pPr>
      <w:r>
        <w:rPr>
          <w:rFonts w:ascii="Arial" w:cs="Arial" w:eastAsia="Arial" w:hAnsi="Arial"/>
          <w:sz w:val="12"/>
          <w:szCs w:val="12"/>
          <w:color w:val="auto"/>
        </w:rPr>
        <w:t>Amortization expense for the year ended December 31, 2025 includes $0.6 million in impairment expense related to the remeasurement of goodwill associated with one of our subsidiaries. Amortization expense for the year ended December 31, 2024 includes $0.6 million in impairment expenses related to intangible assets that were written off during the year.</w:t>
      </w:r>
    </w:p>
    <w:p>
      <w:pPr>
        <w:spacing w:after="0" w:line="134" w:lineRule="exact"/>
        <w:rPr>
          <w:rFonts w:ascii="Arial" w:cs="Arial" w:eastAsia="Arial" w:hAnsi="Arial"/>
          <w:sz w:val="12"/>
          <w:szCs w:val="12"/>
          <w:color w:val="auto"/>
        </w:rPr>
      </w:pPr>
    </w:p>
    <w:p>
      <w:pPr>
        <w:ind w:left="700" w:hanging="368"/>
        <w:spacing w:after="0"/>
        <w:tabs>
          <w:tab w:leader="none" w:pos="7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equity-based compensation related to grants made in the applicable year</w:t>
      </w:r>
    </w:p>
    <w:p>
      <w:pPr>
        <w:spacing w:after="0" w:line="174" w:lineRule="exact"/>
        <w:rPr>
          <w:rFonts w:ascii="Arial" w:cs="Arial" w:eastAsia="Arial" w:hAnsi="Arial"/>
          <w:sz w:val="13"/>
          <w:szCs w:val="13"/>
          <w:color w:val="auto"/>
        </w:rPr>
      </w:pPr>
    </w:p>
    <w:p>
      <w:pPr>
        <w:ind w:left="660" w:hanging="328"/>
        <w:spacing w:after="0"/>
        <w:tabs>
          <w:tab w:leader="none" w:pos="66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acquisition-related fees, such as legal and advisory fees, that are non-capitalizable.</w:t>
      </w:r>
    </w:p>
    <w:p>
      <w:pPr>
        <w:spacing w:after="0" w:line="188" w:lineRule="exact"/>
        <w:rPr>
          <w:rFonts w:ascii="Arial" w:cs="Arial" w:eastAsia="Arial" w:hAnsi="Arial"/>
          <w:sz w:val="13"/>
          <w:szCs w:val="13"/>
          <w:color w:val="auto"/>
        </w:rPr>
      </w:pPr>
    </w:p>
    <w:p>
      <w:pPr>
        <w:ind w:left="660" w:right="40" w:hanging="328"/>
        <w:spacing w:after="0" w:line="251" w:lineRule="auto"/>
        <w:tabs>
          <w:tab w:leader="none" w:pos="652"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p>
      <w:pPr>
        <w:spacing w:after="0" w:line="165" w:lineRule="exact"/>
        <w:rPr>
          <w:rFonts w:ascii="Arial" w:cs="Arial" w:eastAsia="Arial" w:hAnsi="Arial"/>
          <w:sz w:val="13"/>
          <w:szCs w:val="13"/>
          <w:color w:val="auto"/>
        </w:rPr>
      </w:pPr>
    </w:p>
    <w:p>
      <w:pPr>
        <w:ind w:left="700" w:hanging="368"/>
        <w:spacing w:after="0"/>
        <w:tabs>
          <w:tab w:leader="none" w:pos="700"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Represents gains or losses related to ROU assets that were terminated or subleased in the respective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5" w:name="page96"/>
    <w:bookmarkEnd w:id="95"/>
    <w:p>
      <w:pPr>
        <w:ind w:left="308" w:hanging="308"/>
        <w:spacing w:after="0"/>
        <w:tabs>
          <w:tab w:leader="none" w:pos="308" w:val="left"/>
        </w:tabs>
        <w:numPr>
          <w:ilvl w:val="0"/>
          <w:numId w:val="89"/>
        </w:numPr>
        <w:rPr>
          <w:rFonts w:ascii="Arial" w:cs="Arial" w:eastAsia="Arial" w:hAnsi="Arial"/>
          <w:sz w:val="12"/>
          <w:szCs w:val="12"/>
          <w:color w:val="auto"/>
        </w:rPr>
      </w:pPr>
      <w:r>
        <w:rPr>
          <w:rFonts w:ascii="Arial" w:cs="Arial" w:eastAsia="Arial" w:hAnsi="Arial"/>
          <w:sz w:val="12"/>
          <w:szCs w:val="12"/>
          <w:color w:val="auto"/>
        </w:rPr>
        <w:t>Represents severance and related costs incurred as part of a corporate restructuring designed to streamline our organizational structure and drive operational efficiencies.</w:t>
      </w:r>
    </w:p>
    <w:p>
      <w:pPr>
        <w:sectPr>
          <w:pgSz w:w="11900" w:h="16838" w:orient="portrait"/>
          <w:cols w:equalWidth="0" w:num="1">
            <w:col w:w="9807"/>
          </w:cols>
          <w:pgMar w:left="652" w:top="14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188"/>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63500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07"/>
          </w:cols>
          <w:pgMar w:left="652" w:top="1418" w:right="1440" w:bottom="1440" w:gutter="0" w:footer="0" w:header="0"/>
          <w:type w:val="continuous"/>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517525</wp:posOffset>
            </wp:positionV>
            <wp:extent cx="7157720" cy="87737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8773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628650</wp:posOffset>
            </wp:positionV>
            <wp:extent cx="7157720" cy="86626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8662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808355</wp:posOffset>
            </wp:positionH>
            <wp:positionV relativeFrom="page">
              <wp:posOffset>628650</wp:posOffset>
            </wp:positionV>
            <wp:extent cx="6129020" cy="79381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clrChange>
                        <a:clrFrom>
                          <a:srgbClr val="FFFFFF"/>
                        </a:clrFrom>
                        <a:clrTo>
                          <a:srgbClr val="FFFFFF">
                            <a:alpha val="0"/>
                          </a:srgbClr>
                        </a:clrTo>
                      </a:clrChange>
                      <a:extLst>
                        <a:ext uri="{28A0092B-C50C-407E-A947-70E740481C1C}"/>
                      </a:extLst>
                    </a:blip>
                    <a:srcRect/>
                    <a:stretch>
                      <a:fillRect/>
                    </a:stretch>
                  </pic:blipFill>
                  <pic:spPr bwMode="auto">
                    <a:xfrm>
                      <a:off x="0" y="0"/>
                      <a:ext cx="6129020" cy="7938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lvl w:ilvl="1">
      <w:lvlJc w:val="left"/>
      <w:lvlText w:val="•"/>
      <w:numFmt w:val="bullet"/>
      <w:start w:val="1"/>
    </w:lvl>
  </w:abstractNum>
  <w:abstractNum w:abstractNumId="41">
    <w:nsid w:val="25A70BF7"/>
    <w:multiLevelType w:val="hybridMultilevel"/>
    <w:lvl w:ilvl="0">
      <w:lvlJc w:val="left"/>
      <w:lvlText w:val="•"/>
      <w:numFmt w:val="bullet"/>
      <w:start w:val="1"/>
    </w:lvl>
    <w:lvl w:ilvl="1">
      <w:lvlJc w:val="left"/>
      <w:lvlText w:val="•"/>
      <w:numFmt w:val="bullet"/>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2"/>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decimal"/>
      <w:start w:val="3"/>
    </w:lvl>
  </w:abstractNum>
  <w:abstractNum w:abstractNumId="54">
    <w:nsid w:val="42C296BD"/>
    <w:multiLevelType w:val="hybridMultilevel"/>
    <w:lvl w:ilvl="0">
      <w:lvlJc w:val="left"/>
      <w:lvlText w:val="(%1)"/>
      <w:numFmt w:val="decimal"/>
      <w:start w:val="6"/>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2"/>
    </w:lvl>
  </w:abstractNum>
  <w:abstractNum w:abstractNumId="57">
    <w:nsid w:val="661E3F1E"/>
    <w:multiLevelType w:val="hybridMultilevel"/>
    <w:lvl w:ilvl="0">
      <w:lvlJc w:val="left"/>
      <w:lvlText w:val="(%1)"/>
      <w:numFmt w:val="decimal"/>
      <w:start w:val="1"/>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lowerRoman"/>
      <w:start w:val="3"/>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1)"/>
      <w:numFmt w:val="lowerRoman"/>
      <w:start w:val="1"/>
    </w:lvl>
  </w:abstractNum>
  <w:abstractNum w:abstractNumId="63">
    <w:nsid w:val="BF72B14"/>
    <w:multiLevelType w:val="hybridMultilevel"/>
    <w:lvl w:ilvl="0">
      <w:lvlJc w:val="left"/>
      <w:lvlText w:val="(%1)"/>
      <w:numFmt w:val="lowerLetter"/>
      <w:start w:val="25"/>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3"/>
    </w:lvl>
  </w:abstractNum>
  <w:abstractNum w:abstractNumId="69">
    <w:nsid w:val="3B0FD379"/>
    <w:multiLevelType w:val="hybridMultilevel"/>
    <w:lvl w:ilvl="0">
      <w:lvlJc w:val="left"/>
      <w:lvlText w:val="(%1)"/>
      <w:numFmt w:val="decimal"/>
      <w:start w:val="5"/>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
      <w:numFmt w:val="bullet"/>
      <w:start w:val="1"/>
    </w:lvl>
  </w:abstractNum>
  <w:abstractNum w:abstractNumId="72">
    <w:nsid w:val="60B6DF70"/>
    <w:multiLevelType w:val="hybridMultilevel"/>
    <w:lvl w:ilvl="0">
      <w:lvlJc w:val="left"/>
      <w:lvlText w:val="•"/>
      <w:numFmt w:val="bullet"/>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
      <w:numFmt w:val="bullet"/>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decimal"/>
      <w:start w:val="1"/>
    </w:lvl>
  </w:abstractNum>
  <w:abstractNum w:abstractNumId="78">
    <w:nsid w:val="100F59DC"/>
    <w:multiLevelType w:val="hybridMultilevel"/>
    <w:lvl w:ilvl="0">
      <w:lvlJc w:val="left"/>
      <w:lvlText w:val="(%1)"/>
      <w:numFmt w:val="decimal"/>
      <w:start w:val="2"/>
    </w:lvl>
  </w:abstractNum>
  <w:abstractNum w:abstractNumId="79">
    <w:nsid w:val="7FB7E0AA"/>
    <w:multiLevelType w:val="hybridMultilevel"/>
    <w:lvl w:ilvl="0">
      <w:lvlJc w:val="left"/>
      <w:lvlText w:val="•"/>
      <w:numFmt w:val="bullet"/>
      <w:start w:val="1"/>
    </w:lvl>
  </w:abstractNum>
  <w:abstractNum w:abstractNumId="80">
    <w:nsid w:val="6EB5BD4"/>
    <w:multiLevelType w:val="hybridMultilevel"/>
    <w:lvl w:ilvl="0">
      <w:lvlJc w:val="left"/>
      <w:lvlText w:val="•"/>
      <w:numFmt w:val="bullet"/>
      <w:start w:val="1"/>
    </w:lvl>
  </w:abstractNum>
  <w:abstractNum w:abstractNumId="81">
    <w:nsid w:val="6F6DD9AC"/>
    <w:multiLevelType w:val="hybridMultilevel"/>
    <w:lvl w:ilvl="0">
      <w:lvlJc w:val="left"/>
      <w:lvlText w:val="•"/>
      <w:numFmt w:val="bullet"/>
      <w:start w:val="1"/>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1."/>
      <w:numFmt w:val="decimal"/>
      <w:start w:val="1"/>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lowerRoman"/>
      <w:start w:val="10"/>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2026-04-24T09:55:32Z</dcterms:created>
  <dcterms:modified xsi:type="dcterms:W3CDTF">2026-04-24T09:55:32Z</dcterms:modified>
</cp:coreProperties>
</file>